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9F8EC" w14:textId="77777777" w:rsidR="003105D5" w:rsidRPr="00CC6553" w:rsidRDefault="003105D5">
      <w:pPr>
        <w:rPr>
          <w:color w:val="000000" w:themeColor="text1"/>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7"/>
        <w:gridCol w:w="411"/>
        <w:gridCol w:w="1260"/>
        <w:gridCol w:w="888"/>
        <w:gridCol w:w="739"/>
        <w:gridCol w:w="908"/>
        <w:gridCol w:w="7332"/>
        <w:gridCol w:w="3291"/>
      </w:tblGrid>
      <w:tr w:rsidR="00897293" w:rsidRPr="00CC6553" w14:paraId="723E9F32" w14:textId="77777777" w:rsidTr="00897293">
        <w:trPr>
          <w:trHeight w:val="300"/>
          <w:tblHeader/>
        </w:trPr>
        <w:tc>
          <w:tcPr>
            <w:tcW w:w="109" w:type="pct"/>
            <w:shd w:val="clear" w:color="auto" w:fill="E6E6E6"/>
          </w:tcPr>
          <w:p w14:paraId="1DBF2BD6" w14:textId="77777777" w:rsidR="00897293" w:rsidRPr="00CC6553" w:rsidRDefault="00897293" w:rsidP="005271BB">
            <w:pPr>
              <w:pStyle w:val="Heading4"/>
              <w:jc w:val="left"/>
              <w:rPr>
                <w:rFonts w:cs="Arial"/>
                <w:color w:val="000000" w:themeColor="text1"/>
              </w:rPr>
            </w:pPr>
            <w:r w:rsidRPr="00CC6553">
              <w:rPr>
                <w:rFonts w:cs="Arial"/>
                <w:color w:val="000000" w:themeColor="text1"/>
              </w:rPr>
              <w:t>ID</w:t>
            </w:r>
          </w:p>
        </w:tc>
        <w:tc>
          <w:tcPr>
            <w:tcW w:w="143" w:type="pct"/>
            <w:shd w:val="clear" w:color="auto" w:fill="E6E6E6"/>
          </w:tcPr>
          <w:p w14:paraId="4A0169C3" w14:textId="77777777" w:rsidR="00897293" w:rsidRPr="00CC6553" w:rsidRDefault="00897293" w:rsidP="005271BB">
            <w:pPr>
              <w:pStyle w:val="Heading4"/>
              <w:jc w:val="left"/>
              <w:rPr>
                <w:rFonts w:cs="Arial"/>
                <w:color w:val="000000" w:themeColor="text1"/>
              </w:rPr>
            </w:pPr>
            <w:r w:rsidRPr="00CC6553">
              <w:rPr>
                <w:rFonts w:cs="Arial"/>
                <w:color w:val="000000" w:themeColor="text1"/>
              </w:rPr>
              <w:t>Type</w:t>
            </w:r>
          </w:p>
        </w:tc>
        <w:tc>
          <w:tcPr>
            <w:tcW w:w="396" w:type="pct"/>
            <w:shd w:val="clear" w:color="auto" w:fill="E6E6E6"/>
          </w:tcPr>
          <w:p w14:paraId="33434072" w14:textId="77777777" w:rsidR="00897293" w:rsidRPr="00CC6553" w:rsidRDefault="00897293" w:rsidP="005271BB">
            <w:pPr>
              <w:pStyle w:val="Heading4"/>
              <w:jc w:val="left"/>
              <w:rPr>
                <w:rFonts w:cs="Arial"/>
                <w:color w:val="000000" w:themeColor="text1"/>
              </w:rPr>
            </w:pPr>
            <w:r w:rsidRPr="00CC6553">
              <w:rPr>
                <w:rFonts w:cs="Arial"/>
                <w:color w:val="000000" w:themeColor="text1"/>
              </w:rPr>
              <w:t>Stakeholder</w:t>
            </w:r>
          </w:p>
        </w:tc>
        <w:tc>
          <w:tcPr>
            <w:tcW w:w="279" w:type="pct"/>
            <w:shd w:val="clear" w:color="auto" w:fill="E6E6E6"/>
          </w:tcPr>
          <w:p w14:paraId="360C30C1" w14:textId="77777777" w:rsidR="00897293" w:rsidRPr="00CC6553" w:rsidRDefault="00897293" w:rsidP="005271BB">
            <w:pPr>
              <w:pStyle w:val="Heading1"/>
              <w:rPr>
                <w:rFonts w:cs="Arial"/>
                <w:color w:val="000000" w:themeColor="text1"/>
                <w:sz w:val="20"/>
              </w:rPr>
            </w:pPr>
            <w:r w:rsidRPr="00CC6553">
              <w:rPr>
                <w:rFonts w:cs="Arial"/>
                <w:color w:val="000000" w:themeColor="text1"/>
                <w:sz w:val="20"/>
              </w:rPr>
              <w:t>Document</w:t>
            </w:r>
          </w:p>
        </w:tc>
        <w:tc>
          <w:tcPr>
            <w:tcW w:w="214" w:type="pct"/>
            <w:shd w:val="clear" w:color="auto" w:fill="E6E6E6"/>
          </w:tcPr>
          <w:p w14:paraId="0CB71FB4" w14:textId="77777777" w:rsidR="00897293" w:rsidRPr="00CC6553" w:rsidRDefault="00897293" w:rsidP="005271BB">
            <w:pPr>
              <w:pStyle w:val="Heading1"/>
              <w:rPr>
                <w:rFonts w:cs="Arial"/>
                <w:color w:val="000000" w:themeColor="text1"/>
                <w:sz w:val="20"/>
              </w:rPr>
            </w:pPr>
            <w:r w:rsidRPr="00CC6553">
              <w:rPr>
                <w:rFonts w:cs="Arial"/>
                <w:color w:val="000000" w:themeColor="text1"/>
                <w:sz w:val="20"/>
              </w:rPr>
              <w:t>Page No</w:t>
            </w:r>
          </w:p>
        </w:tc>
        <w:tc>
          <w:tcPr>
            <w:tcW w:w="214" w:type="pct"/>
            <w:shd w:val="clear" w:color="auto" w:fill="E6E6E6"/>
          </w:tcPr>
          <w:p w14:paraId="6847E9B8" w14:textId="77777777" w:rsidR="00897293" w:rsidRPr="00CC6553" w:rsidRDefault="00897293" w:rsidP="005271BB">
            <w:pPr>
              <w:pStyle w:val="Heading1"/>
              <w:rPr>
                <w:rFonts w:cs="Arial"/>
                <w:color w:val="000000" w:themeColor="text1"/>
                <w:sz w:val="20"/>
              </w:rPr>
            </w:pPr>
            <w:r w:rsidRPr="00CC6553">
              <w:rPr>
                <w:rFonts w:cs="Arial"/>
                <w:color w:val="000000" w:themeColor="text1"/>
                <w:sz w:val="20"/>
              </w:rPr>
              <w:t>Line No</w:t>
            </w:r>
          </w:p>
        </w:tc>
        <w:tc>
          <w:tcPr>
            <w:tcW w:w="1521" w:type="pct"/>
            <w:shd w:val="clear" w:color="auto" w:fill="E6E6E6"/>
          </w:tcPr>
          <w:p w14:paraId="29DE33ED" w14:textId="77777777" w:rsidR="00897293" w:rsidRPr="00CC6553" w:rsidRDefault="00897293" w:rsidP="005271BB">
            <w:pPr>
              <w:pStyle w:val="Heading1"/>
              <w:rPr>
                <w:rFonts w:cs="Arial"/>
                <w:color w:val="000000" w:themeColor="text1"/>
                <w:sz w:val="20"/>
              </w:rPr>
            </w:pPr>
            <w:r w:rsidRPr="00CC6553">
              <w:rPr>
                <w:rFonts w:cs="Arial"/>
                <w:color w:val="000000" w:themeColor="text1"/>
                <w:sz w:val="20"/>
              </w:rPr>
              <w:t>Comments</w:t>
            </w:r>
          </w:p>
          <w:p w14:paraId="4C7ADD25" w14:textId="774C6C38" w:rsidR="00897293" w:rsidRPr="00CC6553" w:rsidRDefault="00897293" w:rsidP="005271BB">
            <w:pPr>
              <w:rPr>
                <w:rFonts w:cs="Arial"/>
                <w:color w:val="000000" w:themeColor="text1"/>
                <w:sz w:val="20"/>
              </w:rPr>
            </w:pPr>
          </w:p>
        </w:tc>
        <w:tc>
          <w:tcPr>
            <w:tcW w:w="2122" w:type="pct"/>
            <w:shd w:val="clear" w:color="auto" w:fill="E6E6E6"/>
          </w:tcPr>
          <w:p w14:paraId="2082AA50" w14:textId="77777777" w:rsidR="00897293" w:rsidRPr="00CC6553" w:rsidRDefault="00897293" w:rsidP="005271BB">
            <w:pPr>
              <w:pStyle w:val="Heading2"/>
              <w:jc w:val="left"/>
              <w:rPr>
                <w:rFonts w:cs="Arial"/>
                <w:color w:val="000000" w:themeColor="text1"/>
                <w:sz w:val="20"/>
              </w:rPr>
            </w:pPr>
            <w:r w:rsidRPr="00CC6553">
              <w:rPr>
                <w:rFonts w:cs="Arial"/>
                <w:color w:val="000000" w:themeColor="text1"/>
                <w:sz w:val="20"/>
              </w:rPr>
              <w:t>Developer’s response</w:t>
            </w:r>
          </w:p>
          <w:p w14:paraId="4FCC78AF" w14:textId="6CDD0D19" w:rsidR="00897293" w:rsidRPr="00CC6553" w:rsidRDefault="00897293" w:rsidP="005271BB">
            <w:pPr>
              <w:rPr>
                <w:rFonts w:cs="Arial"/>
                <w:color w:val="000000" w:themeColor="text1"/>
                <w:sz w:val="20"/>
              </w:rPr>
            </w:pPr>
          </w:p>
        </w:tc>
      </w:tr>
      <w:tr w:rsidR="00897293" w:rsidRPr="00CC6553" w14:paraId="17F2BCA1" w14:textId="77777777" w:rsidTr="00897293">
        <w:trPr>
          <w:trHeight w:val="300"/>
        </w:trPr>
        <w:tc>
          <w:tcPr>
            <w:tcW w:w="109" w:type="pct"/>
          </w:tcPr>
          <w:p w14:paraId="676E4842" w14:textId="77777777" w:rsidR="00897293" w:rsidRPr="00CC6553" w:rsidRDefault="00897293" w:rsidP="005271BB">
            <w:pPr>
              <w:rPr>
                <w:rFonts w:cs="Arial"/>
                <w:color w:val="000000" w:themeColor="text1"/>
                <w:sz w:val="20"/>
              </w:rPr>
            </w:pPr>
            <w:r w:rsidRPr="00CC6553">
              <w:rPr>
                <w:rFonts w:cs="Arial"/>
                <w:color w:val="000000" w:themeColor="text1"/>
                <w:sz w:val="20"/>
              </w:rPr>
              <w:t>1</w:t>
            </w:r>
          </w:p>
        </w:tc>
        <w:tc>
          <w:tcPr>
            <w:tcW w:w="143" w:type="pct"/>
          </w:tcPr>
          <w:p w14:paraId="0CD6F900" w14:textId="321B27F8"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2E1B337E" w14:textId="56D92A23" w:rsidR="00897293" w:rsidRPr="00CC6553" w:rsidRDefault="00897293" w:rsidP="005271BB">
            <w:pPr>
              <w:rPr>
                <w:rFonts w:cs="Arial"/>
                <w:bCs/>
                <w:iCs/>
                <w:color w:val="000000" w:themeColor="text1"/>
                <w:sz w:val="20"/>
              </w:rPr>
            </w:pPr>
            <w:r w:rsidRPr="00CC6553">
              <w:rPr>
                <w:rFonts w:cs="Arial"/>
                <w:color w:val="000000" w:themeColor="text1"/>
                <w:sz w:val="20"/>
              </w:rPr>
              <w:t>Pharmacosmos UK Ltd</w:t>
            </w:r>
          </w:p>
        </w:tc>
        <w:tc>
          <w:tcPr>
            <w:tcW w:w="279" w:type="pct"/>
          </w:tcPr>
          <w:p w14:paraId="64932EFB" w14:textId="643260C5"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7D7E3496" w14:textId="7BB76085" w:rsidR="00897293" w:rsidRPr="00CC6553" w:rsidRDefault="00897293" w:rsidP="005271BB">
            <w:pPr>
              <w:rPr>
                <w:rFonts w:cs="Arial"/>
                <w:color w:val="000000" w:themeColor="text1"/>
                <w:sz w:val="20"/>
              </w:rPr>
            </w:pPr>
            <w:r w:rsidRPr="00CC6553">
              <w:rPr>
                <w:rFonts w:cs="Arial"/>
                <w:color w:val="000000" w:themeColor="text1"/>
                <w:sz w:val="20"/>
              </w:rPr>
              <w:t>003 - 014</w:t>
            </w:r>
          </w:p>
        </w:tc>
        <w:tc>
          <w:tcPr>
            <w:tcW w:w="214" w:type="pct"/>
          </w:tcPr>
          <w:p w14:paraId="6DB463CA" w14:textId="44FED14B" w:rsidR="00897293" w:rsidRPr="00CC6553" w:rsidRDefault="00897293" w:rsidP="005271BB">
            <w:pPr>
              <w:rPr>
                <w:rFonts w:cs="Arial"/>
                <w:color w:val="000000" w:themeColor="text1"/>
                <w:sz w:val="20"/>
              </w:rPr>
            </w:pPr>
            <w:r w:rsidRPr="00CC6553">
              <w:rPr>
                <w:rFonts w:cs="Arial"/>
                <w:color w:val="000000" w:themeColor="text1"/>
                <w:sz w:val="20"/>
              </w:rPr>
              <w:t>General</w:t>
            </w:r>
          </w:p>
        </w:tc>
        <w:tc>
          <w:tcPr>
            <w:tcW w:w="1521" w:type="pct"/>
          </w:tcPr>
          <w:p w14:paraId="3C651B9E" w14:textId="7EAFF133" w:rsidR="00897293" w:rsidRPr="00CC6553" w:rsidRDefault="00897293" w:rsidP="005271BB">
            <w:pPr>
              <w:rPr>
                <w:rFonts w:cs="Arial"/>
                <w:color w:val="000000" w:themeColor="text1"/>
                <w:sz w:val="20"/>
              </w:rPr>
            </w:pPr>
            <w:r w:rsidRPr="00CC6553">
              <w:rPr>
                <w:rFonts w:cs="Arial"/>
                <w:color w:val="000000" w:themeColor="text1"/>
                <w:sz w:val="20"/>
              </w:rPr>
              <w:t>We appreciate the request not to comment on any greyed-out areas of the guideline, however we felt it was important to highlight the omission of Iron Deficiency in this section.</w:t>
            </w:r>
            <w:r w:rsidRPr="00CC6553">
              <w:rPr>
                <w:rFonts w:cs="Arial"/>
                <w:color w:val="000000" w:themeColor="text1"/>
                <w:sz w:val="20"/>
              </w:rPr>
              <w:br/>
              <w:t xml:space="preserve">Iron deficiency has been associated with worsening outcomes and the exacerbation of symptoms in heart failure, this includes reduced exercise capacity and fatigue impacting patient quality of life, and also an increase in heart failure hospitilisation and mortality. The symptoms of Iron Deficiency and Heart Failure also cross over significantly, meaning it could be an alternative diagnosis. </w:t>
            </w:r>
            <w:r w:rsidRPr="00CC6553">
              <w:rPr>
                <w:rFonts w:cs="Arial"/>
                <w:color w:val="000000" w:themeColor="text1"/>
                <w:sz w:val="20"/>
              </w:rPr>
              <w:br/>
              <w:t>As such we believe iron studies should also be included in this section as a potential aggravating factor or alternative diagnosis.</w:t>
            </w:r>
          </w:p>
        </w:tc>
        <w:tc>
          <w:tcPr>
            <w:tcW w:w="2122" w:type="pct"/>
          </w:tcPr>
          <w:p w14:paraId="0DE15125" w14:textId="61279F35"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  The committee recognise the importance of considered iron deficiency however the scope of this update was the pharmacological management of chronic heart failure https://www.nice.org.uk/guidance/gid-ng10405/documents/final-scope and the committee is therefore only able to make editorial changes or minimal changes for consistency or clarification to recommendations on areas outside of this.</w:t>
            </w:r>
          </w:p>
        </w:tc>
      </w:tr>
      <w:tr w:rsidR="00897293" w:rsidRPr="00CC6553" w14:paraId="65C47B0C" w14:textId="77777777" w:rsidTr="00897293">
        <w:trPr>
          <w:trHeight w:val="300"/>
        </w:trPr>
        <w:tc>
          <w:tcPr>
            <w:tcW w:w="109" w:type="pct"/>
          </w:tcPr>
          <w:p w14:paraId="563B2B34" w14:textId="77777777" w:rsidR="00897293" w:rsidRPr="00CC6553" w:rsidRDefault="00897293" w:rsidP="005271BB">
            <w:pPr>
              <w:rPr>
                <w:rFonts w:cs="Arial"/>
                <w:color w:val="000000" w:themeColor="text1"/>
                <w:sz w:val="20"/>
              </w:rPr>
            </w:pPr>
            <w:r w:rsidRPr="00CC6553">
              <w:rPr>
                <w:rFonts w:cs="Arial"/>
                <w:color w:val="000000" w:themeColor="text1"/>
                <w:sz w:val="20"/>
              </w:rPr>
              <w:t>2</w:t>
            </w:r>
          </w:p>
        </w:tc>
        <w:tc>
          <w:tcPr>
            <w:tcW w:w="143" w:type="pct"/>
          </w:tcPr>
          <w:p w14:paraId="36F54501" w14:textId="3EC53241"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7A650C67" w14:textId="2E25C3DA" w:rsidR="00897293" w:rsidRPr="00CC6553" w:rsidRDefault="00897293" w:rsidP="005271BB">
            <w:pPr>
              <w:rPr>
                <w:rFonts w:cs="Arial"/>
                <w:bCs/>
                <w:iCs/>
                <w:color w:val="000000" w:themeColor="text1"/>
                <w:sz w:val="20"/>
              </w:rPr>
            </w:pPr>
            <w:r w:rsidRPr="00CC6553">
              <w:rPr>
                <w:rFonts w:cs="Arial"/>
                <w:color w:val="000000" w:themeColor="text1"/>
                <w:sz w:val="20"/>
              </w:rPr>
              <w:t>UK Clinical Pharmacy Association (UKCPA) – heart failure committee</w:t>
            </w:r>
          </w:p>
        </w:tc>
        <w:tc>
          <w:tcPr>
            <w:tcW w:w="279" w:type="pct"/>
          </w:tcPr>
          <w:p w14:paraId="1199D1D8" w14:textId="79D74CAC"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5513F9D9" w14:textId="53A55174" w:rsidR="00897293" w:rsidRPr="00CC6553" w:rsidRDefault="00897293" w:rsidP="005271BB">
            <w:pPr>
              <w:rPr>
                <w:rFonts w:cs="Arial"/>
                <w:color w:val="000000" w:themeColor="text1"/>
                <w:sz w:val="20"/>
              </w:rPr>
            </w:pPr>
            <w:r w:rsidRPr="00CC6553">
              <w:rPr>
                <w:rFonts w:cs="Arial"/>
                <w:color w:val="000000" w:themeColor="text1"/>
                <w:sz w:val="20"/>
              </w:rPr>
              <w:t>004</w:t>
            </w:r>
          </w:p>
        </w:tc>
        <w:tc>
          <w:tcPr>
            <w:tcW w:w="214" w:type="pct"/>
          </w:tcPr>
          <w:p w14:paraId="7A64E460" w14:textId="0832A96F" w:rsidR="00897293" w:rsidRPr="00CC6553" w:rsidRDefault="00897293" w:rsidP="005271BB">
            <w:pPr>
              <w:rPr>
                <w:rFonts w:cs="Arial"/>
                <w:color w:val="000000" w:themeColor="text1"/>
                <w:sz w:val="20"/>
              </w:rPr>
            </w:pPr>
            <w:r w:rsidRPr="00CC6553">
              <w:rPr>
                <w:rFonts w:cs="Arial"/>
                <w:color w:val="000000" w:themeColor="text1"/>
                <w:sz w:val="20"/>
              </w:rPr>
              <w:t>003</w:t>
            </w:r>
          </w:p>
        </w:tc>
        <w:tc>
          <w:tcPr>
            <w:tcW w:w="1521" w:type="pct"/>
          </w:tcPr>
          <w:p w14:paraId="0B9A4252" w14:textId="1A9AB615" w:rsidR="00897293" w:rsidRPr="00CC6553" w:rsidRDefault="00897293" w:rsidP="005271BB">
            <w:pPr>
              <w:rPr>
                <w:rFonts w:cs="Arial"/>
                <w:color w:val="000000" w:themeColor="text1"/>
                <w:sz w:val="20"/>
              </w:rPr>
            </w:pPr>
            <w:r w:rsidRPr="00CC6553">
              <w:rPr>
                <w:rFonts w:cs="Arial"/>
                <w:color w:val="000000" w:themeColor="text1"/>
                <w:sz w:val="20"/>
              </w:rPr>
              <w:t>Does not explicitly include a specialist heart failure pharmacist as part of the MDT involved in the management of heart failure. This is a significant omission given the well-established and growing evidence base supporting their role in improving clinical outcomes, medication optimisation and patient safety.</w:t>
            </w:r>
          </w:p>
        </w:tc>
        <w:tc>
          <w:tcPr>
            <w:tcW w:w="2122" w:type="pct"/>
          </w:tcPr>
          <w:p w14:paraId="37EEF89D" w14:textId="4ECDA112"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  The recommendation has been amended in accordance with your suggestion.</w:t>
            </w:r>
          </w:p>
        </w:tc>
      </w:tr>
      <w:tr w:rsidR="00897293" w:rsidRPr="00CC6553" w14:paraId="505B63B5" w14:textId="77777777" w:rsidTr="00897293">
        <w:trPr>
          <w:trHeight w:val="300"/>
        </w:trPr>
        <w:tc>
          <w:tcPr>
            <w:tcW w:w="109" w:type="pct"/>
          </w:tcPr>
          <w:p w14:paraId="3DB1574C" w14:textId="77777777" w:rsidR="00897293" w:rsidRPr="00CC6553" w:rsidRDefault="00897293" w:rsidP="005271BB">
            <w:pPr>
              <w:rPr>
                <w:rFonts w:cs="Arial"/>
                <w:color w:val="000000" w:themeColor="text1"/>
                <w:sz w:val="20"/>
              </w:rPr>
            </w:pPr>
            <w:r w:rsidRPr="00CC6553">
              <w:rPr>
                <w:rFonts w:cs="Arial"/>
                <w:color w:val="000000" w:themeColor="text1"/>
                <w:sz w:val="20"/>
              </w:rPr>
              <w:t>3</w:t>
            </w:r>
          </w:p>
        </w:tc>
        <w:tc>
          <w:tcPr>
            <w:tcW w:w="143" w:type="pct"/>
          </w:tcPr>
          <w:p w14:paraId="576ED394" w14:textId="3C48044B"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51B7ADDB" w14:textId="31D981B8" w:rsidR="00897293" w:rsidRPr="00CC6553" w:rsidRDefault="00897293" w:rsidP="005271BB">
            <w:pPr>
              <w:rPr>
                <w:rFonts w:cs="Arial"/>
                <w:bCs/>
                <w:iCs/>
                <w:color w:val="000000" w:themeColor="text1"/>
                <w:sz w:val="20"/>
              </w:rPr>
            </w:pPr>
            <w:r w:rsidRPr="00CC6553">
              <w:rPr>
                <w:rFonts w:cs="Arial"/>
                <w:color w:val="000000" w:themeColor="text1"/>
                <w:sz w:val="20"/>
              </w:rPr>
              <w:t>Royal College of Nursing</w:t>
            </w:r>
          </w:p>
        </w:tc>
        <w:tc>
          <w:tcPr>
            <w:tcW w:w="279" w:type="pct"/>
          </w:tcPr>
          <w:p w14:paraId="0E958347" w14:textId="00524CD5"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18D9F0AB" w14:textId="705A4AD0" w:rsidR="00897293" w:rsidRPr="00CC6553" w:rsidRDefault="00897293" w:rsidP="005271BB">
            <w:pPr>
              <w:rPr>
                <w:rFonts w:cs="Arial"/>
                <w:color w:val="000000" w:themeColor="text1"/>
                <w:sz w:val="20"/>
              </w:rPr>
            </w:pPr>
            <w:r w:rsidRPr="00CC6553">
              <w:rPr>
                <w:rFonts w:cs="Arial"/>
                <w:color w:val="000000" w:themeColor="text1"/>
                <w:sz w:val="20"/>
              </w:rPr>
              <w:t>004</w:t>
            </w:r>
          </w:p>
        </w:tc>
        <w:tc>
          <w:tcPr>
            <w:tcW w:w="214" w:type="pct"/>
          </w:tcPr>
          <w:p w14:paraId="7BF29A99" w14:textId="52F4F9AF" w:rsidR="00897293" w:rsidRPr="00CC6553" w:rsidRDefault="00897293" w:rsidP="005271BB">
            <w:pPr>
              <w:rPr>
                <w:rFonts w:cs="Arial"/>
                <w:color w:val="000000" w:themeColor="text1"/>
                <w:sz w:val="20"/>
              </w:rPr>
            </w:pPr>
            <w:r w:rsidRPr="00CC6553">
              <w:rPr>
                <w:rFonts w:cs="Arial"/>
                <w:color w:val="000000" w:themeColor="text1"/>
                <w:sz w:val="20"/>
              </w:rPr>
              <w:t>003 - 010</w:t>
            </w:r>
          </w:p>
        </w:tc>
        <w:tc>
          <w:tcPr>
            <w:tcW w:w="1521" w:type="pct"/>
          </w:tcPr>
          <w:p w14:paraId="2521CE8E" w14:textId="1B1B9AFF" w:rsidR="00897293" w:rsidRPr="00CC6553" w:rsidRDefault="00897293" w:rsidP="005271BB">
            <w:pPr>
              <w:rPr>
                <w:rFonts w:cs="Arial"/>
                <w:color w:val="000000" w:themeColor="text1"/>
                <w:sz w:val="20"/>
              </w:rPr>
            </w:pPr>
            <w:r w:rsidRPr="00CC6553">
              <w:rPr>
                <w:rFonts w:cs="Arial"/>
                <w:color w:val="000000" w:themeColor="text1"/>
                <w:sz w:val="20"/>
              </w:rPr>
              <w:br/>
              <w:t xml:space="preserve">Suggest this is rephrased as follows: ‘The Lead physician should be a lead clinician with specialist training in heart failure this may be a consultant cardiologist or consultant level Advanced Clinical Practitioner (ACP). </w:t>
            </w:r>
            <w:r w:rsidRPr="00CC6553">
              <w:rPr>
                <w:rFonts w:cs="Arial"/>
                <w:color w:val="000000" w:themeColor="text1"/>
                <w:sz w:val="20"/>
              </w:rPr>
              <w:br/>
              <w:t>A more sustainable and more contemporaneous model should be adopted, particularly for smaller hospitals who may have very limited consultant cardiology support.</w:t>
            </w:r>
          </w:p>
        </w:tc>
        <w:tc>
          <w:tcPr>
            <w:tcW w:w="2122" w:type="pct"/>
          </w:tcPr>
          <w:p w14:paraId="1CFDD184" w14:textId="31FF5345" w:rsidR="00897293" w:rsidRPr="00CC6553" w:rsidRDefault="00897293" w:rsidP="14DE5554">
            <w:pPr>
              <w:pStyle w:val="Heading1"/>
              <w:rPr>
                <w:rFonts w:cs="Arial"/>
                <w:b w:val="0"/>
                <w:bCs w:val="0"/>
                <w:color w:val="000000" w:themeColor="text1"/>
                <w:sz w:val="20"/>
              </w:rPr>
            </w:pPr>
            <w:r w:rsidRPr="00CC6553">
              <w:rPr>
                <w:rFonts w:cs="Arial"/>
                <w:b w:val="0"/>
                <w:bCs w:val="0"/>
                <w:color w:val="000000" w:themeColor="text1"/>
                <w:sz w:val="20"/>
              </w:rPr>
              <w:t>Thank you for your comment.  The committee agreed that a consultant input is required to diagnose for example to review imaging with respect to phenotype.</w:t>
            </w:r>
          </w:p>
        </w:tc>
      </w:tr>
      <w:tr w:rsidR="00897293" w:rsidRPr="00CC6553" w14:paraId="1C770A89" w14:textId="77777777" w:rsidTr="00897293">
        <w:trPr>
          <w:trHeight w:val="300"/>
        </w:trPr>
        <w:tc>
          <w:tcPr>
            <w:tcW w:w="109" w:type="pct"/>
          </w:tcPr>
          <w:p w14:paraId="5D0CFDC7" w14:textId="77777777" w:rsidR="00897293" w:rsidRPr="00CC6553" w:rsidRDefault="00897293" w:rsidP="005271BB">
            <w:pPr>
              <w:rPr>
                <w:rFonts w:cs="Arial"/>
                <w:color w:val="000000" w:themeColor="text1"/>
                <w:sz w:val="20"/>
              </w:rPr>
            </w:pPr>
            <w:r w:rsidRPr="00CC6553">
              <w:rPr>
                <w:rFonts w:cs="Arial"/>
                <w:color w:val="000000" w:themeColor="text1"/>
                <w:sz w:val="20"/>
              </w:rPr>
              <w:t>4</w:t>
            </w:r>
          </w:p>
        </w:tc>
        <w:tc>
          <w:tcPr>
            <w:tcW w:w="143" w:type="pct"/>
          </w:tcPr>
          <w:p w14:paraId="5670B221" w14:textId="0D15FC1C"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3C6E78FA" w14:textId="1F757EFD" w:rsidR="00897293" w:rsidRPr="00CC6553" w:rsidRDefault="00897293" w:rsidP="005271BB">
            <w:pPr>
              <w:rPr>
                <w:rFonts w:cs="Arial"/>
                <w:bCs/>
                <w:iCs/>
                <w:color w:val="000000" w:themeColor="text1"/>
                <w:sz w:val="20"/>
              </w:rPr>
            </w:pPr>
            <w:r w:rsidRPr="00CC6553">
              <w:rPr>
                <w:rFonts w:cs="Arial"/>
                <w:color w:val="000000" w:themeColor="text1"/>
                <w:sz w:val="20"/>
              </w:rPr>
              <w:t>Pumping Marvellous Foundation</w:t>
            </w:r>
          </w:p>
        </w:tc>
        <w:tc>
          <w:tcPr>
            <w:tcW w:w="279" w:type="pct"/>
          </w:tcPr>
          <w:p w14:paraId="7523D241" w14:textId="799567F4"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7A45F3BB" w14:textId="73C1F6BF" w:rsidR="00897293" w:rsidRPr="00CC6553" w:rsidRDefault="00897293" w:rsidP="005271BB">
            <w:pPr>
              <w:rPr>
                <w:rFonts w:cs="Arial"/>
                <w:color w:val="000000" w:themeColor="text1"/>
                <w:sz w:val="20"/>
              </w:rPr>
            </w:pPr>
            <w:r w:rsidRPr="00CC6553">
              <w:rPr>
                <w:rFonts w:cs="Arial"/>
                <w:color w:val="000000" w:themeColor="text1"/>
                <w:sz w:val="20"/>
              </w:rPr>
              <w:t>004 - 005</w:t>
            </w:r>
          </w:p>
        </w:tc>
        <w:tc>
          <w:tcPr>
            <w:tcW w:w="214" w:type="pct"/>
          </w:tcPr>
          <w:p w14:paraId="68A45154" w14:textId="7323E802" w:rsidR="00897293" w:rsidRPr="00CC6553" w:rsidRDefault="00897293" w:rsidP="005271BB">
            <w:pPr>
              <w:rPr>
                <w:rFonts w:cs="Arial"/>
                <w:color w:val="000000" w:themeColor="text1"/>
                <w:sz w:val="20"/>
              </w:rPr>
            </w:pPr>
            <w:r w:rsidRPr="00CC6553">
              <w:rPr>
                <w:rFonts w:cs="Arial"/>
                <w:color w:val="000000" w:themeColor="text1"/>
                <w:sz w:val="20"/>
              </w:rPr>
              <w:t>011 - 011</w:t>
            </w:r>
          </w:p>
        </w:tc>
        <w:tc>
          <w:tcPr>
            <w:tcW w:w="1521" w:type="pct"/>
          </w:tcPr>
          <w:p w14:paraId="02D10239" w14:textId="438880D9" w:rsidR="00897293" w:rsidRPr="00CC6553" w:rsidRDefault="00897293" w:rsidP="005271BB">
            <w:pPr>
              <w:rPr>
                <w:rFonts w:cs="Arial"/>
                <w:color w:val="000000" w:themeColor="text1"/>
                <w:sz w:val="20"/>
              </w:rPr>
            </w:pPr>
            <w:r w:rsidRPr="00CC6553">
              <w:rPr>
                <w:rFonts w:cs="Arial"/>
                <w:color w:val="000000" w:themeColor="text1"/>
                <w:sz w:val="20"/>
              </w:rPr>
              <w:t>Add in …device or advanced HF therapies</w:t>
            </w:r>
          </w:p>
        </w:tc>
        <w:tc>
          <w:tcPr>
            <w:tcW w:w="2122" w:type="pct"/>
          </w:tcPr>
          <w:p w14:paraId="274EFE1B" w14:textId="0D9E1598"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  The scope of this update was the pharmacological management of chronic heart failure https://www.nice.org.uk/guidance/gid</w:t>
            </w:r>
            <w:r w:rsidRPr="00CC6553">
              <w:rPr>
                <w:rFonts w:cs="Arial"/>
                <w:b w:val="0"/>
                <w:color w:val="000000" w:themeColor="text1"/>
                <w:sz w:val="20"/>
              </w:rPr>
              <w:lastRenderedPageBreak/>
              <w:t>-ng10405/documents/final-scope and the committee is therefore only able to make editorial changes or minimal changes for consistency or clarification to recommendations on areas outside of this.</w:t>
            </w:r>
          </w:p>
        </w:tc>
      </w:tr>
      <w:tr w:rsidR="00897293" w:rsidRPr="00CC6553" w14:paraId="13509251" w14:textId="77777777" w:rsidTr="00897293">
        <w:trPr>
          <w:trHeight w:val="300"/>
        </w:trPr>
        <w:tc>
          <w:tcPr>
            <w:tcW w:w="109" w:type="pct"/>
          </w:tcPr>
          <w:p w14:paraId="1DDBE125"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5</w:t>
            </w:r>
          </w:p>
        </w:tc>
        <w:tc>
          <w:tcPr>
            <w:tcW w:w="143" w:type="pct"/>
          </w:tcPr>
          <w:p w14:paraId="175904D6" w14:textId="66C3E2DD"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4D1B48A7" w14:textId="03E336EB"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2ABF1060" w14:textId="3EBE87CC"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7EE40751" w14:textId="2E6C8051" w:rsidR="00897293" w:rsidRPr="00CC6553" w:rsidRDefault="00897293" w:rsidP="005271BB">
            <w:pPr>
              <w:rPr>
                <w:rFonts w:cs="Arial"/>
                <w:color w:val="000000" w:themeColor="text1"/>
                <w:sz w:val="20"/>
              </w:rPr>
            </w:pPr>
            <w:r w:rsidRPr="00CC6553">
              <w:rPr>
                <w:rFonts w:cs="Arial"/>
                <w:color w:val="000000" w:themeColor="text1"/>
                <w:sz w:val="20"/>
              </w:rPr>
              <w:t>005</w:t>
            </w:r>
          </w:p>
        </w:tc>
        <w:tc>
          <w:tcPr>
            <w:tcW w:w="214" w:type="pct"/>
          </w:tcPr>
          <w:p w14:paraId="0CF9A378" w14:textId="138369C9" w:rsidR="00897293" w:rsidRPr="00CC6553" w:rsidRDefault="00897293" w:rsidP="005271BB">
            <w:pPr>
              <w:rPr>
                <w:rFonts w:cs="Arial"/>
                <w:color w:val="000000" w:themeColor="text1"/>
                <w:sz w:val="20"/>
              </w:rPr>
            </w:pPr>
            <w:r w:rsidRPr="00CC6553">
              <w:rPr>
                <w:rFonts w:cs="Arial"/>
                <w:color w:val="000000" w:themeColor="text1"/>
                <w:sz w:val="20"/>
              </w:rPr>
              <w:t>010</w:t>
            </w:r>
          </w:p>
        </w:tc>
        <w:tc>
          <w:tcPr>
            <w:tcW w:w="1521" w:type="pct"/>
          </w:tcPr>
          <w:p w14:paraId="6000DB94" w14:textId="337E0D00" w:rsidR="00897293" w:rsidRPr="00CC6553" w:rsidRDefault="00897293" w:rsidP="005271BB">
            <w:pPr>
              <w:rPr>
                <w:rFonts w:cs="Arial"/>
                <w:color w:val="000000" w:themeColor="text1"/>
                <w:sz w:val="20"/>
              </w:rPr>
            </w:pPr>
            <w:r w:rsidRPr="00CC6553">
              <w:rPr>
                <w:rFonts w:cs="Arial"/>
                <w:color w:val="000000" w:themeColor="text1"/>
                <w:sz w:val="20"/>
              </w:rPr>
              <w:t>Add in …device or advanced HF therapies</w:t>
            </w:r>
          </w:p>
        </w:tc>
        <w:tc>
          <w:tcPr>
            <w:tcW w:w="2122" w:type="pct"/>
          </w:tcPr>
          <w:p w14:paraId="1BF4A452" w14:textId="4D252911"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  The scope of this update was the pharmacological management of chronic heart failure https://www.nice.org.uk/guidance/gid-ng10405/documents/final-scope and the committee is therefore only able to make editorial changes or minimal changes for consistency or clarification to recommendations on areas outside of this.</w:t>
            </w:r>
          </w:p>
        </w:tc>
      </w:tr>
      <w:tr w:rsidR="00897293" w:rsidRPr="00CC6553" w14:paraId="3DA6D19C" w14:textId="77777777" w:rsidTr="00897293">
        <w:trPr>
          <w:trHeight w:val="300"/>
        </w:trPr>
        <w:tc>
          <w:tcPr>
            <w:tcW w:w="109" w:type="pct"/>
          </w:tcPr>
          <w:p w14:paraId="1509ED91" w14:textId="77777777" w:rsidR="00897293" w:rsidRPr="00CC6553" w:rsidRDefault="00897293" w:rsidP="005271BB">
            <w:pPr>
              <w:rPr>
                <w:rFonts w:cs="Arial"/>
                <w:color w:val="000000" w:themeColor="text1"/>
                <w:sz w:val="20"/>
              </w:rPr>
            </w:pPr>
            <w:r w:rsidRPr="00CC6553">
              <w:rPr>
                <w:rFonts w:cs="Arial"/>
                <w:color w:val="000000" w:themeColor="text1"/>
                <w:sz w:val="20"/>
              </w:rPr>
              <w:t>6</w:t>
            </w:r>
          </w:p>
        </w:tc>
        <w:tc>
          <w:tcPr>
            <w:tcW w:w="143" w:type="pct"/>
          </w:tcPr>
          <w:p w14:paraId="38EB99BC" w14:textId="05C58FB2"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417594C4" w14:textId="07265936" w:rsidR="00897293" w:rsidRPr="00CC6553" w:rsidRDefault="00897293" w:rsidP="005271BB">
            <w:pPr>
              <w:rPr>
                <w:rFonts w:cs="Arial"/>
                <w:bCs/>
                <w:iCs/>
                <w:color w:val="000000" w:themeColor="text1"/>
                <w:sz w:val="20"/>
              </w:rPr>
            </w:pPr>
            <w:r w:rsidRPr="00CC6553">
              <w:rPr>
                <w:rFonts w:cs="Arial"/>
                <w:color w:val="000000" w:themeColor="text1"/>
                <w:sz w:val="20"/>
              </w:rPr>
              <w:t>Royal College of Nursing</w:t>
            </w:r>
          </w:p>
        </w:tc>
        <w:tc>
          <w:tcPr>
            <w:tcW w:w="279" w:type="pct"/>
          </w:tcPr>
          <w:p w14:paraId="56D90A61" w14:textId="65393346"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5F7009A5" w14:textId="59EC7D29" w:rsidR="00897293" w:rsidRPr="00CC6553" w:rsidRDefault="00897293" w:rsidP="005271BB">
            <w:pPr>
              <w:rPr>
                <w:rFonts w:cs="Arial"/>
                <w:color w:val="000000" w:themeColor="text1"/>
                <w:sz w:val="20"/>
              </w:rPr>
            </w:pPr>
            <w:r w:rsidRPr="00CC6553">
              <w:rPr>
                <w:rFonts w:cs="Arial"/>
                <w:color w:val="000000" w:themeColor="text1"/>
                <w:sz w:val="20"/>
              </w:rPr>
              <w:t>006</w:t>
            </w:r>
          </w:p>
        </w:tc>
        <w:tc>
          <w:tcPr>
            <w:tcW w:w="214" w:type="pct"/>
          </w:tcPr>
          <w:p w14:paraId="682EFA0C" w14:textId="608A63C3" w:rsidR="00897293" w:rsidRPr="00CC6553" w:rsidRDefault="00897293" w:rsidP="005271BB">
            <w:pPr>
              <w:rPr>
                <w:rFonts w:cs="Arial"/>
                <w:color w:val="000000" w:themeColor="text1"/>
                <w:sz w:val="20"/>
              </w:rPr>
            </w:pPr>
            <w:r w:rsidRPr="00CC6553">
              <w:rPr>
                <w:rFonts w:cs="Arial"/>
                <w:color w:val="000000" w:themeColor="text1"/>
                <w:sz w:val="20"/>
              </w:rPr>
              <w:t>001</w:t>
            </w:r>
          </w:p>
        </w:tc>
        <w:tc>
          <w:tcPr>
            <w:tcW w:w="1521" w:type="pct"/>
          </w:tcPr>
          <w:p w14:paraId="6D3B88E8" w14:textId="5175CFFA" w:rsidR="00897293" w:rsidRPr="00CC6553" w:rsidRDefault="00897293" w:rsidP="005271BB">
            <w:pPr>
              <w:rPr>
                <w:rFonts w:cs="Arial"/>
                <w:color w:val="000000" w:themeColor="text1"/>
                <w:sz w:val="20"/>
              </w:rPr>
            </w:pPr>
            <w:r w:rsidRPr="00CC6553">
              <w:rPr>
                <w:rFonts w:cs="Arial"/>
                <w:color w:val="000000" w:themeColor="text1"/>
                <w:sz w:val="20"/>
              </w:rPr>
              <w:t>The use of virtual wards has been shown to reduce readmissions and shorten hospital length of stay (LOS). It would be advisable to include these new technologies.</w:t>
            </w:r>
          </w:p>
        </w:tc>
        <w:tc>
          <w:tcPr>
            <w:tcW w:w="2122" w:type="pct"/>
          </w:tcPr>
          <w:p w14:paraId="2000115D" w14:textId="2C6BA4AA"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w:t>
            </w:r>
            <w:r w:rsidRPr="00CC6553">
              <w:rPr>
                <w:color w:val="000000" w:themeColor="text1"/>
              </w:rPr>
              <w:t xml:space="preserve"> </w:t>
            </w:r>
            <w:r w:rsidRPr="00CC6553">
              <w:rPr>
                <w:rFonts w:cs="Arial"/>
                <w:b w:val="0"/>
                <w:color w:val="000000" w:themeColor="text1"/>
                <w:sz w:val="20"/>
              </w:rPr>
              <w:t>The scope of this update was the pharmacological management of chronic heart failure https://www.nice.org.uk/guidance/gid-ng10405/documents/final-scope and the committee is therefore unable to make a recommendation on virtual wards but the committee recognise their importance.</w:t>
            </w:r>
          </w:p>
        </w:tc>
      </w:tr>
      <w:tr w:rsidR="00897293" w:rsidRPr="00CC6553" w14:paraId="69D4EDB0" w14:textId="77777777" w:rsidTr="00897293">
        <w:trPr>
          <w:trHeight w:val="300"/>
        </w:trPr>
        <w:tc>
          <w:tcPr>
            <w:tcW w:w="109" w:type="pct"/>
          </w:tcPr>
          <w:p w14:paraId="43C429AF" w14:textId="77777777" w:rsidR="00897293" w:rsidRPr="00CC6553" w:rsidRDefault="00897293" w:rsidP="005271BB">
            <w:pPr>
              <w:rPr>
                <w:rFonts w:cs="Arial"/>
                <w:color w:val="000000" w:themeColor="text1"/>
                <w:sz w:val="20"/>
              </w:rPr>
            </w:pPr>
            <w:r w:rsidRPr="00CC6553">
              <w:rPr>
                <w:rFonts w:cs="Arial"/>
                <w:color w:val="000000" w:themeColor="text1"/>
                <w:sz w:val="20"/>
              </w:rPr>
              <w:t>7</w:t>
            </w:r>
          </w:p>
        </w:tc>
        <w:tc>
          <w:tcPr>
            <w:tcW w:w="143" w:type="pct"/>
          </w:tcPr>
          <w:p w14:paraId="577FFA83" w14:textId="2FB888C1"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63BA488F" w14:textId="55633345"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7C7E6F09" w14:textId="59B2D221"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1976AB5A" w14:textId="3C3423B1" w:rsidR="00897293" w:rsidRPr="00CC6553" w:rsidRDefault="00897293" w:rsidP="005271BB">
            <w:pPr>
              <w:rPr>
                <w:rFonts w:cs="Arial"/>
                <w:color w:val="000000" w:themeColor="text1"/>
                <w:sz w:val="20"/>
              </w:rPr>
            </w:pPr>
            <w:r w:rsidRPr="00CC6553">
              <w:rPr>
                <w:rFonts w:cs="Arial"/>
                <w:color w:val="000000" w:themeColor="text1"/>
                <w:sz w:val="20"/>
              </w:rPr>
              <w:t>006</w:t>
            </w:r>
          </w:p>
        </w:tc>
        <w:tc>
          <w:tcPr>
            <w:tcW w:w="214" w:type="pct"/>
          </w:tcPr>
          <w:p w14:paraId="78985191" w14:textId="3749FFC3" w:rsidR="00897293" w:rsidRPr="00CC6553" w:rsidRDefault="00897293" w:rsidP="005271BB">
            <w:pPr>
              <w:rPr>
                <w:rFonts w:cs="Arial"/>
                <w:color w:val="000000" w:themeColor="text1"/>
                <w:sz w:val="20"/>
              </w:rPr>
            </w:pPr>
            <w:r w:rsidRPr="00CC6553">
              <w:rPr>
                <w:rFonts w:cs="Arial"/>
                <w:color w:val="000000" w:themeColor="text1"/>
                <w:sz w:val="20"/>
              </w:rPr>
              <w:t>008</w:t>
            </w:r>
          </w:p>
        </w:tc>
        <w:tc>
          <w:tcPr>
            <w:tcW w:w="1521" w:type="pct"/>
          </w:tcPr>
          <w:p w14:paraId="067E1886" w14:textId="2CE5BA1A" w:rsidR="00897293" w:rsidRPr="00CC6553" w:rsidRDefault="00897293" w:rsidP="005271BB">
            <w:pPr>
              <w:rPr>
                <w:rFonts w:cs="Arial"/>
                <w:color w:val="000000" w:themeColor="text1"/>
                <w:sz w:val="20"/>
              </w:rPr>
            </w:pPr>
            <w:r w:rsidRPr="00CC6553">
              <w:rPr>
                <w:rFonts w:cs="Arial"/>
                <w:color w:val="000000" w:themeColor="text1"/>
                <w:sz w:val="20"/>
              </w:rPr>
              <w:t>Add in  Writing a care plan (including a self-care plan)</w:t>
            </w:r>
          </w:p>
        </w:tc>
        <w:tc>
          <w:tcPr>
            <w:tcW w:w="2122" w:type="pct"/>
          </w:tcPr>
          <w:p w14:paraId="2E7F6F13" w14:textId="4D293FC5"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  The scope of this update was the pharmacological management of chronic heart failure https://www.nice.org.uk/guidance/gid</w:t>
            </w:r>
            <w:r w:rsidRPr="00CC6553">
              <w:rPr>
                <w:rFonts w:cs="Arial"/>
                <w:b w:val="0"/>
                <w:color w:val="000000" w:themeColor="text1"/>
                <w:sz w:val="20"/>
              </w:rPr>
              <w:lastRenderedPageBreak/>
              <w:t>-ng10405/documents/final-scope and the committee is therefore only able to make editorial changes or minimal changes for consistency or clarification to recommendations on areas outside of this.</w:t>
            </w:r>
          </w:p>
        </w:tc>
      </w:tr>
      <w:tr w:rsidR="00897293" w:rsidRPr="00CC6553" w14:paraId="03FFD0D4" w14:textId="77777777" w:rsidTr="00897293">
        <w:trPr>
          <w:trHeight w:val="300"/>
        </w:trPr>
        <w:tc>
          <w:tcPr>
            <w:tcW w:w="109" w:type="pct"/>
          </w:tcPr>
          <w:p w14:paraId="28AF6536"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8</w:t>
            </w:r>
          </w:p>
        </w:tc>
        <w:tc>
          <w:tcPr>
            <w:tcW w:w="143" w:type="pct"/>
          </w:tcPr>
          <w:p w14:paraId="6BCA8E26" w14:textId="04213E42"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54BC3739" w14:textId="0A5E100B" w:rsidR="00897293" w:rsidRPr="00CC6553" w:rsidRDefault="00897293" w:rsidP="005271BB">
            <w:pPr>
              <w:rPr>
                <w:rFonts w:cs="Arial"/>
                <w:bCs/>
                <w:iCs/>
                <w:color w:val="000000" w:themeColor="text1"/>
                <w:sz w:val="20"/>
              </w:rPr>
            </w:pPr>
            <w:r w:rsidRPr="00CC6553">
              <w:rPr>
                <w:rFonts w:cs="Arial"/>
                <w:color w:val="000000" w:themeColor="text1"/>
                <w:sz w:val="20"/>
              </w:rPr>
              <w:t>Pumping Marvellous Foundation</w:t>
            </w:r>
          </w:p>
        </w:tc>
        <w:tc>
          <w:tcPr>
            <w:tcW w:w="279" w:type="pct"/>
          </w:tcPr>
          <w:p w14:paraId="539F6371" w14:textId="559A33F6"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24B6C8CF" w14:textId="17C84687" w:rsidR="00897293" w:rsidRPr="00CC6553" w:rsidRDefault="00897293" w:rsidP="005271BB">
            <w:pPr>
              <w:rPr>
                <w:rFonts w:cs="Arial"/>
                <w:color w:val="000000" w:themeColor="text1"/>
                <w:sz w:val="20"/>
              </w:rPr>
            </w:pPr>
            <w:r w:rsidRPr="00CC6553">
              <w:rPr>
                <w:rFonts w:cs="Arial"/>
                <w:color w:val="000000" w:themeColor="text1"/>
                <w:sz w:val="20"/>
              </w:rPr>
              <w:t>006</w:t>
            </w:r>
          </w:p>
        </w:tc>
        <w:tc>
          <w:tcPr>
            <w:tcW w:w="214" w:type="pct"/>
          </w:tcPr>
          <w:p w14:paraId="1342701D" w14:textId="79465A91" w:rsidR="00897293" w:rsidRPr="00CC6553" w:rsidRDefault="00897293" w:rsidP="005271BB">
            <w:pPr>
              <w:rPr>
                <w:rFonts w:cs="Arial"/>
                <w:color w:val="000000" w:themeColor="text1"/>
                <w:sz w:val="20"/>
              </w:rPr>
            </w:pPr>
            <w:r w:rsidRPr="00CC6553">
              <w:rPr>
                <w:rFonts w:cs="Arial"/>
                <w:color w:val="000000" w:themeColor="text1"/>
                <w:sz w:val="20"/>
              </w:rPr>
              <w:t>008</w:t>
            </w:r>
          </w:p>
        </w:tc>
        <w:tc>
          <w:tcPr>
            <w:tcW w:w="1521" w:type="pct"/>
          </w:tcPr>
          <w:p w14:paraId="76D3C3E0" w14:textId="1B0D6F5A" w:rsidR="00897293" w:rsidRPr="00CC6553" w:rsidRDefault="00897293" w:rsidP="005271BB">
            <w:pPr>
              <w:rPr>
                <w:rFonts w:cs="Arial"/>
                <w:color w:val="000000" w:themeColor="text1"/>
                <w:sz w:val="20"/>
              </w:rPr>
            </w:pPr>
            <w:r w:rsidRPr="00CC6553">
              <w:rPr>
                <w:rFonts w:cs="Arial"/>
                <w:color w:val="000000" w:themeColor="text1"/>
                <w:sz w:val="20"/>
              </w:rPr>
              <w:t>Add in  Writing a care plan (including a self-care plan)</w:t>
            </w:r>
          </w:p>
        </w:tc>
        <w:tc>
          <w:tcPr>
            <w:tcW w:w="2122" w:type="pct"/>
          </w:tcPr>
          <w:p w14:paraId="350E632F" w14:textId="4CC2A9FD"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  The scope of this update was the pharmacological management of chronic heart failure https://www.nice.org.uk/guidance/gid-ng10405/documents/final-scope and the committee is therefore only able to make editorial changes or minimal changes for consistency or clarification to recommendations on areas outside of this.</w:t>
            </w:r>
          </w:p>
        </w:tc>
      </w:tr>
      <w:tr w:rsidR="00897293" w:rsidRPr="00CC6553" w14:paraId="3C61F078" w14:textId="77777777" w:rsidTr="00897293">
        <w:trPr>
          <w:trHeight w:val="300"/>
        </w:trPr>
        <w:tc>
          <w:tcPr>
            <w:tcW w:w="109" w:type="pct"/>
          </w:tcPr>
          <w:p w14:paraId="07FB04D3" w14:textId="77777777" w:rsidR="00897293" w:rsidRPr="00CC6553" w:rsidRDefault="00897293" w:rsidP="005271BB">
            <w:pPr>
              <w:rPr>
                <w:rFonts w:cs="Arial"/>
                <w:color w:val="000000" w:themeColor="text1"/>
                <w:sz w:val="20"/>
              </w:rPr>
            </w:pPr>
            <w:r w:rsidRPr="00CC6553">
              <w:rPr>
                <w:rFonts w:cs="Arial"/>
                <w:color w:val="000000" w:themeColor="text1"/>
                <w:sz w:val="20"/>
              </w:rPr>
              <w:t>9</w:t>
            </w:r>
          </w:p>
        </w:tc>
        <w:tc>
          <w:tcPr>
            <w:tcW w:w="143" w:type="pct"/>
          </w:tcPr>
          <w:p w14:paraId="43F4C1C8" w14:textId="6D75A124"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1FBAF92A" w14:textId="54B3CCED" w:rsidR="00897293" w:rsidRPr="00CC6553" w:rsidRDefault="00897293" w:rsidP="005271BB">
            <w:pPr>
              <w:rPr>
                <w:rFonts w:cs="Arial"/>
                <w:bCs/>
                <w:iCs/>
                <w:color w:val="000000" w:themeColor="text1"/>
                <w:sz w:val="20"/>
              </w:rPr>
            </w:pPr>
            <w:r w:rsidRPr="00CC6553">
              <w:rPr>
                <w:rFonts w:cs="Arial"/>
                <w:color w:val="000000" w:themeColor="text1"/>
                <w:sz w:val="20"/>
              </w:rPr>
              <w:t>Pumping Marvellous Foundation</w:t>
            </w:r>
          </w:p>
        </w:tc>
        <w:tc>
          <w:tcPr>
            <w:tcW w:w="279" w:type="pct"/>
          </w:tcPr>
          <w:p w14:paraId="62F57C20" w14:textId="10C97AD7"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7EA7B67B" w14:textId="1C7A3C4F" w:rsidR="00897293" w:rsidRPr="00CC6553" w:rsidRDefault="00897293" w:rsidP="005271BB">
            <w:pPr>
              <w:rPr>
                <w:rFonts w:cs="Arial"/>
                <w:color w:val="000000" w:themeColor="text1"/>
                <w:sz w:val="20"/>
              </w:rPr>
            </w:pPr>
            <w:r w:rsidRPr="00CC6553">
              <w:rPr>
                <w:rFonts w:cs="Arial"/>
                <w:color w:val="000000" w:themeColor="text1"/>
                <w:sz w:val="20"/>
              </w:rPr>
              <w:t>006</w:t>
            </w:r>
          </w:p>
        </w:tc>
        <w:tc>
          <w:tcPr>
            <w:tcW w:w="214" w:type="pct"/>
          </w:tcPr>
          <w:p w14:paraId="03108B3E" w14:textId="18687101" w:rsidR="00897293" w:rsidRPr="00CC6553" w:rsidRDefault="00897293" w:rsidP="005271BB">
            <w:pPr>
              <w:rPr>
                <w:rFonts w:cs="Arial"/>
                <w:color w:val="000000" w:themeColor="text1"/>
                <w:sz w:val="20"/>
              </w:rPr>
            </w:pPr>
            <w:r w:rsidRPr="00CC6553">
              <w:rPr>
                <w:rFonts w:cs="Arial"/>
                <w:color w:val="000000" w:themeColor="text1"/>
                <w:sz w:val="20"/>
              </w:rPr>
              <w:t>008</w:t>
            </w:r>
          </w:p>
        </w:tc>
        <w:tc>
          <w:tcPr>
            <w:tcW w:w="1521" w:type="pct"/>
          </w:tcPr>
          <w:p w14:paraId="2CBA750F" w14:textId="79C3DFB8" w:rsidR="00897293" w:rsidRPr="00CC6553" w:rsidRDefault="00897293" w:rsidP="005271BB">
            <w:pPr>
              <w:rPr>
                <w:rFonts w:cs="Arial"/>
                <w:color w:val="000000" w:themeColor="text1"/>
                <w:sz w:val="20"/>
              </w:rPr>
            </w:pPr>
            <w:r w:rsidRPr="00CC6553">
              <w:rPr>
                <w:rFonts w:cs="Arial"/>
                <w:color w:val="000000" w:themeColor="text1"/>
                <w:sz w:val="20"/>
              </w:rPr>
              <w:t>Add in… sick day rules, who to contact in case of any side effects</w:t>
            </w:r>
          </w:p>
        </w:tc>
        <w:tc>
          <w:tcPr>
            <w:tcW w:w="2122" w:type="pct"/>
          </w:tcPr>
          <w:p w14:paraId="08298863" w14:textId="189B1A40"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  The scope of this update was the pharmacological management of chronic heart failure https://www.nice.org.uk/guidance/gid-ng10405/documents/final-scope and the committee is therefore only able to make editorial changes or minimal changes for consistency or clarification to recommendations on areas outside of this.</w:t>
            </w:r>
          </w:p>
        </w:tc>
      </w:tr>
      <w:tr w:rsidR="00897293" w:rsidRPr="00CC6553" w14:paraId="200A3EE0" w14:textId="77777777" w:rsidTr="00897293">
        <w:trPr>
          <w:trHeight w:val="300"/>
        </w:trPr>
        <w:tc>
          <w:tcPr>
            <w:tcW w:w="109" w:type="pct"/>
          </w:tcPr>
          <w:p w14:paraId="1452EF68" w14:textId="77777777" w:rsidR="00897293" w:rsidRPr="00CC6553" w:rsidRDefault="00897293" w:rsidP="005271BB">
            <w:pPr>
              <w:rPr>
                <w:rFonts w:cs="Arial"/>
                <w:color w:val="000000" w:themeColor="text1"/>
                <w:sz w:val="20"/>
              </w:rPr>
            </w:pPr>
            <w:r w:rsidRPr="00CC6553">
              <w:rPr>
                <w:rFonts w:cs="Arial"/>
                <w:color w:val="000000" w:themeColor="text1"/>
                <w:sz w:val="20"/>
              </w:rPr>
              <w:t>10</w:t>
            </w:r>
          </w:p>
        </w:tc>
        <w:tc>
          <w:tcPr>
            <w:tcW w:w="143" w:type="pct"/>
          </w:tcPr>
          <w:p w14:paraId="4CB72B04" w14:textId="6A6A8410"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29FA282C" w14:textId="13593B26"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7CE3F327" w14:textId="613ED268"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4FF410D5" w14:textId="421AC310" w:rsidR="00897293" w:rsidRPr="00CC6553" w:rsidRDefault="00897293" w:rsidP="005271BB">
            <w:pPr>
              <w:rPr>
                <w:rFonts w:cs="Arial"/>
                <w:color w:val="000000" w:themeColor="text1"/>
                <w:sz w:val="20"/>
              </w:rPr>
            </w:pPr>
            <w:r w:rsidRPr="00CC6553">
              <w:rPr>
                <w:rFonts w:cs="Arial"/>
                <w:color w:val="000000" w:themeColor="text1"/>
                <w:sz w:val="20"/>
              </w:rPr>
              <w:t>006</w:t>
            </w:r>
          </w:p>
        </w:tc>
        <w:tc>
          <w:tcPr>
            <w:tcW w:w="214" w:type="pct"/>
          </w:tcPr>
          <w:p w14:paraId="6136AA59" w14:textId="17BA0A24" w:rsidR="00897293" w:rsidRPr="00CC6553" w:rsidRDefault="00897293" w:rsidP="005271BB">
            <w:pPr>
              <w:rPr>
                <w:rFonts w:cs="Arial"/>
                <w:color w:val="000000" w:themeColor="text1"/>
                <w:sz w:val="20"/>
              </w:rPr>
            </w:pPr>
            <w:r w:rsidRPr="00CC6553">
              <w:rPr>
                <w:rFonts w:cs="Arial"/>
                <w:color w:val="000000" w:themeColor="text1"/>
                <w:sz w:val="20"/>
              </w:rPr>
              <w:t>009</w:t>
            </w:r>
          </w:p>
        </w:tc>
        <w:tc>
          <w:tcPr>
            <w:tcW w:w="1521" w:type="pct"/>
          </w:tcPr>
          <w:p w14:paraId="0931F28D" w14:textId="5723CBF0" w:rsidR="00897293" w:rsidRPr="00CC6553" w:rsidRDefault="00897293" w:rsidP="005271BB">
            <w:pPr>
              <w:rPr>
                <w:rFonts w:cs="Arial"/>
                <w:color w:val="000000" w:themeColor="text1"/>
                <w:sz w:val="20"/>
              </w:rPr>
            </w:pPr>
            <w:r w:rsidRPr="00CC6553">
              <w:rPr>
                <w:rFonts w:cs="Arial"/>
                <w:color w:val="000000" w:themeColor="text1"/>
                <w:sz w:val="20"/>
              </w:rPr>
              <w:t>1.1.7 - I would also recommend that reasons for not prescribing and evidence-based drugs or devices, or getting to evidence-based doses.</w:t>
            </w:r>
          </w:p>
        </w:tc>
        <w:tc>
          <w:tcPr>
            <w:tcW w:w="2122" w:type="pct"/>
          </w:tcPr>
          <w:p w14:paraId="5C32B302" w14:textId="04FC7A36"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 xml:space="preserve">Thank you for your comment.  The scope of this update was the pharmacological management of chronic heart failure </w:t>
            </w:r>
            <w:r w:rsidRPr="00CC6553">
              <w:rPr>
                <w:rFonts w:cs="Arial"/>
                <w:b w:val="0"/>
                <w:color w:val="000000" w:themeColor="text1"/>
                <w:sz w:val="20"/>
              </w:rPr>
              <w:lastRenderedPageBreak/>
              <w:t>https://www.nice.org.uk/guidance/gid-ng10405/documents/final-scope and the committee is therefore only able to make editorial changes or minimal changes for consistency or clarification to recommendations on areas outside of this.</w:t>
            </w:r>
          </w:p>
        </w:tc>
      </w:tr>
      <w:tr w:rsidR="00897293" w:rsidRPr="00CC6553" w14:paraId="27C17E80" w14:textId="77777777" w:rsidTr="00897293">
        <w:trPr>
          <w:trHeight w:val="300"/>
        </w:trPr>
        <w:tc>
          <w:tcPr>
            <w:tcW w:w="109" w:type="pct"/>
          </w:tcPr>
          <w:p w14:paraId="441AE779"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11</w:t>
            </w:r>
          </w:p>
        </w:tc>
        <w:tc>
          <w:tcPr>
            <w:tcW w:w="143" w:type="pct"/>
          </w:tcPr>
          <w:p w14:paraId="572EED77" w14:textId="13538D42"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3E58C646" w14:textId="075ED301"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6EBB2F50" w14:textId="5BD17F6A"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1E12FFA2" w14:textId="0F11EC3D" w:rsidR="00897293" w:rsidRPr="00CC6553" w:rsidRDefault="00897293" w:rsidP="005271BB">
            <w:pPr>
              <w:rPr>
                <w:rFonts w:cs="Arial"/>
                <w:color w:val="000000" w:themeColor="text1"/>
                <w:sz w:val="20"/>
              </w:rPr>
            </w:pPr>
            <w:r w:rsidRPr="00CC6553">
              <w:rPr>
                <w:rFonts w:cs="Arial"/>
                <w:color w:val="000000" w:themeColor="text1"/>
                <w:sz w:val="20"/>
              </w:rPr>
              <w:t>006</w:t>
            </w:r>
          </w:p>
        </w:tc>
        <w:tc>
          <w:tcPr>
            <w:tcW w:w="214" w:type="pct"/>
          </w:tcPr>
          <w:p w14:paraId="59E5AF29" w14:textId="3DA094C3" w:rsidR="00897293" w:rsidRPr="00CC6553" w:rsidRDefault="00897293" w:rsidP="005271BB">
            <w:pPr>
              <w:rPr>
                <w:rFonts w:cs="Arial"/>
                <w:color w:val="000000" w:themeColor="text1"/>
                <w:sz w:val="20"/>
              </w:rPr>
            </w:pPr>
            <w:r w:rsidRPr="00CC6553">
              <w:rPr>
                <w:rFonts w:cs="Arial"/>
                <w:color w:val="000000" w:themeColor="text1"/>
                <w:sz w:val="20"/>
              </w:rPr>
              <w:t>013</w:t>
            </w:r>
          </w:p>
        </w:tc>
        <w:tc>
          <w:tcPr>
            <w:tcW w:w="1521" w:type="pct"/>
          </w:tcPr>
          <w:p w14:paraId="5B7D9268" w14:textId="5477C3F2" w:rsidR="00897293" w:rsidRPr="00CC6553" w:rsidRDefault="00897293" w:rsidP="005271BB">
            <w:pPr>
              <w:rPr>
                <w:rFonts w:cs="Arial"/>
                <w:color w:val="000000" w:themeColor="text1"/>
                <w:sz w:val="20"/>
              </w:rPr>
            </w:pPr>
            <w:r w:rsidRPr="00CC6553">
              <w:rPr>
                <w:rFonts w:cs="Arial"/>
                <w:color w:val="000000" w:themeColor="text1"/>
                <w:sz w:val="20"/>
              </w:rPr>
              <w:t>Add in… sick day rules, who to contact in case of any side effects</w:t>
            </w:r>
          </w:p>
        </w:tc>
        <w:tc>
          <w:tcPr>
            <w:tcW w:w="2122" w:type="pct"/>
          </w:tcPr>
          <w:p w14:paraId="7B6689CD" w14:textId="5EF3E90B"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  The scope of this update was the pharmacological management of chronic heart failure https://www.nice.org.uk/guidance/gid-ng10405/documents/final-scope and the committee is therefore only able to make editorial changes or minimal changes for consistency or clarification to recommendations on areas outside of this.</w:t>
            </w:r>
          </w:p>
        </w:tc>
      </w:tr>
      <w:tr w:rsidR="00897293" w:rsidRPr="00CC6553" w14:paraId="2102FB69" w14:textId="77777777" w:rsidTr="00897293">
        <w:trPr>
          <w:trHeight w:val="300"/>
        </w:trPr>
        <w:tc>
          <w:tcPr>
            <w:tcW w:w="109" w:type="pct"/>
          </w:tcPr>
          <w:p w14:paraId="451EC63F" w14:textId="77777777" w:rsidR="00897293" w:rsidRPr="00CC6553" w:rsidRDefault="00897293" w:rsidP="005271BB">
            <w:pPr>
              <w:rPr>
                <w:rFonts w:cs="Arial"/>
                <w:color w:val="000000" w:themeColor="text1"/>
                <w:sz w:val="20"/>
              </w:rPr>
            </w:pPr>
            <w:r w:rsidRPr="00CC6553">
              <w:rPr>
                <w:rFonts w:cs="Arial"/>
                <w:color w:val="000000" w:themeColor="text1"/>
                <w:sz w:val="20"/>
              </w:rPr>
              <w:t>12</w:t>
            </w:r>
          </w:p>
        </w:tc>
        <w:tc>
          <w:tcPr>
            <w:tcW w:w="143" w:type="pct"/>
          </w:tcPr>
          <w:p w14:paraId="48A83F3F" w14:textId="11A50338"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798F1DFD" w14:textId="027928D4"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027E6568" w14:textId="7D200A4E"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4604E8E0" w14:textId="51384281" w:rsidR="00897293" w:rsidRPr="00CC6553" w:rsidRDefault="00897293" w:rsidP="005271BB">
            <w:pPr>
              <w:rPr>
                <w:rFonts w:cs="Arial"/>
                <w:color w:val="000000" w:themeColor="text1"/>
                <w:sz w:val="20"/>
              </w:rPr>
            </w:pPr>
            <w:r w:rsidRPr="00CC6553">
              <w:rPr>
                <w:rFonts w:cs="Arial"/>
                <w:color w:val="000000" w:themeColor="text1"/>
                <w:sz w:val="20"/>
              </w:rPr>
              <w:t>006</w:t>
            </w:r>
          </w:p>
        </w:tc>
        <w:tc>
          <w:tcPr>
            <w:tcW w:w="214" w:type="pct"/>
          </w:tcPr>
          <w:p w14:paraId="4566A5A8" w14:textId="765C3C7B" w:rsidR="00897293" w:rsidRPr="00CC6553" w:rsidRDefault="00897293" w:rsidP="005271BB">
            <w:pPr>
              <w:rPr>
                <w:rFonts w:cs="Arial"/>
                <w:color w:val="000000" w:themeColor="text1"/>
                <w:sz w:val="20"/>
              </w:rPr>
            </w:pPr>
            <w:r w:rsidRPr="00CC6553">
              <w:rPr>
                <w:rFonts w:cs="Arial"/>
                <w:color w:val="000000" w:themeColor="text1"/>
                <w:sz w:val="20"/>
              </w:rPr>
              <w:t>016</w:t>
            </w:r>
          </w:p>
        </w:tc>
        <w:tc>
          <w:tcPr>
            <w:tcW w:w="1521" w:type="pct"/>
          </w:tcPr>
          <w:p w14:paraId="0DEDE511" w14:textId="4B8930EC" w:rsidR="00897293" w:rsidRPr="00CC6553" w:rsidRDefault="00897293" w:rsidP="005271BB">
            <w:pPr>
              <w:rPr>
                <w:rFonts w:cs="Arial"/>
                <w:color w:val="000000" w:themeColor="text1"/>
                <w:sz w:val="20"/>
              </w:rPr>
            </w:pPr>
            <w:r w:rsidRPr="00CC6553">
              <w:rPr>
                <w:rFonts w:cs="Arial"/>
                <w:color w:val="000000" w:themeColor="text1"/>
                <w:sz w:val="20"/>
              </w:rPr>
              <w:t>1.1.8 - I would recommend mentioning directly “additional sources of information for people with heart failure” e.g. Pumping Marvellous, British Heart Foundation etc</w:t>
            </w:r>
          </w:p>
        </w:tc>
        <w:tc>
          <w:tcPr>
            <w:tcW w:w="2122" w:type="pct"/>
          </w:tcPr>
          <w:p w14:paraId="7A797824" w14:textId="5560E56B"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  The committee recognise the important work of these organisations but are unable to mention specific sources of information in the recommendation.</w:t>
            </w:r>
          </w:p>
        </w:tc>
      </w:tr>
      <w:tr w:rsidR="00897293" w:rsidRPr="00CC6553" w14:paraId="2351948B" w14:textId="77777777" w:rsidTr="00897293">
        <w:trPr>
          <w:trHeight w:val="300"/>
        </w:trPr>
        <w:tc>
          <w:tcPr>
            <w:tcW w:w="109" w:type="pct"/>
          </w:tcPr>
          <w:p w14:paraId="0A73A837" w14:textId="77777777" w:rsidR="00897293" w:rsidRPr="00CC6553" w:rsidRDefault="00897293" w:rsidP="005271BB">
            <w:pPr>
              <w:rPr>
                <w:rFonts w:cs="Arial"/>
                <w:color w:val="000000" w:themeColor="text1"/>
                <w:sz w:val="20"/>
              </w:rPr>
            </w:pPr>
            <w:r w:rsidRPr="00CC6553">
              <w:rPr>
                <w:rFonts w:cs="Arial"/>
                <w:color w:val="000000" w:themeColor="text1"/>
                <w:sz w:val="20"/>
              </w:rPr>
              <w:t>13</w:t>
            </w:r>
          </w:p>
        </w:tc>
        <w:tc>
          <w:tcPr>
            <w:tcW w:w="143" w:type="pct"/>
          </w:tcPr>
          <w:p w14:paraId="1208FAE2" w14:textId="6926997C"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7D8D6CB7" w14:textId="08DB1C64"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3590A6A9" w14:textId="58DCE2D9"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095676BE" w14:textId="2CF7735A" w:rsidR="00897293" w:rsidRPr="00CC6553" w:rsidRDefault="00897293" w:rsidP="005271BB">
            <w:pPr>
              <w:rPr>
                <w:rFonts w:cs="Arial"/>
                <w:color w:val="000000" w:themeColor="text1"/>
                <w:sz w:val="20"/>
              </w:rPr>
            </w:pPr>
            <w:r w:rsidRPr="00CC6553">
              <w:rPr>
                <w:rFonts w:cs="Arial"/>
                <w:color w:val="000000" w:themeColor="text1"/>
                <w:sz w:val="20"/>
              </w:rPr>
              <w:t>006</w:t>
            </w:r>
          </w:p>
        </w:tc>
        <w:tc>
          <w:tcPr>
            <w:tcW w:w="214" w:type="pct"/>
          </w:tcPr>
          <w:p w14:paraId="5516063A" w14:textId="2C111957" w:rsidR="00897293" w:rsidRPr="00CC6553" w:rsidRDefault="00897293" w:rsidP="005271BB">
            <w:pPr>
              <w:rPr>
                <w:rFonts w:cs="Arial"/>
                <w:color w:val="000000" w:themeColor="text1"/>
                <w:sz w:val="20"/>
              </w:rPr>
            </w:pPr>
            <w:r w:rsidRPr="00CC6553">
              <w:rPr>
                <w:rFonts w:cs="Arial"/>
                <w:color w:val="000000" w:themeColor="text1"/>
                <w:sz w:val="20"/>
              </w:rPr>
              <w:t>016</w:t>
            </w:r>
          </w:p>
        </w:tc>
        <w:tc>
          <w:tcPr>
            <w:tcW w:w="1521" w:type="pct"/>
          </w:tcPr>
          <w:p w14:paraId="48F9C98B" w14:textId="2705E9AF" w:rsidR="00897293" w:rsidRPr="00CC6553" w:rsidRDefault="00897293" w:rsidP="005271BB">
            <w:pPr>
              <w:rPr>
                <w:rFonts w:cs="Arial"/>
                <w:color w:val="000000" w:themeColor="text1"/>
                <w:sz w:val="20"/>
              </w:rPr>
            </w:pPr>
            <w:r w:rsidRPr="00CC6553">
              <w:rPr>
                <w:rFonts w:cs="Arial"/>
                <w:color w:val="000000" w:themeColor="text1"/>
                <w:sz w:val="20"/>
              </w:rPr>
              <w:t>Offer links to patient resources such as Pumping Marvellous, Cardiomyopathy UK and the BHF</w:t>
            </w:r>
          </w:p>
        </w:tc>
        <w:tc>
          <w:tcPr>
            <w:tcW w:w="2122" w:type="pct"/>
          </w:tcPr>
          <w:p w14:paraId="31B5B79B" w14:textId="35F251FD"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The committee recognise the important work of these organisations but are unable to mention specific sources of information in the recommendation.</w:t>
            </w:r>
          </w:p>
        </w:tc>
      </w:tr>
      <w:tr w:rsidR="00897293" w:rsidRPr="00CC6553" w14:paraId="6F8423D4" w14:textId="77777777" w:rsidTr="00897293">
        <w:trPr>
          <w:trHeight w:val="300"/>
        </w:trPr>
        <w:tc>
          <w:tcPr>
            <w:tcW w:w="109" w:type="pct"/>
          </w:tcPr>
          <w:p w14:paraId="0BBC6D2B"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14</w:t>
            </w:r>
          </w:p>
        </w:tc>
        <w:tc>
          <w:tcPr>
            <w:tcW w:w="143" w:type="pct"/>
          </w:tcPr>
          <w:p w14:paraId="56B4C7D6" w14:textId="28E2B891"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706345F0" w14:textId="1CCF4BEC" w:rsidR="00897293" w:rsidRPr="00CC6553" w:rsidRDefault="00897293" w:rsidP="005271BB">
            <w:pPr>
              <w:rPr>
                <w:rFonts w:cs="Arial"/>
                <w:bCs/>
                <w:iCs/>
                <w:color w:val="000000" w:themeColor="text1"/>
                <w:sz w:val="20"/>
              </w:rPr>
            </w:pPr>
            <w:r w:rsidRPr="00CC6553">
              <w:rPr>
                <w:rFonts w:cs="Arial"/>
                <w:color w:val="000000" w:themeColor="text1"/>
                <w:sz w:val="20"/>
              </w:rPr>
              <w:t>Pumping Marvellous Foundation</w:t>
            </w:r>
          </w:p>
        </w:tc>
        <w:tc>
          <w:tcPr>
            <w:tcW w:w="279" w:type="pct"/>
          </w:tcPr>
          <w:p w14:paraId="2B7F094A" w14:textId="57A06DE1"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43943486" w14:textId="40A44614" w:rsidR="00897293" w:rsidRPr="00CC6553" w:rsidRDefault="00897293" w:rsidP="005271BB">
            <w:pPr>
              <w:rPr>
                <w:rFonts w:cs="Arial"/>
                <w:color w:val="000000" w:themeColor="text1"/>
                <w:sz w:val="20"/>
              </w:rPr>
            </w:pPr>
            <w:r w:rsidRPr="00CC6553">
              <w:rPr>
                <w:rFonts w:cs="Arial"/>
                <w:color w:val="000000" w:themeColor="text1"/>
                <w:sz w:val="20"/>
              </w:rPr>
              <w:t>006</w:t>
            </w:r>
          </w:p>
        </w:tc>
        <w:tc>
          <w:tcPr>
            <w:tcW w:w="214" w:type="pct"/>
          </w:tcPr>
          <w:p w14:paraId="27AFCDF3" w14:textId="792131F9" w:rsidR="00897293" w:rsidRPr="00CC6553" w:rsidRDefault="00897293" w:rsidP="005271BB">
            <w:pPr>
              <w:rPr>
                <w:rFonts w:cs="Arial"/>
                <w:color w:val="000000" w:themeColor="text1"/>
                <w:sz w:val="20"/>
              </w:rPr>
            </w:pPr>
            <w:r w:rsidRPr="00CC6553">
              <w:rPr>
                <w:rFonts w:cs="Arial"/>
                <w:color w:val="000000" w:themeColor="text1"/>
                <w:sz w:val="20"/>
              </w:rPr>
              <w:t>016</w:t>
            </w:r>
          </w:p>
        </w:tc>
        <w:tc>
          <w:tcPr>
            <w:tcW w:w="1521" w:type="pct"/>
          </w:tcPr>
          <w:p w14:paraId="1E7CB1E1" w14:textId="09870CF4" w:rsidR="00897293" w:rsidRPr="00CC6553" w:rsidRDefault="00897293" w:rsidP="005271BB">
            <w:pPr>
              <w:rPr>
                <w:rFonts w:cs="Arial"/>
                <w:color w:val="000000" w:themeColor="text1"/>
                <w:sz w:val="20"/>
              </w:rPr>
            </w:pPr>
            <w:r w:rsidRPr="00CC6553">
              <w:rPr>
                <w:rFonts w:cs="Arial"/>
                <w:color w:val="000000" w:themeColor="text1"/>
                <w:sz w:val="20"/>
              </w:rPr>
              <w:t>Offer links to patient resources such as Pumping Marvellous, Cardiomyopathy UK and the BHF</w:t>
            </w:r>
          </w:p>
        </w:tc>
        <w:tc>
          <w:tcPr>
            <w:tcW w:w="2122" w:type="pct"/>
          </w:tcPr>
          <w:p w14:paraId="30C0CCF8" w14:textId="268A7D5C"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The committee recognise the important work of these organisations but are unable to mention specific sources of information in the recommendation.</w:t>
            </w:r>
          </w:p>
        </w:tc>
      </w:tr>
      <w:tr w:rsidR="00897293" w:rsidRPr="00CC6553" w14:paraId="0382A552" w14:textId="77777777" w:rsidTr="00897293">
        <w:trPr>
          <w:trHeight w:val="300"/>
        </w:trPr>
        <w:tc>
          <w:tcPr>
            <w:tcW w:w="109" w:type="pct"/>
          </w:tcPr>
          <w:p w14:paraId="3B5F5EC6" w14:textId="77777777" w:rsidR="00897293" w:rsidRPr="00CC6553" w:rsidRDefault="00897293" w:rsidP="005271BB">
            <w:pPr>
              <w:rPr>
                <w:rFonts w:cs="Arial"/>
                <w:color w:val="000000" w:themeColor="text1"/>
                <w:sz w:val="20"/>
              </w:rPr>
            </w:pPr>
            <w:r w:rsidRPr="00CC6553">
              <w:rPr>
                <w:rFonts w:cs="Arial"/>
                <w:color w:val="000000" w:themeColor="text1"/>
                <w:sz w:val="20"/>
              </w:rPr>
              <w:t>15</w:t>
            </w:r>
          </w:p>
        </w:tc>
        <w:tc>
          <w:tcPr>
            <w:tcW w:w="143" w:type="pct"/>
          </w:tcPr>
          <w:p w14:paraId="54C394FD" w14:textId="1D08AAE9"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6E379D8D" w14:textId="70915DF2"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66A41CC9" w14:textId="13CDFAB0"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40F140E2" w14:textId="6016E975" w:rsidR="00897293" w:rsidRPr="00CC6553" w:rsidRDefault="00897293" w:rsidP="005271BB">
            <w:pPr>
              <w:rPr>
                <w:rFonts w:cs="Arial"/>
                <w:color w:val="000000" w:themeColor="text1"/>
                <w:sz w:val="20"/>
              </w:rPr>
            </w:pPr>
            <w:r w:rsidRPr="00CC6553">
              <w:rPr>
                <w:rFonts w:cs="Arial"/>
                <w:color w:val="000000" w:themeColor="text1"/>
                <w:sz w:val="20"/>
              </w:rPr>
              <w:t>006</w:t>
            </w:r>
          </w:p>
        </w:tc>
        <w:tc>
          <w:tcPr>
            <w:tcW w:w="214" w:type="pct"/>
          </w:tcPr>
          <w:p w14:paraId="0252ED3B" w14:textId="6A071E32" w:rsidR="00897293" w:rsidRPr="00CC6553" w:rsidRDefault="00897293" w:rsidP="005271BB">
            <w:pPr>
              <w:rPr>
                <w:rFonts w:cs="Arial"/>
                <w:color w:val="000000" w:themeColor="text1"/>
                <w:sz w:val="20"/>
              </w:rPr>
            </w:pPr>
            <w:r w:rsidRPr="00CC6553">
              <w:rPr>
                <w:rFonts w:cs="Arial"/>
                <w:color w:val="000000" w:themeColor="text1"/>
                <w:sz w:val="20"/>
              </w:rPr>
              <w:t>General</w:t>
            </w:r>
          </w:p>
        </w:tc>
        <w:tc>
          <w:tcPr>
            <w:tcW w:w="1521" w:type="pct"/>
          </w:tcPr>
          <w:p w14:paraId="42639CB7" w14:textId="2E1E4533" w:rsidR="00897293" w:rsidRPr="00CC6553" w:rsidRDefault="00897293" w:rsidP="005271BB">
            <w:pPr>
              <w:rPr>
                <w:rFonts w:cs="Arial"/>
                <w:color w:val="000000" w:themeColor="text1"/>
                <w:sz w:val="20"/>
              </w:rPr>
            </w:pPr>
            <w:r w:rsidRPr="00CC6553">
              <w:rPr>
                <w:rFonts w:cs="Arial"/>
                <w:color w:val="000000" w:themeColor="text1"/>
                <w:sz w:val="20"/>
              </w:rPr>
              <w:t>1.18 - We would like to recommend mentioning directly sources of information for people with heart failure eg Pumping Marvellous and the BHF.</w:t>
            </w:r>
          </w:p>
        </w:tc>
        <w:tc>
          <w:tcPr>
            <w:tcW w:w="2122" w:type="pct"/>
          </w:tcPr>
          <w:p w14:paraId="027FFFBD" w14:textId="10E9A25A"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The committee recognise the important work of these organisations but are unable to mention specific sources of information in the recommendation.</w:t>
            </w:r>
          </w:p>
        </w:tc>
      </w:tr>
      <w:tr w:rsidR="00897293" w:rsidRPr="00CC6553" w14:paraId="4F70A289" w14:textId="77777777" w:rsidTr="00897293">
        <w:trPr>
          <w:trHeight w:val="300"/>
        </w:trPr>
        <w:tc>
          <w:tcPr>
            <w:tcW w:w="109" w:type="pct"/>
          </w:tcPr>
          <w:p w14:paraId="460CDBFC" w14:textId="77777777" w:rsidR="00897293" w:rsidRPr="00CC6553" w:rsidRDefault="00897293" w:rsidP="005271BB">
            <w:pPr>
              <w:rPr>
                <w:rFonts w:cs="Arial"/>
                <w:color w:val="000000" w:themeColor="text1"/>
                <w:sz w:val="20"/>
              </w:rPr>
            </w:pPr>
            <w:r w:rsidRPr="00CC6553">
              <w:rPr>
                <w:rFonts w:cs="Arial"/>
                <w:color w:val="000000" w:themeColor="text1"/>
                <w:sz w:val="20"/>
              </w:rPr>
              <w:t>16</w:t>
            </w:r>
          </w:p>
        </w:tc>
        <w:tc>
          <w:tcPr>
            <w:tcW w:w="143" w:type="pct"/>
          </w:tcPr>
          <w:p w14:paraId="76602EEC" w14:textId="5A51719E"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62F5033A" w14:textId="0180AE2B" w:rsidR="00897293" w:rsidRPr="00CC6553" w:rsidRDefault="00897293" w:rsidP="005271BB">
            <w:pPr>
              <w:rPr>
                <w:rFonts w:cs="Arial"/>
                <w:bCs/>
                <w:iCs/>
                <w:color w:val="000000" w:themeColor="text1"/>
                <w:sz w:val="20"/>
              </w:rPr>
            </w:pPr>
            <w:r w:rsidRPr="00CC6553">
              <w:rPr>
                <w:rFonts w:cs="Arial"/>
                <w:color w:val="000000" w:themeColor="text1"/>
                <w:sz w:val="20"/>
              </w:rPr>
              <w:t>Royal College of General Practitioners</w:t>
            </w:r>
          </w:p>
        </w:tc>
        <w:tc>
          <w:tcPr>
            <w:tcW w:w="279" w:type="pct"/>
          </w:tcPr>
          <w:p w14:paraId="6C89ACB2" w14:textId="40A64D16"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78B326B1" w14:textId="46E817F0" w:rsidR="00897293" w:rsidRPr="00CC6553" w:rsidRDefault="00897293" w:rsidP="005271BB">
            <w:pPr>
              <w:rPr>
                <w:rFonts w:cs="Arial"/>
                <w:color w:val="000000" w:themeColor="text1"/>
                <w:sz w:val="20"/>
              </w:rPr>
            </w:pPr>
            <w:r w:rsidRPr="00CC6553">
              <w:rPr>
                <w:rFonts w:cs="Arial"/>
                <w:color w:val="000000" w:themeColor="text1"/>
                <w:sz w:val="20"/>
              </w:rPr>
              <w:t>006</w:t>
            </w:r>
          </w:p>
        </w:tc>
        <w:tc>
          <w:tcPr>
            <w:tcW w:w="214" w:type="pct"/>
          </w:tcPr>
          <w:p w14:paraId="0BE04239" w14:textId="50EB3A69" w:rsidR="00897293" w:rsidRPr="00CC6553" w:rsidRDefault="00897293" w:rsidP="005271BB">
            <w:pPr>
              <w:rPr>
                <w:rFonts w:cs="Arial"/>
                <w:color w:val="000000" w:themeColor="text1"/>
                <w:sz w:val="20"/>
              </w:rPr>
            </w:pPr>
            <w:r w:rsidRPr="00CC6553">
              <w:rPr>
                <w:rFonts w:cs="Arial"/>
                <w:color w:val="000000" w:themeColor="text1"/>
                <w:sz w:val="20"/>
              </w:rPr>
              <w:t>General</w:t>
            </w:r>
          </w:p>
        </w:tc>
        <w:tc>
          <w:tcPr>
            <w:tcW w:w="1521" w:type="pct"/>
          </w:tcPr>
          <w:p w14:paraId="35594A2B" w14:textId="6B2CC162" w:rsidR="00897293" w:rsidRPr="00CC6553" w:rsidRDefault="00897293" w:rsidP="005271BB">
            <w:pPr>
              <w:rPr>
                <w:rFonts w:cs="Arial"/>
                <w:color w:val="000000" w:themeColor="text1"/>
                <w:sz w:val="20"/>
              </w:rPr>
            </w:pPr>
            <w:r w:rsidRPr="00CC6553">
              <w:rPr>
                <w:rFonts w:cs="Arial"/>
                <w:color w:val="000000" w:themeColor="text1"/>
                <w:sz w:val="20"/>
              </w:rPr>
              <w:t>We recommend adding explicit reference to early discharge planning involving community heart failure teams to ensure continuity of care and reduce readmission rates, with emphasis on post-discharge coordination.</w:t>
            </w:r>
          </w:p>
        </w:tc>
        <w:tc>
          <w:tcPr>
            <w:tcW w:w="2122" w:type="pct"/>
          </w:tcPr>
          <w:p w14:paraId="3D7F15B5" w14:textId="1AA58707"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w:t>
            </w:r>
            <w:r w:rsidRPr="00CC6553">
              <w:rPr>
                <w:color w:val="000000" w:themeColor="text1"/>
              </w:rPr>
              <w:t xml:space="preserve"> </w:t>
            </w:r>
            <w:r w:rsidRPr="00CC6553">
              <w:rPr>
                <w:rFonts w:cs="Arial"/>
                <w:b w:val="0"/>
                <w:color w:val="000000" w:themeColor="text1"/>
                <w:sz w:val="20"/>
              </w:rPr>
              <w:t>The scope of this update was the pharmacological management of chronic heart failure https://www.nice.org.uk/guidance/gid-ng10405/documents/final-scope and the committee is therefore unable to make a recommendation on early discharge planning but the committee recognise it is important.</w:t>
            </w:r>
          </w:p>
        </w:tc>
      </w:tr>
      <w:tr w:rsidR="00897293" w:rsidRPr="00CC6553" w14:paraId="1B6EBB4A" w14:textId="77777777" w:rsidTr="00897293">
        <w:trPr>
          <w:trHeight w:val="300"/>
        </w:trPr>
        <w:tc>
          <w:tcPr>
            <w:tcW w:w="109" w:type="pct"/>
          </w:tcPr>
          <w:p w14:paraId="2F183D2F" w14:textId="77777777" w:rsidR="00897293" w:rsidRPr="00CC6553" w:rsidRDefault="00897293" w:rsidP="005271BB">
            <w:pPr>
              <w:rPr>
                <w:rFonts w:cs="Arial"/>
                <w:color w:val="000000" w:themeColor="text1"/>
                <w:sz w:val="20"/>
              </w:rPr>
            </w:pPr>
            <w:r w:rsidRPr="00CC6553">
              <w:rPr>
                <w:rFonts w:cs="Arial"/>
                <w:color w:val="000000" w:themeColor="text1"/>
                <w:sz w:val="20"/>
              </w:rPr>
              <w:t>17</w:t>
            </w:r>
          </w:p>
        </w:tc>
        <w:tc>
          <w:tcPr>
            <w:tcW w:w="143" w:type="pct"/>
          </w:tcPr>
          <w:p w14:paraId="4FEFFEA1" w14:textId="2F03B461"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45083610" w14:textId="3C2BB6BE" w:rsidR="00897293" w:rsidRPr="00CC6553" w:rsidRDefault="00897293" w:rsidP="005271BB">
            <w:pPr>
              <w:rPr>
                <w:rFonts w:cs="Arial"/>
                <w:bCs/>
                <w:iCs/>
                <w:color w:val="000000" w:themeColor="text1"/>
                <w:sz w:val="20"/>
              </w:rPr>
            </w:pPr>
            <w:r w:rsidRPr="00CC6553">
              <w:rPr>
                <w:rFonts w:cs="Arial"/>
                <w:color w:val="000000" w:themeColor="text1"/>
                <w:sz w:val="20"/>
              </w:rPr>
              <w:t>Pumping Marvellous Foundation</w:t>
            </w:r>
          </w:p>
        </w:tc>
        <w:tc>
          <w:tcPr>
            <w:tcW w:w="279" w:type="pct"/>
          </w:tcPr>
          <w:p w14:paraId="670ED9E7" w14:textId="740E7821"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3FCA67CE" w14:textId="6A237369" w:rsidR="00897293" w:rsidRPr="00CC6553" w:rsidRDefault="00897293" w:rsidP="005271BB">
            <w:pPr>
              <w:rPr>
                <w:rFonts w:cs="Arial"/>
                <w:color w:val="000000" w:themeColor="text1"/>
                <w:sz w:val="20"/>
              </w:rPr>
            </w:pPr>
            <w:r w:rsidRPr="00CC6553">
              <w:rPr>
                <w:rFonts w:cs="Arial"/>
                <w:color w:val="000000" w:themeColor="text1"/>
                <w:sz w:val="20"/>
              </w:rPr>
              <w:t>006</w:t>
            </w:r>
          </w:p>
        </w:tc>
        <w:tc>
          <w:tcPr>
            <w:tcW w:w="214" w:type="pct"/>
          </w:tcPr>
          <w:p w14:paraId="52FD3176" w14:textId="6D0F72DC" w:rsidR="00897293" w:rsidRPr="00CC6553" w:rsidRDefault="00897293" w:rsidP="005271BB">
            <w:pPr>
              <w:rPr>
                <w:rFonts w:cs="Arial"/>
                <w:color w:val="000000" w:themeColor="text1"/>
                <w:sz w:val="20"/>
              </w:rPr>
            </w:pPr>
            <w:r w:rsidRPr="00CC6553">
              <w:rPr>
                <w:rFonts w:cs="Arial"/>
                <w:color w:val="000000" w:themeColor="text1"/>
                <w:sz w:val="20"/>
              </w:rPr>
              <w:t>General</w:t>
            </w:r>
          </w:p>
        </w:tc>
        <w:tc>
          <w:tcPr>
            <w:tcW w:w="1521" w:type="pct"/>
          </w:tcPr>
          <w:p w14:paraId="565F5DB9" w14:textId="04B65B76" w:rsidR="00897293" w:rsidRPr="00CC6553" w:rsidRDefault="00897293" w:rsidP="005271BB">
            <w:pPr>
              <w:rPr>
                <w:rFonts w:cs="Arial"/>
                <w:color w:val="000000" w:themeColor="text1"/>
                <w:sz w:val="20"/>
              </w:rPr>
            </w:pPr>
            <w:r w:rsidRPr="00CC6553">
              <w:rPr>
                <w:rFonts w:cs="Arial"/>
                <w:color w:val="000000" w:themeColor="text1"/>
                <w:sz w:val="20"/>
              </w:rPr>
              <w:t>1.18 - We would like to recommend mentioning directly sources of information for people with heart failure eg Pumping Marvellous and the BHF.</w:t>
            </w:r>
          </w:p>
        </w:tc>
        <w:tc>
          <w:tcPr>
            <w:tcW w:w="2122" w:type="pct"/>
          </w:tcPr>
          <w:p w14:paraId="239B6497" w14:textId="7C4A2C2C" w:rsidR="00897293" w:rsidRPr="00CC6553" w:rsidRDefault="00897293" w:rsidP="005271BB">
            <w:pPr>
              <w:pStyle w:val="Heading1"/>
              <w:rPr>
                <w:color w:val="000000" w:themeColor="text1"/>
              </w:rPr>
            </w:pPr>
            <w:r w:rsidRPr="00CC6553">
              <w:rPr>
                <w:rFonts w:cs="Arial"/>
                <w:b w:val="0"/>
                <w:color w:val="000000" w:themeColor="text1"/>
                <w:sz w:val="20"/>
              </w:rPr>
              <w:t>The committee recognise the important work of these organisations but are unable to mention specific sources of information in the recommendation.</w:t>
            </w:r>
          </w:p>
        </w:tc>
      </w:tr>
      <w:tr w:rsidR="00897293" w:rsidRPr="00CC6553" w14:paraId="725B4EBC" w14:textId="77777777" w:rsidTr="00897293">
        <w:trPr>
          <w:trHeight w:val="300"/>
        </w:trPr>
        <w:tc>
          <w:tcPr>
            <w:tcW w:w="109" w:type="pct"/>
          </w:tcPr>
          <w:p w14:paraId="0213D5D6" w14:textId="77777777" w:rsidR="00897293" w:rsidRPr="00CC6553" w:rsidRDefault="00897293" w:rsidP="005271BB">
            <w:pPr>
              <w:rPr>
                <w:rFonts w:cs="Arial"/>
                <w:color w:val="000000" w:themeColor="text1"/>
                <w:sz w:val="20"/>
              </w:rPr>
            </w:pPr>
            <w:r w:rsidRPr="00CC6553">
              <w:rPr>
                <w:rFonts w:cs="Arial"/>
                <w:color w:val="000000" w:themeColor="text1"/>
                <w:sz w:val="20"/>
              </w:rPr>
              <w:t>18</w:t>
            </w:r>
          </w:p>
        </w:tc>
        <w:tc>
          <w:tcPr>
            <w:tcW w:w="143" w:type="pct"/>
          </w:tcPr>
          <w:p w14:paraId="4DFF1EF3" w14:textId="62DF62F4"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4F533090" w14:textId="2EE42779"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457ADE74" w14:textId="01CB17F7"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15B4CF53" w14:textId="67630B63" w:rsidR="00897293" w:rsidRPr="00CC6553" w:rsidRDefault="00897293" w:rsidP="005271BB">
            <w:pPr>
              <w:rPr>
                <w:rFonts w:cs="Arial"/>
                <w:color w:val="000000" w:themeColor="text1"/>
                <w:sz w:val="20"/>
              </w:rPr>
            </w:pPr>
            <w:r w:rsidRPr="00CC6553">
              <w:rPr>
                <w:rFonts w:cs="Arial"/>
                <w:color w:val="000000" w:themeColor="text1"/>
                <w:sz w:val="20"/>
              </w:rPr>
              <w:t>007</w:t>
            </w:r>
          </w:p>
        </w:tc>
        <w:tc>
          <w:tcPr>
            <w:tcW w:w="214" w:type="pct"/>
          </w:tcPr>
          <w:p w14:paraId="54826C0F" w14:textId="5DB8B8B2" w:rsidR="00897293" w:rsidRPr="00CC6553" w:rsidRDefault="00897293" w:rsidP="005271BB">
            <w:pPr>
              <w:rPr>
                <w:rFonts w:cs="Arial"/>
                <w:color w:val="000000" w:themeColor="text1"/>
                <w:sz w:val="20"/>
              </w:rPr>
            </w:pPr>
            <w:r w:rsidRPr="00CC6553">
              <w:rPr>
                <w:rFonts w:cs="Arial"/>
                <w:color w:val="000000" w:themeColor="text1"/>
                <w:sz w:val="20"/>
              </w:rPr>
              <w:t>008 - 027</w:t>
            </w:r>
          </w:p>
        </w:tc>
        <w:tc>
          <w:tcPr>
            <w:tcW w:w="1521" w:type="pct"/>
          </w:tcPr>
          <w:p w14:paraId="2A784B2D" w14:textId="12926C71" w:rsidR="00897293" w:rsidRPr="00CC6553" w:rsidRDefault="00897293" w:rsidP="005271BB">
            <w:pPr>
              <w:rPr>
                <w:rFonts w:cs="Arial"/>
                <w:color w:val="000000" w:themeColor="text1"/>
                <w:sz w:val="20"/>
              </w:rPr>
            </w:pPr>
            <w:r w:rsidRPr="00CC6553">
              <w:rPr>
                <w:rFonts w:cs="Arial"/>
                <w:color w:val="000000" w:themeColor="text1"/>
                <w:sz w:val="20"/>
              </w:rPr>
              <w:t>1.2.2-1.2.6 - As there are significant access issues for echocardiography and specialist assessment, with long waiting lists in many areas, I would recommend considering age related NT proBNP levels Age-dependent values of N-terminal pro-B-type natriuretic peptide are superior to a single cut-point for ruling out suspected systolic dysfunction in primary care</w:t>
            </w:r>
            <w:r w:rsidRPr="00CC6553">
              <w:rPr>
                <w:rFonts w:cs="Arial"/>
                <w:color w:val="000000" w:themeColor="text1"/>
                <w:sz w:val="20"/>
              </w:rPr>
              <w:br/>
              <w:t xml:space="preserve">Per Hildebrandt 1, Paul O Collinson, Robert N Doughty, Ahmet Fuat, David C </w:t>
            </w:r>
            <w:r w:rsidRPr="00CC6553">
              <w:rPr>
                <w:rFonts w:cs="Arial"/>
                <w:color w:val="000000" w:themeColor="text1"/>
                <w:sz w:val="20"/>
              </w:rPr>
              <w:lastRenderedPageBreak/>
              <w:t>Gaze, Finn Gustafsson, James Januzzi, Jens Rosenberg, Roxy Senior, Mark Richards</w:t>
            </w:r>
            <w:r w:rsidRPr="00CC6553">
              <w:rPr>
                <w:rFonts w:cs="Arial"/>
                <w:color w:val="000000" w:themeColor="text1"/>
                <w:sz w:val="20"/>
              </w:rPr>
              <w:br/>
              <w:t>Affiliations Expand</w:t>
            </w:r>
            <w:r w:rsidRPr="00CC6553">
              <w:rPr>
                <w:rFonts w:cs="Arial"/>
                <w:color w:val="000000" w:themeColor="text1"/>
                <w:sz w:val="20"/>
              </w:rPr>
              <w:br/>
              <w:t>PMID: 20519241</w:t>
            </w:r>
            <w:r w:rsidRPr="00CC6553">
              <w:rPr>
                <w:rFonts w:cs="Arial"/>
                <w:color w:val="000000" w:themeColor="text1"/>
                <w:sz w:val="20"/>
              </w:rPr>
              <w:br/>
              <w:t> </w:t>
            </w:r>
            <w:r w:rsidRPr="00CC6553">
              <w:rPr>
                <w:rFonts w:cs="Arial"/>
                <w:color w:val="000000" w:themeColor="text1"/>
                <w:sz w:val="20"/>
              </w:rPr>
              <w:br/>
              <w:t>DOI: 10.1093/eurheartj/ehq163</w:t>
            </w:r>
          </w:p>
        </w:tc>
        <w:tc>
          <w:tcPr>
            <w:tcW w:w="2122" w:type="pct"/>
          </w:tcPr>
          <w:p w14:paraId="63E8BB03" w14:textId="2704C057"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lastRenderedPageBreak/>
              <w:t>Thank you for your comment.</w:t>
            </w:r>
            <w:r w:rsidRPr="00CC6553">
              <w:rPr>
                <w:color w:val="000000" w:themeColor="text1"/>
              </w:rPr>
              <w:t xml:space="preserve"> </w:t>
            </w:r>
            <w:r w:rsidRPr="00CC6553">
              <w:rPr>
                <w:rFonts w:cs="Arial"/>
                <w:b w:val="0"/>
                <w:color w:val="000000" w:themeColor="text1"/>
                <w:sz w:val="20"/>
              </w:rPr>
              <w:t xml:space="preserve">The scope of this update was the pharmacological management of chronic heart failure https://www.nice.org.uk/guidance/gid-ng10405/documents/final-scope </w:t>
            </w:r>
            <w:r w:rsidRPr="00CC6553">
              <w:rPr>
                <w:rFonts w:cs="Arial"/>
                <w:b w:val="0"/>
                <w:color w:val="000000" w:themeColor="text1"/>
                <w:sz w:val="20"/>
              </w:rPr>
              <w:lastRenderedPageBreak/>
              <w:t>and the committee is therefore unable to make a recommendation on age-related NT proBNP levels.</w:t>
            </w:r>
          </w:p>
        </w:tc>
      </w:tr>
      <w:tr w:rsidR="00897293" w:rsidRPr="00CC6553" w14:paraId="278B1024" w14:textId="77777777" w:rsidTr="00897293">
        <w:trPr>
          <w:trHeight w:val="300"/>
        </w:trPr>
        <w:tc>
          <w:tcPr>
            <w:tcW w:w="109" w:type="pct"/>
          </w:tcPr>
          <w:p w14:paraId="33E86AAC"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19</w:t>
            </w:r>
          </w:p>
        </w:tc>
        <w:tc>
          <w:tcPr>
            <w:tcW w:w="143" w:type="pct"/>
          </w:tcPr>
          <w:p w14:paraId="7651235F" w14:textId="1656F47C"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21C6DA04" w14:textId="20EDECD3" w:rsidR="00897293" w:rsidRPr="00CC6553" w:rsidRDefault="00897293" w:rsidP="005271BB">
            <w:pPr>
              <w:rPr>
                <w:rFonts w:cs="Arial"/>
                <w:bCs/>
                <w:iCs/>
                <w:color w:val="000000" w:themeColor="text1"/>
                <w:sz w:val="20"/>
              </w:rPr>
            </w:pPr>
            <w:r w:rsidRPr="00CC6553">
              <w:rPr>
                <w:rFonts w:cs="Arial"/>
                <w:color w:val="000000" w:themeColor="text1"/>
                <w:sz w:val="20"/>
              </w:rPr>
              <w:t>Imperial College Healthcare NHS Trust</w:t>
            </w:r>
          </w:p>
        </w:tc>
        <w:tc>
          <w:tcPr>
            <w:tcW w:w="279" w:type="pct"/>
          </w:tcPr>
          <w:p w14:paraId="64A69182" w14:textId="62A321D5"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6529220F" w14:textId="2755D7A6" w:rsidR="00897293" w:rsidRPr="00CC6553" w:rsidRDefault="00897293" w:rsidP="005271BB">
            <w:pPr>
              <w:rPr>
                <w:rFonts w:cs="Arial"/>
                <w:color w:val="000000" w:themeColor="text1"/>
                <w:sz w:val="20"/>
              </w:rPr>
            </w:pPr>
            <w:r w:rsidRPr="00CC6553">
              <w:rPr>
                <w:rFonts w:cs="Arial"/>
                <w:color w:val="000000" w:themeColor="text1"/>
                <w:sz w:val="20"/>
              </w:rPr>
              <w:t>007</w:t>
            </w:r>
          </w:p>
        </w:tc>
        <w:tc>
          <w:tcPr>
            <w:tcW w:w="214" w:type="pct"/>
          </w:tcPr>
          <w:p w14:paraId="760C809F" w14:textId="233ECB08" w:rsidR="00897293" w:rsidRPr="00CC6553" w:rsidRDefault="00897293" w:rsidP="005271BB">
            <w:pPr>
              <w:rPr>
                <w:rFonts w:cs="Arial"/>
                <w:color w:val="000000" w:themeColor="text1"/>
                <w:sz w:val="20"/>
              </w:rPr>
            </w:pPr>
            <w:r w:rsidRPr="00CC6553">
              <w:rPr>
                <w:rFonts w:cs="Arial"/>
                <w:color w:val="000000" w:themeColor="text1"/>
                <w:sz w:val="20"/>
              </w:rPr>
              <w:t>010 - 017</w:t>
            </w:r>
          </w:p>
        </w:tc>
        <w:tc>
          <w:tcPr>
            <w:tcW w:w="1521" w:type="pct"/>
          </w:tcPr>
          <w:p w14:paraId="58AF5889" w14:textId="3AFFAF93" w:rsidR="00897293" w:rsidRPr="00CC6553" w:rsidRDefault="00897293" w:rsidP="005271BB">
            <w:pPr>
              <w:rPr>
                <w:rFonts w:cs="Arial"/>
                <w:color w:val="000000" w:themeColor="text1"/>
                <w:sz w:val="20"/>
              </w:rPr>
            </w:pPr>
            <w:r w:rsidRPr="00CC6553">
              <w:rPr>
                <w:rFonts w:cs="Arial"/>
                <w:color w:val="000000" w:themeColor="text1"/>
                <w:sz w:val="20"/>
              </w:rPr>
              <w:t>We would like stronger emphasis on specialist review AND echo in 2/6weeks as many services interpret this differently and stop the clock at the echo and not the review. This creates challenging when trying to improving services.</w:t>
            </w:r>
          </w:p>
        </w:tc>
        <w:tc>
          <w:tcPr>
            <w:tcW w:w="2122" w:type="pct"/>
          </w:tcPr>
          <w:p w14:paraId="59E45483" w14:textId="63C82E87"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w:t>
            </w:r>
            <w:r w:rsidRPr="00CC6553">
              <w:rPr>
                <w:color w:val="000000" w:themeColor="text1"/>
              </w:rPr>
              <w:t xml:space="preserve"> </w:t>
            </w:r>
            <w:r w:rsidRPr="00CC6553">
              <w:rPr>
                <w:rFonts w:cs="Arial"/>
                <w:b w:val="0"/>
                <w:color w:val="000000" w:themeColor="text1"/>
                <w:sz w:val="20"/>
              </w:rPr>
              <w:t>The scope of this update was the pharmacological management of chronic heart failure https://www.nice.org.uk/guidance/gid-ng10405/documents/final-scope and the committee is therefore unable to make a recommendation on specialist review and echo.</w:t>
            </w:r>
          </w:p>
        </w:tc>
      </w:tr>
      <w:tr w:rsidR="00897293" w:rsidRPr="00CC6553" w14:paraId="4B577B67" w14:textId="77777777" w:rsidTr="00897293">
        <w:trPr>
          <w:trHeight w:val="300"/>
        </w:trPr>
        <w:tc>
          <w:tcPr>
            <w:tcW w:w="109" w:type="pct"/>
          </w:tcPr>
          <w:p w14:paraId="1CF6F3CC" w14:textId="77777777" w:rsidR="00897293" w:rsidRPr="00CC6553" w:rsidRDefault="00897293" w:rsidP="005271BB">
            <w:pPr>
              <w:rPr>
                <w:rFonts w:cs="Arial"/>
                <w:color w:val="000000" w:themeColor="text1"/>
                <w:sz w:val="20"/>
              </w:rPr>
            </w:pPr>
            <w:r w:rsidRPr="00CC6553">
              <w:rPr>
                <w:rFonts w:cs="Arial"/>
                <w:color w:val="000000" w:themeColor="text1"/>
                <w:sz w:val="20"/>
              </w:rPr>
              <w:t>20</w:t>
            </w:r>
          </w:p>
        </w:tc>
        <w:tc>
          <w:tcPr>
            <w:tcW w:w="143" w:type="pct"/>
          </w:tcPr>
          <w:p w14:paraId="48F38DDC" w14:textId="7DFF60AE"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429605F7" w14:textId="492D01F3"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106FB4CB" w14:textId="5EB0A22A"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28777DFB" w14:textId="394A0BC3" w:rsidR="00897293" w:rsidRPr="00CC6553" w:rsidRDefault="00897293" w:rsidP="005271BB">
            <w:pPr>
              <w:rPr>
                <w:rFonts w:cs="Arial"/>
                <w:color w:val="000000" w:themeColor="text1"/>
                <w:sz w:val="20"/>
              </w:rPr>
            </w:pPr>
            <w:r w:rsidRPr="00CC6553">
              <w:rPr>
                <w:rFonts w:cs="Arial"/>
                <w:color w:val="000000" w:themeColor="text1"/>
                <w:sz w:val="20"/>
              </w:rPr>
              <w:t>007</w:t>
            </w:r>
          </w:p>
        </w:tc>
        <w:tc>
          <w:tcPr>
            <w:tcW w:w="214" w:type="pct"/>
          </w:tcPr>
          <w:p w14:paraId="0B28BC6F" w14:textId="68B1FDE5" w:rsidR="00897293" w:rsidRPr="00CC6553" w:rsidRDefault="00897293" w:rsidP="005271BB">
            <w:pPr>
              <w:rPr>
                <w:rFonts w:cs="Arial"/>
                <w:color w:val="000000" w:themeColor="text1"/>
                <w:sz w:val="20"/>
              </w:rPr>
            </w:pPr>
            <w:r w:rsidRPr="00CC6553">
              <w:rPr>
                <w:rFonts w:cs="Arial"/>
                <w:color w:val="000000" w:themeColor="text1"/>
                <w:sz w:val="20"/>
              </w:rPr>
              <w:t>019</w:t>
            </w:r>
          </w:p>
        </w:tc>
        <w:tc>
          <w:tcPr>
            <w:tcW w:w="1521" w:type="pct"/>
          </w:tcPr>
          <w:p w14:paraId="34D1B548" w14:textId="0F663407" w:rsidR="00897293" w:rsidRPr="00CC6553" w:rsidRDefault="00897293" w:rsidP="005271BB">
            <w:pPr>
              <w:rPr>
                <w:rFonts w:cs="Arial"/>
                <w:color w:val="000000" w:themeColor="text1"/>
                <w:sz w:val="20"/>
              </w:rPr>
            </w:pPr>
            <w:r w:rsidRPr="00CC6553">
              <w:rPr>
                <w:rFonts w:cs="Arial"/>
                <w:color w:val="000000" w:themeColor="text1"/>
                <w:sz w:val="20"/>
              </w:rPr>
              <w:t>Add in however NTproBNP can be “falsely -ve” in the presence of obesity and therefore seek specialist advice in such patients if they have symptoms and or signs of heart failure in the absence of alternative causes</w:t>
            </w:r>
          </w:p>
        </w:tc>
        <w:tc>
          <w:tcPr>
            <w:tcW w:w="2122" w:type="pct"/>
          </w:tcPr>
          <w:p w14:paraId="6C246584" w14:textId="10169D4B"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  The scope of this update was the pharmacological management of chronic heart failure https://www.nice.org.uk/guidance/gid-ng10405/documents/final-scope and the committee is therefore only able to make editorial changes or minimal changes for consistency or clarification to recommendations on areas outside of this.</w:t>
            </w:r>
          </w:p>
        </w:tc>
      </w:tr>
      <w:tr w:rsidR="00897293" w:rsidRPr="00CC6553" w14:paraId="2E9B1945" w14:textId="77777777" w:rsidTr="00897293">
        <w:trPr>
          <w:trHeight w:val="300"/>
        </w:trPr>
        <w:tc>
          <w:tcPr>
            <w:tcW w:w="109" w:type="pct"/>
          </w:tcPr>
          <w:p w14:paraId="76260165" w14:textId="77777777" w:rsidR="00897293" w:rsidRPr="00CC6553" w:rsidRDefault="00897293" w:rsidP="005271BB">
            <w:pPr>
              <w:rPr>
                <w:rFonts w:cs="Arial"/>
                <w:color w:val="000000" w:themeColor="text1"/>
                <w:sz w:val="20"/>
              </w:rPr>
            </w:pPr>
            <w:r w:rsidRPr="00CC6553">
              <w:rPr>
                <w:rFonts w:cs="Arial"/>
                <w:color w:val="000000" w:themeColor="text1"/>
                <w:sz w:val="20"/>
              </w:rPr>
              <w:t>21</w:t>
            </w:r>
          </w:p>
        </w:tc>
        <w:tc>
          <w:tcPr>
            <w:tcW w:w="143" w:type="pct"/>
          </w:tcPr>
          <w:p w14:paraId="2B107DDF" w14:textId="5EE6B15B"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32B9A95B" w14:textId="532ECE78" w:rsidR="00897293" w:rsidRPr="00CC6553" w:rsidRDefault="00897293" w:rsidP="005271BB">
            <w:pPr>
              <w:rPr>
                <w:rFonts w:cs="Arial"/>
                <w:bCs/>
                <w:iCs/>
                <w:color w:val="000000" w:themeColor="text1"/>
                <w:sz w:val="20"/>
              </w:rPr>
            </w:pPr>
            <w:r w:rsidRPr="00CC6553">
              <w:rPr>
                <w:rFonts w:cs="Arial"/>
                <w:color w:val="000000" w:themeColor="text1"/>
                <w:sz w:val="20"/>
              </w:rPr>
              <w:t>Pumping Marvellous Foundation</w:t>
            </w:r>
          </w:p>
        </w:tc>
        <w:tc>
          <w:tcPr>
            <w:tcW w:w="279" w:type="pct"/>
          </w:tcPr>
          <w:p w14:paraId="17A2DDA1" w14:textId="45B3A656"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5E1D2D99" w14:textId="18011BCB" w:rsidR="00897293" w:rsidRPr="00CC6553" w:rsidRDefault="00897293" w:rsidP="005271BB">
            <w:pPr>
              <w:rPr>
                <w:rFonts w:cs="Arial"/>
                <w:color w:val="000000" w:themeColor="text1"/>
                <w:sz w:val="20"/>
              </w:rPr>
            </w:pPr>
            <w:r w:rsidRPr="00CC6553">
              <w:rPr>
                <w:rFonts w:cs="Arial"/>
                <w:color w:val="000000" w:themeColor="text1"/>
                <w:sz w:val="20"/>
              </w:rPr>
              <w:t>007</w:t>
            </w:r>
          </w:p>
        </w:tc>
        <w:tc>
          <w:tcPr>
            <w:tcW w:w="214" w:type="pct"/>
          </w:tcPr>
          <w:p w14:paraId="206B24B2" w14:textId="7D93F975" w:rsidR="00897293" w:rsidRPr="00CC6553" w:rsidRDefault="00897293" w:rsidP="005271BB">
            <w:pPr>
              <w:rPr>
                <w:rFonts w:cs="Arial"/>
                <w:color w:val="000000" w:themeColor="text1"/>
                <w:sz w:val="20"/>
              </w:rPr>
            </w:pPr>
            <w:r w:rsidRPr="00CC6553">
              <w:rPr>
                <w:rFonts w:cs="Arial"/>
                <w:color w:val="000000" w:themeColor="text1"/>
                <w:sz w:val="20"/>
              </w:rPr>
              <w:t>020</w:t>
            </w:r>
          </w:p>
        </w:tc>
        <w:tc>
          <w:tcPr>
            <w:tcW w:w="1521" w:type="pct"/>
          </w:tcPr>
          <w:p w14:paraId="496B7989" w14:textId="30D5FEFB" w:rsidR="00897293" w:rsidRPr="00CC6553" w:rsidRDefault="00897293" w:rsidP="005271BB">
            <w:pPr>
              <w:rPr>
                <w:rFonts w:cs="Arial"/>
                <w:color w:val="000000" w:themeColor="text1"/>
                <w:sz w:val="20"/>
              </w:rPr>
            </w:pPr>
            <w:r w:rsidRPr="00CC6553">
              <w:rPr>
                <w:rFonts w:cs="Arial"/>
                <w:color w:val="000000" w:themeColor="text1"/>
                <w:sz w:val="20"/>
              </w:rPr>
              <w:t>Add in however NTproBNP can be “falsely -ve” in the presence of obesity and therefore seek specialist advice in such patients if they have symptoms and or signs of heart failure in the absence of alternative causes</w:t>
            </w:r>
          </w:p>
        </w:tc>
        <w:tc>
          <w:tcPr>
            <w:tcW w:w="2122" w:type="pct"/>
          </w:tcPr>
          <w:p w14:paraId="3B225170" w14:textId="6A361951"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 xml:space="preserve">Thank you for your comment.  The scope of this update was the pharmacological management of chronic heart failure https://www.nice.org.uk/guidance/gid-ng10405/documents/final-scope </w:t>
            </w:r>
            <w:r w:rsidRPr="00CC6553">
              <w:rPr>
                <w:rFonts w:cs="Arial"/>
                <w:b w:val="0"/>
                <w:color w:val="000000" w:themeColor="text1"/>
                <w:sz w:val="20"/>
              </w:rPr>
              <w:lastRenderedPageBreak/>
              <w:t>and the committee is therefore only able to make editorial changes or minimal changes for consistency or clarification to recommendations on areas outside of this.</w:t>
            </w:r>
          </w:p>
        </w:tc>
      </w:tr>
      <w:tr w:rsidR="00897293" w:rsidRPr="00CC6553" w14:paraId="03FE514B" w14:textId="77777777" w:rsidTr="00897293">
        <w:trPr>
          <w:trHeight w:val="300"/>
        </w:trPr>
        <w:tc>
          <w:tcPr>
            <w:tcW w:w="109" w:type="pct"/>
          </w:tcPr>
          <w:p w14:paraId="0F252EE8"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22</w:t>
            </w:r>
          </w:p>
        </w:tc>
        <w:tc>
          <w:tcPr>
            <w:tcW w:w="143" w:type="pct"/>
          </w:tcPr>
          <w:p w14:paraId="20852EA9" w14:textId="1CA3B83B"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305BBB99" w14:textId="4FDF6921"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4A38AAE2" w14:textId="48D0EB95"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7B0072D2" w14:textId="11EA8FBE" w:rsidR="00897293" w:rsidRPr="00CC6553" w:rsidRDefault="00897293" w:rsidP="005271BB">
            <w:pPr>
              <w:rPr>
                <w:rFonts w:cs="Arial"/>
                <w:color w:val="000000" w:themeColor="text1"/>
                <w:sz w:val="20"/>
              </w:rPr>
            </w:pPr>
            <w:r w:rsidRPr="00CC6553">
              <w:rPr>
                <w:rFonts w:cs="Arial"/>
                <w:color w:val="000000" w:themeColor="text1"/>
                <w:sz w:val="20"/>
              </w:rPr>
              <w:t>007</w:t>
            </w:r>
          </w:p>
        </w:tc>
        <w:tc>
          <w:tcPr>
            <w:tcW w:w="214" w:type="pct"/>
          </w:tcPr>
          <w:p w14:paraId="5B41D082" w14:textId="6E9932FA" w:rsidR="00897293" w:rsidRPr="00CC6553" w:rsidRDefault="00897293" w:rsidP="005271BB">
            <w:pPr>
              <w:rPr>
                <w:rFonts w:cs="Arial"/>
                <w:color w:val="000000" w:themeColor="text1"/>
                <w:sz w:val="20"/>
              </w:rPr>
            </w:pPr>
            <w:r w:rsidRPr="00CC6553">
              <w:rPr>
                <w:rFonts w:cs="Arial"/>
                <w:color w:val="000000" w:themeColor="text1"/>
                <w:sz w:val="20"/>
              </w:rPr>
              <w:t>023</w:t>
            </w:r>
          </w:p>
        </w:tc>
        <w:tc>
          <w:tcPr>
            <w:tcW w:w="1521" w:type="pct"/>
          </w:tcPr>
          <w:p w14:paraId="06E8EC90" w14:textId="0645A18D" w:rsidR="00897293" w:rsidRPr="00CC6553" w:rsidRDefault="00897293" w:rsidP="005271BB">
            <w:pPr>
              <w:rPr>
                <w:rFonts w:cs="Arial"/>
                <w:color w:val="000000" w:themeColor="text1"/>
                <w:sz w:val="20"/>
              </w:rPr>
            </w:pPr>
            <w:r w:rsidRPr="00CC6553">
              <w:rPr>
                <w:rFonts w:cs="Arial"/>
                <w:color w:val="000000" w:themeColor="text1"/>
                <w:sz w:val="20"/>
              </w:rPr>
              <w:t>Supportive of the update. Will help with misinterpretations.</w:t>
            </w:r>
          </w:p>
        </w:tc>
        <w:tc>
          <w:tcPr>
            <w:tcW w:w="2122" w:type="pct"/>
          </w:tcPr>
          <w:p w14:paraId="30C801EB" w14:textId="3F8229E0"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w:t>
            </w:r>
          </w:p>
        </w:tc>
      </w:tr>
      <w:tr w:rsidR="00897293" w:rsidRPr="00CC6553" w14:paraId="0C37A548" w14:textId="77777777" w:rsidTr="00897293">
        <w:trPr>
          <w:trHeight w:val="300"/>
        </w:trPr>
        <w:tc>
          <w:tcPr>
            <w:tcW w:w="109" w:type="pct"/>
          </w:tcPr>
          <w:p w14:paraId="4E815135" w14:textId="77777777" w:rsidR="00897293" w:rsidRPr="00CC6553" w:rsidRDefault="00897293" w:rsidP="005271BB">
            <w:pPr>
              <w:rPr>
                <w:rFonts w:cs="Arial"/>
                <w:color w:val="000000" w:themeColor="text1"/>
                <w:sz w:val="20"/>
              </w:rPr>
            </w:pPr>
            <w:r w:rsidRPr="00CC6553">
              <w:rPr>
                <w:rFonts w:cs="Arial"/>
                <w:color w:val="000000" w:themeColor="text1"/>
                <w:sz w:val="20"/>
              </w:rPr>
              <w:t>23</w:t>
            </w:r>
          </w:p>
        </w:tc>
        <w:tc>
          <w:tcPr>
            <w:tcW w:w="143" w:type="pct"/>
          </w:tcPr>
          <w:p w14:paraId="5215497A" w14:textId="38535419"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15B0A464" w14:textId="6FCE0D8F" w:rsidR="00897293" w:rsidRPr="00CC6553" w:rsidRDefault="00897293" w:rsidP="005271BB">
            <w:pPr>
              <w:rPr>
                <w:rFonts w:cs="Arial"/>
                <w:bCs/>
                <w:iCs/>
                <w:color w:val="000000" w:themeColor="text1"/>
                <w:sz w:val="20"/>
              </w:rPr>
            </w:pPr>
            <w:r w:rsidRPr="00CC6553">
              <w:rPr>
                <w:rFonts w:cs="Arial"/>
                <w:color w:val="000000" w:themeColor="text1"/>
                <w:sz w:val="20"/>
              </w:rPr>
              <w:t>Royal College of General Practitioners</w:t>
            </w:r>
          </w:p>
        </w:tc>
        <w:tc>
          <w:tcPr>
            <w:tcW w:w="279" w:type="pct"/>
          </w:tcPr>
          <w:p w14:paraId="349F465A" w14:textId="4EEB15EB"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5D5AC31C" w14:textId="2BB4B2A9" w:rsidR="00897293" w:rsidRPr="00CC6553" w:rsidRDefault="00897293" w:rsidP="005271BB">
            <w:pPr>
              <w:rPr>
                <w:rFonts w:cs="Arial"/>
                <w:color w:val="000000" w:themeColor="text1"/>
                <w:sz w:val="20"/>
              </w:rPr>
            </w:pPr>
            <w:r w:rsidRPr="00CC6553">
              <w:rPr>
                <w:rFonts w:cs="Arial"/>
                <w:color w:val="000000" w:themeColor="text1"/>
                <w:sz w:val="20"/>
              </w:rPr>
              <w:t>007</w:t>
            </w:r>
          </w:p>
        </w:tc>
        <w:tc>
          <w:tcPr>
            <w:tcW w:w="214" w:type="pct"/>
          </w:tcPr>
          <w:p w14:paraId="7DFBEFE5" w14:textId="4E36D283" w:rsidR="00897293" w:rsidRPr="00CC6553" w:rsidRDefault="00897293" w:rsidP="005271BB">
            <w:pPr>
              <w:rPr>
                <w:rFonts w:cs="Arial"/>
                <w:color w:val="000000" w:themeColor="text1"/>
                <w:sz w:val="20"/>
              </w:rPr>
            </w:pPr>
            <w:r w:rsidRPr="00CC6553">
              <w:rPr>
                <w:rFonts w:cs="Arial"/>
                <w:color w:val="000000" w:themeColor="text1"/>
                <w:sz w:val="20"/>
              </w:rPr>
              <w:t>General</w:t>
            </w:r>
          </w:p>
        </w:tc>
        <w:tc>
          <w:tcPr>
            <w:tcW w:w="1521" w:type="pct"/>
          </w:tcPr>
          <w:p w14:paraId="452F2585" w14:textId="2836D29E" w:rsidR="00897293" w:rsidRPr="00CC6553" w:rsidRDefault="00897293" w:rsidP="005271BB">
            <w:pPr>
              <w:rPr>
                <w:rFonts w:cs="Arial"/>
                <w:color w:val="000000" w:themeColor="text1"/>
                <w:sz w:val="20"/>
              </w:rPr>
            </w:pPr>
            <w:r w:rsidRPr="00CC6553">
              <w:rPr>
                <w:rFonts w:cs="Arial"/>
                <w:color w:val="000000" w:themeColor="text1"/>
                <w:sz w:val="20"/>
              </w:rPr>
              <w:t>We recommend adding a clarification on the importance of clinical judgement in cases where natriuretic peptide levels may be misleading (e.g., chronic kidney disease), to prevent over-reliance on biomarkers.</w:t>
            </w:r>
          </w:p>
        </w:tc>
        <w:tc>
          <w:tcPr>
            <w:tcW w:w="2122" w:type="pct"/>
          </w:tcPr>
          <w:p w14:paraId="3CBF2693" w14:textId="67E406C1"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  The scope of this update was the pharmacological management of chronic heart failure https://www.nice.org.uk/guidance/gid-ng10405/documents/final-scope and the committee is therefore only able to make editorial changes or minimal changes for consistency or clarification to recommendations on areas outside of this.</w:t>
            </w:r>
          </w:p>
        </w:tc>
      </w:tr>
      <w:tr w:rsidR="00897293" w:rsidRPr="00CC6553" w14:paraId="58547AB8" w14:textId="77777777" w:rsidTr="00897293">
        <w:trPr>
          <w:trHeight w:val="300"/>
        </w:trPr>
        <w:tc>
          <w:tcPr>
            <w:tcW w:w="109" w:type="pct"/>
          </w:tcPr>
          <w:p w14:paraId="4DCC6065" w14:textId="77777777" w:rsidR="00897293" w:rsidRPr="00CC6553" w:rsidRDefault="00897293" w:rsidP="005271BB">
            <w:pPr>
              <w:rPr>
                <w:rFonts w:cs="Arial"/>
                <w:color w:val="000000" w:themeColor="text1"/>
                <w:sz w:val="20"/>
              </w:rPr>
            </w:pPr>
            <w:r w:rsidRPr="00CC6553">
              <w:rPr>
                <w:rFonts w:cs="Arial"/>
                <w:color w:val="000000" w:themeColor="text1"/>
                <w:sz w:val="20"/>
              </w:rPr>
              <w:t>24</w:t>
            </w:r>
          </w:p>
        </w:tc>
        <w:tc>
          <w:tcPr>
            <w:tcW w:w="143" w:type="pct"/>
          </w:tcPr>
          <w:p w14:paraId="349AE719" w14:textId="5A3AC7DF"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35A06CD8" w14:textId="1C129300"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667C6E3D" w14:textId="0F9E2A70"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4E9DF6D9" w14:textId="41CED072" w:rsidR="00897293" w:rsidRPr="00CC6553" w:rsidRDefault="00897293" w:rsidP="005271BB">
            <w:pPr>
              <w:rPr>
                <w:rFonts w:cs="Arial"/>
                <w:color w:val="000000" w:themeColor="text1"/>
                <w:sz w:val="20"/>
              </w:rPr>
            </w:pPr>
            <w:r w:rsidRPr="00CC6553">
              <w:rPr>
                <w:rFonts w:cs="Arial"/>
                <w:color w:val="000000" w:themeColor="text1"/>
                <w:sz w:val="20"/>
              </w:rPr>
              <w:t>007 - 008</w:t>
            </w:r>
          </w:p>
        </w:tc>
        <w:tc>
          <w:tcPr>
            <w:tcW w:w="214" w:type="pct"/>
          </w:tcPr>
          <w:p w14:paraId="1D13B0C3" w14:textId="361F8360" w:rsidR="00897293" w:rsidRPr="00CC6553" w:rsidRDefault="00897293" w:rsidP="005271BB">
            <w:pPr>
              <w:rPr>
                <w:rFonts w:cs="Arial"/>
                <w:color w:val="000000" w:themeColor="text1"/>
                <w:sz w:val="20"/>
              </w:rPr>
            </w:pPr>
            <w:r w:rsidRPr="00CC6553">
              <w:rPr>
                <w:rFonts w:cs="Arial"/>
                <w:color w:val="000000" w:themeColor="text1"/>
                <w:sz w:val="20"/>
              </w:rPr>
              <w:t>008 - 002</w:t>
            </w:r>
          </w:p>
        </w:tc>
        <w:tc>
          <w:tcPr>
            <w:tcW w:w="1521" w:type="pct"/>
          </w:tcPr>
          <w:p w14:paraId="1770D8B9" w14:textId="71FFCB2B" w:rsidR="00897293" w:rsidRPr="00CC6553" w:rsidRDefault="00897293" w:rsidP="005271BB">
            <w:pPr>
              <w:rPr>
                <w:rFonts w:cs="Arial"/>
                <w:color w:val="000000" w:themeColor="text1"/>
                <w:sz w:val="20"/>
              </w:rPr>
            </w:pPr>
            <w:r w:rsidRPr="00CC6553">
              <w:rPr>
                <w:rFonts w:cs="Arial"/>
                <w:color w:val="000000" w:themeColor="text1"/>
                <w:sz w:val="20"/>
              </w:rPr>
              <w:t>As there are significant access issues for Echo and specialist assessment, with long waiting lists in many areas, we would recommend considering age related NT-proBNP levels Age-dependent values of N-terminal pro-B-type natriuretic peptide are superior to a single cut point for ruling out systolic dysfunction in primary care</w:t>
            </w:r>
          </w:p>
        </w:tc>
        <w:tc>
          <w:tcPr>
            <w:tcW w:w="2122" w:type="pct"/>
          </w:tcPr>
          <w:p w14:paraId="5F36E74E" w14:textId="33769906"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w:t>
            </w:r>
            <w:r w:rsidRPr="00CC6553">
              <w:rPr>
                <w:color w:val="000000" w:themeColor="text1"/>
              </w:rPr>
              <w:t xml:space="preserve"> </w:t>
            </w:r>
            <w:r w:rsidRPr="00CC6553">
              <w:rPr>
                <w:rFonts w:cs="Arial"/>
                <w:b w:val="0"/>
                <w:color w:val="000000" w:themeColor="text1"/>
                <w:sz w:val="20"/>
              </w:rPr>
              <w:t>The scope of this update was the pharmacological management of chronic heart failure https://www.nice.org.uk/guidance/gid-ng10405/documents/final-scope and the committee is therefore unable to make a recommendation on age related NT pro BNP levels</w:t>
            </w:r>
          </w:p>
        </w:tc>
      </w:tr>
      <w:tr w:rsidR="00897293" w:rsidRPr="00CC6553" w14:paraId="42265ED4" w14:textId="77777777" w:rsidTr="00897293">
        <w:trPr>
          <w:trHeight w:val="300"/>
        </w:trPr>
        <w:tc>
          <w:tcPr>
            <w:tcW w:w="109" w:type="pct"/>
          </w:tcPr>
          <w:p w14:paraId="3BF4C773" w14:textId="77777777" w:rsidR="00897293" w:rsidRPr="00CC6553" w:rsidRDefault="00897293" w:rsidP="005271BB">
            <w:pPr>
              <w:rPr>
                <w:rFonts w:cs="Arial"/>
                <w:color w:val="000000" w:themeColor="text1"/>
                <w:sz w:val="20"/>
              </w:rPr>
            </w:pPr>
            <w:r w:rsidRPr="00CC6553">
              <w:rPr>
                <w:rFonts w:cs="Arial"/>
                <w:color w:val="000000" w:themeColor="text1"/>
                <w:sz w:val="20"/>
              </w:rPr>
              <w:t>25</w:t>
            </w:r>
          </w:p>
        </w:tc>
        <w:tc>
          <w:tcPr>
            <w:tcW w:w="143" w:type="pct"/>
          </w:tcPr>
          <w:p w14:paraId="3894621E" w14:textId="7D2233E4"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2F84DC7C" w14:textId="242DBB06" w:rsidR="00897293" w:rsidRPr="00CC6553" w:rsidRDefault="00897293" w:rsidP="005271BB">
            <w:pPr>
              <w:rPr>
                <w:rFonts w:cs="Arial"/>
                <w:bCs/>
                <w:iCs/>
                <w:color w:val="000000" w:themeColor="text1"/>
                <w:sz w:val="20"/>
              </w:rPr>
            </w:pPr>
            <w:r w:rsidRPr="00CC6553">
              <w:rPr>
                <w:rFonts w:cs="Arial"/>
                <w:color w:val="000000" w:themeColor="text1"/>
                <w:sz w:val="20"/>
              </w:rPr>
              <w:t>Pumping Marvellous Foundation</w:t>
            </w:r>
          </w:p>
        </w:tc>
        <w:tc>
          <w:tcPr>
            <w:tcW w:w="279" w:type="pct"/>
          </w:tcPr>
          <w:p w14:paraId="170B54BF" w14:textId="096C9F23"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28BED2BE" w14:textId="2721BFE8" w:rsidR="00897293" w:rsidRPr="00CC6553" w:rsidRDefault="00897293" w:rsidP="005271BB">
            <w:pPr>
              <w:rPr>
                <w:rFonts w:cs="Arial"/>
                <w:color w:val="000000" w:themeColor="text1"/>
                <w:sz w:val="20"/>
              </w:rPr>
            </w:pPr>
            <w:r w:rsidRPr="00CC6553">
              <w:rPr>
                <w:rFonts w:cs="Arial"/>
                <w:color w:val="000000" w:themeColor="text1"/>
                <w:sz w:val="20"/>
              </w:rPr>
              <w:t>007 - 008</w:t>
            </w:r>
          </w:p>
        </w:tc>
        <w:tc>
          <w:tcPr>
            <w:tcW w:w="214" w:type="pct"/>
          </w:tcPr>
          <w:p w14:paraId="3BA79512" w14:textId="54CBF7FA" w:rsidR="00897293" w:rsidRPr="00CC6553" w:rsidRDefault="00897293" w:rsidP="005271BB">
            <w:pPr>
              <w:rPr>
                <w:rFonts w:cs="Arial"/>
                <w:color w:val="000000" w:themeColor="text1"/>
                <w:sz w:val="20"/>
              </w:rPr>
            </w:pPr>
            <w:r w:rsidRPr="00CC6553">
              <w:rPr>
                <w:rFonts w:cs="Arial"/>
                <w:color w:val="000000" w:themeColor="text1"/>
                <w:sz w:val="20"/>
              </w:rPr>
              <w:t>008 - 002</w:t>
            </w:r>
          </w:p>
        </w:tc>
        <w:tc>
          <w:tcPr>
            <w:tcW w:w="1521" w:type="pct"/>
          </w:tcPr>
          <w:p w14:paraId="270EA969" w14:textId="2FF523B6" w:rsidR="00897293" w:rsidRPr="00CC6553" w:rsidRDefault="00897293" w:rsidP="005271BB">
            <w:pPr>
              <w:rPr>
                <w:rFonts w:cs="Arial"/>
                <w:color w:val="000000" w:themeColor="text1"/>
                <w:sz w:val="20"/>
              </w:rPr>
            </w:pPr>
            <w:r w:rsidRPr="00CC6553">
              <w:rPr>
                <w:rFonts w:cs="Arial"/>
                <w:color w:val="000000" w:themeColor="text1"/>
                <w:sz w:val="20"/>
              </w:rPr>
              <w:t>As there are significant access issues for Echo and specialist assessment, with long waiting lists in many areas, we would recommend considering age related NT-proBNP levels Age-dependent values of N-terminal pro-B-type natriuretic peptide are superior to a single cut point for ruling out systolic dysfunction in primary care</w:t>
            </w:r>
          </w:p>
        </w:tc>
        <w:tc>
          <w:tcPr>
            <w:tcW w:w="2122" w:type="pct"/>
          </w:tcPr>
          <w:p w14:paraId="7885DAC3" w14:textId="38D31AFB"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w:t>
            </w:r>
            <w:r w:rsidRPr="00CC6553">
              <w:rPr>
                <w:color w:val="000000" w:themeColor="text1"/>
              </w:rPr>
              <w:t xml:space="preserve"> </w:t>
            </w:r>
            <w:r w:rsidRPr="00CC6553">
              <w:rPr>
                <w:rFonts w:cs="Arial"/>
                <w:b w:val="0"/>
                <w:color w:val="000000" w:themeColor="text1"/>
                <w:sz w:val="20"/>
              </w:rPr>
              <w:t>The scope of this update was the pharmacological management of chronic heart failure https://www.nice.org.uk/guidance/gid</w:t>
            </w:r>
            <w:r w:rsidRPr="00CC6553">
              <w:rPr>
                <w:rFonts w:cs="Arial"/>
                <w:b w:val="0"/>
                <w:color w:val="000000" w:themeColor="text1"/>
                <w:sz w:val="20"/>
              </w:rPr>
              <w:lastRenderedPageBreak/>
              <w:t>-ng10405/documents/final-scope and the committee is therefore unable to make a recommendation on age related NT pro BNP levels</w:t>
            </w:r>
          </w:p>
        </w:tc>
      </w:tr>
      <w:tr w:rsidR="00897293" w:rsidRPr="00CC6553" w14:paraId="42D67667" w14:textId="77777777" w:rsidTr="00897293">
        <w:trPr>
          <w:trHeight w:val="300"/>
        </w:trPr>
        <w:tc>
          <w:tcPr>
            <w:tcW w:w="109" w:type="pct"/>
          </w:tcPr>
          <w:p w14:paraId="5510CBBF"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26</w:t>
            </w:r>
          </w:p>
        </w:tc>
        <w:tc>
          <w:tcPr>
            <w:tcW w:w="143" w:type="pct"/>
          </w:tcPr>
          <w:p w14:paraId="00654B56" w14:textId="6A67DA8D"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4907D9C4" w14:textId="2D384078" w:rsidR="00897293" w:rsidRPr="00CC6553" w:rsidRDefault="00897293" w:rsidP="005271BB">
            <w:pPr>
              <w:rPr>
                <w:rFonts w:cs="Arial"/>
                <w:bCs/>
                <w:iCs/>
                <w:color w:val="000000" w:themeColor="text1"/>
                <w:sz w:val="20"/>
              </w:rPr>
            </w:pPr>
            <w:r w:rsidRPr="00CC6553">
              <w:rPr>
                <w:rFonts w:cs="Arial"/>
                <w:color w:val="000000" w:themeColor="text1"/>
                <w:sz w:val="20"/>
              </w:rPr>
              <w:t>UK Clinical Pharmacy Association (UKCPA) – heart failure committee</w:t>
            </w:r>
          </w:p>
        </w:tc>
        <w:tc>
          <w:tcPr>
            <w:tcW w:w="279" w:type="pct"/>
          </w:tcPr>
          <w:p w14:paraId="4D39FE88" w14:textId="620E0EFD"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44E696D3" w14:textId="5061E01E" w:rsidR="00897293" w:rsidRPr="00CC6553" w:rsidRDefault="00897293" w:rsidP="005271BB">
            <w:pPr>
              <w:rPr>
                <w:rFonts w:cs="Arial"/>
                <w:color w:val="000000" w:themeColor="text1"/>
                <w:sz w:val="20"/>
              </w:rPr>
            </w:pPr>
            <w:r w:rsidRPr="00CC6553">
              <w:rPr>
                <w:rFonts w:cs="Arial"/>
                <w:color w:val="000000" w:themeColor="text1"/>
                <w:sz w:val="20"/>
              </w:rPr>
              <w:t>008</w:t>
            </w:r>
          </w:p>
        </w:tc>
        <w:tc>
          <w:tcPr>
            <w:tcW w:w="214" w:type="pct"/>
          </w:tcPr>
          <w:p w14:paraId="5D34FA50" w14:textId="55DFC16E" w:rsidR="00897293" w:rsidRPr="00CC6553" w:rsidRDefault="00897293" w:rsidP="005271BB">
            <w:pPr>
              <w:rPr>
                <w:rFonts w:cs="Arial"/>
                <w:color w:val="000000" w:themeColor="text1"/>
                <w:sz w:val="20"/>
              </w:rPr>
            </w:pPr>
            <w:r w:rsidRPr="00CC6553">
              <w:rPr>
                <w:rFonts w:cs="Arial"/>
                <w:color w:val="000000" w:themeColor="text1"/>
                <w:sz w:val="20"/>
              </w:rPr>
              <w:t>004</w:t>
            </w:r>
          </w:p>
        </w:tc>
        <w:tc>
          <w:tcPr>
            <w:tcW w:w="1521" w:type="pct"/>
          </w:tcPr>
          <w:p w14:paraId="5473AAD9" w14:textId="040C6D56" w:rsidR="00897293" w:rsidRPr="00CC6553" w:rsidRDefault="00897293" w:rsidP="005271BB">
            <w:pPr>
              <w:rPr>
                <w:rFonts w:cs="Arial"/>
                <w:color w:val="000000" w:themeColor="text1"/>
                <w:sz w:val="20"/>
              </w:rPr>
            </w:pPr>
            <w:r w:rsidRPr="00CC6553">
              <w:rPr>
                <w:rFonts w:cs="Arial"/>
                <w:color w:val="000000" w:themeColor="text1"/>
                <w:sz w:val="20"/>
              </w:rPr>
              <w:t>We agree with the revised recommendation, however, could also include how older age is associated with a higher baseline natriuretic peptide – see reference Title: Practical Algorithms for Early Diagnosis of Heart Failure and Heart Stress using NTproBNP: A Clinical Consensus Statement from the Heart Failure Association of the ESC.Published in: European Journal of Heart Failure, 2023</w:t>
            </w:r>
            <w:r w:rsidRPr="00CC6553">
              <w:rPr>
                <w:rFonts w:cs="Arial"/>
                <w:color w:val="000000" w:themeColor="text1"/>
                <w:sz w:val="20"/>
              </w:rPr>
              <w:br/>
              <w:t>And ESC Heart Failure Association age-adjusted natriuretic peptide thresholds for a new diagnosis of heart failure: diagnostic accuracy study | European Heart Journal | Oxford Academic</w:t>
            </w:r>
          </w:p>
        </w:tc>
        <w:tc>
          <w:tcPr>
            <w:tcW w:w="2122" w:type="pct"/>
          </w:tcPr>
          <w:p w14:paraId="746E3439" w14:textId="6FECCC21"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w:t>
            </w:r>
            <w:r w:rsidRPr="00CC6553">
              <w:rPr>
                <w:color w:val="000000" w:themeColor="text1"/>
              </w:rPr>
              <w:t xml:space="preserve"> </w:t>
            </w:r>
            <w:r w:rsidRPr="00CC6553">
              <w:rPr>
                <w:rFonts w:cs="Arial"/>
                <w:b w:val="0"/>
                <w:color w:val="000000" w:themeColor="text1"/>
                <w:sz w:val="20"/>
              </w:rPr>
              <w:t>The scope of this update was the pharmacological management of chronic heart failure https://www.nice.org.uk/guidance/gid-ng10405/documents/final-scope and the committee is therefore unable to make a recommendation on age related NT pro BNP levels</w:t>
            </w:r>
          </w:p>
        </w:tc>
      </w:tr>
      <w:tr w:rsidR="00897293" w:rsidRPr="00CC6553" w14:paraId="06C95152" w14:textId="77777777" w:rsidTr="00897293">
        <w:trPr>
          <w:trHeight w:val="300"/>
        </w:trPr>
        <w:tc>
          <w:tcPr>
            <w:tcW w:w="109" w:type="pct"/>
          </w:tcPr>
          <w:p w14:paraId="38892576" w14:textId="77777777" w:rsidR="00897293" w:rsidRPr="00CC6553" w:rsidRDefault="00897293" w:rsidP="005271BB">
            <w:pPr>
              <w:rPr>
                <w:rFonts w:cs="Arial"/>
                <w:color w:val="000000" w:themeColor="text1"/>
                <w:sz w:val="20"/>
              </w:rPr>
            </w:pPr>
            <w:r w:rsidRPr="00CC6553">
              <w:rPr>
                <w:rFonts w:cs="Arial"/>
                <w:color w:val="000000" w:themeColor="text1"/>
                <w:sz w:val="20"/>
              </w:rPr>
              <w:t>27</w:t>
            </w:r>
          </w:p>
        </w:tc>
        <w:tc>
          <w:tcPr>
            <w:tcW w:w="143" w:type="pct"/>
          </w:tcPr>
          <w:p w14:paraId="006EE3C2" w14:textId="6BCB1D95"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39242C52" w14:textId="6A3AD6CF"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3BC50B06" w14:textId="6E4FC2CD"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1144C431" w14:textId="04F11921" w:rsidR="00897293" w:rsidRPr="00CC6553" w:rsidRDefault="00897293" w:rsidP="005271BB">
            <w:pPr>
              <w:rPr>
                <w:rFonts w:cs="Arial"/>
                <w:color w:val="000000" w:themeColor="text1"/>
                <w:sz w:val="20"/>
              </w:rPr>
            </w:pPr>
            <w:r w:rsidRPr="00CC6553">
              <w:rPr>
                <w:rFonts w:cs="Arial"/>
                <w:color w:val="000000" w:themeColor="text1"/>
                <w:sz w:val="20"/>
              </w:rPr>
              <w:t>008</w:t>
            </w:r>
          </w:p>
        </w:tc>
        <w:tc>
          <w:tcPr>
            <w:tcW w:w="214" w:type="pct"/>
          </w:tcPr>
          <w:p w14:paraId="16274B91" w14:textId="305DB4C5" w:rsidR="00897293" w:rsidRPr="00CC6553" w:rsidRDefault="00897293" w:rsidP="005271BB">
            <w:pPr>
              <w:rPr>
                <w:rFonts w:cs="Arial"/>
                <w:color w:val="000000" w:themeColor="text1"/>
                <w:sz w:val="20"/>
              </w:rPr>
            </w:pPr>
            <w:r w:rsidRPr="00CC6553">
              <w:rPr>
                <w:rFonts w:cs="Arial"/>
                <w:color w:val="000000" w:themeColor="text1"/>
                <w:sz w:val="20"/>
              </w:rPr>
              <w:t>012</w:t>
            </w:r>
          </w:p>
        </w:tc>
        <w:tc>
          <w:tcPr>
            <w:tcW w:w="1521" w:type="pct"/>
          </w:tcPr>
          <w:p w14:paraId="7C8AC341" w14:textId="15ECC2BC" w:rsidR="00897293" w:rsidRPr="00CC6553" w:rsidRDefault="00897293" w:rsidP="005271BB">
            <w:pPr>
              <w:rPr>
                <w:rFonts w:cs="Arial"/>
                <w:color w:val="000000" w:themeColor="text1"/>
                <w:sz w:val="20"/>
              </w:rPr>
            </w:pPr>
            <w:r w:rsidRPr="00CC6553">
              <w:rPr>
                <w:rFonts w:cs="Arial"/>
                <w:color w:val="000000" w:themeColor="text1"/>
                <w:sz w:val="20"/>
              </w:rPr>
              <w:t>Supportive of the update and greater clarification.</w:t>
            </w:r>
          </w:p>
        </w:tc>
        <w:tc>
          <w:tcPr>
            <w:tcW w:w="2122" w:type="pct"/>
          </w:tcPr>
          <w:p w14:paraId="72717CB0" w14:textId="54E515D8"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w:t>
            </w:r>
          </w:p>
        </w:tc>
      </w:tr>
      <w:tr w:rsidR="00897293" w:rsidRPr="00CC6553" w14:paraId="3804F860" w14:textId="77777777" w:rsidTr="00897293">
        <w:trPr>
          <w:trHeight w:val="300"/>
        </w:trPr>
        <w:tc>
          <w:tcPr>
            <w:tcW w:w="109" w:type="pct"/>
          </w:tcPr>
          <w:p w14:paraId="7441611F" w14:textId="77777777" w:rsidR="00897293" w:rsidRPr="00CC6553" w:rsidRDefault="00897293" w:rsidP="005271BB">
            <w:pPr>
              <w:rPr>
                <w:rFonts w:cs="Arial"/>
                <w:color w:val="000000" w:themeColor="text1"/>
                <w:sz w:val="20"/>
              </w:rPr>
            </w:pPr>
            <w:r w:rsidRPr="00CC6553">
              <w:rPr>
                <w:rFonts w:cs="Arial"/>
                <w:color w:val="000000" w:themeColor="text1"/>
                <w:sz w:val="20"/>
              </w:rPr>
              <w:t>28</w:t>
            </w:r>
          </w:p>
        </w:tc>
        <w:tc>
          <w:tcPr>
            <w:tcW w:w="143" w:type="pct"/>
          </w:tcPr>
          <w:p w14:paraId="0B37D428" w14:textId="36F75F9E"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77D2B99A" w14:textId="4B1C0884" w:rsidR="00897293" w:rsidRPr="00CC6553" w:rsidRDefault="00897293" w:rsidP="005271BB">
            <w:pPr>
              <w:rPr>
                <w:rFonts w:cs="Arial"/>
                <w:bCs/>
                <w:iCs/>
                <w:color w:val="000000" w:themeColor="text1"/>
                <w:sz w:val="20"/>
              </w:rPr>
            </w:pPr>
            <w:r w:rsidRPr="00CC6553">
              <w:rPr>
                <w:rFonts w:cs="Arial"/>
                <w:color w:val="000000" w:themeColor="text1"/>
                <w:sz w:val="20"/>
              </w:rPr>
              <w:t>NHS South Yorkshire ICB</w:t>
            </w:r>
          </w:p>
        </w:tc>
        <w:tc>
          <w:tcPr>
            <w:tcW w:w="279" w:type="pct"/>
          </w:tcPr>
          <w:p w14:paraId="6A273630" w14:textId="0D7F7ACF"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7D56C958" w14:textId="6E971C48" w:rsidR="00897293" w:rsidRPr="00CC6553" w:rsidRDefault="00897293" w:rsidP="005271BB">
            <w:pPr>
              <w:rPr>
                <w:rFonts w:cs="Arial"/>
                <w:color w:val="000000" w:themeColor="text1"/>
                <w:sz w:val="20"/>
              </w:rPr>
            </w:pPr>
            <w:r w:rsidRPr="00CC6553">
              <w:rPr>
                <w:rFonts w:cs="Arial"/>
                <w:color w:val="000000" w:themeColor="text1"/>
                <w:sz w:val="20"/>
              </w:rPr>
              <w:t>008</w:t>
            </w:r>
          </w:p>
        </w:tc>
        <w:tc>
          <w:tcPr>
            <w:tcW w:w="214" w:type="pct"/>
          </w:tcPr>
          <w:p w14:paraId="0577231E" w14:textId="3624E221" w:rsidR="00897293" w:rsidRPr="00CC6553" w:rsidRDefault="00897293" w:rsidP="005271BB">
            <w:pPr>
              <w:rPr>
                <w:rFonts w:cs="Arial"/>
                <w:color w:val="000000" w:themeColor="text1"/>
                <w:sz w:val="20"/>
              </w:rPr>
            </w:pPr>
            <w:r w:rsidRPr="00CC6553">
              <w:rPr>
                <w:rFonts w:cs="Arial"/>
                <w:color w:val="000000" w:themeColor="text1"/>
                <w:sz w:val="20"/>
              </w:rPr>
              <w:t>012</w:t>
            </w:r>
          </w:p>
        </w:tc>
        <w:tc>
          <w:tcPr>
            <w:tcW w:w="1521" w:type="pct"/>
          </w:tcPr>
          <w:p w14:paraId="468AE9F9" w14:textId="4003DC16" w:rsidR="00897293" w:rsidRPr="00CC6553" w:rsidRDefault="00897293" w:rsidP="005271BB">
            <w:pPr>
              <w:rPr>
                <w:rFonts w:cs="Arial"/>
                <w:color w:val="000000" w:themeColor="text1"/>
                <w:sz w:val="20"/>
              </w:rPr>
            </w:pPr>
            <w:r w:rsidRPr="00CC6553">
              <w:rPr>
                <w:rFonts w:cs="Arial"/>
                <w:color w:val="000000" w:themeColor="text1"/>
                <w:sz w:val="20"/>
              </w:rPr>
              <w:t>We recommend reconsidering the removal of age as a contributing factor to elevated NT-proBNP levels. Evidence from a Scottish study highlights the influence of both age and gender on physiological NT-proBNP elevation (Welsh et al., 2022). https://www.ahajournals.org/doi/10.1161/CIRCHEARTFAILURE.121.009427</w:t>
            </w:r>
          </w:p>
        </w:tc>
        <w:tc>
          <w:tcPr>
            <w:tcW w:w="2122" w:type="pct"/>
          </w:tcPr>
          <w:p w14:paraId="5A3ED883" w14:textId="57668A0F"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w:t>
            </w:r>
            <w:r w:rsidRPr="00CC6553">
              <w:rPr>
                <w:color w:val="000000" w:themeColor="text1"/>
              </w:rPr>
              <w:t xml:space="preserve"> </w:t>
            </w:r>
            <w:r w:rsidRPr="00CC6553">
              <w:rPr>
                <w:rFonts w:cs="Arial"/>
                <w:b w:val="0"/>
                <w:color w:val="000000" w:themeColor="text1"/>
                <w:sz w:val="20"/>
              </w:rPr>
              <w:t>The scope of this update was the pharmacological management of chronic heart failure https://www.nice.org.uk/guidance/gid-ng10405/documents/final-scope and the committee is therefore unable to make a recommendation on age related NT pro BNP levels</w:t>
            </w:r>
          </w:p>
        </w:tc>
      </w:tr>
      <w:tr w:rsidR="00897293" w:rsidRPr="00CC6553" w14:paraId="44981022" w14:textId="77777777" w:rsidTr="00897293">
        <w:trPr>
          <w:trHeight w:val="300"/>
        </w:trPr>
        <w:tc>
          <w:tcPr>
            <w:tcW w:w="109" w:type="pct"/>
          </w:tcPr>
          <w:p w14:paraId="31B94C19" w14:textId="77777777" w:rsidR="00897293" w:rsidRPr="00CC6553" w:rsidRDefault="00897293" w:rsidP="005271BB">
            <w:pPr>
              <w:rPr>
                <w:rFonts w:cs="Arial"/>
                <w:color w:val="000000" w:themeColor="text1"/>
                <w:sz w:val="20"/>
              </w:rPr>
            </w:pPr>
            <w:r w:rsidRPr="00CC6553">
              <w:rPr>
                <w:rFonts w:cs="Arial"/>
                <w:color w:val="000000" w:themeColor="text1"/>
                <w:sz w:val="20"/>
              </w:rPr>
              <w:t>29</w:t>
            </w:r>
          </w:p>
        </w:tc>
        <w:tc>
          <w:tcPr>
            <w:tcW w:w="143" w:type="pct"/>
          </w:tcPr>
          <w:p w14:paraId="2CA93107" w14:textId="6F1F187F"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71CA9A21" w14:textId="16FBBE8B"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0487D3DC" w14:textId="52C99E75"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69D759BD" w14:textId="1BD0BEAE" w:rsidR="00897293" w:rsidRPr="00CC6553" w:rsidRDefault="00897293" w:rsidP="005271BB">
            <w:pPr>
              <w:rPr>
                <w:rFonts w:cs="Arial"/>
                <w:color w:val="000000" w:themeColor="text1"/>
                <w:sz w:val="20"/>
              </w:rPr>
            </w:pPr>
            <w:r w:rsidRPr="00CC6553">
              <w:rPr>
                <w:rFonts w:cs="Arial"/>
                <w:color w:val="000000" w:themeColor="text1"/>
                <w:sz w:val="20"/>
              </w:rPr>
              <w:t>009</w:t>
            </w:r>
          </w:p>
        </w:tc>
        <w:tc>
          <w:tcPr>
            <w:tcW w:w="214" w:type="pct"/>
          </w:tcPr>
          <w:p w14:paraId="059A980E" w14:textId="322FDA53" w:rsidR="00897293" w:rsidRPr="00CC6553" w:rsidRDefault="00897293" w:rsidP="005271BB">
            <w:pPr>
              <w:rPr>
                <w:rFonts w:cs="Arial"/>
                <w:color w:val="000000" w:themeColor="text1"/>
                <w:sz w:val="20"/>
              </w:rPr>
            </w:pPr>
            <w:r w:rsidRPr="00CC6553">
              <w:rPr>
                <w:rFonts w:cs="Arial"/>
                <w:color w:val="000000" w:themeColor="text1"/>
                <w:sz w:val="20"/>
              </w:rPr>
              <w:t>003 - 015</w:t>
            </w:r>
          </w:p>
        </w:tc>
        <w:tc>
          <w:tcPr>
            <w:tcW w:w="1521" w:type="pct"/>
          </w:tcPr>
          <w:p w14:paraId="16C8163F" w14:textId="70D77612" w:rsidR="00897293" w:rsidRPr="00CC6553" w:rsidRDefault="00897293" w:rsidP="005271BB">
            <w:pPr>
              <w:rPr>
                <w:rFonts w:cs="Arial"/>
                <w:color w:val="000000" w:themeColor="text1"/>
                <w:sz w:val="20"/>
              </w:rPr>
            </w:pPr>
            <w:r w:rsidRPr="00CC6553">
              <w:rPr>
                <w:rFonts w:cs="Arial"/>
                <w:color w:val="000000" w:themeColor="text1"/>
                <w:sz w:val="20"/>
              </w:rPr>
              <w:t>Symptoms, signs and investigations       Section 1.2.12</w:t>
            </w:r>
            <w:r w:rsidRPr="00CC6553">
              <w:rPr>
                <w:rFonts w:cs="Arial"/>
                <w:color w:val="000000" w:themeColor="text1"/>
                <w:sz w:val="20"/>
              </w:rPr>
              <w:br/>
            </w:r>
            <w:r w:rsidRPr="00CC6553">
              <w:rPr>
                <w:rFonts w:cs="Arial"/>
                <w:color w:val="000000" w:themeColor="text1"/>
                <w:sz w:val="20"/>
              </w:rPr>
              <w:br/>
              <w:t>Given the new sections on iron deficiency and IV iron (1.4.5 and 1.4.6) and noting the fact that iron deficiency (with or without anaemia) is frequently found in patients with heart failure , irrespective of ejection fraction, and contributes to worsening symptoms, please considering adding ‘ferritin and TSAT’ here.</w:t>
            </w:r>
          </w:p>
        </w:tc>
        <w:tc>
          <w:tcPr>
            <w:tcW w:w="2122" w:type="pct"/>
          </w:tcPr>
          <w:p w14:paraId="150A3B77" w14:textId="3B15502D"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  The committee recognise the importance of iron deficiency and have added iron status and haemoglobin to section 1.8 clinical review.</w:t>
            </w:r>
          </w:p>
        </w:tc>
      </w:tr>
      <w:tr w:rsidR="00897293" w:rsidRPr="00CC6553" w14:paraId="39199865" w14:textId="77777777" w:rsidTr="00897293">
        <w:trPr>
          <w:trHeight w:val="300"/>
        </w:trPr>
        <w:tc>
          <w:tcPr>
            <w:tcW w:w="109" w:type="pct"/>
          </w:tcPr>
          <w:p w14:paraId="18AFC245" w14:textId="77777777" w:rsidR="00897293" w:rsidRPr="00CC6553" w:rsidRDefault="00897293" w:rsidP="005271BB">
            <w:pPr>
              <w:rPr>
                <w:rFonts w:cs="Arial"/>
                <w:color w:val="000000" w:themeColor="text1"/>
                <w:sz w:val="20"/>
              </w:rPr>
            </w:pPr>
            <w:r w:rsidRPr="00CC6553">
              <w:rPr>
                <w:rFonts w:cs="Arial"/>
                <w:color w:val="000000" w:themeColor="text1"/>
                <w:sz w:val="20"/>
              </w:rPr>
              <w:t>30</w:t>
            </w:r>
          </w:p>
        </w:tc>
        <w:tc>
          <w:tcPr>
            <w:tcW w:w="143" w:type="pct"/>
          </w:tcPr>
          <w:p w14:paraId="29BC8358" w14:textId="14D97B2A"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40079C3D" w14:textId="38220FD3" w:rsidR="00897293" w:rsidRPr="00CC6553" w:rsidRDefault="00897293" w:rsidP="005271BB">
            <w:pPr>
              <w:rPr>
                <w:rFonts w:cs="Arial"/>
                <w:bCs/>
                <w:iCs/>
                <w:color w:val="000000" w:themeColor="text1"/>
                <w:sz w:val="20"/>
              </w:rPr>
            </w:pPr>
            <w:r w:rsidRPr="00CC6553">
              <w:rPr>
                <w:rFonts w:cs="Arial"/>
                <w:color w:val="000000" w:themeColor="text1"/>
                <w:sz w:val="20"/>
              </w:rPr>
              <w:t xml:space="preserve">Portsmouth Hospitals </w:t>
            </w:r>
            <w:r w:rsidRPr="00CC6553">
              <w:rPr>
                <w:rFonts w:cs="Arial"/>
                <w:color w:val="000000" w:themeColor="text1"/>
                <w:sz w:val="20"/>
              </w:rPr>
              <w:lastRenderedPageBreak/>
              <w:t>University NHS Trust</w:t>
            </w:r>
          </w:p>
        </w:tc>
        <w:tc>
          <w:tcPr>
            <w:tcW w:w="279" w:type="pct"/>
          </w:tcPr>
          <w:p w14:paraId="7F019EC2" w14:textId="79113769" w:rsidR="00897293" w:rsidRPr="00CC6553" w:rsidRDefault="00897293" w:rsidP="005271BB">
            <w:pPr>
              <w:rPr>
                <w:rFonts w:cs="Arial"/>
                <w:color w:val="000000" w:themeColor="text1"/>
                <w:sz w:val="20"/>
              </w:rPr>
            </w:pPr>
            <w:r w:rsidRPr="00CC6553">
              <w:rPr>
                <w:rFonts w:cs="Arial"/>
                <w:color w:val="000000" w:themeColor="text1"/>
                <w:sz w:val="20"/>
              </w:rPr>
              <w:lastRenderedPageBreak/>
              <w:t>Guideline</w:t>
            </w:r>
          </w:p>
        </w:tc>
        <w:tc>
          <w:tcPr>
            <w:tcW w:w="214" w:type="pct"/>
          </w:tcPr>
          <w:p w14:paraId="7C346711" w14:textId="2487AEF5" w:rsidR="00897293" w:rsidRPr="00CC6553" w:rsidRDefault="00897293" w:rsidP="005271BB">
            <w:pPr>
              <w:rPr>
                <w:rFonts w:cs="Arial"/>
                <w:color w:val="000000" w:themeColor="text1"/>
                <w:sz w:val="20"/>
              </w:rPr>
            </w:pPr>
            <w:r w:rsidRPr="00CC6553">
              <w:rPr>
                <w:rFonts w:cs="Arial"/>
                <w:color w:val="000000" w:themeColor="text1"/>
                <w:sz w:val="20"/>
              </w:rPr>
              <w:t>009</w:t>
            </w:r>
          </w:p>
        </w:tc>
        <w:tc>
          <w:tcPr>
            <w:tcW w:w="214" w:type="pct"/>
          </w:tcPr>
          <w:p w14:paraId="0162FB47" w14:textId="044FB191" w:rsidR="00897293" w:rsidRPr="00CC6553" w:rsidRDefault="00897293" w:rsidP="005271BB">
            <w:pPr>
              <w:rPr>
                <w:rFonts w:cs="Arial"/>
                <w:color w:val="000000" w:themeColor="text1"/>
                <w:sz w:val="20"/>
              </w:rPr>
            </w:pPr>
            <w:r w:rsidRPr="00CC6553">
              <w:rPr>
                <w:rFonts w:cs="Arial"/>
                <w:color w:val="000000" w:themeColor="text1"/>
                <w:sz w:val="20"/>
              </w:rPr>
              <w:t>003 - 015</w:t>
            </w:r>
          </w:p>
        </w:tc>
        <w:tc>
          <w:tcPr>
            <w:tcW w:w="1521" w:type="pct"/>
          </w:tcPr>
          <w:p w14:paraId="4D4E8F42" w14:textId="005BC2E0" w:rsidR="00897293" w:rsidRPr="00CC6553" w:rsidRDefault="00897293" w:rsidP="005271BB">
            <w:pPr>
              <w:rPr>
                <w:rFonts w:cs="Arial"/>
                <w:color w:val="000000" w:themeColor="text1"/>
                <w:sz w:val="20"/>
              </w:rPr>
            </w:pPr>
            <w:r w:rsidRPr="00CC6553">
              <w:rPr>
                <w:rFonts w:cs="Arial"/>
                <w:color w:val="000000" w:themeColor="text1"/>
                <w:sz w:val="20"/>
              </w:rPr>
              <w:t>Symptoms, signs and investigations       Section 1.2.12</w:t>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lastRenderedPageBreak/>
              <w:t>Given the new sections on iron deficiency and IV iron (1.4.5 and 1.4.6) and noting the fact that iron deficiency (with or without anaemia) is frequently found in patients with heart failure , irrespective of ejection fraction, and contributes to worsening symptoms, please considering adding ‘ferritin and TSAT’ here.</w:t>
            </w:r>
          </w:p>
        </w:tc>
        <w:tc>
          <w:tcPr>
            <w:tcW w:w="2122" w:type="pct"/>
          </w:tcPr>
          <w:p w14:paraId="59DAC738" w14:textId="2C66751C"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lastRenderedPageBreak/>
              <w:t xml:space="preserve">Thank you for your comment.  The committee recognise the importance </w:t>
            </w:r>
            <w:r w:rsidRPr="00CC6553">
              <w:rPr>
                <w:rFonts w:cs="Arial"/>
                <w:b w:val="0"/>
                <w:color w:val="000000" w:themeColor="text1"/>
                <w:sz w:val="20"/>
              </w:rPr>
              <w:lastRenderedPageBreak/>
              <w:t>of iron deficiency and have added iron status and haemoglobin to section 1.8 clinical review.</w:t>
            </w:r>
          </w:p>
        </w:tc>
      </w:tr>
      <w:tr w:rsidR="00897293" w:rsidRPr="00CC6553" w14:paraId="6AE6AD55" w14:textId="77777777" w:rsidTr="00897293">
        <w:trPr>
          <w:trHeight w:val="300"/>
        </w:trPr>
        <w:tc>
          <w:tcPr>
            <w:tcW w:w="109" w:type="pct"/>
          </w:tcPr>
          <w:p w14:paraId="25F8277F"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31</w:t>
            </w:r>
          </w:p>
        </w:tc>
        <w:tc>
          <w:tcPr>
            <w:tcW w:w="143" w:type="pct"/>
          </w:tcPr>
          <w:p w14:paraId="3C0FED95" w14:textId="5B4FAB85"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4A1A3AAE" w14:textId="1A73E43D" w:rsidR="00897293" w:rsidRPr="00CC6553" w:rsidRDefault="00897293" w:rsidP="005271BB">
            <w:pPr>
              <w:rPr>
                <w:rFonts w:cs="Arial"/>
                <w:bCs/>
                <w:iCs/>
                <w:color w:val="000000" w:themeColor="text1"/>
                <w:sz w:val="20"/>
              </w:rPr>
            </w:pPr>
            <w:r w:rsidRPr="00CC6553">
              <w:rPr>
                <w:rFonts w:cs="Arial"/>
                <w:color w:val="000000" w:themeColor="text1"/>
                <w:sz w:val="20"/>
              </w:rPr>
              <w:t>NHS Surrey Heartlands Integrated Care Board (ICB)</w:t>
            </w:r>
          </w:p>
        </w:tc>
        <w:tc>
          <w:tcPr>
            <w:tcW w:w="279" w:type="pct"/>
          </w:tcPr>
          <w:p w14:paraId="6B49FEF9" w14:textId="6B07AEA1"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10C78787" w14:textId="20C358B7" w:rsidR="00897293" w:rsidRPr="00CC6553" w:rsidRDefault="00897293" w:rsidP="005271BB">
            <w:pPr>
              <w:rPr>
                <w:rFonts w:cs="Arial"/>
                <w:color w:val="000000" w:themeColor="text1"/>
                <w:sz w:val="20"/>
              </w:rPr>
            </w:pPr>
            <w:r w:rsidRPr="00CC6553">
              <w:rPr>
                <w:rFonts w:cs="Arial"/>
                <w:color w:val="000000" w:themeColor="text1"/>
                <w:sz w:val="20"/>
              </w:rPr>
              <w:t>009</w:t>
            </w:r>
          </w:p>
        </w:tc>
        <w:tc>
          <w:tcPr>
            <w:tcW w:w="214" w:type="pct"/>
          </w:tcPr>
          <w:p w14:paraId="51A6FD44" w14:textId="012F32A3" w:rsidR="00897293" w:rsidRPr="00CC6553" w:rsidRDefault="00897293" w:rsidP="005271BB">
            <w:pPr>
              <w:rPr>
                <w:rFonts w:cs="Arial"/>
                <w:color w:val="000000" w:themeColor="text1"/>
                <w:sz w:val="20"/>
              </w:rPr>
            </w:pPr>
            <w:r w:rsidRPr="00CC6553">
              <w:rPr>
                <w:rFonts w:cs="Arial"/>
                <w:color w:val="000000" w:themeColor="text1"/>
                <w:sz w:val="20"/>
              </w:rPr>
              <w:t>021 - 024</w:t>
            </w:r>
          </w:p>
        </w:tc>
        <w:tc>
          <w:tcPr>
            <w:tcW w:w="1521" w:type="pct"/>
          </w:tcPr>
          <w:p w14:paraId="0E4EEE86" w14:textId="0AB635A4" w:rsidR="00897293" w:rsidRPr="00CC6553" w:rsidRDefault="00897293" w:rsidP="005271BB">
            <w:pPr>
              <w:rPr>
                <w:rFonts w:cs="Arial"/>
                <w:color w:val="000000" w:themeColor="text1"/>
                <w:sz w:val="20"/>
              </w:rPr>
            </w:pPr>
            <w:r w:rsidRPr="00CC6553">
              <w:rPr>
                <w:rFonts w:cs="Arial"/>
                <w:color w:val="000000" w:themeColor="text1"/>
                <w:sz w:val="20"/>
              </w:rPr>
              <w:t>Specific clarification / suggestion</w:t>
            </w:r>
            <w:r w:rsidRPr="00CC6553">
              <w:rPr>
                <w:rFonts w:cs="Arial"/>
                <w:color w:val="000000" w:themeColor="text1"/>
                <w:sz w:val="20"/>
              </w:rPr>
              <w:br/>
              <w:t>Referral on to specialist services if echo finds valve disease-an ambition for this to happen direct to specialist service from echo rather than the return to GP traditional pathway would be great to see-we have it in NWS pathways already, so it is doable.</w:t>
            </w:r>
          </w:p>
        </w:tc>
        <w:tc>
          <w:tcPr>
            <w:tcW w:w="2122" w:type="pct"/>
          </w:tcPr>
          <w:p w14:paraId="052155D6" w14:textId="542EFED7"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  The scope of this update was the pharmacological management of chronic heart failure https://www.nice.org.uk/guidance/gid-ng10405/documents/final-scope and the committee is therefore only able to make editorial changes or minimal changes for consistency or clarification to recommendations on areas outside of this.</w:t>
            </w:r>
          </w:p>
        </w:tc>
      </w:tr>
      <w:tr w:rsidR="00897293" w:rsidRPr="00CC6553" w14:paraId="3A18237A" w14:textId="77777777" w:rsidTr="00897293">
        <w:trPr>
          <w:trHeight w:val="300"/>
        </w:trPr>
        <w:tc>
          <w:tcPr>
            <w:tcW w:w="109" w:type="pct"/>
          </w:tcPr>
          <w:p w14:paraId="2E9497BB" w14:textId="77777777" w:rsidR="00897293" w:rsidRPr="00CC6553" w:rsidRDefault="00897293" w:rsidP="005271BB">
            <w:pPr>
              <w:rPr>
                <w:rFonts w:cs="Arial"/>
                <w:color w:val="000000" w:themeColor="text1"/>
                <w:sz w:val="20"/>
              </w:rPr>
            </w:pPr>
            <w:r w:rsidRPr="00CC6553">
              <w:rPr>
                <w:rFonts w:cs="Arial"/>
                <w:color w:val="000000" w:themeColor="text1"/>
                <w:sz w:val="20"/>
              </w:rPr>
              <w:t>32</w:t>
            </w:r>
          </w:p>
        </w:tc>
        <w:tc>
          <w:tcPr>
            <w:tcW w:w="143" w:type="pct"/>
          </w:tcPr>
          <w:p w14:paraId="158DB289" w14:textId="0B347E51"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7806DDD3" w14:textId="77DEAF12"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3A78E05D" w14:textId="34EF2C3B"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4A441B3D" w14:textId="568097D8" w:rsidR="00897293" w:rsidRPr="00CC6553" w:rsidRDefault="00897293" w:rsidP="005271BB">
            <w:pPr>
              <w:rPr>
                <w:rFonts w:cs="Arial"/>
                <w:color w:val="000000" w:themeColor="text1"/>
                <w:sz w:val="20"/>
              </w:rPr>
            </w:pPr>
            <w:r w:rsidRPr="00CC6553">
              <w:rPr>
                <w:rFonts w:cs="Arial"/>
                <w:color w:val="000000" w:themeColor="text1"/>
                <w:sz w:val="20"/>
              </w:rPr>
              <w:t>009</w:t>
            </w:r>
          </w:p>
        </w:tc>
        <w:tc>
          <w:tcPr>
            <w:tcW w:w="214" w:type="pct"/>
          </w:tcPr>
          <w:p w14:paraId="31D5C9A1" w14:textId="1E4E0D17" w:rsidR="00897293" w:rsidRPr="00CC6553" w:rsidRDefault="00897293" w:rsidP="005271BB">
            <w:pPr>
              <w:rPr>
                <w:rFonts w:cs="Arial"/>
                <w:color w:val="000000" w:themeColor="text1"/>
                <w:sz w:val="20"/>
              </w:rPr>
            </w:pPr>
            <w:r w:rsidRPr="00CC6553">
              <w:rPr>
                <w:rFonts w:cs="Arial"/>
                <w:color w:val="000000" w:themeColor="text1"/>
                <w:sz w:val="20"/>
              </w:rPr>
              <w:t>012</w:t>
            </w:r>
          </w:p>
        </w:tc>
        <w:tc>
          <w:tcPr>
            <w:tcW w:w="1521" w:type="pct"/>
          </w:tcPr>
          <w:p w14:paraId="71A4F07D" w14:textId="3358FA1B" w:rsidR="00897293" w:rsidRPr="00CC6553" w:rsidRDefault="00897293" w:rsidP="005271BB">
            <w:pPr>
              <w:rPr>
                <w:rFonts w:cs="Arial"/>
                <w:color w:val="000000" w:themeColor="text1"/>
                <w:sz w:val="20"/>
              </w:rPr>
            </w:pPr>
            <w:r w:rsidRPr="00CC6553">
              <w:rPr>
                <w:rFonts w:cs="Arial"/>
                <w:color w:val="000000" w:themeColor="text1"/>
                <w:sz w:val="20"/>
              </w:rPr>
              <w:t>Full blood count will provide haemoglogin but not ferritin or TSAT – suggest including those also in the list of investigations</w:t>
            </w:r>
            <w:r w:rsidRPr="00CC6553">
              <w:rPr>
                <w:rFonts w:cs="Arial"/>
                <w:color w:val="000000" w:themeColor="text1"/>
                <w:sz w:val="20"/>
              </w:rPr>
              <w:br/>
              <w:t>Not sure if this will be out of scope – but given the increasing incidence of obesity in the general population – perhaps sleep studies to diagnose obstructive sleep apnoea?</w:t>
            </w:r>
          </w:p>
        </w:tc>
        <w:tc>
          <w:tcPr>
            <w:tcW w:w="2122" w:type="pct"/>
          </w:tcPr>
          <w:p w14:paraId="5FAAE4CB" w14:textId="5BA686C2" w:rsidR="00897293" w:rsidRPr="00CC6553" w:rsidRDefault="00897293" w:rsidP="005271BB">
            <w:pPr>
              <w:pStyle w:val="Heading1"/>
              <w:rPr>
                <w:rFonts w:cs="Arial"/>
                <w:b w:val="0"/>
                <w:color w:val="000000" w:themeColor="text1"/>
                <w:sz w:val="20"/>
              </w:rPr>
            </w:pPr>
            <w:r w:rsidRPr="00CC6553">
              <w:rPr>
                <w:rFonts w:cs="Arial"/>
                <w:b w:val="0"/>
                <w:bCs w:val="0"/>
                <w:color w:val="000000" w:themeColor="text1"/>
                <w:sz w:val="20"/>
              </w:rPr>
              <w:t xml:space="preserve">Thank you for your comment.  </w:t>
            </w:r>
            <w:r w:rsidRPr="00CC6553">
              <w:rPr>
                <w:rFonts w:cs="Arial"/>
                <w:b w:val="0"/>
                <w:color w:val="000000" w:themeColor="text1"/>
                <w:sz w:val="20"/>
              </w:rPr>
              <w:t>The committee has added iron status and haemoglobin to section 1.8 clinical review.</w:t>
            </w:r>
            <w:r w:rsidRPr="00CC6553">
              <w:rPr>
                <w:rFonts w:cs="Arial"/>
                <w:b w:val="0"/>
                <w:bCs w:val="0"/>
                <w:color w:val="000000" w:themeColor="text1"/>
                <w:sz w:val="20"/>
              </w:rPr>
              <w:t xml:space="preserve"> </w:t>
            </w:r>
            <w:r w:rsidRPr="00CC6553">
              <w:rPr>
                <w:rFonts w:cs="Arial"/>
                <w:b w:val="0"/>
                <w:color w:val="000000" w:themeColor="text1"/>
                <w:sz w:val="20"/>
              </w:rPr>
              <w:t>The scope of this update was the pharmacological management of chronic heart failure https://www.nice.org.uk/guidance/gid-ng10405/documents/final-scope and the committee is therefore only able to make editorial changes or minimal changes for consistency or clarification to recommendations on areas outside of this.</w:t>
            </w:r>
          </w:p>
        </w:tc>
      </w:tr>
      <w:tr w:rsidR="00897293" w:rsidRPr="00CC6553" w14:paraId="085B51AD" w14:textId="77777777" w:rsidTr="00897293">
        <w:trPr>
          <w:trHeight w:val="300"/>
        </w:trPr>
        <w:tc>
          <w:tcPr>
            <w:tcW w:w="109" w:type="pct"/>
          </w:tcPr>
          <w:p w14:paraId="4B15D018" w14:textId="77777777" w:rsidR="00897293" w:rsidRPr="00CC6553" w:rsidRDefault="00897293" w:rsidP="005271BB">
            <w:pPr>
              <w:rPr>
                <w:rFonts w:cs="Arial"/>
                <w:color w:val="000000" w:themeColor="text1"/>
                <w:sz w:val="20"/>
              </w:rPr>
            </w:pPr>
            <w:r w:rsidRPr="00CC6553">
              <w:rPr>
                <w:rFonts w:cs="Arial"/>
                <w:color w:val="000000" w:themeColor="text1"/>
                <w:sz w:val="20"/>
              </w:rPr>
              <w:t>33</w:t>
            </w:r>
          </w:p>
        </w:tc>
        <w:tc>
          <w:tcPr>
            <w:tcW w:w="143" w:type="pct"/>
          </w:tcPr>
          <w:p w14:paraId="1EDCFB38" w14:textId="777FB3F9"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1E9E464C" w14:textId="7928534F" w:rsidR="00897293" w:rsidRPr="00CC6553" w:rsidRDefault="00897293" w:rsidP="005271BB">
            <w:pPr>
              <w:rPr>
                <w:rFonts w:cs="Arial"/>
                <w:bCs/>
                <w:iCs/>
                <w:color w:val="000000" w:themeColor="text1"/>
                <w:sz w:val="20"/>
              </w:rPr>
            </w:pPr>
            <w:r w:rsidRPr="00CC6553">
              <w:rPr>
                <w:rFonts w:cs="Arial"/>
                <w:color w:val="000000" w:themeColor="text1"/>
                <w:sz w:val="20"/>
              </w:rPr>
              <w:t>Royal College of Nursing</w:t>
            </w:r>
          </w:p>
        </w:tc>
        <w:tc>
          <w:tcPr>
            <w:tcW w:w="279" w:type="pct"/>
          </w:tcPr>
          <w:p w14:paraId="38FB98DE" w14:textId="1B1107A5"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27244C86" w14:textId="775F07D9" w:rsidR="00897293" w:rsidRPr="00CC6553" w:rsidRDefault="00897293" w:rsidP="005271BB">
            <w:pPr>
              <w:rPr>
                <w:rFonts w:cs="Arial"/>
                <w:color w:val="000000" w:themeColor="text1"/>
                <w:sz w:val="20"/>
              </w:rPr>
            </w:pPr>
            <w:r w:rsidRPr="00CC6553">
              <w:rPr>
                <w:rFonts w:cs="Arial"/>
                <w:color w:val="000000" w:themeColor="text1"/>
                <w:sz w:val="20"/>
              </w:rPr>
              <w:t>010</w:t>
            </w:r>
          </w:p>
        </w:tc>
        <w:tc>
          <w:tcPr>
            <w:tcW w:w="214" w:type="pct"/>
          </w:tcPr>
          <w:p w14:paraId="36987C49" w14:textId="13BD17E8" w:rsidR="00897293" w:rsidRPr="00CC6553" w:rsidRDefault="00897293" w:rsidP="005271BB">
            <w:pPr>
              <w:rPr>
                <w:rFonts w:cs="Arial"/>
                <w:color w:val="000000" w:themeColor="text1"/>
                <w:sz w:val="20"/>
              </w:rPr>
            </w:pPr>
            <w:r w:rsidRPr="00CC6553">
              <w:rPr>
                <w:rFonts w:cs="Arial"/>
                <w:color w:val="000000" w:themeColor="text1"/>
                <w:sz w:val="20"/>
              </w:rPr>
              <w:t>007</w:t>
            </w:r>
          </w:p>
        </w:tc>
        <w:tc>
          <w:tcPr>
            <w:tcW w:w="1521" w:type="pct"/>
          </w:tcPr>
          <w:p w14:paraId="12E4BA90" w14:textId="584ACD5C" w:rsidR="00897293" w:rsidRPr="00CC6553" w:rsidRDefault="00897293" w:rsidP="005271BB">
            <w:pPr>
              <w:rPr>
                <w:rFonts w:cs="Arial"/>
                <w:color w:val="000000" w:themeColor="text1"/>
                <w:sz w:val="20"/>
              </w:rPr>
            </w:pPr>
            <w:r w:rsidRPr="00CC6553">
              <w:rPr>
                <w:rFonts w:cs="Arial"/>
                <w:color w:val="000000" w:themeColor="text1"/>
                <w:sz w:val="20"/>
              </w:rPr>
              <w:t>“First consultations for people with newly diagnosed heart failure” - this should be more detailed to include that this initial assessment could be in hospital, in an outpatient setting or in the community.</w:t>
            </w:r>
          </w:p>
        </w:tc>
        <w:tc>
          <w:tcPr>
            <w:tcW w:w="2122" w:type="pct"/>
          </w:tcPr>
          <w:p w14:paraId="6BD5E912" w14:textId="153F2DA0"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 xml:space="preserve">Thank you for your comment.  The scope of this update was the pharmacological management of chronic heart failure </w:t>
            </w:r>
            <w:r w:rsidRPr="00CC6553">
              <w:rPr>
                <w:rFonts w:cs="Arial"/>
                <w:b w:val="0"/>
                <w:color w:val="000000" w:themeColor="text1"/>
                <w:sz w:val="20"/>
              </w:rPr>
              <w:lastRenderedPageBreak/>
              <w:t>https://www.nice.org.uk/guidance/gid-ng10405/documents/final-scope and the committee is therefore only able to make editorial changes or minimal changes for consistency or clarification to recommendations on areas outside of this.</w:t>
            </w:r>
          </w:p>
        </w:tc>
      </w:tr>
      <w:tr w:rsidR="00897293" w:rsidRPr="00CC6553" w14:paraId="38A9158A" w14:textId="77777777" w:rsidTr="00897293">
        <w:trPr>
          <w:trHeight w:val="300"/>
        </w:trPr>
        <w:tc>
          <w:tcPr>
            <w:tcW w:w="109" w:type="pct"/>
          </w:tcPr>
          <w:p w14:paraId="32591052"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34</w:t>
            </w:r>
          </w:p>
        </w:tc>
        <w:tc>
          <w:tcPr>
            <w:tcW w:w="143" w:type="pct"/>
          </w:tcPr>
          <w:p w14:paraId="1DD3F5A7" w14:textId="48B53776"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6783D5AB" w14:textId="6B1D7910" w:rsidR="00897293" w:rsidRPr="00CC6553" w:rsidRDefault="00897293" w:rsidP="005271BB">
            <w:pPr>
              <w:rPr>
                <w:rFonts w:cs="Arial"/>
                <w:bCs/>
                <w:iCs/>
                <w:color w:val="000000" w:themeColor="text1"/>
                <w:sz w:val="20"/>
              </w:rPr>
            </w:pPr>
            <w:r w:rsidRPr="00CC6553">
              <w:rPr>
                <w:rFonts w:cs="Arial"/>
                <w:color w:val="000000" w:themeColor="text1"/>
                <w:sz w:val="20"/>
              </w:rPr>
              <w:t>British Association for Nursing in Cardiovascular Care (BANCC)</w:t>
            </w:r>
          </w:p>
        </w:tc>
        <w:tc>
          <w:tcPr>
            <w:tcW w:w="279" w:type="pct"/>
          </w:tcPr>
          <w:p w14:paraId="47A8DE55" w14:textId="64BA5ACA"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34663B38" w14:textId="5C39DA83" w:rsidR="00897293" w:rsidRPr="00CC6553" w:rsidRDefault="00897293" w:rsidP="005271BB">
            <w:pPr>
              <w:rPr>
                <w:rFonts w:cs="Arial"/>
                <w:color w:val="000000" w:themeColor="text1"/>
                <w:sz w:val="20"/>
              </w:rPr>
            </w:pPr>
            <w:r w:rsidRPr="00CC6553">
              <w:rPr>
                <w:rFonts w:cs="Arial"/>
                <w:color w:val="000000" w:themeColor="text1"/>
                <w:sz w:val="20"/>
              </w:rPr>
              <w:t>010</w:t>
            </w:r>
          </w:p>
        </w:tc>
        <w:tc>
          <w:tcPr>
            <w:tcW w:w="214" w:type="pct"/>
          </w:tcPr>
          <w:p w14:paraId="50FAB31A" w14:textId="3280B958" w:rsidR="00897293" w:rsidRPr="00CC6553" w:rsidRDefault="00897293" w:rsidP="005271BB">
            <w:pPr>
              <w:rPr>
                <w:rFonts w:cs="Arial"/>
                <w:color w:val="000000" w:themeColor="text1"/>
                <w:sz w:val="20"/>
              </w:rPr>
            </w:pPr>
            <w:r w:rsidRPr="00CC6553">
              <w:rPr>
                <w:rFonts w:cs="Arial"/>
                <w:color w:val="000000" w:themeColor="text1"/>
                <w:sz w:val="20"/>
              </w:rPr>
              <w:t>019</w:t>
            </w:r>
          </w:p>
        </w:tc>
        <w:tc>
          <w:tcPr>
            <w:tcW w:w="1521" w:type="pct"/>
          </w:tcPr>
          <w:p w14:paraId="3CB5CB88" w14:textId="0DC5DF48" w:rsidR="00897293" w:rsidRPr="00CC6553" w:rsidRDefault="00897293" w:rsidP="005271BB">
            <w:pPr>
              <w:rPr>
                <w:rFonts w:cs="Arial"/>
                <w:color w:val="000000" w:themeColor="text1"/>
                <w:sz w:val="20"/>
              </w:rPr>
            </w:pPr>
            <w:r w:rsidRPr="00CC6553">
              <w:rPr>
                <w:rFonts w:cs="Arial"/>
                <w:color w:val="000000" w:themeColor="text1"/>
                <w:sz w:val="20"/>
              </w:rPr>
              <w:t>Given the importance of managing congestion, whilst it is a complex issue, it would have been welcome to see more detail in regards to diuretic management in section 1.4 and 1.5. That’s where non specialist teams need the most advice and where perhaps there is opportunity to avoid admissions.</w:t>
            </w:r>
          </w:p>
        </w:tc>
        <w:tc>
          <w:tcPr>
            <w:tcW w:w="2122" w:type="pct"/>
          </w:tcPr>
          <w:p w14:paraId="254DE724" w14:textId="7C7144A5" w:rsidR="00897293" w:rsidRPr="00CC6553" w:rsidRDefault="00897293" w:rsidP="005271BB">
            <w:pPr>
              <w:pStyle w:val="Heading1"/>
              <w:rPr>
                <w:rFonts w:cs="Arial"/>
                <w:b w:val="0"/>
                <w:color w:val="000000" w:themeColor="text1"/>
                <w:sz w:val="20"/>
              </w:rPr>
            </w:pPr>
            <w:r w:rsidRPr="00CC6553">
              <w:rPr>
                <w:rFonts w:cs="Arial"/>
                <w:b w:val="0"/>
                <w:bCs w:val="0"/>
                <w:color w:val="000000" w:themeColor="text1"/>
                <w:sz w:val="20"/>
              </w:rPr>
              <w:t>Thank you for your comment.  Diuretic management was outside of the scope of this update and the committee were therefore unable to make further recommendations https://www.nice.org.uk/guidance/gid-ng10405/documents/final-scope</w:t>
            </w:r>
          </w:p>
        </w:tc>
      </w:tr>
      <w:tr w:rsidR="00897293" w:rsidRPr="00CC6553" w14:paraId="406B131C" w14:textId="77777777" w:rsidTr="00897293">
        <w:trPr>
          <w:trHeight w:val="300"/>
        </w:trPr>
        <w:tc>
          <w:tcPr>
            <w:tcW w:w="109" w:type="pct"/>
          </w:tcPr>
          <w:p w14:paraId="49AC1138" w14:textId="77777777" w:rsidR="00897293" w:rsidRPr="00CC6553" w:rsidRDefault="00897293" w:rsidP="005271BB">
            <w:pPr>
              <w:rPr>
                <w:rFonts w:cs="Arial"/>
                <w:color w:val="000000" w:themeColor="text1"/>
                <w:sz w:val="20"/>
              </w:rPr>
            </w:pPr>
            <w:r w:rsidRPr="00CC6553">
              <w:rPr>
                <w:rFonts w:cs="Arial"/>
                <w:color w:val="000000" w:themeColor="text1"/>
                <w:sz w:val="20"/>
              </w:rPr>
              <w:t>35</w:t>
            </w:r>
          </w:p>
        </w:tc>
        <w:tc>
          <w:tcPr>
            <w:tcW w:w="143" w:type="pct"/>
          </w:tcPr>
          <w:p w14:paraId="691D731F" w14:textId="05B4B2DC"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29D66E0A" w14:textId="003E5EFE" w:rsidR="00897293" w:rsidRPr="00CC6553" w:rsidRDefault="00897293" w:rsidP="005271BB">
            <w:pPr>
              <w:rPr>
                <w:rFonts w:cs="Arial"/>
                <w:bCs/>
                <w:iCs/>
                <w:color w:val="000000" w:themeColor="text1"/>
                <w:sz w:val="20"/>
              </w:rPr>
            </w:pPr>
            <w:r w:rsidRPr="00CC6553">
              <w:rPr>
                <w:rFonts w:cs="Arial"/>
                <w:color w:val="000000" w:themeColor="text1"/>
                <w:sz w:val="20"/>
              </w:rPr>
              <w:t>British Society for Heart Failure (BSHF)</w:t>
            </w:r>
          </w:p>
        </w:tc>
        <w:tc>
          <w:tcPr>
            <w:tcW w:w="279" w:type="pct"/>
          </w:tcPr>
          <w:p w14:paraId="22484030" w14:textId="73CEEB2C"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48D34103" w14:textId="6420D9F7" w:rsidR="00897293" w:rsidRPr="00CC6553" w:rsidRDefault="00897293" w:rsidP="005271BB">
            <w:pPr>
              <w:rPr>
                <w:rFonts w:cs="Arial"/>
                <w:color w:val="000000" w:themeColor="text1"/>
                <w:sz w:val="20"/>
              </w:rPr>
            </w:pPr>
            <w:r w:rsidRPr="00CC6553">
              <w:rPr>
                <w:rFonts w:cs="Arial"/>
                <w:color w:val="000000" w:themeColor="text1"/>
                <w:sz w:val="20"/>
              </w:rPr>
              <w:t>010</w:t>
            </w:r>
          </w:p>
        </w:tc>
        <w:tc>
          <w:tcPr>
            <w:tcW w:w="214" w:type="pct"/>
          </w:tcPr>
          <w:p w14:paraId="6B71E62E" w14:textId="5B56BF02" w:rsidR="00897293" w:rsidRPr="00CC6553" w:rsidRDefault="00897293" w:rsidP="005271BB">
            <w:pPr>
              <w:rPr>
                <w:rFonts w:cs="Arial"/>
                <w:color w:val="000000" w:themeColor="text1"/>
                <w:sz w:val="20"/>
              </w:rPr>
            </w:pPr>
            <w:r w:rsidRPr="00CC6553">
              <w:rPr>
                <w:rFonts w:cs="Arial"/>
                <w:color w:val="000000" w:themeColor="text1"/>
                <w:sz w:val="20"/>
              </w:rPr>
              <w:t>019</w:t>
            </w:r>
          </w:p>
        </w:tc>
        <w:tc>
          <w:tcPr>
            <w:tcW w:w="1521" w:type="pct"/>
          </w:tcPr>
          <w:p w14:paraId="0B98679A" w14:textId="7B138786" w:rsidR="00897293" w:rsidRPr="00CC6553" w:rsidRDefault="00897293" w:rsidP="005271BB">
            <w:pPr>
              <w:rPr>
                <w:rFonts w:cs="Arial"/>
                <w:color w:val="000000" w:themeColor="text1"/>
                <w:sz w:val="20"/>
              </w:rPr>
            </w:pPr>
            <w:r w:rsidRPr="00CC6553">
              <w:rPr>
                <w:rFonts w:cs="Arial"/>
                <w:color w:val="000000" w:themeColor="text1"/>
                <w:sz w:val="20"/>
              </w:rPr>
              <w:t>Given the importance of managing congestion, whilst it is a complex issue, it would have been welcome to see more detail in regards to diuretic management in section 1.4 and 1.5. That’s where non specialist teams need the most advice and where perhaps there is opportunity to avoid admissions.</w:t>
            </w:r>
          </w:p>
        </w:tc>
        <w:tc>
          <w:tcPr>
            <w:tcW w:w="2122" w:type="pct"/>
          </w:tcPr>
          <w:p w14:paraId="70CB4035" w14:textId="3CFCF8AE" w:rsidR="00897293" w:rsidRPr="00CC6553" w:rsidRDefault="00897293" w:rsidP="005271BB">
            <w:pPr>
              <w:pStyle w:val="Heading1"/>
              <w:rPr>
                <w:rFonts w:cs="Arial"/>
                <w:b w:val="0"/>
                <w:color w:val="000000" w:themeColor="text1"/>
                <w:sz w:val="20"/>
              </w:rPr>
            </w:pPr>
            <w:r w:rsidRPr="00CC6553">
              <w:rPr>
                <w:rFonts w:cs="Arial"/>
                <w:b w:val="0"/>
                <w:bCs w:val="0"/>
                <w:color w:val="000000" w:themeColor="text1"/>
                <w:sz w:val="20"/>
              </w:rPr>
              <w:t>Thank you for your comment.  Diuretic management was outside of the scope of this update and the committee were therefore unable to make further recommendations https://www.nice.org.uk/guidance/gid-ng10405/documents/final-scope</w:t>
            </w:r>
          </w:p>
        </w:tc>
      </w:tr>
      <w:tr w:rsidR="00897293" w:rsidRPr="00CC6553" w14:paraId="029941DD" w14:textId="77777777" w:rsidTr="00897293">
        <w:trPr>
          <w:trHeight w:val="300"/>
        </w:trPr>
        <w:tc>
          <w:tcPr>
            <w:tcW w:w="109" w:type="pct"/>
          </w:tcPr>
          <w:p w14:paraId="66C8FBB3" w14:textId="77777777" w:rsidR="00897293" w:rsidRPr="00CC6553" w:rsidRDefault="00897293" w:rsidP="005271BB">
            <w:pPr>
              <w:rPr>
                <w:rFonts w:cs="Arial"/>
                <w:color w:val="000000" w:themeColor="text1"/>
                <w:sz w:val="20"/>
              </w:rPr>
            </w:pPr>
            <w:r w:rsidRPr="00CC6553">
              <w:rPr>
                <w:rFonts w:cs="Arial"/>
                <w:color w:val="000000" w:themeColor="text1"/>
                <w:sz w:val="20"/>
              </w:rPr>
              <w:t>36</w:t>
            </w:r>
          </w:p>
        </w:tc>
        <w:tc>
          <w:tcPr>
            <w:tcW w:w="143" w:type="pct"/>
          </w:tcPr>
          <w:p w14:paraId="476CFCC2" w14:textId="2553355C"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3B298C8C" w14:textId="0432CA1D" w:rsidR="00897293" w:rsidRPr="00CC6553" w:rsidRDefault="00897293" w:rsidP="005271BB">
            <w:pPr>
              <w:rPr>
                <w:rFonts w:cs="Arial"/>
                <w:bCs/>
                <w:iCs/>
                <w:color w:val="000000" w:themeColor="text1"/>
                <w:sz w:val="20"/>
              </w:rPr>
            </w:pPr>
            <w:r w:rsidRPr="00CC6553">
              <w:rPr>
                <w:rFonts w:cs="Arial"/>
                <w:color w:val="000000" w:themeColor="text1"/>
                <w:sz w:val="20"/>
              </w:rPr>
              <w:t>Imperial College Healthcare NHS Trust</w:t>
            </w:r>
          </w:p>
        </w:tc>
        <w:tc>
          <w:tcPr>
            <w:tcW w:w="279" w:type="pct"/>
          </w:tcPr>
          <w:p w14:paraId="4401AA2E" w14:textId="2B807D26"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0EEA7FF4" w14:textId="7B4DE0A2" w:rsidR="00897293" w:rsidRPr="00CC6553" w:rsidRDefault="00897293" w:rsidP="005271BB">
            <w:pPr>
              <w:rPr>
                <w:rFonts w:cs="Arial"/>
                <w:color w:val="000000" w:themeColor="text1"/>
                <w:sz w:val="20"/>
              </w:rPr>
            </w:pPr>
            <w:r w:rsidRPr="00CC6553">
              <w:rPr>
                <w:rFonts w:cs="Arial"/>
                <w:color w:val="000000" w:themeColor="text1"/>
                <w:sz w:val="20"/>
              </w:rPr>
              <w:t>010</w:t>
            </w:r>
          </w:p>
        </w:tc>
        <w:tc>
          <w:tcPr>
            <w:tcW w:w="214" w:type="pct"/>
          </w:tcPr>
          <w:p w14:paraId="553B73EE" w14:textId="75AFB224" w:rsidR="00897293" w:rsidRPr="00CC6553" w:rsidRDefault="00897293" w:rsidP="005271BB">
            <w:pPr>
              <w:rPr>
                <w:rFonts w:cs="Arial"/>
                <w:color w:val="000000" w:themeColor="text1"/>
                <w:sz w:val="20"/>
              </w:rPr>
            </w:pPr>
            <w:r w:rsidRPr="00CC6553">
              <w:rPr>
                <w:rFonts w:cs="Arial"/>
                <w:color w:val="000000" w:themeColor="text1"/>
                <w:sz w:val="20"/>
              </w:rPr>
              <w:t>024</w:t>
            </w:r>
          </w:p>
        </w:tc>
        <w:tc>
          <w:tcPr>
            <w:tcW w:w="1521" w:type="pct"/>
          </w:tcPr>
          <w:p w14:paraId="64DB4574" w14:textId="705202B1" w:rsidR="00897293" w:rsidRPr="00CC6553" w:rsidRDefault="00897293" w:rsidP="005271BB">
            <w:pPr>
              <w:rPr>
                <w:rFonts w:cs="Arial"/>
                <w:color w:val="000000" w:themeColor="text1"/>
                <w:sz w:val="20"/>
              </w:rPr>
            </w:pPr>
            <w:r w:rsidRPr="00CC6553">
              <w:rPr>
                <w:rFonts w:cs="Arial"/>
                <w:color w:val="000000" w:themeColor="text1"/>
                <w:sz w:val="20"/>
              </w:rPr>
              <w:t>We would like a statement pointing out that the benefit with the GDMT in HFrEF is aggregate – it is important to be on all four medications then these might be optimised.</w:t>
            </w:r>
          </w:p>
        </w:tc>
        <w:tc>
          <w:tcPr>
            <w:tcW w:w="2122" w:type="pct"/>
          </w:tcPr>
          <w:p w14:paraId="4B0464BB" w14:textId="6BDCDCEF" w:rsidR="00897293" w:rsidRPr="00CC6553" w:rsidRDefault="00897293" w:rsidP="14DE5554">
            <w:pPr>
              <w:pStyle w:val="Heading1"/>
              <w:rPr>
                <w:rFonts w:cs="Arial"/>
                <w:b w:val="0"/>
                <w:bCs w:val="0"/>
                <w:color w:val="000000" w:themeColor="text1"/>
                <w:sz w:val="20"/>
              </w:rPr>
            </w:pPr>
            <w:r w:rsidRPr="00CC6553">
              <w:rPr>
                <w:rFonts w:cs="Arial"/>
                <w:b w:val="0"/>
                <w:bCs w:val="0"/>
                <w:color w:val="000000" w:themeColor="text1"/>
                <w:sz w:val="20"/>
              </w:rPr>
              <w:t>Thank you for your comment.  The committee recognise the importan</w:t>
            </w:r>
            <w:r>
              <w:rPr>
                <w:rFonts w:cs="Arial"/>
                <w:b w:val="0"/>
                <w:bCs w:val="0"/>
                <w:color w:val="000000" w:themeColor="text1"/>
                <w:sz w:val="20"/>
              </w:rPr>
              <w:t>ce</w:t>
            </w:r>
            <w:r w:rsidRPr="00CC6553">
              <w:rPr>
                <w:rFonts w:cs="Arial"/>
                <w:b w:val="0"/>
                <w:bCs w:val="0"/>
                <w:color w:val="000000" w:themeColor="text1"/>
                <w:sz w:val="20"/>
              </w:rPr>
              <w:t xml:space="preserve"> of the four medications and the recommendation in section 1.7 states that you do not need to optimise the dose of each drug before introducing another.</w:t>
            </w:r>
          </w:p>
        </w:tc>
      </w:tr>
      <w:tr w:rsidR="00897293" w:rsidRPr="00CC6553" w14:paraId="4BFFDF6D" w14:textId="77777777" w:rsidTr="00897293">
        <w:trPr>
          <w:trHeight w:val="300"/>
        </w:trPr>
        <w:tc>
          <w:tcPr>
            <w:tcW w:w="109" w:type="pct"/>
          </w:tcPr>
          <w:p w14:paraId="4C806C4A" w14:textId="77777777" w:rsidR="00897293" w:rsidRPr="00CC6553" w:rsidRDefault="00897293" w:rsidP="005271BB">
            <w:pPr>
              <w:rPr>
                <w:rFonts w:cs="Arial"/>
                <w:color w:val="000000" w:themeColor="text1"/>
                <w:sz w:val="20"/>
              </w:rPr>
            </w:pPr>
            <w:r w:rsidRPr="00CC6553">
              <w:rPr>
                <w:rFonts w:cs="Arial"/>
                <w:color w:val="000000" w:themeColor="text1"/>
                <w:sz w:val="20"/>
              </w:rPr>
              <w:t>37</w:t>
            </w:r>
          </w:p>
        </w:tc>
        <w:tc>
          <w:tcPr>
            <w:tcW w:w="143" w:type="pct"/>
          </w:tcPr>
          <w:p w14:paraId="75C724C7" w14:textId="153E24A2"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73DAEB96" w14:textId="0C1016B9" w:rsidR="00897293" w:rsidRPr="00CC6553" w:rsidRDefault="00897293" w:rsidP="005271BB">
            <w:pPr>
              <w:rPr>
                <w:rFonts w:cs="Arial"/>
                <w:bCs/>
                <w:iCs/>
                <w:color w:val="000000" w:themeColor="text1"/>
                <w:sz w:val="20"/>
              </w:rPr>
            </w:pPr>
            <w:r w:rsidRPr="00CC6553">
              <w:rPr>
                <w:rFonts w:cs="Arial"/>
                <w:color w:val="000000" w:themeColor="text1"/>
                <w:sz w:val="20"/>
              </w:rPr>
              <w:t>Boehringer Ingelheim Ltd</w:t>
            </w:r>
          </w:p>
        </w:tc>
        <w:tc>
          <w:tcPr>
            <w:tcW w:w="279" w:type="pct"/>
          </w:tcPr>
          <w:p w14:paraId="308CDF17" w14:textId="60446FB4"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27574A1A" w14:textId="3C7E2495" w:rsidR="00897293" w:rsidRPr="00CC6553" w:rsidRDefault="00897293" w:rsidP="005271BB">
            <w:pPr>
              <w:rPr>
                <w:rFonts w:cs="Arial"/>
                <w:color w:val="000000" w:themeColor="text1"/>
                <w:sz w:val="20"/>
              </w:rPr>
            </w:pPr>
            <w:r w:rsidRPr="00CC6553">
              <w:rPr>
                <w:rFonts w:cs="Arial"/>
                <w:color w:val="000000" w:themeColor="text1"/>
                <w:sz w:val="20"/>
              </w:rPr>
              <w:t>010</w:t>
            </w:r>
          </w:p>
        </w:tc>
        <w:tc>
          <w:tcPr>
            <w:tcW w:w="214" w:type="pct"/>
          </w:tcPr>
          <w:p w14:paraId="5AC28BA1" w14:textId="4E4E39F3" w:rsidR="00897293" w:rsidRPr="00CC6553" w:rsidRDefault="00897293" w:rsidP="005271BB">
            <w:pPr>
              <w:rPr>
                <w:rFonts w:cs="Arial"/>
                <w:color w:val="000000" w:themeColor="text1"/>
                <w:sz w:val="20"/>
              </w:rPr>
            </w:pPr>
            <w:r w:rsidRPr="00CC6553">
              <w:rPr>
                <w:rFonts w:cs="Arial"/>
                <w:color w:val="000000" w:themeColor="text1"/>
                <w:sz w:val="20"/>
              </w:rPr>
              <w:t>024</w:t>
            </w:r>
          </w:p>
        </w:tc>
        <w:tc>
          <w:tcPr>
            <w:tcW w:w="1521" w:type="pct"/>
          </w:tcPr>
          <w:p w14:paraId="74738490" w14:textId="2A12069B" w:rsidR="00897293" w:rsidRPr="00CC6553" w:rsidRDefault="00897293" w:rsidP="005271BB">
            <w:pPr>
              <w:rPr>
                <w:rFonts w:cs="Arial"/>
                <w:color w:val="000000" w:themeColor="text1"/>
                <w:sz w:val="20"/>
              </w:rPr>
            </w:pPr>
            <w:r w:rsidRPr="00CC6553">
              <w:rPr>
                <w:rFonts w:cs="Arial"/>
                <w:color w:val="000000" w:themeColor="text1"/>
                <w:sz w:val="20"/>
              </w:rPr>
              <w:t xml:space="preserve">Inconsistency of TA inclusion: We appreciate NICE's efforts to update the guidelines to incorporate the latest evidence and technology appraisals, ensuring that patients receive the most effective and current treatments. However, the </w:t>
            </w:r>
            <w:r w:rsidRPr="00CC6553">
              <w:rPr>
                <w:rFonts w:cs="Arial"/>
                <w:color w:val="000000" w:themeColor="text1"/>
                <w:sz w:val="20"/>
              </w:rPr>
              <w:lastRenderedPageBreak/>
              <w:t>inclusion of certain appraisals such as TA929 (2023), TA902 (2023), TA314 (2014), and TA267 (2012), while excluding others like TA773 (2022), TA679 (2021), and TA388 (2016), may lead to confusion among the clinical and patient communities. This is because NICE clinical guideline updates are generally perceived as reflecting the most recent evidence and technology appraisals.</w:t>
            </w:r>
          </w:p>
        </w:tc>
        <w:tc>
          <w:tcPr>
            <w:tcW w:w="2122" w:type="pct"/>
          </w:tcPr>
          <w:p w14:paraId="0EB189CB" w14:textId="4326F93F"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lastRenderedPageBreak/>
              <w:t xml:space="preserve">Thank you for your comment.    TA 773, 679 and 267 position the drugs in different parts of the treatment </w:t>
            </w:r>
            <w:r w:rsidRPr="00CC6553">
              <w:rPr>
                <w:rFonts w:cs="Arial"/>
                <w:b w:val="0"/>
                <w:color w:val="000000" w:themeColor="text1"/>
                <w:sz w:val="20"/>
              </w:rPr>
              <w:lastRenderedPageBreak/>
              <w:t>pathway to that in the draft guidance.  NICE is currently engaging with an advisory Stakeholder Panel to inform development of </w:t>
            </w:r>
            <w:hyperlink r:id="rId11" w:history="1">
              <w:r w:rsidRPr="00CC6553">
                <w:rPr>
                  <w:rStyle w:val="Hyperlink"/>
                  <w:rFonts w:cs="Arial"/>
                  <w:b w:val="0"/>
                  <w:color w:val="000000" w:themeColor="text1"/>
                  <w:sz w:val="20"/>
                </w:rPr>
                <w:t>our approach</w:t>
              </w:r>
            </w:hyperlink>
            <w:r w:rsidRPr="00CC6553">
              <w:rPr>
                <w:rFonts w:cs="Arial"/>
                <w:b w:val="0"/>
                <w:color w:val="000000" w:themeColor="text1"/>
                <w:sz w:val="20"/>
              </w:rPr>
              <w:t> to incorporation.  </w:t>
            </w:r>
          </w:p>
        </w:tc>
      </w:tr>
      <w:tr w:rsidR="00897293" w:rsidRPr="00CC6553" w14:paraId="736B1E7C" w14:textId="77777777" w:rsidTr="00897293">
        <w:trPr>
          <w:trHeight w:val="300"/>
        </w:trPr>
        <w:tc>
          <w:tcPr>
            <w:tcW w:w="109" w:type="pct"/>
          </w:tcPr>
          <w:p w14:paraId="322B38A8"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38</w:t>
            </w:r>
          </w:p>
        </w:tc>
        <w:tc>
          <w:tcPr>
            <w:tcW w:w="143" w:type="pct"/>
          </w:tcPr>
          <w:p w14:paraId="3F2959A0" w14:textId="10942E4B"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30602BBD" w14:textId="1FC0BFC0" w:rsidR="00897293" w:rsidRPr="00CC6553" w:rsidRDefault="00897293" w:rsidP="005271BB">
            <w:pPr>
              <w:rPr>
                <w:rFonts w:cs="Arial"/>
                <w:bCs/>
                <w:iCs/>
                <w:color w:val="000000" w:themeColor="text1"/>
                <w:sz w:val="20"/>
              </w:rPr>
            </w:pPr>
            <w:r w:rsidRPr="00CC6553">
              <w:rPr>
                <w:rFonts w:cs="Arial"/>
                <w:color w:val="000000" w:themeColor="text1"/>
                <w:sz w:val="20"/>
              </w:rPr>
              <w:t>Boehringer Ingelheim Ltd</w:t>
            </w:r>
          </w:p>
        </w:tc>
        <w:tc>
          <w:tcPr>
            <w:tcW w:w="279" w:type="pct"/>
          </w:tcPr>
          <w:p w14:paraId="747AB89D" w14:textId="4088EDAF"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23095FC4" w14:textId="6013309C" w:rsidR="00897293" w:rsidRPr="00CC6553" w:rsidRDefault="00897293" w:rsidP="005271BB">
            <w:pPr>
              <w:rPr>
                <w:rFonts w:cs="Arial"/>
                <w:color w:val="000000" w:themeColor="text1"/>
                <w:sz w:val="20"/>
              </w:rPr>
            </w:pPr>
            <w:r w:rsidRPr="00CC6553">
              <w:rPr>
                <w:rFonts w:cs="Arial"/>
                <w:color w:val="000000" w:themeColor="text1"/>
                <w:sz w:val="20"/>
              </w:rPr>
              <w:t>010</w:t>
            </w:r>
          </w:p>
        </w:tc>
        <w:tc>
          <w:tcPr>
            <w:tcW w:w="214" w:type="pct"/>
          </w:tcPr>
          <w:p w14:paraId="39AB9814" w14:textId="5B3CA8F0" w:rsidR="00897293" w:rsidRPr="00CC6553" w:rsidRDefault="00897293" w:rsidP="005271BB">
            <w:pPr>
              <w:rPr>
                <w:rFonts w:cs="Arial"/>
                <w:color w:val="000000" w:themeColor="text1"/>
                <w:sz w:val="20"/>
              </w:rPr>
            </w:pPr>
            <w:r w:rsidRPr="00CC6553">
              <w:rPr>
                <w:rFonts w:cs="Arial"/>
                <w:color w:val="000000" w:themeColor="text1"/>
                <w:sz w:val="20"/>
              </w:rPr>
              <w:t>024</w:t>
            </w:r>
          </w:p>
        </w:tc>
        <w:tc>
          <w:tcPr>
            <w:tcW w:w="1521" w:type="pct"/>
          </w:tcPr>
          <w:p w14:paraId="06F601C0" w14:textId="4129D7FA" w:rsidR="00897293" w:rsidRPr="00CC6553" w:rsidRDefault="00897293" w:rsidP="005271BB">
            <w:pPr>
              <w:rPr>
                <w:rFonts w:cs="Arial"/>
                <w:color w:val="000000" w:themeColor="text1"/>
                <w:sz w:val="20"/>
              </w:rPr>
            </w:pPr>
            <w:r w:rsidRPr="00CC6553">
              <w:rPr>
                <w:rFonts w:cs="Arial"/>
                <w:color w:val="000000" w:themeColor="text1"/>
                <w:sz w:val="20"/>
              </w:rPr>
              <w:t>Inconsistency of TA inclusion: As per comment 2 above, explicit note to HFrEF technology appraisals such as TA773 for empagliflozin should be added in Sec 1.4. so that it is consistent with HFmrEF/HFpEF in Sec 1.5.</w:t>
            </w:r>
          </w:p>
        </w:tc>
        <w:tc>
          <w:tcPr>
            <w:tcW w:w="2122" w:type="pct"/>
          </w:tcPr>
          <w:p w14:paraId="26ADC4FE" w14:textId="0B6903E1"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    TA 773, 679 and 267 position the drugs in different parts of the treatment pathway to that in the draft guidance.  NICE is currently engaging with an advisory Stakeholder Panel to inform development of </w:t>
            </w:r>
            <w:hyperlink r:id="rId12" w:history="1">
              <w:r w:rsidRPr="00CC6553">
                <w:rPr>
                  <w:rStyle w:val="Hyperlink"/>
                  <w:rFonts w:cs="Arial"/>
                  <w:b w:val="0"/>
                  <w:color w:val="000000" w:themeColor="text1"/>
                  <w:sz w:val="20"/>
                </w:rPr>
                <w:t>our approach</w:t>
              </w:r>
            </w:hyperlink>
            <w:r w:rsidRPr="00CC6553">
              <w:rPr>
                <w:rFonts w:cs="Arial"/>
                <w:b w:val="0"/>
                <w:color w:val="000000" w:themeColor="text1"/>
                <w:sz w:val="20"/>
              </w:rPr>
              <w:t> to incorporation.  </w:t>
            </w:r>
          </w:p>
        </w:tc>
      </w:tr>
      <w:tr w:rsidR="00897293" w:rsidRPr="00CC6553" w14:paraId="72BBAC4A" w14:textId="77777777" w:rsidTr="00897293">
        <w:trPr>
          <w:trHeight w:val="300"/>
        </w:trPr>
        <w:tc>
          <w:tcPr>
            <w:tcW w:w="109" w:type="pct"/>
          </w:tcPr>
          <w:p w14:paraId="6F7D6F8F" w14:textId="77777777" w:rsidR="00897293" w:rsidRPr="00CC6553" w:rsidRDefault="00897293" w:rsidP="005271BB">
            <w:pPr>
              <w:rPr>
                <w:rFonts w:cs="Arial"/>
                <w:color w:val="000000" w:themeColor="text1"/>
                <w:sz w:val="20"/>
              </w:rPr>
            </w:pPr>
            <w:r w:rsidRPr="00CC6553">
              <w:rPr>
                <w:rFonts w:cs="Arial"/>
                <w:color w:val="000000" w:themeColor="text1"/>
                <w:sz w:val="20"/>
              </w:rPr>
              <w:t>39</w:t>
            </w:r>
          </w:p>
        </w:tc>
        <w:tc>
          <w:tcPr>
            <w:tcW w:w="143" w:type="pct"/>
          </w:tcPr>
          <w:p w14:paraId="3A2DAC2C" w14:textId="7D4F7506"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0532EB21" w14:textId="6C4953E6"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0D730DFC" w14:textId="54248DF9"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11EC2A7B" w14:textId="19676732" w:rsidR="00897293" w:rsidRPr="00CC6553" w:rsidRDefault="00897293" w:rsidP="005271BB">
            <w:pPr>
              <w:rPr>
                <w:rFonts w:cs="Arial"/>
                <w:color w:val="000000" w:themeColor="text1"/>
                <w:sz w:val="20"/>
              </w:rPr>
            </w:pPr>
            <w:r w:rsidRPr="00CC6553">
              <w:rPr>
                <w:rFonts w:cs="Arial"/>
                <w:color w:val="000000" w:themeColor="text1"/>
                <w:sz w:val="20"/>
              </w:rPr>
              <w:t>010</w:t>
            </w:r>
          </w:p>
        </w:tc>
        <w:tc>
          <w:tcPr>
            <w:tcW w:w="214" w:type="pct"/>
          </w:tcPr>
          <w:p w14:paraId="2C26716C" w14:textId="2EEEA58F" w:rsidR="00897293" w:rsidRPr="00CC6553" w:rsidRDefault="00897293" w:rsidP="005271BB">
            <w:pPr>
              <w:rPr>
                <w:rFonts w:cs="Arial"/>
                <w:color w:val="000000" w:themeColor="text1"/>
                <w:sz w:val="20"/>
              </w:rPr>
            </w:pPr>
            <w:r w:rsidRPr="00CC6553">
              <w:rPr>
                <w:rFonts w:cs="Arial"/>
                <w:color w:val="000000" w:themeColor="text1"/>
                <w:sz w:val="20"/>
              </w:rPr>
              <w:t>025</w:t>
            </w:r>
          </w:p>
        </w:tc>
        <w:tc>
          <w:tcPr>
            <w:tcW w:w="1521" w:type="pct"/>
          </w:tcPr>
          <w:p w14:paraId="59DA13AD" w14:textId="145221DD" w:rsidR="00897293" w:rsidRPr="00CC6553" w:rsidRDefault="00897293" w:rsidP="005271BB">
            <w:pPr>
              <w:rPr>
                <w:rFonts w:cs="Arial"/>
                <w:color w:val="000000" w:themeColor="text1"/>
                <w:sz w:val="20"/>
              </w:rPr>
            </w:pPr>
            <w:r w:rsidRPr="00CC6553">
              <w:rPr>
                <w:rFonts w:cs="Arial"/>
                <w:color w:val="000000" w:themeColor="text1"/>
                <w:sz w:val="20"/>
              </w:rPr>
              <w:t>1.4.1 - This recommendation is not reflective of clinical practice in which an ARNI is now used first line – as per ESC recommendations which describe both the clinical effectiveness and cost effectiveness of incorporating an ARNI into the pharmacological management pathway at the outset of treatment.  This recommendation is a retrograde step and does not provide patients with a treatment regime that is aligned to more recent advances in the evidence base.</w:t>
            </w:r>
            <w:r w:rsidRPr="00CC6553">
              <w:rPr>
                <w:rFonts w:cs="Arial"/>
                <w:color w:val="000000" w:themeColor="text1"/>
                <w:sz w:val="20"/>
              </w:rPr>
              <w:br/>
              <w:t>The 4 pillar approach should be amended to ARNI/ACEI, MRA, SGLT2i, BB</w:t>
            </w:r>
          </w:p>
        </w:tc>
        <w:tc>
          <w:tcPr>
            <w:tcW w:w="2122" w:type="pct"/>
          </w:tcPr>
          <w:p w14:paraId="275B40B3" w14:textId="0B8F1398" w:rsidR="00897293" w:rsidRPr="00CC6553" w:rsidRDefault="00897293" w:rsidP="65BBC0BB">
            <w:pPr>
              <w:pStyle w:val="Heading1"/>
              <w:rPr>
                <w:rFonts w:cs="Arial"/>
                <w:b w:val="0"/>
                <w:bCs w:val="0"/>
                <w:color w:val="000000" w:themeColor="text1"/>
                <w:sz w:val="20"/>
              </w:rPr>
            </w:pPr>
            <w:r w:rsidRPr="00CC6553">
              <w:rPr>
                <w:rFonts w:cs="Arial"/>
                <w:b w:val="0"/>
                <w:bCs w:val="0"/>
                <w:color w:val="000000" w:themeColor="text1"/>
                <w:sz w:val="20"/>
              </w:rPr>
              <w:t>Thank you for your comment. The ESC guidelines considered clinical effectiveness only and the cost-effectiveness of using ARNI as first-line was not explored. The economic model developed for this guideline looked at both clinical and cost-effectiveness of ARNI and concluded that ARNI is not cost-effective in people who can tolerate ACEI at current prices.</w:t>
            </w:r>
          </w:p>
          <w:p w14:paraId="1609E1D1" w14:textId="77777777" w:rsidR="00897293" w:rsidRPr="00CC6553" w:rsidRDefault="00897293" w:rsidP="65BBC0BB">
            <w:pPr>
              <w:pStyle w:val="Heading1"/>
              <w:rPr>
                <w:rFonts w:cs="Arial"/>
                <w:b w:val="0"/>
                <w:bCs w:val="0"/>
                <w:color w:val="000000" w:themeColor="text1"/>
                <w:sz w:val="20"/>
              </w:rPr>
            </w:pPr>
          </w:p>
          <w:p w14:paraId="404DCBA1" w14:textId="1CF6B62A" w:rsidR="00897293" w:rsidRPr="00CC6553" w:rsidRDefault="00897293" w:rsidP="65BBC0BB">
            <w:pPr>
              <w:pStyle w:val="Heading1"/>
              <w:rPr>
                <w:rFonts w:cs="Arial"/>
                <w:b w:val="0"/>
                <w:bCs w:val="0"/>
                <w:color w:val="000000" w:themeColor="text1"/>
                <w:sz w:val="20"/>
              </w:rPr>
            </w:pPr>
            <w:r w:rsidRPr="00CC6553">
              <w:rPr>
                <w:rFonts w:cs="Arial"/>
                <w:b w:val="0"/>
                <w:bCs w:val="0"/>
                <w:color w:val="000000" w:themeColor="text1"/>
                <w:sz w:val="20"/>
              </w:rPr>
              <w:t xml:space="preserve">The 4-pillar approach recommended by the guideline is ACEI / ARNI (in case ACEI is not tolerated), MRA, SGLT2i and BB. This may change in </w:t>
            </w:r>
            <w:r w:rsidRPr="00CC6553">
              <w:rPr>
                <w:rFonts w:cs="Arial"/>
                <w:b w:val="0"/>
                <w:bCs w:val="0"/>
                <w:color w:val="000000" w:themeColor="text1"/>
                <w:sz w:val="20"/>
              </w:rPr>
              <w:lastRenderedPageBreak/>
              <w:t xml:space="preserve">future updates if the price of ARNI is reduced.  </w:t>
            </w:r>
          </w:p>
          <w:p w14:paraId="1E31ACB7" w14:textId="13159891" w:rsidR="00897293" w:rsidRPr="00CC6553" w:rsidRDefault="00897293" w:rsidP="005271BB">
            <w:pPr>
              <w:pStyle w:val="Heading1"/>
              <w:rPr>
                <w:rFonts w:cs="Arial"/>
                <w:b w:val="0"/>
                <w:color w:val="000000" w:themeColor="text1"/>
                <w:sz w:val="20"/>
              </w:rPr>
            </w:pPr>
            <w:r w:rsidRPr="00CC6553">
              <w:rPr>
                <w:color w:val="000000" w:themeColor="text1"/>
              </w:rPr>
              <w:br/>
            </w:r>
          </w:p>
        </w:tc>
      </w:tr>
      <w:tr w:rsidR="00897293" w:rsidRPr="00CC6553" w14:paraId="71337020" w14:textId="77777777" w:rsidTr="00897293">
        <w:trPr>
          <w:trHeight w:val="300"/>
        </w:trPr>
        <w:tc>
          <w:tcPr>
            <w:tcW w:w="109" w:type="pct"/>
          </w:tcPr>
          <w:p w14:paraId="24CD7B7C"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40</w:t>
            </w:r>
          </w:p>
        </w:tc>
        <w:tc>
          <w:tcPr>
            <w:tcW w:w="143" w:type="pct"/>
          </w:tcPr>
          <w:p w14:paraId="7A070D66" w14:textId="2DE9D6A1"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7B99FB96" w14:textId="7EDBB2EE"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5D559B4F" w14:textId="4D6C4980"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3833FC3E" w14:textId="4E4C82D9" w:rsidR="00897293" w:rsidRPr="00CC6553" w:rsidRDefault="00897293" w:rsidP="005271BB">
            <w:pPr>
              <w:rPr>
                <w:rFonts w:cs="Arial"/>
                <w:color w:val="000000" w:themeColor="text1"/>
                <w:sz w:val="20"/>
              </w:rPr>
            </w:pPr>
            <w:r w:rsidRPr="00CC6553">
              <w:rPr>
                <w:rFonts w:cs="Arial"/>
                <w:color w:val="000000" w:themeColor="text1"/>
                <w:sz w:val="20"/>
              </w:rPr>
              <w:t>010</w:t>
            </w:r>
          </w:p>
        </w:tc>
        <w:tc>
          <w:tcPr>
            <w:tcW w:w="214" w:type="pct"/>
          </w:tcPr>
          <w:p w14:paraId="3D60A87F" w14:textId="6844A661" w:rsidR="00897293" w:rsidRPr="00CC6553" w:rsidRDefault="00897293" w:rsidP="005271BB">
            <w:pPr>
              <w:rPr>
                <w:rFonts w:cs="Arial"/>
                <w:color w:val="000000" w:themeColor="text1"/>
                <w:sz w:val="20"/>
              </w:rPr>
            </w:pPr>
            <w:r w:rsidRPr="00CC6553">
              <w:rPr>
                <w:rFonts w:cs="Arial"/>
                <w:color w:val="000000" w:themeColor="text1"/>
                <w:sz w:val="20"/>
              </w:rPr>
              <w:t>025</w:t>
            </w:r>
          </w:p>
        </w:tc>
        <w:tc>
          <w:tcPr>
            <w:tcW w:w="1521" w:type="pct"/>
          </w:tcPr>
          <w:p w14:paraId="402CDF09" w14:textId="2CAFD87E" w:rsidR="00897293" w:rsidRPr="00CC6553" w:rsidRDefault="00897293" w:rsidP="005271BB">
            <w:pPr>
              <w:rPr>
                <w:rFonts w:cs="Arial"/>
                <w:color w:val="000000" w:themeColor="text1"/>
                <w:sz w:val="20"/>
              </w:rPr>
            </w:pPr>
            <w:r w:rsidRPr="00CC6553">
              <w:rPr>
                <w:rFonts w:cs="Arial"/>
                <w:color w:val="000000" w:themeColor="text1"/>
                <w:sz w:val="20"/>
              </w:rPr>
              <w:t>Strong evidence-based recommendation. May be useful for purposes of implementation in primary care, advice on sequencing. Cost and access to SGLT2i may vary regionally. Concern of possible misinterpretation that all with HFrEF must be on all four pillars, regardless of individual assessment such as CKD4-5, hyperkalaemia, bradycardia, diabetic ketoacidosis. Emphasise four pillars but tailored approach. Poor access to diagnostics will delay medication optimisation.</w:t>
            </w:r>
          </w:p>
        </w:tc>
        <w:tc>
          <w:tcPr>
            <w:tcW w:w="2122" w:type="pct"/>
          </w:tcPr>
          <w:p w14:paraId="14754060" w14:textId="2636C40C"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  The recommendation in section 1.7 includes consideration of the person’s medical history which includes consideration of the conditions you have highlighted.  The committee agreed that access to diagnosis is important however the scope of this update was the pharmacological management of chronic heart failure https://www.nice.org.uk/guidance/gid-ng10405/documents/final-scope and the committee is therefore unable to further recommendations outside of this.</w:t>
            </w:r>
          </w:p>
        </w:tc>
      </w:tr>
      <w:tr w:rsidR="00897293" w:rsidRPr="00CC6553" w14:paraId="4FBA6931" w14:textId="77777777" w:rsidTr="00897293">
        <w:trPr>
          <w:trHeight w:val="300"/>
        </w:trPr>
        <w:tc>
          <w:tcPr>
            <w:tcW w:w="109" w:type="pct"/>
          </w:tcPr>
          <w:p w14:paraId="5D615FE1" w14:textId="77777777" w:rsidR="00897293" w:rsidRPr="00CC6553" w:rsidRDefault="00897293" w:rsidP="005271BB">
            <w:pPr>
              <w:rPr>
                <w:rFonts w:cs="Arial"/>
                <w:color w:val="000000" w:themeColor="text1"/>
                <w:sz w:val="20"/>
              </w:rPr>
            </w:pPr>
            <w:r w:rsidRPr="00CC6553">
              <w:rPr>
                <w:rFonts w:cs="Arial"/>
                <w:color w:val="000000" w:themeColor="text1"/>
                <w:sz w:val="20"/>
              </w:rPr>
              <w:t>41</w:t>
            </w:r>
          </w:p>
        </w:tc>
        <w:tc>
          <w:tcPr>
            <w:tcW w:w="143" w:type="pct"/>
          </w:tcPr>
          <w:p w14:paraId="7BA81613" w14:textId="711119E9"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7A63C0D9" w14:textId="381BEC11"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5FEA3F0A" w14:textId="223C1BB9"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3881465D" w14:textId="77004FFC" w:rsidR="00897293" w:rsidRPr="00CC6553" w:rsidRDefault="00897293" w:rsidP="005271BB">
            <w:pPr>
              <w:rPr>
                <w:rFonts w:cs="Arial"/>
                <w:color w:val="000000" w:themeColor="text1"/>
                <w:sz w:val="20"/>
              </w:rPr>
            </w:pPr>
            <w:r w:rsidRPr="00CC6553">
              <w:rPr>
                <w:rFonts w:cs="Arial"/>
                <w:color w:val="000000" w:themeColor="text1"/>
                <w:sz w:val="20"/>
              </w:rPr>
              <w:t>010</w:t>
            </w:r>
          </w:p>
        </w:tc>
        <w:tc>
          <w:tcPr>
            <w:tcW w:w="214" w:type="pct"/>
          </w:tcPr>
          <w:p w14:paraId="52752E8F" w14:textId="62097732" w:rsidR="00897293" w:rsidRPr="00CC6553" w:rsidRDefault="00897293" w:rsidP="005271BB">
            <w:pPr>
              <w:rPr>
                <w:rFonts w:cs="Arial"/>
                <w:color w:val="000000" w:themeColor="text1"/>
                <w:sz w:val="20"/>
              </w:rPr>
            </w:pPr>
            <w:r w:rsidRPr="00CC6553">
              <w:rPr>
                <w:rFonts w:cs="Arial"/>
                <w:color w:val="000000" w:themeColor="text1"/>
                <w:sz w:val="20"/>
              </w:rPr>
              <w:t>025</w:t>
            </w:r>
          </w:p>
        </w:tc>
        <w:tc>
          <w:tcPr>
            <w:tcW w:w="1521" w:type="pct"/>
          </w:tcPr>
          <w:p w14:paraId="7487F671" w14:textId="202EB4B9" w:rsidR="00897293" w:rsidRPr="00CC6553" w:rsidRDefault="00897293" w:rsidP="005271BB">
            <w:pPr>
              <w:rPr>
                <w:rFonts w:cs="Arial"/>
                <w:color w:val="000000" w:themeColor="text1"/>
                <w:sz w:val="20"/>
              </w:rPr>
            </w:pPr>
            <w:r w:rsidRPr="00CC6553">
              <w:rPr>
                <w:rFonts w:cs="Arial"/>
                <w:color w:val="000000" w:themeColor="text1"/>
                <w:sz w:val="20"/>
              </w:rPr>
              <w:t>Would suggest making it clear that this combination can be started in primary care</w:t>
            </w:r>
          </w:p>
        </w:tc>
        <w:tc>
          <w:tcPr>
            <w:tcW w:w="2122" w:type="pct"/>
          </w:tcPr>
          <w:p w14:paraId="1F064CBB" w14:textId="537D391F" w:rsidR="00897293" w:rsidRPr="00CC6553" w:rsidRDefault="00897293" w:rsidP="476BDDBF">
            <w:pPr>
              <w:pStyle w:val="Heading1"/>
              <w:rPr>
                <w:rFonts w:cs="Arial"/>
                <w:b w:val="0"/>
                <w:bCs w:val="0"/>
                <w:color w:val="000000" w:themeColor="text1"/>
                <w:sz w:val="20"/>
              </w:rPr>
            </w:pPr>
            <w:r w:rsidRPr="00CC6553">
              <w:rPr>
                <w:rFonts w:cs="Arial"/>
                <w:b w:val="0"/>
                <w:bCs w:val="0"/>
                <w:color w:val="000000" w:themeColor="text1"/>
                <w:sz w:val="20"/>
              </w:rPr>
              <w:t>Thank you for your comment.  The recommendation does not preclude this combination being started in primary care.  This is supported by the recommendation in section 1.7 recommending that GPs can start an ARNI but can consider seeking specialist advice.</w:t>
            </w:r>
          </w:p>
        </w:tc>
      </w:tr>
      <w:tr w:rsidR="00897293" w:rsidRPr="00CC6553" w14:paraId="54BE3E74" w14:textId="77777777" w:rsidTr="00897293">
        <w:trPr>
          <w:trHeight w:val="300"/>
        </w:trPr>
        <w:tc>
          <w:tcPr>
            <w:tcW w:w="109" w:type="pct"/>
          </w:tcPr>
          <w:p w14:paraId="3D624CAD" w14:textId="77777777" w:rsidR="00897293" w:rsidRPr="00CC6553" w:rsidRDefault="00897293" w:rsidP="005271BB">
            <w:pPr>
              <w:rPr>
                <w:rFonts w:cs="Arial"/>
                <w:color w:val="000000" w:themeColor="text1"/>
                <w:sz w:val="20"/>
              </w:rPr>
            </w:pPr>
            <w:r w:rsidRPr="00CC6553">
              <w:rPr>
                <w:rFonts w:cs="Arial"/>
                <w:color w:val="000000" w:themeColor="text1"/>
                <w:sz w:val="20"/>
              </w:rPr>
              <w:t>42</w:t>
            </w:r>
          </w:p>
        </w:tc>
        <w:tc>
          <w:tcPr>
            <w:tcW w:w="143" w:type="pct"/>
          </w:tcPr>
          <w:p w14:paraId="7F245472" w14:textId="3AD7E4D7"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2FC8A42F" w14:textId="0772D876" w:rsidR="00897293" w:rsidRPr="00CC6553" w:rsidRDefault="00897293" w:rsidP="005271BB">
            <w:pPr>
              <w:rPr>
                <w:rFonts w:cs="Arial"/>
                <w:bCs/>
                <w:iCs/>
                <w:color w:val="000000" w:themeColor="text1"/>
                <w:sz w:val="20"/>
              </w:rPr>
            </w:pPr>
            <w:r w:rsidRPr="00CC6553">
              <w:rPr>
                <w:rFonts w:cs="Arial"/>
                <w:color w:val="000000" w:themeColor="text1"/>
                <w:sz w:val="20"/>
              </w:rPr>
              <w:t xml:space="preserve">British Association for Nursing in </w:t>
            </w:r>
            <w:r w:rsidRPr="00CC6553">
              <w:rPr>
                <w:rFonts w:cs="Arial"/>
                <w:color w:val="000000" w:themeColor="text1"/>
                <w:sz w:val="20"/>
              </w:rPr>
              <w:lastRenderedPageBreak/>
              <w:t>Cardiovascular Care (BANCC)</w:t>
            </w:r>
          </w:p>
        </w:tc>
        <w:tc>
          <w:tcPr>
            <w:tcW w:w="279" w:type="pct"/>
          </w:tcPr>
          <w:p w14:paraId="3F4F61D6" w14:textId="5BE6DDDD" w:rsidR="00897293" w:rsidRPr="00CC6553" w:rsidRDefault="00897293" w:rsidP="005271BB">
            <w:pPr>
              <w:rPr>
                <w:rFonts w:cs="Arial"/>
                <w:color w:val="000000" w:themeColor="text1"/>
                <w:sz w:val="20"/>
              </w:rPr>
            </w:pPr>
            <w:r w:rsidRPr="00CC6553">
              <w:rPr>
                <w:rFonts w:cs="Arial"/>
                <w:color w:val="000000" w:themeColor="text1"/>
                <w:sz w:val="20"/>
              </w:rPr>
              <w:lastRenderedPageBreak/>
              <w:t>Guideline</w:t>
            </w:r>
          </w:p>
        </w:tc>
        <w:tc>
          <w:tcPr>
            <w:tcW w:w="214" w:type="pct"/>
          </w:tcPr>
          <w:p w14:paraId="63692283" w14:textId="42DA4D90" w:rsidR="00897293" w:rsidRPr="00CC6553" w:rsidRDefault="00897293" w:rsidP="005271BB">
            <w:pPr>
              <w:rPr>
                <w:rFonts w:cs="Arial"/>
                <w:color w:val="000000" w:themeColor="text1"/>
                <w:sz w:val="20"/>
              </w:rPr>
            </w:pPr>
            <w:r w:rsidRPr="00CC6553">
              <w:rPr>
                <w:rFonts w:cs="Arial"/>
                <w:color w:val="000000" w:themeColor="text1"/>
                <w:sz w:val="20"/>
              </w:rPr>
              <w:t>010</w:t>
            </w:r>
          </w:p>
        </w:tc>
        <w:tc>
          <w:tcPr>
            <w:tcW w:w="214" w:type="pct"/>
          </w:tcPr>
          <w:p w14:paraId="535DD846" w14:textId="4BDE64D4" w:rsidR="00897293" w:rsidRPr="00CC6553" w:rsidRDefault="00897293" w:rsidP="005271BB">
            <w:pPr>
              <w:rPr>
                <w:rFonts w:cs="Arial"/>
                <w:color w:val="000000" w:themeColor="text1"/>
                <w:sz w:val="20"/>
              </w:rPr>
            </w:pPr>
            <w:r w:rsidRPr="00CC6553">
              <w:rPr>
                <w:rFonts w:cs="Arial"/>
                <w:color w:val="000000" w:themeColor="text1"/>
                <w:sz w:val="20"/>
              </w:rPr>
              <w:t>025</w:t>
            </w:r>
          </w:p>
        </w:tc>
        <w:tc>
          <w:tcPr>
            <w:tcW w:w="1521" w:type="pct"/>
          </w:tcPr>
          <w:p w14:paraId="523EE9B8" w14:textId="2DCEF8DA" w:rsidR="00897293" w:rsidRPr="00CC6553" w:rsidRDefault="00897293" w:rsidP="005271BB">
            <w:pPr>
              <w:rPr>
                <w:rFonts w:cs="Arial"/>
                <w:color w:val="000000" w:themeColor="text1"/>
                <w:sz w:val="20"/>
              </w:rPr>
            </w:pPr>
            <w:r w:rsidRPr="00CC6553">
              <w:rPr>
                <w:rFonts w:cs="Arial"/>
                <w:color w:val="000000" w:themeColor="text1"/>
                <w:sz w:val="20"/>
              </w:rPr>
              <w:t xml:space="preserve">The recommendation should include ARNI up front (in line with ESC guidelines – supported by the PARADIGMHF Trial -McMurray J.J.V., Packer M., Desai A.S., et al. "Angiotensin–neprilysin inhibition versus enalapril in heart failure". N Engl J </w:t>
            </w:r>
            <w:r w:rsidRPr="00CC6553">
              <w:rPr>
                <w:rFonts w:cs="Arial"/>
                <w:color w:val="000000" w:themeColor="text1"/>
                <w:sz w:val="20"/>
              </w:rPr>
              <w:lastRenderedPageBreak/>
              <w:t xml:space="preserve">Med 2014;371:11: 993-1004. which showed superiority of ARNI in preventing deaths and hospitalisation vs ACEi, in addition to improve patient quality of life. These findings were supported by other studies on patients with acute HF -TRANSITION and PIONEER-HF including in patients without prior use of ACEi)These findings were supported by a real word study-Bhatt AS, Vaduganathan M, Jena BP, Suminska S, Eid C, Schwende H, Senni M. Real-world comparative effectiveness of sacubitril/valsartan versus RAS inhibition alone in patients with de novo heart failure. ESC Heart Fail. 2025 Jun;12(3):1682-1692. The trials of ARNI vs ACEi showed a very early divergence of Kaplan Meier curves within the 1st 30 days when the risk of adverse outcomes (mortality and re-hospitalisation) are the highest. Earlier use of ARNI also delays disease progression through delay of reverse left ventricular remodelling-Januzzi JL Jr, Camacho A, Piña IL, Rocha R, Williamson KM, Maisel AS, et al. Reverse cardiac remodeling and outcome after initiation of sacubitril/valsartan. Circ Heart Fail 2020; 13:e006946. </w:t>
            </w:r>
            <w:r w:rsidRPr="00CC6553">
              <w:rPr>
                <w:rFonts w:cs="Arial"/>
                <w:color w:val="000000" w:themeColor="text1"/>
                <w:sz w:val="20"/>
              </w:rPr>
              <w:br/>
              <w:t>Oh JH, Lee JM, Lee HJ, Hwang J, Lee CH, Cho YK, et al. The benefits of the earlier use of sacubitril/valsartan in de novo heart failure with reduced ejection fraction patients. ESC Heart Fail 2022; 9: 2435-2444.</w:t>
            </w:r>
            <w:r w:rsidRPr="00CC6553">
              <w:rPr>
                <w:rFonts w:cs="Arial"/>
                <w:color w:val="000000" w:themeColor="text1"/>
                <w:sz w:val="20"/>
              </w:rPr>
              <w:br/>
              <w:t>Patients with new diagnosis of HFrEF are under-treated. Advising ACE inhibitor uptitration to maximum dose prior to switch to ARNI, increases the risk of adverse outcomes for these patients.</w:t>
            </w:r>
            <w:r w:rsidRPr="00CC6553">
              <w:rPr>
                <w:rFonts w:cs="Arial"/>
                <w:color w:val="000000" w:themeColor="text1"/>
                <w:sz w:val="20"/>
              </w:rPr>
              <w:br/>
              <w:t>The above recommendation also adds further burden to already stretch and overburdened heart failure services due to a need for more clinic visits. This along with the risk of adverse outcomes from an “ACEi 1st strategy” also adds to the economic burden on the NHS.</w:t>
            </w:r>
            <w:r w:rsidRPr="00CC6553">
              <w:rPr>
                <w:rFonts w:cs="Arial"/>
                <w:color w:val="000000" w:themeColor="text1"/>
                <w:sz w:val="20"/>
              </w:rPr>
              <w:br/>
            </w:r>
            <w:r w:rsidRPr="00CC6553">
              <w:rPr>
                <w:rFonts w:cs="Arial"/>
                <w:color w:val="000000" w:themeColor="text1"/>
                <w:sz w:val="20"/>
              </w:rPr>
              <w:br/>
              <w:t>We would like emphasis on aggregate benefit of titrating four pillars in HFrEF and remove the start low go slow advice which contradicts current evidence and practice.</w:t>
            </w:r>
          </w:p>
        </w:tc>
        <w:tc>
          <w:tcPr>
            <w:tcW w:w="2122" w:type="pct"/>
          </w:tcPr>
          <w:p w14:paraId="3450B29D" w14:textId="206F1987" w:rsidR="00897293" w:rsidRPr="00CC6553" w:rsidRDefault="00897293" w:rsidP="4CE98B65">
            <w:pPr>
              <w:rPr>
                <w:color w:val="000000" w:themeColor="text1"/>
              </w:rPr>
            </w:pPr>
            <w:r w:rsidRPr="00CC6553">
              <w:rPr>
                <w:color w:val="000000" w:themeColor="text1"/>
              </w:rPr>
              <w:lastRenderedPageBreak/>
              <w:t xml:space="preserve">Thank you for your comment. </w:t>
            </w:r>
          </w:p>
          <w:p w14:paraId="532C8C70" w14:textId="6C3E08A5" w:rsidR="00897293" w:rsidRPr="009B3C47" w:rsidRDefault="00897293" w:rsidP="6A07F9EC">
            <w:pPr>
              <w:rPr>
                <w:rFonts w:cs="Arial"/>
                <w:color w:val="000000" w:themeColor="text1"/>
                <w:sz w:val="20"/>
              </w:rPr>
            </w:pPr>
            <w:r w:rsidRPr="00CC6553">
              <w:rPr>
                <w:rFonts w:cs="Arial"/>
                <w:color w:val="000000" w:themeColor="text1"/>
                <w:sz w:val="20"/>
              </w:rPr>
              <w:t xml:space="preserve">The economic model used relative treatment effects of ARNI derived </w:t>
            </w:r>
            <w:r w:rsidRPr="00CC6553">
              <w:rPr>
                <w:rFonts w:cs="Arial"/>
                <w:color w:val="000000" w:themeColor="text1"/>
                <w:sz w:val="20"/>
              </w:rPr>
              <w:lastRenderedPageBreak/>
              <w:t>from clinical trials, including PARADIGM-HF. Moreover, real-world evidence from OpenSAFELY was used to reflect baseline risk of an English population. Even in the more favourable scenarios for ARNI, at current prices, the economic modelling found it not cost-effective in people who can tolerate ACEI.</w:t>
            </w:r>
          </w:p>
          <w:p w14:paraId="1D286982" w14:textId="6641767D" w:rsidR="00897293" w:rsidRDefault="00897293" w:rsidP="00905381">
            <w:pPr>
              <w:rPr>
                <w:rFonts w:eastAsia="Aptos" w:cs="Arial"/>
                <w:color w:val="000000" w:themeColor="text1"/>
                <w:sz w:val="20"/>
              </w:rPr>
            </w:pPr>
            <w:r w:rsidRPr="009B3C47">
              <w:rPr>
                <w:rFonts w:eastAsia="Aptos" w:cs="Arial"/>
                <w:color w:val="000000" w:themeColor="text1"/>
                <w:sz w:val="20"/>
              </w:rPr>
              <w:t xml:space="preserve">The review protocol for this update specified that only randomised trial data would be included when assessing the clinical effectiveness as this provides the most robust source of data for comparing interventions. Therefore, real world data was not incorporated in the clinical evidence review. </w:t>
            </w:r>
          </w:p>
          <w:p w14:paraId="0913EE56" w14:textId="77777777" w:rsidR="00897293" w:rsidRDefault="00897293" w:rsidP="00905381">
            <w:pPr>
              <w:rPr>
                <w:rFonts w:cs="Arial"/>
                <w:color w:val="000000" w:themeColor="text1"/>
                <w:sz w:val="20"/>
              </w:rPr>
            </w:pPr>
          </w:p>
          <w:p w14:paraId="289C4748" w14:textId="013CB719" w:rsidR="00897293" w:rsidRPr="009B3C47" w:rsidRDefault="00897293" w:rsidP="00905381">
            <w:pPr>
              <w:rPr>
                <w:rFonts w:cs="Arial"/>
                <w:color w:val="000000" w:themeColor="text1"/>
                <w:sz w:val="20"/>
              </w:rPr>
            </w:pPr>
            <w:r w:rsidRPr="009B3C47">
              <w:rPr>
                <w:rFonts w:cs="Arial"/>
                <w:color w:val="000000" w:themeColor="text1"/>
                <w:sz w:val="20"/>
              </w:rPr>
              <w:t>Thank you for your comment regarding ‘start low go slow’.  This has been deleted.</w:t>
            </w:r>
          </w:p>
          <w:p w14:paraId="52990E16" w14:textId="49EB5752" w:rsidR="00897293" w:rsidRPr="00CC6553" w:rsidRDefault="00897293" w:rsidP="033B5BCC">
            <w:pPr>
              <w:rPr>
                <w:color w:val="000000" w:themeColor="text1"/>
              </w:rPr>
            </w:pPr>
          </w:p>
        </w:tc>
      </w:tr>
      <w:tr w:rsidR="00897293" w:rsidRPr="00CC6553" w14:paraId="487BF852" w14:textId="77777777" w:rsidTr="00897293">
        <w:trPr>
          <w:trHeight w:val="300"/>
        </w:trPr>
        <w:tc>
          <w:tcPr>
            <w:tcW w:w="109" w:type="pct"/>
          </w:tcPr>
          <w:p w14:paraId="216EC787"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43</w:t>
            </w:r>
          </w:p>
        </w:tc>
        <w:tc>
          <w:tcPr>
            <w:tcW w:w="143" w:type="pct"/>
          </w:tcPr>
          <w:p w14:paraId="31E94249" w14:textId="782D82E2"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5CA0C5DB" w14:textId="05030114" w:rsidR="00897293" w:rsidRPr="00CC6553" w:rsidRDefault="00897293" w:rsidP="005271BB">
            <w:pPr>
              <w:rPr>
                <w:rFonts w:cs="Arial"/>
                <w:bCs/>
                <w:iCs/>
                <w:color w:val="000000" w:themeColor="text1"/>
                <w:sz w:val="20"/>
              </w:rPr>
            </w:pPr>
            <w:r w:rsidRPr="00CC6553">
              <w:rPr>
                <w:rFonts w:cs="Arial"/>
                <w:color w:val="000000" w:themeColor="text1"/>
                <w:sz w:val="20"/>
              </w:rPr>
              <w:t xml:space="preserve">British Society for </w:t>
            </w:r>
            <w:r w:rsidRPr="00CC6553">
              <w:rPr>
                <w:rFonts w:cs="Arial"/>
                <w:color w:val="000000" w:themeColor="text1"/>
                <w:sz w:val="20"/>
              </w:rPr>
              <w:lastRenderedPageBreak/>
              <w:t>Heart Failure (BSHF)</w:t>
            </w:r>
          </w:p>
        </w:tc>
        <w:tc>
          <w:tcPr>
            <w:tcW w:w="279" w:type="pct"/>
          </w:tcPr>
          <w:p w14:paraId="1ED34C82" w14:textId="5F4D222C" w:rsidR="00897293" w:rsidRPr="00CC6553" w:rsidRDefault="00897293" w:rsidP="005271BB">
            <w:pPr>
              <w:rPr>
                <w:rFonts w:cs="Arial"/>
                <w:color w:val="000000" w:themeColor="text1"/>
                <w:sz w:val="20"/>
              </w:rPr>
            </w:pPr>
            <w:r w:rsidRPr="00CC6553">
              <w:rPr>
                <w:rFonts w:cs="Arial"/>
                <w:color w:val="000000" w:themeColor="text1"/>
                <w:sz w:val="20"/>
              </w:rPr>
              <w:lastRenderedPageBreak/>
              <w:t>Guideline</w:t>
            </w:r>
          </w:p>
        </w:tc>
        <w:tc>
          <w:tcPr>
            <w:tcW w:w="214" w:type="pct"/>
          </w:tcPr>
          <w:p w14:paraId="2B2AEAEC" w14:textId="2D24DDE2" w:rsidR="00897293" w:rsidRPr="00CC6553" w:rsidRDefault="00897293" w:rsidP="005271BB">
            <w:pPr>
              <w:rPr>
                <w:rFonts w:cs="Arial"/>
                <w:color w:val="000000" w:themeColor="text1"/>
                <w:sz w:val="20"/>
              </w:rPr>
            </w:pPr>
            <w:r w:rsidRPr="00CC6553">
              <w:rPr>
                <w:rFonts w:cs="Arial"/>
                <w:color w:val="000000" w:themeColor="text1"/>
                <w:sz w:val="20"/>
              </w:rPr>
              <w:t>010</w:t>
            </w:r>
          </w:p>
        </w:tc>
        <w:tc>
          <w:tcPr>
            <w:tcW w:w="214" w:type="pct"/>
          </w:tcPr>
          <w:p w14:paraId="28833574" w14:textId="7A60F027" w:rsidR="00897293" w:rsidRPr="00CC6553" w:rsidRDefault="00897293" w:rsidP="005271BB">
            <w:pPr>
              <w:rPr>
                <w:rFonts w:cs="Arial"/>
                <w:color w:val="000000" w:themeColor="text1"/>
                <w:sz w:val="20"/>
              </w:rPr>
            </w:pPr>
            <w:r w:rsidRPr="00CC6553">
              <w:rPr>
                <w:rFonts w:cs="Arial"/>
                <w:color w:val="000000" w:themeColor="text1"/>
                <w:sz w:val="20"/>
              </w:rPr>
              <w:t>025</w:t>
            </w:r>
          </w:p>
        </w:tc>
        <w:tc>
          <w:tcPr>
            <w:tcW w:w="1521" w:type="pct"/>
          </w:tcPr>
          <w:p w14:paraId="4CA67530" w14:textId="73EA0C30" w:rsidR="00897293" w:rsidRPr="00CC6553" w:rsidRDefault="00897293" w:rsidP="005271BB">
            <w:pPr>
              <w:rPr>
                <w:rFonts w:cs="Arial"/>
                <w:color w:val="000000" w:themeColor="text1"/>
                <w:sz w:val="20"/>
              </w:rPr>
            </w:pPr>
            <w:r w:rsidRPr="00CC6553">
              <w:rPr>
                <w:rFonts w:cs="Arial"/>
                <w:color w:val="000000" w:themeColor="text1"/>
                <w:sz w:val="20"/>
              </w:rPr>
              <w:t xml:space="preserve">We feel the recommendation should include ARNI up front (in line with ESC guidelines – supported by the PARADIGMHF Trial which showed superiority of ARNI in preventing deaths and hospitalisation vs ACEi, in addition to improve </w:t>
            </w:r>
            <w:r w:rsidRPr="00CC6553">
              <w:rPr>
                <w:rFonts w:cs="Arial"/>
                <w:color w:val="000000" w:themeColor="text1"/>
                <w:sz w:val="20"/>
              </w:rPr>
              <w:lastRenderedPageBreak/>
              <w:t>patient quality of life. These findings were supported by other studies on patients with acute HF -TRANSITION and PIONEER-HF including in patients without prior use of ACEi)These findings were supported by a real word study (Bhatt AS, Vaduganathan M, Jena BP, Suminska S, Eid C, Schwende H, Senni M. Real-world comparative effectiveness of sacubitril/valsartan versus RAS inhibition alone in patients with de novo heart failure. ESC Heart Fail. 2025 Jun;12(3):1682-1692.). The trials of ARNI vs ACEi showed a very early divergence of Kaplan Meier curves within the 1st 30 days when the risk of adverse outcomes (mortality and re-hospitalisation) are the highest. Earlier use of ARNI also delays disease progression through delay of reverse left ventricular remodelling. In addition patients with new diagnosis of HFrEF are under-treated. Therefore recommendation of ACE inhibitor uptitration to maximum dose prior to switch to ARNI, increases the risk of adverse outcomes for these patients.</w:t>
            </w:r>
            <w:r w:rsidRPr="00CC6553">
              <w:rPr>
                <w:rFonts w:cs="Arial"/>
                <w:color w:val="000000" w:themeColor="text1"/>
                <w:sz w:val="20"/>
              </w:rPr>
              <w:br/>
              <w:t>The above recommendation also adds further burden to already stretch and overburdened heart failure services due to a need for more clinic visits. This along with the risk of adverse outcomes from an “ACEi 1st strategy” also adds to the economic burden on the NHS.</w:t>
            </w:r>
          </w:p>
        </w:tc>
        <w:tc>
          <w:tcPr>
            <w:tcW w:w="2122" w:type="pct"/>
          </w:tcPr>
          <w:p w14:paraId="0BC40AEE" w14:textId="4DFF27E0" w:rsidR="00897293" w:rsidRPr="00CC6553" w:rsidRDefault="00897293" w:rsidP="00E73899">
            <w:pPr>
              <w:rPr>
                <w:rFonts w:cs="Arial"/>
                <w:color w:val="000000" w:themeColor="text1"/>
                <w:sz w:val="20"/>
              </w:rPr>
            </w:pPr>
            <w:r w:rsidRPr="00CC6553">
              <w:rPr>
                <w:rFonts w:cs="Arial"/>
                <w:color w:val="000000" w:themeColor="text1"/>
                <w:sz w:val="20"/>
              </w:rPr>
              <w:lastRenderedPageBreak/>
              <w:t xml:space="preserve">Thank you for your comment.  </w:t>
            </w:r>
          </w:p>
          <w:p w14:paraId="56B4DE2F" w14:textId="341DED06" w:rsidR="00897293" w:rsidRPr="00CC6553" w:rsidRDefault="00897293" w:rsidP="00E73899">
            <w:pPr>
              <w:rPr>
                <w:rFonts w:cs="Arial"/>
                <w:color w:val="000000" w:themeColor="text1"/>
                <w:sz w:val="20"/>
              </w:rPr>
            </w:pPr>
          </w:p>
          <w:p w14:paraId="710DBD5A" w14:textId="4105B64A" w:rsidR="00897293" w:rsidRPr="00CC6553" w:rsidRDefault="00897293" w:rsidP="4CE98B65">
            <w:pPr>
              <w:rPr>
                <w:rFonts w:cs="Arial"/>
                <w:color w:val="000000" w:themeColor="text1"/>
                <w:sz w:val="20"/>
              </w:rPr>
            </w:pPr>
            <w:r w:rsidRPr="00CC6553">
              <w:rPr>
                <w:rFonts w:cs="Arial"/>
                <w:color w:val="000000" w:themeColor="text1"/>
                <w:sz w:val="20"/>
              </w:rPr>
              <w:lastRenderedPageBreak/>
              <w:t>The economic model used relative treatment effects of ARNI derived from clinical trials, including PARADIGM-HF. Moreover, real-world evidence from OpenSAFELY was used to reflect baseline risk of an English population. Even in the more favourable scenarios for ARNI, at current prices, the economic modelling found it not cost-effective in people who can tolerate ACEI.</w:t>
            </w:r>
          </w:p>
          <w:p w14:paraId="3EEC3D7E" w14:textId="6E88F556" w:rsidR="00897293" w:rsidRPr="00CC6553" w:rsidRDefault="00897293" w:rsidP="2DAA3D7B">
            <w:pPr>
              <w:rPr>
                <w:rFonts w:cs="Arial"/>
                <w:color w:val="000000" w:themeColor="text1"/>
                <w:sz w:val="20"/>
              </w:rPr>
            </w:pPr>
          </w:p>
          <w:p w14:paraId="3D259E26" w14:textId="0805E5AB" w:rsidR="00897293" w:rsidRPr="00CC6553" w:rsidRDefault="00897293" w:rsidP="491D0AD8">
            <w:pPr>
              <w:rPr>
                <w:rFonts w:ascii="Aptos" w:eastAsia="Aptos" w:hAnsi="Aptos" w:cs="Aptos"/>
                <w:color w:val="000000" w:themeColor="text1"/>
                <w:sz w:val="24"/>
                <w:szCs w:val="24"/>
              </w:rPr>
            </w:pPr>
            <w:r w:rsidRPr="00CC6553">
              <w:rPr>
                <w:rFonts w:ascii="Aptos" w:eastAsia="Aptos" w:hAnsi="Aptos" w:cs="Aptos"/>
                <w:color w:val="000000" w:themeColor="text1"/>
                <w:sz w:val="24"/>
                <w:szCs w:val="24"/>
              </w:rPr>
              <w:t>T</w:t>
            </w:r>
            <w:r w:rsidRPr="00CC6553">
              <w:rPr>
                <w:rFonts w:eastAsia="Aptos" w:cs="Arial"/>
                <w:color w:val="000000" w:themeColor="text1"/>
                <w:sz w:val="20"/>
              </w:rPr>
              <w:t>he review protocol for this update specified that only randomised trial data would be included when assessing the clinical effectiveness as this provides the most robust source of data for comparing interventions. Therefore, real world data was not incorporated in the clinical evidence review.</w:t>
            </w:r>
          </w:p>
          <w:p w14:paraId="6B804ECF" w14:textId="6A03AB23" w:rsidR="00897293" w:rsidRPr="00CC6553" w:rsidRDefault="00897293" w:rsidP="00D94F2F">
            <w:pPr>
              <w:rPr>
                <w:rFonts w:ascii="Aptos" w:eastAsia="Aptos" w:hAnsi="Aptos" w:cs="Aptos"/>
                <w:color w:val="000000" w:themeColor="text1"/>
                <w:sz w:val="24"/>
                <w:szCs w:val="24"/>
              </w:rPr>
            </w:pPr>
          </w:p>
          <w:p w14:paraId="28EA884F" w14:textId="11F2F649" w:rsidR="00897293" w:rsidRPr="00CC6553" w:rsidRDefault="00897293" w:rsidP="00E73899">
            <w:pPr>
              <w:rPr>
                <w:rFonts w:cs="Arial"/>
                <w:color w:val="000000" w:themeColor="text1"/>
                <w:sz w:val="20"/>
              </w:rPr>
            </w:pPr>
          </w:p>
        </w:tc>
      </w:tr>
      <w:tr w:rsidR="00897293" w:rsidRPr="00CC6553" w14:paraId="3584CBA2" w14:textId="77777777" w:rsidTr="00897293">
        <w:trPr>
          <w:trHeight w:val="300"/>
        </w:trPr>
        <w:tc>
          <w:tcPr>
            <w:tcW w:w="109" w:type="pct"/>
          </w:tcPr>
          <w:p w14:paraId="56F22F6A"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44</w:t>
            </w:r>
          </w:p>
        </w:tc>
        <w:tc>
          <w:tcPr>
            <w:tcW w:w="143" w:type="pct"/>
          </w:tcPr>
          <w:p w14:paraId="2411D63E" w14:textId="74E28FBC"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5B54CF1B" w14:textId="32B11AB4" w:rsidR="00897293" w:rsidRPr="00CC6553" w:rsidRDefault="00897293" w:rsidP="005271BB">
            <w:pPr>
              <w:rPr>
                <w:rFonts w:cs="Arial"/>
                <w:bCs/>
                <w:iCs/>
                <w:color w:val="000000" w:themeColor="text1"/>
                <w:sz w:val="20"/>
              </w:rPr>
            </w:pPr>
            <w:r w:rsidRPr="00CC6553">
              <w:rPr>
                <w:rFonts w:cs="Arial"/>
                <w:color w:val="000000" w:themeColor="text1"/>
                <w:sz w:val="20"/>
              </w:rPr>
              <w:t>Royal College of Nursing</w:t>
            </w:r>
          </w:p>
        </w:tc>
        <w:tc>
          <w:tcPr>
            <w:tcW w:w="279" w:type="pct"/>
          </w:tcPr>
          <w:p w14:paraId="5F9A1CB1" w14:textId="4F5A4B86"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364BA2FE" w14:textId="56102F3E" w:rsidR="00897293" w:rsidRPr="00CC6553" w:rsidRDefault="00897293" w:rsidP="005271BB">
            <w:pPr>
              <w:rPr>
                <w:rFonts w:cs="Arial"/>
                <w:color w:val="000000" w:themeColor="text1"/>
                <w:sz w:val="20"/>
              </w:rPr>
            </w:pPr>
            <w:r w:rsidRPr="00CC6553">
              <w:rPr>
                <w:rFonts w:cs="Arial"/>
                <w:color w:val="000000" w:themeColor="text1"/>
                <w:sz w:val="20"/>
              </w:rPr>
              <w:t>010</w:t>
            </w:r>
          </w:p>
        </w:tc>
        <w:tc>
          <w:tcPr>
            <w:tcW w:w="214" w:type="pct"/>
          </w:tcPr>
          <w:p w14:paraId="0EB8CB4F" w14:textId="45F13604" w:rsidR="00897293" w:rsidRPr="00CC6553" w:rsidRDefault="00897293" w:rsidP="005271BB">
            <w:pPr>
              <w:rPr>
                <w:rFonts w:cs="Arial"/>
                <w:color w:val="000000" w:themeColor="text1"/>
                <w:sz w:val="20"/>
              </w:rPr>
            </w:pPr>
            <w:r w:rsidRPr="00CC6553">
              <w:rPr>
                <w:rFonts w:cs="Arial"/>
                <w:color w:val="000000" w:themeColor="text1"/>
                <w:sz w:val="20"/>
              </w:rPr>
              <w:t>025</w:t>
            </w:r>
          </w:p>
        </w:tc>
        <w:tc>
          <w:tcPr>
            <w:tcW w:w="1521" w:type="pct"/>
          </w:tcPr>
          <w:p w14:paraId="625C51CA" w14:textId="51B1FEC9" w:rsidR="00897293" w:rsidRPr="00CC6553" w:rsidRDefault="00897293" w:rsidP="005271BB">
            <w:pPr>
              <w:rPr>
                <w:rFonts w:cs="Arial"/>
                <w:color w:val="000000" w:themeColor="text1"/>
                <w:sz w:val="20"/>
              </w:rPr>
            </w:pPr>
            <w:r w:rsidRPr="00CC6553">
              <w:rPr>
                <w:rFonts w:cs="Arial"/>
                <w:color w:val="000000" w:themeColor="text1"/>
                <w:sz w:val="20"/>
              </w:rPr>
              <w:t>Entresto should be first line for HFrEF (EF &lt;40%)</w:t>
            </w:r>
          </w:p>
        </w:tc>
        <w:tc>
          <w:tcPr>
            <w:tcW w:w="2122" w:type="pct"/>
          </w:tcPr>
          <w:p w14:paraId="48DC8B98" w14:textId="107CB390" w:rsidR="00897293" w:rsidRPr="00CC6553" w:rsidRDefault="00897293" w:rsidP="03892DAA">
            <w:pPr>
              <w:pStyle w:val="Heading1"/>
              <w:rPr>
                <w:rFonts w:cs="Arial"/>
                <w:b w:val="0"/>
                <w:color w:val="000000" w:themeColor="text1"/>
                <w:sz w:val="20"/>
              </w:rPr>
            </w:pPr>
            <w:r w:rsidRPr="00CC6553">
              <w:rPr>
                <w:rFonts w:cs="Arial"/>
                <w:b w:val="0"/>
                <w:bCs w:val="0"/>
                <w:color w:val="000000" w:themeColor="text1"/>
                <w:sz w:val="20"/>
              </w:rPr>
              <w:t>Thank you for your comment. Although the benefits of ARNI are recognised, e</w:t>
            </w:r>
            <w:r w:rsidRPr="00CC6553">
              <w:rPr>
                <w:rFonts w:cs="Arial"/>
                <w:b w:val="0"/>
                <w:color w:val="000000" w:themeColor="text1"/>
                <w:sz w:val="20"/>
              </w:rPr>
              <w:t>ven in the more favourable scenarios for ARNI, at current prices, the economic modelling found it not cost-effective in people who can tolerate ACEI.</w:t>
            </w:r>
          </w:p>
          <w:p w14:paraId="0ABAA627" w14:textId="77A0AFD9" w:rsidR="00897293" w:rsidRPr="00CC6553" w:rsidRDefault="00897293" w:rsidP="03892DAA">
            <w:pPr>
              <w:rPr>
                <w:color w:val="000000" w:themeColor="text1"/>
              </w:rPr>
            </w:pPr>
          </w:p>
        </w:tc>
      </w:tr>
      <w:tr w:rsidR="00897293" w:rsidRPr="00CC6553" w14:paraId="1AEB37FE" w14:textId="77777777" w:rsidTr="00897293">
        <w:trPr>
          <w:trHeight w:val="300"/>
        </w:trPr>
        <w:tc>
          <w:tcPr>
            <w:tcW w:w="109" w:type="pct"/>
          </w:tcPr>
          <w:p w14:paraId="4284D8CC"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45</w:t>
            </w:r>
          </w:p>
        </w:tc>
        <w:tc>
          <w:tcPr>
            <w:tcW w:w="143" w:type="pct"/>
          </w:tcPr>
          <w:p w14:paraId="7D7DE6DE" w14:textId="34883BDD"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620ECDE7" w14:textId="696D54C4" w:rsidR="00897293" w:rsidRPr="00CC6553" w:rsidRDefault="00897293" w:rsidP="005271BB">
            <w:pPr>
              <w:rPr>
                <w:rFonts w:cs="Arial"/>
                <w:bCs/>
                <w:iCs/>
                <w:color w:val="000000" w:themeColor="text1"/>
                <w:sz w:val="20"/>
              </w:rPr>
            </w:pPr>
            <w:r w:rsidRPr="00CC6553">
              <w:rPr>
                <w:rFonts w:cs="Arial"/>
                <w:color w:val="000000" w:themeColor="text1"/>
                <w:sz w:val="20"/>
              </w:rPr>
              <w:t>NHS Devon ICB</w:t>
            </w:r>
          </w:p>
        </w:tc>
        <w:tc>
          <w:tcPr>
            <w:tcW w:w="279" w:type="pct"/>
          </w:tcPr>
          <w:p w14:paraId="6CFE0F7A" w14:textId="2259C7FC"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69A49F1F" w14:textId="6959CDC9" w:rsidR="00897293" w:rsidRPr="00CC6553" w:rsidRDefault="00897293" w:rsidP="005271BB">
            <w:pPr>
              <w:rPr>
                <w:rFonts w:cs="Arial"/>
                <w:color w:val="000000" w:themeColor="text1"/>
                <w:sz w:val="20"/>
              </w:rPr>
            </w:pPr>
            <w:r w:rsidRPr="00CC6553">
              <w:rPr>
                <w:rFonts w:cs="Arial"/>
                <w:color w:val="000000" w:themeColor="text1"/>
                <w:sz w:val="20"/>
              </w:rPr>
              <w:t>010</w:t>
            </w:r>
          </w:p>
        </w:tc>
        <w:tc>
          <w:tcPr>
            <w:tcW w:w="214" w:type="pct"/>
          </w:tcPr>
          <w:p w14:paraId="6B79665D" w14:textId="35387D8C" w:rsidR="00897293" w:rsidRPr="00CC6553" w:rsidRDefault="00897293" w:rsidP="005271BB">
            <w:pPr>
              <w:rPr>
                <w:rFonts w:cs="Arial"/>
                <w:color w:val="000000" w:themeColor="text1"/>
                <w:sz w:val="20"/>
              </w:rPr>
            </w:pPr>
            <w:r w:rsidRPr="00CC6553">
              <w:rPr>
                <w:rFonts w:cs="Arial"/>
                <w:color w:val="000000" w:themeColor="text1"/>
                <w:sz w:val="20"/>
              </w:rPr>
              <w:t>025</w:t>
            </w:r>
          </w:p>
        </w:tc>
        <w:tc>
          <w:tcPr>
            <w:tcW w:w="1521" w:type="pct"/>
          </w:tcPr>
          <w:p w14:paraId="2B58F286" w14:textId="5335426B" w:rsidR="00897293" w:rsidRPr="00CC6553" w:rsidRDefault="00897293" w:rsidP="005271BB">
            <w:pPr>
              <w:rPr>
                <w:rFonts w:cs="Arial"/>
                <w:color w:val="000000" w:themeColor="text1"/>
                <w:sz w:val="20"/>
              </w:rPr>
            </w:pPr>
            <w:r w:rsidRPr="00CC6553">
              <w:rPr>
                <w:rFonts w:cs="Arial"/>
                <w:color w:val="000000" w:themeColor="text1"/>
                <w:sz w:val="20"/>
              </w:rPr>
              <w:t>The status of the technology appraisals TA679, TA773 and TA388 requires resolution before the guidance on chronic heart failure is published. The NICE guidance recommends the use of dapagliflozin, empagliflozin and sacubitril valsartan in different positions in the chronic heart failure pathway compared with the respective technology appraisal recommendations. This is confusing for prescribers given that technology appraisal recommendations are mandatory.</w:t>
            </w:r>
          </w:p>
        </w:tc>
        <w:tc>
          <w:tcPr>
            <w:tcW w:w="2122" w:type="pct"/>
          </w:tcPr>
          <w:p w14:paraId="0E5CD886" w14:textId="41009C54"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  The status of these TAs remains unchanged.  NICE is currently engaging with an advisory Stakeholder Panel to inform development of </w:t>
            </w:r>
            <w:hyperlink r:id="rId13" w:history="1">
              <w:r w:rsidRPr="00CC6553">
                <w:rPr>
                  <w:rStyle w:val="Hyperlink"/>
                  <w:rFonts w:cs="Arial"/>
                  <w:b w:val="0"/>
                  <w:color w:val="000000" w:themeColor="text1"/>
                  <w:sz w:val="20"/>
                </w:rPr>
                <w:t>our approach</w:t>
              </w:r>
            </w:hyperlink>
            <w:r w:rsidRPr="00CC6553">
              <w:rPr>
                <w:rFonts w:cs="Arial"/>
                <w:b w:val="0"/>
                <w:color w:val="000000" w:themeColor="text1"/>
                <w:sz w:val="20"/>
              </w:rPr>
              <w:t> to TA incorporation.  </w:t>
            </w:r>
          </w:p>
        </w:tc>
      </w:tr>
      <w:tr w:rsidR="00897293" w:rsidRPr="00CC6553" w14:paraId="7D727F51" w14:textId="77777777" w:rsidTr="00897293">
        <w:trPr>
          <w:trHeight w:val="300"/>
        </w:trPr>
        <w:tc>
          <w:tcPr>
            <w:tcW w:w="109" w:type="pct"/>
          </w:tcPr>
          <w:p w14:paraId="4CCFBE4D" w14:textId="77777777" w:rsidR="00897293" w:rsidRPr="00CC6553" w:rsidRDefault="00897293" w:rsidP="005271BB">
            <w:pPr>
              <w:rPr>
                <w:rFonts w:cs="Arial"/>
                <w:color w:val="000000" w:themeColor="text1"/>
                <w:sz w:val="20"/>
              </w:rPr>
            </w:pPr>
            <w:r w:rsidRPr="00CC6553">
              <w:rPr>
                <w:rFonts w:cs="Arial"/>
                <w:color w:val="000000" w:themeColor="text1"/>
                <w:sz w:val="20"/>
              </w:rPr>
              <w:t>46</w:t>
            </w:r>
          </w:p>
        </w:tc>
        <w:tc>
          <w:tcPr>
            <w:tcW w:w="143" w:type="pct"/>
          </w:tcPr>
          <w:p w14:paraId="58C45E32" w14:textId="3D41E58D"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005E9649" w14:textId="24103488" w:rsidR="00897293" w:rsidRPr="00CC6553" w:rsidRDefault="00897293" w:rsidP="005271BB">
            <w:pPr>
              <w:rPr>
                <w:rFonts w:cs="Arial"/>
                <w:bCs/>
                <w:iCs/>
                <w:color w:val="000000" w:themeColor="text1"/>
                <w:sz w:val="20"/>
              </w:rPr>
            </w:pPr>
            <w:r w:rsidRPr="00CC6553">
              <w:rPr>
                <w:rFonts w:cs="Arial"/>
                <w:color w:val="000000" w:themeColor="text1"/>
                <w:sz w:val="20"/>
              </w:rPr>
              <w:t>UK Clinical Pharmacy Association (UKCPA) – heart failure committee</w:t>
            </w:r>
          </w:p>
        </w:tc>
        <w:tc>
          <w:tcPr>
            <w:tcW w:w="279" w:type="pct"/>
          </w:tcPr>
          <w:p w14:paraId="47B81422" w14:textId="1CBC04DF"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7BE93D3B" w14:textId="7413B314" w:rsidR="00897293" w:rsidRPr="00CC6553" w:rsidRDefault="00897293" w:rsidP="005271BB">
            <w:pPr>
              <w:rPr>
                <w:rFonts w:cs="Arial"/>
                <w:color w:val="000000" w:themeColor="text1"/>
                <w:sz w:val="20"/>
              </w:rPr>
            </w:pPr>
            <w:r w:rsidRPr="00CC6553">
              <w:rPr>
                <w:rFonts w:cs="Arial"/>
                <w:color w:val="000000" w:themeColor="text1"/>
                <w:sz w:val="20"/>
              </w:rPr>
              <w:t>010</w:t>
            </w:r>
          </w:p>
        </w:tc>
        <w:tc>
          <w:tcPr>
            <w:tcW w:w="214" w:type="pct"/>
          </w:tcPr>
          <w:p w14:paraId="3DDF09B4" w14:textId="37430CA0" w:rsidR="00897293" w:rsidRPr="00CC6553" w:rsidRDefault="00897293" w:rsidP="005271BB">
            <w:pPr>
              <w:rPr>
                <w:rFonts w:cs="Arial"/>
                <w:color w:val="000000" w:themeColor="text1"/>
                <w:sz w:val="20"/>
              </w:rPr>
            </w:pPr>
            <w:r w:rsidRPr="00CC6553">
              <w:rPr>
                <w:rFonts w:cs="Arial"/>
                <w:color w:val="000000" w:themeColor="text1"/>
                <w:sz w:val="20"/>
              </w:rPr>
              <w:t>025</w:t>
            </w:r>
          </w:p>
        </w:tc>
        <w:tc>
          <w:tcPr>
            <w:tcW w:w="1521" w:type="pct"/>
          </w:tcPr>
          <w:p w14:paraId="30840F3D" w14:textId="0A41C889" w:rsidR="00897293" w:rsidRPr="00CC6553" w:rsidRDefault="00897293" w:rsidP="005271BB">
            <w:pPr>
              <w:rPr>
                <w:rFonts w:cs="Arial"/>
                <w:color w:val="000000" w:themeColor="text1"/>
                <w:sz w:val="20"/>
              </w:rPr>
            </w:pPr>
            <w:r w:rsidRPr="00CC6553">
              <w:rPr>
                <w:rFonts w:cs="Arial"/>
                <w:color w:val="000000" w:themeColor="text1"/>
                <w:sz w:val="20"/>
              </w:rPr>
              <w:t>We believe the recommendation should be updated to position ARNI as 1st line therapy over ACE inhibitors particularly for patients who are not frail and multi-comorbid. Rationale: Superior efficacy of ARNI’s over ACE inhibitors are well established (Paradigm-HF) and real-world data and registries (CHAMP-HF, PIONNER-HF). They have suggested earlier initiation leads to better outcomes. Furthermore, ESC 2021 guidelines recommend ARNIs as a preferred option over ACE for HFrEF (Class 1, level B). ACC/AHA/HFSA 2022 guideline state that ARNIs are recommended in preference to ACE/ARBs. Furthermore, delaying ARNI until ACE inhibitor trialled contradicts a growing consensus that early initiation improves outcomes and delays disease progression. Switching from ACE to ARNI requires a washout period which further delays optimal treatment.</w:t>
            </w:r>
          </w:p>
        </w:tc>
        <w:tc>
          <w:tcPr>
            <w:tcW w:w="2122" w:type="pct"/>
          </w:tcPr>
          <w:p w14:paraId="2A29C312" w14:textId="4DFF27E0" w:rsidR="00897293" w:rsidRPr="00CC6553" w:rsidRDefault="00897293" w:rsidP="25650DA1">
            <w:pPr>
              <w:rPr>
                <w:rFonts w:cs="Arial"/>
                <w:color w:val="000000" w:themeColor="text1"/>
                <w:sz w:val="20"/>
              </w:rPr>
            </w:pPr>
            <w:r w:rsidRPr="00CC6553">
              <w:rPr>
                <w:rFonts w:cs="Arial"/>
                <w:color w:val="000000" w:themeColor="text1"/>
                <w:sz w:val="20"/>
              </w:rPr>
              <w:t xml:space="preserve">Thank you for your comment.  </w:t>
            </w:r>
          </w:p>
          <w:p w14:paraId="45DA1A12" w14:textId="341DED06" w:rsidR="00897293" w:rsidRPr="00CC6553" w:rsidRDefault="00897293" w:rsidP="25650DA1">
            <w:pPr>
              <w:rPr>
                <w:rFonts w:cs="Arial"/>
                <w:color w:val="000000" w:themeColor="text1"/>
                <w:sz w:val="20"/>
              </w:rPr>
            </w:pPr>
          </w:p>
          <w:p w14:paraId="2B98142E" w14:textId="1BC8521A" w:rsidR="00897293" w:rsidRPr="00CC6553" w:rsidRDefault="00897293" w:rsidP="25650DA1">
            <w:pPr>
              <w:rPr>
                <w:rFonts w:cs="Arial"/>
                <w:color w:val="000000" w:themeColor="text1"/>
                <w:sz w:val="20"/>
              </w:rPr>
            </w:pPr>
            <w:r w:rsidRPr="00CC6553">
              <w:rPr>
                <w:rFonts w:cs="Arial"/>
                <w:color w:val="000000" w:themeColor="text1"/>
                <w:sz w:val="20"/>
              </w:rPr>
              <w:t>The economic model used relative treatment effects of ARNI derived from clinical trials, including PARADIGM-HF. Moreover, real-world evidence from OpenSAFELY was used to reflect baseline risk of an English population. Even in the more favourable scenarios for ARNI, at current prices, the economic modelling found it not cost-effective in people who can tolerate ACEI.</w:t>
            </w:r>
          </w:p>
          <w:p w14:paraId="3BF12C85" w14:textId="77777777" w:rsidR="00897293" w:rsidRDefault="00897293" w:rsidP="25650DA1">
            <w:pPr>
              <w:rPr>
                <w:rFonts w:cs="Arial"/>
                <w:color w:val="000000" w:themeColor="text1"/>
                <w:sz w:val="20"/>
              </w:rPr>
            </w:pPr>
          </w:p>
          <w:p w14:paraId="42620354" w14:textId="1EF03486" w:rsidR="00897293" w:rsidRPr="00CC6553" w:rsidRDefault="00897293" w:rsidP="25650DA1">
            <w:pPr>
              <w:rPr>
                <w:rFonts w:cs="Arial"/>
                <w:color w:val="000000" w:themeColor="text1"/>
                <w:sz w:val="20"/>
              </w:rPr>
            </w:pPr>
            <w:r>
              <w:rPr>
                <w:rFonts w:cs="Arial"/>
                <w:color w:val="000000" w:themeColor="text1"/>
                <w:sz w:val="20"/>
              </w:rPr>
              <w:t>Thank-you for highlighting the requirement for a washout period when switching from ACE to ARNI. A sentence has been added to the rationale to reflect this.</w:t>
            </w:r>
          </w:p>
          <w:p w14:paraId="554970A0" w14:textId="77777777" w:rsidR="00897293" w:rsidRPr="00CC6553" w:rsidRDefault="00897293" w:rsidP="25650DA1">
            <w:pPr>
              <w:rPr>
                <w:color w:val="000000" w:themeColor="text1"/>
              </w:rPr>
            </w:pPr>
          </w:p>
        </w:tc>
      </w:tr>
      <w:tr w:rsidR="00897293" w:rsidRPr="00CC6553" w14:paraId="6117D682" w14:textId="77777777" w:rsidTr="00897293">
        <w:trPr>
          <w:trHeight w:val="300"/>
        </w:trPr>
        <w:tc>
          <w:tcPr>
            <w:tcW w:w="109" w:type="pct"/>
          </w:tcPr>
          <w:p w14:paraId="2C8B346C" w14:textId="77777777" w:rsidR="00897293" w:rsidRPr="00CC6553" w:rsidRDefault="00897293" w:rsidP="005271BB">
            <w:pPr>
              <w:rPr>
                <w:rFonts w:cs="Arial"/>
                <w:color w:val="000000" w:themeColor="text1"/>
                <w:sz w:val="20"/>
              </w:rPr>
            </w:pPr>
            <w:r w:rsidRPr="00CC6553">
              <w:rPr>
                <w:rFonts w:cs="Arial"/>
                <w:color w:val="000000" w:themeColor="text1"/>
                <w:sz w:val="20"/>
              </w:rPr>
              <w:t>47</w:t>
            </w:r>
          </w:p>
        </w:tc>
        <w:tc>
          <w:tcPr>
            <w:tcW w:w="143" w:type="pct"/>
          </w:tcPr>
          <w:p w14:paraId="7366DF95" w14:textId="18B6E81E"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4C9C5ADA" w14:textId="3BF39127" w:rsidR="00897293" w:rsidRPr="00CC6553" w:rsidRDefault="00897293" w:rsidP="005271BB">
            <w:pPr>
              <w:rPr>
                <w:rFonts w:cs="Arial"/>
                <w:bCs/>
                <w:iCs/>
                <w:color w:val="000000" w:themeColor="text1"/>
                <w:sz w:val="20"/>
              </w:rPr>
            </w:pPr>
            <w:r w:rsidRPr="00CC6553">
              <w:rPr>
                <w:rFonts w:cs="Arial"/>
                <w:color w:val="000000" w:themeColor="text1"/>
                <w:sz w:val="20"/>
              </w:rPr>
              <w:t>Boehringer Ingelheim Ltd</w:t>
            </w:r>
          </w:p>
        </w:tc>
        <w:tc>
          <w:tcPr>
            <w:tcW w:w="279" w:type="pct"/>
          </w:tcPr>
          <w:p w14:paraId="255643A0" w14:textId="0A145F3C"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796D1036" w14:textId="4A964103" w:rsidR="00897293" w:rsidRPr="00CC6553" w:rsidRDefault="00897293" w:rsidP="005271BB">
            <w:pPr>
              <w:rPr>
                <w:rFonts w:cs="Arial"/>
                <w:color w:val="000000" w:themeColor="text1"/>
                <w:sz w:val="20"/>
              </w:rPr>
            </w:pPr>
            <w:r w:rsidRPr="00CC6553">
              <w:rPr>
                <w:rFonts w:cs="Arial"/>
                <w:color w:val="000000" w:themeColor="text1"/>
                <w:sz w:val="20"/>
              </w:rPr>
              <w:t>010</w:t>
            </w:r>
          </w:p>
        </w:tc>
        <w:tc>
          <w:tcPr>
            <w:tcW w:w="214" w:type="pct"/>
          </w:tcPr>
          <w:p w14:paraId="6813E592" w14:textId="0148DD1F" w:rsidR="00897293" w:rsidRPr="00CC6553" w:rsidRDefault="00897293" w:rsidP="005271BB">
            <w:pPr>
              <w:rPr>
                <w:rFonts w:cs="Arial"/>
                <w:color w:val="000000" w:themeColor="text1"/>
                <w:sz w:val="20"/>
              </w:rPr>
            </w:pPr>
            <w:r w:rsidRPr="00CC6553">
              <w:rPr>
                <w:rFonts w:cs="Arial"/>
                <w:color w:val="000000" w:themeColor="text1"/>
                <w:sz w:val="20"/>
              </w:rPr>
              <w:t>025</w:t>
            </w:r>
          </w:p>
        </w:tc>
        <w:tc>
          <w:tcPr>
            <w:tcW w:w="1521" w:type="pct"/>
          </w:tcPr>
          <w:p w14:paraId="5E5AF8EA" w14:textId="2248342A" w:rsidR="00897293" w:rsidRPr="00CC6553" w:rsidRDefault="00897293" w:rsidP="005271BB">
            <w:pPr>
              <w:rPr>
                <w:rFonts w:cs="Arial"/>
                <w:color w:val="000000" w:themeColor="text1"/>
                <w:sz w:val="20"/>
              </w:rPr>
            </w:pPr>
            <w:r w:rsidRPr="00CC6553">
              <w:rPr>
                <w:rFonts w:cs="Arial"/>
                <w:color w:val="000000" w:themeColor="text1"/>
                <w:sz w:val="20"/>
              </w:rPr>
              <w:t>Treatment combinations, Sec 1.4.1: The clinical guideline does not provide practical advice on how to initiate and sequence the 4 HFrEF foundational therapies. Without clear guidance, clinicians may be hesitant to start 4 new medications simultaneously, potentially resulting in "therapeutic inertia" and sub-</w:t>
            </w:r>
            <w:r w:rsidRPr="00CC6553">
              <w:rPr>
                <w:rFonts w:cs="Arial"/>
                <w:color w:val="000000" w:themeColor="text1"/>
                <w:sz w:val="20"/>
              </w:rPr>
              <w:lastRenderedPageBreak/>
              <w:t>optimal patient care.  Please involve clinicians at this stage of the draft clinical guideline development to ensure comprehensive guidance and practical applicability.</w:t>
            </w:r>
            <w:r w:rsidRPr="00CC6553">
              <w:rPr>
                <w:rFonts w:cs="Arial"/>
                <w:color w:val="000000" w:themeColor="text1"/>
                <w:sz w:val="20"/>
              </w:rPr>
              <w:br/>
            </w:r>
          </w:p>
        </w:tc>
        <w:tc>
          <w:tcPr>
            <w:tcW w:w="2122" w:type="pct"/>
          </w:tcPr>
          <w:p w14:paraId="630C11E8" w14:textId="267D339B" w:rsidR="00897293" w:rsidRPr="00CC6553" w:rsidRDefault="00897293" w:rsidP="476BDDBF">
            <w:pPr>
              <w:pStyle w:val="Heading1"/>
              <w:rPr>
                <w:rFonts w:cs="Arial"/>
                <w:b w:val="0"/>
                <w:bCs w:val="0"/>
                <w:color w:val="000000" w:themeColor="text1"/>
                <w:sz w:val="20"/>
              </w:rPr>
            </w:pPr>
            <w:r w:rsidRPr="00CC6553">
              <w:rPr>
                <w:rFonts w:cs="Arial"/>
                <w:b w:val="0"/>
                <w:bCs w:val="0"/>
                <w:color w:val="000000" w:themeColor="text1"/>
                <w:sz w:val="20"/>
              </w:rPr>
              <w:lastRenderedPageBreak/>
              <w:t xml:space="preserve">Thank you for your comment.  The guideline committee agreed that it was not possible to provide detailed advice on how to initiate or </w:t>
            </w:r>
            <w:r w:rsidRPr="00CC6553">
              <w:rPr>
                <w:rFonts w:cs="Arial"/>
                <w:b w:val="0"/>
                <w:bCs w:val="0"/>
                <w:color w:val="000000" w:themeColor="text1"/>
                <w:sz w:val="20"/>
              </w:rPr>
              <w:lastRenderedPageBreak/>
              <w:t>sequence the drugs as it was dependent on individual patient factors such as medical history, frailty, prognosis and patient preference.</w:t>
            </w:r>
            <w:r>
              <w:rPr>
                <w:rFonts w:cs="Arial"/>
                <w:b w:val="0"/>
                <w:bCs w:val="0"/>
                <w:color w:val="000000" w:themeColor="text1"/>
                <w:sz w:val="20"/>
              </w:rPr>
              <w:t xml:space="preserve"> This requirement for clinical judgement is expected for all NICE recommendations.</w:t>
            </w:r>
          </w:p>
        </w:tc>
      </w:tr>
      <w:tr w:rsidR="00897293" w:rsidRPr="00CC6553" w14:paraId="7A6D5312" w14:textId="77777777" w:rsidTr="00897293">
        <w:trPr>
          <w:trHeight w:val="300"/>
        </w:trPr>
        <w:tc>
          <w:tcPr>
            <w:tcW w:w="109" w:type="pct"/>
          </w:tcPr>
          <w:p w14:paraId="6A8D2246"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48</w:t>
            </w:r>
          </w:p>
        </w:tc>
        <w:tc>
          <w:tcPr>
            <w:tcW w:w="143" w:type="pct"/>
          </w:tcPr>
          <w:p w14:paraId="4368CA98" w14:textId="32523371"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26310A07" w14:textId="168C360B"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425A7C18" w14:textId="1C01FC1F"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24577E7C" w14:textId="1331E69D" w:rsidR="00897293" w:rsidRPr="00CC6553" w:rsidRDefault="00897293" w:rsidP="005271BB">
            <w:pPr>
              <w:rPr>
                <w:rFonts w:cs="Arial"/>
                <w:color w:val="000000" w:themeColor="text1"/>
                <w:sz w:val="20"/>
              </w:rPr>
            </w:pPr>
            <w:r w:rsidRPr="00CC6553">
              <w:rPr>
                <w:rFonts w:cs="Arial"/>
                <w:color w:val="000000" w:themeColor="text1"/>
                <w:sz w:val="20"/>
              </w:rPr>
              <w:t>010</w:t>
            </w:r>
          </w:p>
        </w:tc>
        <w:tc>
          <w:tcPr>
            <w:tcW w:w="214" w:type="pct"/>
          </w:tcPr>
          <w:p w14:paraId="4B9C25C0" w14:textId="7C68D518" w:rsidR="00897293" w:rsidRPr="00CC6553" w:rsidRDefault="00897293" w:rsidP="005271BB">
            <w:pPr>
              <w:rPr>
                <w:rFonts w:cs="Arial"/>
                <w:color w:val="000000" w:themeColor="text1"/>
                <w:sz w:val="20"/>
              </w:rPr>
            </w:pPr>
            <w:r w:rsidRPr="00CC6553">
              <w:rPr>
                <w:rFonts w:cs="Arial"/>
                <w:color w:val="000000" w:themeColor="text1"/>
                <w:sz w:val="20"/>
              </w:rPr>
              <w:t>025</w:t>
            </w:r>
          </w:p>
        </w:tc>
        <w:tc>
          <w:tcPr>
            <w:tcW w:w="1521" w:type="pct"/>
          </w:tcPr>
          <w:p w14:paraId="40611443" w14:textId="5CC40589" w:rsidR="00897293" w:rsidRPr="00CC6553" w:rsidRDefault="00897293" w:rsidP="005271BB">
            <w:pPr>
              <w:rPr>
                <w:rFonts w:cs="Arial"/>
                <w:color w:val="000000" w:themeColor="text1"/>
                <w:sz w:val="20"/>
              </w:rPr>
            </w:pPr>
            <w:r w:rsidRPr="00CC6553">
              <w:rPr>
                <w:rFonts w:cs="Arial"/>
                <w:color w:val="000000" w:themeColor="text1"/>
                <w:sz w:val="20"/>
              </w:rPr>
              <w:t>ARNI (in line with ESC guidelines – supported by the PARADIGMHF Trial which showed superiority of ARNI in preventing deaths and hospitalisation vs ACEi, in addition to improve patient quality of life. These findings were supported by other studies on patients with acute HF -TRANSITION and PIONEER-HF including in patients without prior use of ACEi)These findings were supported by a real world study (Bhatt AS, Vaduganathan M, Jena BP, Suminska S, Eid C, Schwende H, Senni M. Real-world comparative effectiveness of sacubitril/valsartan versus RAS inhibition alone in patients with de novo heart failure. ESC Heart Fail. 2025 Jun;12(3):1682-1692.). The trials of ARNI vs ACEi showed a very early divergence of Kaplan Meier curves within the 1st 30 days when the risk of adverse outcomes (mortality and re-hospitalisation) are the highest. Earlier use of ARNI also delays disease progression through delay of reverse left ventricular remodelling. In addition patients with new diagnosis of HFrEF are under-treated. Therefore recommendation of ACEinhibitor uptitration to maximum dose prior to switch to ARNI, increases the risk of adverse outcomes for these patients.</w:t>
            </w:r>
            <w:r w:rsidRPr="00CC6553">
              <w:rPr>
                <w:rFonts w:cs="Arial"/>
                <w:color w:val="000000" w:themeColor="text1"/>
                <w:sz w:val="20"/>
              </w:rPr>
              <w:br/>
              <w:t>The above recommendation also adds further burden to already stretched and overburdened heart failure services due to a new  demand for more clinic visits. This along with the risk of adverse outcomes from an “ACEi 1st strategy” also adds to the economic burden on the NHS.</w:t>
            </w:r>
          </w:p>
        </w:tc>
        <w:tc>
          <w:tcPr>
            <w:tcW w:w="2122" w:type="pct"/>
          </w:tcPr>
          <w:p w14:paraId="7A08F0B4" w14:textId="77777777" w:rsidR="00897293" w:rsidRPr="00CC6553" w:rsidRDefault="00897293" w:rsidP="2F444F31">
            <w:pPr>
              <w:pStyle w:val="Heading1"/>
              <w:rPr>
                <w:rFonts w:eastAsia="Aptos" w:cs="Arial"/>
                <w:b w:val="0"/>
                <w:color w:val="000000" w:themeColor="text1"/>
                <w:sz w:val="20"/>
              </w:rPr>
            </w:pPr>
            <w:r w:rsidRPr="00CC6553">
              <w:rPr>
                <w:rFonts w:eastAsia="Aptos" w:cs="Arial"/>
                <w:b w:val="0"/>
                <w:bCs w:val="0"/>
                <w:color w:val="000000" w:themeColor="text1"/>
                <w:sz w:val="20"/>
              </w:rPr>
              <w:t xml:space="preserve">Thank you for your comment. </w:t>
            </w:r>
          </w:p>
          <w:p w14:paraId="440724CC" w14:textId="77777777" w:rsidR="00897293" w:rsidRPr="0069362B" w:rsidRDefault="00897293" w:rsidP="6CFEEC42">
            <w:pPr>
              <w:rPr>
                <w:rFonts w:cs="Arial"/>
                <w:color w:val="000000" w:themeColor="text1"/>
                <w:sz w:val="20"/>
              </w:rPr>
            </w:pPr>
            <w:r w:rsidRPr="00CC6553">
              <w:rPr>
                <w:rFonts w:cs="Arial"/>
                <w:color w:val="000000" w:themeColor="text1"/>
                <w:sz w:val="20"/>
              </w:rPr>
              <w:t xml:space="preserve">The economic model used relative treatment effects of ARNI derived from clinical trials, including PARADIGM-HF. Moreover, real-world evidence from OpenSAFELY was used to reflect baseline risk of an English population. Even in the more favourable scenarios for ARNI, at current prices, the economic modelling </w:t>
            </w:r>
            <w:r w:rsidRPr="0069362B">
              <w:rPr>
                <w:rFonts w:cs="Arial"/>
                <w:color w:val="000000" w:themeColor="text1"/>
                <w:sz w:val="20"/>
              </w:rPr>
              <w:t>found it not cost-effective in people who can tolerate ACEI.</w:t>
            </w:r>
          </w:p>
          <w:p w14:paraId="69082F3C" w14:textId="77777777" w:rsidR="00897293" w:rsidRPr="00CC6553" w:rsidRDefault="00897293" w:rsidP="2F444F31">
            <w:pPr>
              <w:pStyle w:val="Heading1"/>
              <w:rPr>
                <w:rFonts w:eastAsia="Aptos" w:cs="Arial"/>
                <w:b w:val="0"/>
                <w:bCs w:val="0"/>
                <w:color w:val="000000" w:themeColor="text1"/>
                <w:sz w:val="20"/>
              </w:rPr>
            </w:pPr>
            <w:r w:rsidRPr="009B3C47">
              <w:rPr>
                <w:rFonts w:eastAsia="Aptos" w:cs="Arial"/>
                <w:color w:val="000000" w:themeColor="text1"/>
                <w:sz w:val="20"/>
              </w:rPr>
              <w:t xml:space="preserve">The review protocol for this update specified that only randomised trial data would be included when assessing the clinical effectiveness as this provides the most robust source of data for comparing interventions. Therefore, real world data was not incorporated in the clinical evidence review. </w:t>
            </w:r>
            <w:r w:rsidRPr="0069362B">
              <w:t xml:space="preserve">  </w:t>
            </w:r>
          </w:p>
        </w:tc>
      </w:tr>
      <w:tr w:rsidR="00897293" w:rsidRPr="00CC6553" w14:paraId="2370E589" w14:textId="77777777" w:rsidTr="00897293">
        <w:trPr>
          <w:trHeight w:val="300"/>
        </w:trPr>
        <w:tc>
          <w:tcPr>
            <w:tcW w:w="109" w:type="pct"/>
          </w:tcPr>
          <w:p w14:paraId="4F18E07C" w14:textId="77777777" w:rsidR="00897293" w:rsidRPr="00CC6553" w:rsidRDefault="00897293" w:rsidP="005271BB">
            <w:pPr>
              <w:rPr>
                <w:rFonts w:cs="Arial"/>
                <w:color w:val="000000" w:themeColor="text1"/>
                <w:sz w:val="20"/>
              </w:rPr>
            </w:pPr>
            <w:r w:rsidRPr="00CC6553">
              <w:rPr>
                <w:rFonts w:cs="Arial"/>
                <w:color w:val="000000" w:themeColor="text1"/>
                <w:sz w:val="20"/>
              </w:rPr>
              <w:t>49</w:t>
            </w:r>
          </w:p>
        </w:tc>
        <w:tc>
          <w:tcPr>
            <w:tcW w:w="143" w:type="pct"/>
          </w:tcPr>
          <w:p w14:paraId="0868D422" w14:textId="67153082"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389EE316" w14:textId="32F2DFF7" w:rsidR="00897293" w:rsidRPr="00CC6553" w:rsidRDefault="00897293" w:rsidP="005271BB">
            <w:pPr>
              <w:rPr>
                <w:rFonts w:cs="Arial"/>
                <w:bCs/>
                <w:iCs/>
                <w:color w:val="000000" w:themeColor="text1"/>
                <w:sz w:val="20"/>
              </w:rPr>
            </w:pPr>
            <w:r w:rsidRPr="00CC6553">
              <w:rPr>
                <w:rFonts w:cs="Arial"/>
                <w:color w:val="000000" w:themeColor="text1"/>
                <w:sz w:val="20"/>
              </w:rPr>
              <w:t>Pumping Marvellous Foundation</w:t>
            </w:r>
          </w:p>
        </w:tc>
        <w:tc>
          <w:tcPr>
            <w:tcW w:w="279" w:type="pct"/>
          </w:tcPr>
          <w:p w14:paraId="427A8873" w14:textId="2A86E06C"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71D18C3A" w14:textId="135C52F9" w:rsidR="00897293" w:rsidRPr="00CC6553" w:rsidRDefault="00897293" w:rsidP="005271BB">
            <w:pPr>
              <w:rPr>
                <w:rFonts w:cs="Arial"/>
                <w:color w:val="000000" w:themeColor="text1"/>
                <w:sz w:val="20"/>
              </w:rPr>
            </w:pPr>
            <w:r w:rsidRPr="00CC6553">
              <w:rPr>
                <w:rFonts w:cs="Arial"/>
                <w:color w:val="000000" w:themeColor="text1"/>
                <w:sz w:val="20"/>
              </w:rPr>
              <w:t>010</w:t>
            </w:r>
          </w:p>
        </w:tc>
        <w:tc>
          <w:tcPr>
            <w:tcW w:w="214" w:type="pct"/>
          </w:tcPr>
          <w:p w14:paraId="0EFD6EDB" w14:textId="57E7D5B9" w:rsidR="00897293" w:rsidRPr="00CC6553" w:rsidRDefault="00897293" w:rsidP="005271BB">
            <w:pPr>
              <w:rPr>
                <w:rFonts w:cs="Arial"/>
                <w:color w:val="000000" w:themeColor="text1"/>
                <w:sz w:val="20"/>
              </w:rPr>
            </w:pPr>
            <w:r w:rsidRPr="00CC6553">
              <w:rPr>
                <w:rFonts w:cs="Arial"/>
                <w:color w:val="000000" w:themeColor="text1"/>
                <w:sz w:val="20"/>
              </w:rPr>
              <w:t>025</w:t>
            </w:r>
          </w:p>
        </w:tc>
        <w:tc>
          <w:tcPr>
            <w:tcW w:w="1521" w:type="pct"/>
          </w:tcPr>
          <w:p w14:paraId="2B927CAF" w14:textId="73FF0E0B" w:rsidR="00897293" w:rsidRPr="00CC6553" w:rsidRDefault="00897293" w:rsidP="005271BB">
            <w:pPr>
              <w:rPr>
                <w:rFonts w:cs="Arial"/>
                <w:color w:val="000000" w:themeColor="text1"/>
                <w:sz w:val="20"/>
              </w:rPr>
            </w:pPr>
            <w:r w:rsidRPr="00CC6553">
              <w:rPr>
                <w:rFonts w:cs="Arial"/>
                <w:color w:val="000000" w:themeColor="text1"/>
                <w:sz w:val="20"/>
              </w:rPr>
              <w:t xml:space="preserve">ARNI (in line with ESC guidelines – supported by the PARADIGMHF Trial which showed superiority of ARNI in preventing deaths and hospitalisation vs ACEi, in addition to improve patient quality of life. These findings were supported by other </w:t>
            </w:r>
            <w:r w:rsidRPr="00CC6553">
              <w:rPr>
                <w:rFonts w:cs="Arial"/>
                <w:color w:val="000000" w:themeColor="text1"/>
                <w:sz w:val="20"/>
              </w:rPr>
              <w:lastRenderedPageBreak/>
              <w:t>studies on patients with acute HF -TRANSITION and PIONEER-HF including in patients without prior use of ACEi)These findings were supported by a real world study (Bhatt AS, Vaduganathan M, Jena BP, Suminska S, Eid C, Schwende H, Senni M. Real-world comparative effectiveness of sacubitril/valsartan versus RAS inhibition alone in patients with de novo heart failure. ESC Heart Fail. 2025 Jun;12(3):1682-1692.). The trials of ARNI vs ACEi showed a very early divergence of Kaplan Meier curves within the 1st 30 days when the risk of adverse outcomes (mortality and re-hospitalisation) are the highest. Earlier use of ARNI also delays disease progression through delay of reverse left ventricular remodelling. In addition patients with new diagnosis of HFrEF are under-treated. Therefore recommendation of ACEinhibitor uptitration to maximum dose prior to switch to ARNI, increases the risk of adverse outcomes for these patients.</w:t>
            </w:r>
            <w:r w:rsidRPr="00CC6553">
              <w:rPr>
                <w:rFonts w:cs="Arial"/>
                <w:color w:val="000000" w:themeColor="text1"/>
                <w:sz w:val="20"/>
              </w:rPr>
              <w:br/>
              <w:t>The above recommendation also adds further burden to already stretched and overburdened heart failure services due to a new  demand for more clinic visits. This along with the risk of adverse outcomes from an “ACEi 1st strategy” also adds to the economic burden on the NHS.</w:t>
            </w:r>
          </w:p>
        </w:tc>
        <w:tc>
          <w:tcPr>
            <w:tcW w:w="2122" w:type="pct"/>
          </w:tcPr>
          <w:p w14:paraId="5B0E6F57" w14:textId="381C577A" w:rsidR="00897293" w:rsidRPr="00CC6553" w:rsidRDefault="00897293" w:rsidP="1784C023">
            <w:pPr>
              <w:pStyle w:val="Heading1"/>
              <w:rPr>
                <w:rFonts w:cs="Arial"/>
                <w:b w:val="0"/>
                <w:color w:val="000000" w:themeColor="text1"/>
                <w:sz w:val="20"/>
              </w:rPr>
            </w:pPr>
            <w:r w:rsidRPr="00CC6553">
              <w:rPr>
                <w:rFonts w:eastAsia="Aptos" w:cs="Arial"/>
                <w:b w:val="0"/>
                <w:bCs w:val="0"/>
                <w:color w:val="000000" w:themeColor="text1"/>
                <w:sz w:val="20"/>
              </w:rPr>
              <w:lastRenderedPageBreak/>
              <w:t xml:space="preserve">Thank you for your comment. </w:t>
            </w:r>
          </w:p>
          <w:p w14:paraId="3C0C9242" w14:textId="2328EC89" w:rsidR="00897293" w:rsidRPr="00CC6553" w:rsidRDefault="00897293" w:rsidP="00C95CC1">
            <w:pPr>
              <w:rPr>
                <w:rFonts w:cs="Arial"/>
                <w:color w:val="000000" w:themeColor="text1"/>
                <w:sz w:val="20"/>
              </w:rPr>
            </w:pPr>
            <w:r w:rsidRPr="00CC6553">
              <w:rPr>
                <w:rFonts w:cs="Arial"/>
                <w:color w:val="000000" w:themeColor="text1"/>
                <w:sz w:val="20"/>
              </w:rPr>
              <w:t xml:space="preserve">The economic model used relative treatment effects of ARNI derived </w:t>
            </w:r>
            <w:r w:rsidRPr="00CC6553">
              <w:rPr>
                <w:rFonts w:cs="Arial"/>
                <w:color w:val="000000" w:themeColor="text1"/>
                <w:sz w:val="20"/>
              </w:rPr>
              <w:lastRenderedPageBreak/>
              <w:t>from clinical trials, including PARADIGM-HF. Moreover, real-world evidence from OpenSAFELY was used to reflect baseline risk of an English population. Even in the more favourable scenarios for ARNI, at current prices, the economic modelling found it not cost-effective in people who can tolerate ACEI.</w:t>
            </w:r>
          </w:p>
          <w:p w14:paraId="18C452EA" w14:textId="49F39353" w:rsidR="00897293" w:rsidRPr="009B3C47" w:rsidRDefault="00897293" w:rsidP="0292791C">
            <w:pPr>
              <w:rPr>
                <w:rFonts w:eastAsia="Aptos" w:cs="Arial"/>
                <w:color w:val="000000" w:themeColor="text1"/>
                <w:sz w:val="20"/>
              </w:rPr>
            </w:pPr>
            <w:r w:rsidRPr="009B3C47">
              <w:rPr>
                <w:rFonts w:eastAsia="Aptos" w:cs="Arial"/>
                <w:color w:val="000000" w:themeColor="text1"/>
                <w:sz w:val="20"/>
              </w:rPr>
              <w:t>The review protocol for this update specified that only randomised trial data would be included when assessing the clinical effectiveness as this provid</w:t>
            </w:r>
            <w:r>
              <w:rPr>
                <w:rFonts w:eastAsia="Aptos" w:cs="Arial"/>
                <w:color w:val="000000" w:themeColor="text1"/>
                <w:sz w:val="20"/>
              </w:rPr>
              <w:t>e</w:t>
            </w:r>
            <w:r w:rsidRPr="009B3C47">
              <w:rPr>
                <w:rFonts w:eastAsia="Aptos" w:cs="Arial"/>
                <w:color w:val="000000" w:themeColor="text1"/>
                <w:sz w:val="20"/>
              </w:rPr>
              <w:t>s the most robust source of data for comparing interventions. Therefore, real world data was not incorporated in the clinical evidence review.</w:t>
            </w:r>
          </w:p>
          <w:p w14:paraId="111D82F1" w14:textId="77777777" w:rsidR="00897293" w:rsidRPr="009B3C47" w:rsidRDefault="00897293" w:rsidP="0292791C">
            <w:pPr>
              <w:rPr>
                <w:rFonts w:eastAsia="Aptos" w:cs="Arial"/>
                <w:color w:val="000000" w:themeColor="text1"/>
                <w:sz w:val="20"/>
              </w:rPr>
            </w:pPr>
            <w:r w:rsidRPr="009B3C47">
              <w:rPr>
                <w:rFonts w:eastAsia="Aptos" w:cs="Arial"/>
                <w:color w:val="000000" w:themeColor="text1"/>
                <w:sz w:val="20"/>
              </w:rPr>
              <w:t>es the most robust source of data for comparing interventions. Therefore, real world data was not incorporated in the clinical evidence review.</w:t>
            </w:r>
          </w:p>
          <w:p w14:paraId="2BC6DFEB" w14:textId="276B3B32" w:rsidR="00897293" w:rsidRPr="00CC6553" w:rsidRDefault="00897293" w:rsidP="0292791C">
            <w:pPr>
              <w:rPr>
                <w:rFonts w:cs="Arial"/>
                <w:color w:val="000000" w:themeColor="text1"/>
                <w:sz w:val="20"/>
              </w:rPr>
            </w:pPr>
          </w:p>
          <w:p w14:paraId="2DC61719" w14:textId="1FE1750D" w:rsidR="00897293" w:rsidRPr="009B3C47" w:rsidRDefault="00897293" w:rsidP="1EFC9527">
            <w:pPr>
              <w:rPr>
                <w:rFonts w:cs="Arial"/>
                <w:color w:val="000000" w:themeColor="text1"/>
                <w:sz w:val="20"/>
              </w:rPr>
            </w:pPr>
          </w:p>
        </w:tc>
      </w:tr>
      <w:tr w:rsidR="00897293" w:rsidRPr="00CC6553" w14:paraId="206433A2" w14:textId="77777777" w:rsidTr="00897293">
        <w:trPr>
          <w:trHeight w:val="300"/>
        </w:trPr>
        <w:tc>
          <w:tcPr>
            <w:tcW w:w="109" w:type="pct"/>
          </w:tcPr>
          <w:p w14:paraId="3D228F3D"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50</w:t>
            </w:r>
          </w:p>
        </w:tc>
        <w:tc>
          <w:tcPr>
            <w:tcW w:w="143" w:type="pct"/>
          </w:tcPr>
          <w:p w14:paraId="71DDE229" w14:textId="1ACAB528"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683A3847" w14:textId="6D948E6E" w:rsidR="00897293" w:rsidRPr="00CC6553" w:rsidRDefault="00897293" w:rsidP="005271BB">
            <w:pPr>
              <w:rPr>
                <w:rFonts w:cs="Arial"/>
                <w:bCs/>
                <w:iCs/>
                <w:color w:val="000000" w:themeColor="text1"/>
                <w:sz w:val="20"/>
              </w:rPr>
            </w:pPr>
            <w:r w:rsidRPr="00CC6553">
              <w:rPr>
                <w:rFonts w:cs="Arial"/>
                <w:color w:val="000000" w:themeColor="text1"/>
                <w:sz w:val="20"/>
              </w:rPr>
              <w:t>University Hospital Southampton NHS Foundation Trust</w:t>
            </w:r>
          </w:p>
        </w:tc>
        <w:tc>
          <w:tcPr>
            <w:tcW w:w="279" w:type="pct"/>
          </w:tcPr>
          <w:p w14:paraId="1C8DDF86" w14:textId="7728F610"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09C4E875" w14:textId="7974B76C" w:rsidR="00897293" w:rsidRPr="00CC6553" w:rsidRDefault="00897293" w:rsidP="005271BB">
            <w:pPr>
              <w:rPr>
                <w:rFonts w:cs="Arial"/>
                <w:color w:val="000000" w:themeColor="text1"/>
                <w:sz w:val="20"/>
              </w:rPr>
            </w:pPr>
            <w:r w:rsidRPr="00CC6553">
              <w:rPr>
                <w:rFonts w:cs="Arial"/>
                <w:color w:val="000000" w:themeColor="text1"/>
                <w:sz w:val="20"/>
              </w:rPr>
              <w:t>010</w:t>
            </w:r>
          </w:p>
        </w:tc>
        <w:tc>
          <w:tcPr>
            <w:tcW w:w="214" w:type="pct"/>
          </w:tcPr>
          <w:p w14:paraId="62167CA3" w14:textId="0DADB4EE" w:rsidR="00897293" w:rsidRPr="00CC6553" w:rsidRDefault="00897293" w:rsidP="005271BB">
            <w:pPr>
              <w:rPr>
                <w:rFonts w:cs="Arial"/>
                <w:color w:val="000000" w:themeColor="text1"/>
                <w:sz w:val="20"/>
              </w:rPr>
            </w:pPr>
            <w:r w:rsidRPr="00CC6553">
              <w:rPr>
                <w:rFonts w:cs="Arial"/>
                <w:color w:val="000000" w:themeColor="text1"/>
                <w:sz w:val="20"/>
              </w:rPr>
              <w:t>024 - 028</w:t>
            </w:r>
          </w:p>
        </w:tc>
        <w:tc>
          <w:tcPr>
            <w:tcW w:w="1521" w:type="pct"/>
          </w:tcPr>
          <w:p w14:paraId="13B85288" w14:textId="5C02CA54" w:rsidR="00897293" w:rsidRPr="00CC6553" w:rsidRDefault="00897293" w:rsidP="005271BB">
            <w:pPr>
              <w:rPr>
                <w:rFonts w:cs="Arial"/>
                <w:color w:val="000000" w:themeColor="text1"/>
                <w:sz w:val="20"/>
              </w:rPr>
            </w:pPr>
            <w:r w:rsidRPr="00CC6553">
              <w:rPr>
                <w:rFonts w:cs="Arial"/>
                <w:color w:val="000000" w:themeColor="text1"/>
                <w:sz w:val="20"/>
              </w:rPr>
              <w:t>We welcome the guidance on offering all 4 foundational therapies to patients with HFrEF</w:t>
            </w:r>
          </w:p>
        </w:tc>
        <w:tc>
          <w:tcPr>
            <w:tcW w:w="2122" w:type="pct"/>
          </w:tcPr>
          <w:p w14:paraId="2142F2AA" w14:textId="49E2CE71"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w:t>
            </w:r>
          </w:p>
        </w:tc>
      </w:tr>
      <w:tr w:rsidR="00897293" w:rsidRPr="00CC6553" w14:paraId="08AF7650" w14:textId="77777777" w:rsidTr="00897293">
        <w:trPr>
          <w:trHeight w:val="300"/>
        </w:trPr>
        <w:tc>
          <w:tcPr>
            <w:tcW w:w="109" w:type="pct"/>
          </w:tcPr>
          <w:p w14:paraId="3F1D9974" w14:textId="77777777" w:rsidR="00897293" w:rsidRPr="00CC6553" w:rsidRDefault="00897293" w:rsidP="005271BB">
            <w:pPr>
              <w:rPr>
                <w:rFonts w:cs="Arial"/>
                <w:color w:val="000000" w:themeColor="text1"/>
                <w:sz w:val="20"/>
              </w:rPr>
            </w:pPr>
            <w:r w:rsidRPr="00CC6553">
              <w:rPr>
                <w:rFonts w:cs="Arial"/>
                <w:color w:val="000000" w:themeColor="text1"/>
                <w:sz w:val="20"/>
              </w:rPr>
              <w:t>51</w:t>
            </w:r>
          </w:p>
        </w:tc>
        <w:tc>
          <w:tcPr>
            <w:tcW w:w="143" w:type="pct"/>
          </w:tcPr>
          <w:p w14:paraId="6D94DB8B" w14:textId="7218D75F"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02B74CA0" w14:textId="3E0B5611" w:rsidR="00897293" w:rsidRPr="00CC6553" w:rsidRDefault="00897293" w:rsidP="005271BB">
            <w:pPr>
              <w:rPr>
                <w:rFonts w:cs="Arial"/>
                <w:bCs/>
                <w:iCs/>
                <w:color w:val="000000" w:themeColor="text1"/>
                <w:sz w:val="20"/>
              </w:rPr>
            </w:pPr>
            <w:r w:rsidRPr="00CC6553">
              <w:rPr>
                <w:rFonts w:cs="Arial"/>
                <w:color w:val="000000" w:themeColor="text1"/>
                <w:sz w:val="20"/>
              </w:rPr>
              <w:t>AstraZeneca UK Ltd</w:t>
            </w:r>
          </w:p>
        </w:tc>
        <w:tc>
          <w:tcPr>
            <w:tcW w:w="279" w:type="pct"/>
          </w:tcPr>
          <w:p w14:paraId="4D03439B" w14:textId="53F19C12"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114574F8" w14:textId="76FD4CD5" w:rsidR="00897293" w:rsidRPr="00CC6553" w:rsidRDefault="00897293" w:rsidP="005271BB">
            <w:pPr>
              <w:rPr>
                <w:rFonts w:cs="Arial"/>
                <w:color w:val="000000" w:themeColor="text1"/>
                <w:sz w:val="20"/>
              </w:rPr>
            </w:pPr>
            <w:r w:rsidRPr="00CC6553">
              <w:rPr>
                <w:rFonts w:cs="Arial"/>
                <w:color w:val="000000" w:themeColor="text1"/>
                <w:sz w:val="20"/>
              </w:rPr>
              <w:t>010</w:t>
            </w:r>
          </w:p>
        </w:tc>
        <w:tc>
          <w:tcPr>
            <w:tcW w:w="214" w:type="pct"/>
          </w:tcPr>
          <w:p w14:paraId="30A5088A" w14:textId="6E796F9A" w:rsidR="00897293" w:rsidRPr="00CC6553" w:rsidRDefault="00897293" w:rsidP="005271BB">
            <w:pPr>
              <w:rPr>
                <w:rFonts w:cs="Arial"/>
                <w:color w:val="000000" w:themeColor="text1"/>
                <w:sz w:val="20"/>
              </w:rPr>
            </w:pPr>
            <w:r w:rsidRPr="00CC6553">
              <w:rPr>
                <w:rFonts w:cs="Arial"/>
                <w:color w:val="000000" w:themeColor="text1"/>
                <w:sz w:val="20"/>
              </w:rPr>
              <w:t>025 - 028</w:t>
            </w:r>
          </w:p>
        </w:tc>
        <w:tc>
          <w:tcPr>
            <w:tcW w:w="1521" w:type="pct"/>
          </w:tcPr>
          <w:p w14:paraId="464563AF" w14:textId="43BB5A43" w:rsidR="00897293" w:rsidRPr="00CC6553" w:rsidRDefault="00897293" w:rsidP="005271BB">
            <w:pPr>
              <w:rPr>
                <w:rFonts w:cs="Arial"/>
                <w:color w:val="000000" w:themeColor="text1"/>
                <w:sz w:val="20"/>
              </w:rPr>
            </w:pPr>
            <w:r w:rsidRPr="00CC6553">
              <w:rPr>
                <w:rFonts w:cs="Arial"/>
                <w:color w:val="000000" w:themeColor="text1"/>
                <w:sz w:val="20"/>
              </w:rPr>
              <w:t xml:space="preserve">AstraZeneca support the treatment update for heart failure with reduced ejection fraction (HFrEF) outlined in NG106, which advises clinicians to offer an ACE </w:t>
            </w:r>
            <w:r w:rsidRPr="00CC6553">
              <w:rPr>
                <w:rFonts w:cs="Arial"/>
                <w:color w:val="000000" w:themeColor="text1"/>
                <w:sz w:val="20"/>
              </w:rPr>
              <w:lastRenderedPageBreak/>
              <w:t>inhibitor, a beta-blocker, an MRA, and an SGLT2 inhibitor to people who have HFrEF.</w:t>
            </w:r>
          </w:p>
        </w:tc>
        <w:tc>
          <w:tcPr>
            <w:tcW w:w="2122" w:type="pct"/>
          </w:tcPr>
          <w:p w14:paraId="6F0E0A56" w14:textId="30CA6878"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lastRenderedPageBreak/>
              <w:t>Thank you for your comment</w:t>
            </w:r>
          </w:p>
        </w:tc>
      </w:tr>
      <w:tr w:rsidR="00897293" w:rsidRPr="00CC6553" w14:paraId="23649B0D" w14:textId="77777777" w:rsidTr="00897293">
        <w:trPr>
          <w:trHeight w:val="300"/>
        </w:trPr>
        <w:tc>
          <w:tcPr>
            <w:tcW w:w="109" w:type="pct"/>
          </w:tcPr>
          <w:p w14:paraId="4E5A9249" w14:textId="77777777" w:rsidR="00897293" w:rsidRPr="00CC6553" w:rsidRDefault="00897293" w:rsidP="005271BB">
            <w:pPr>
              <w:rPr>
                <w:rFonts w:cs="Arial"/>
                <w:color w:val="000000" w:themeColor="text1"/>
                <w:sz w:val="20"/>
              </w:rPr>
            </w:pPr>
            <w:r w:rsidRPr="00CC6553">
              <w:rPr>
                <w:rFonts w:cs="Arial"/>
                <w:color w:val="000000" w:themeColor="text1"/>
                <w:sz w:val="20"/>
              </w:rPr>
              <w:t>52</w:t>
            </w:r>
          </w:p>
        </w:tc>
        <w:tc>
          <w:tcPr>
            <w:tcW w:w="143" w:type="pct"/>
          </w:tcPr>
          <w:p w14:paraId="03AACF58" w14:textId="058284CD"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4AE107C2" w14:textId="7B2D5262" w:rsidR="00897293" w:rsidRPr="00CC6553" w:rsidRDefault="00897293" w:rsidP="005271BB">
            <w:pPr>
              <w:rPr>
                <w:rFonts w:cs="Arial"/>
                <w:bCs/>
                <w:iCs/>
                <w:color w:val="000000" w:themeColor="text1"/>
                <w:sz w:val="20"/>
              </w:rPr>
            </w:pPr>
            <w:r w:rsidRPr="00CC6553">
              <w:rPr>
                <w:rFonts w:cs="Arial"/>
                <w:color w:val="000000" w:themeColor="text1"/>
                <w:sz w:val="20"/>
              </w:rPr>
              <w:t>British Cardiovascular Society</w:t>
            </w:r>
          </w:p>
        </w:tc>
        <w:tc>
          <w:tcPr>
            <w:tcW w:w="279" w:type="pct"/>
          </w:tcPr>
          <w:p w14:paraId="35F37E6F" w14:textId="14BE765C" w:rsidR="00897293" w:rsidRPr="00CC6553" w:rsidRDefault="00897293" w:rsidP="005271BB">
            <w:pPr>
              <w:rPr>
                <w:rFonts w:cs="Arial"/>
                <w:color w:val="000000" w:themeColor="text1"/>
                <w:sz w:val="20"/>
              </w:rPr>
            </w:pPr>
            <w:r w:rsidRPr="00CC6553">
              <w:rPr>
                <w:rFonts w:cs="Arial"/>
                <w:color w:val="000000" w:themeColor="text1"/>
                <w:sz w:val="20"/>
              </w:rPr>
              <w:t>Guideline</w:t>
            </w:r>
            <w:r w:rsidRPr="00CC6553">
              <w:rPr>
                <w:rFonts w:cs="Arial"/>
                <w:color w:val="000000" w:themeColor="text1"/>
                <w:sz w:val="20"/>
              </w:rPr>
              <w:br/>
            </w:r>
            <w:r w:rsidRPr="00CC6553">
              <w:rPr>
                <w:rFonts w:cs="Arial"/>
                <w:color w:val="000000" w:themeColor="text1"/>
                <w:sz w:val="20"/>
              </w:rPr>
              <w:br/>
              <w:t>Evidence review A</w:t>
            </w:r>
          </w:p>
        </w:tc>
        <w:tc>
          <w:tcPr>
            <w:tcW w:w="214" w:type="pct"/>
          </w:tcPr>
          <w:p w14:paraId="594643CF" w14:textId="69CF6B88" w:rsidR="00897293" w:rsidRPr="00CC6553" w:rsidRDefault="00897293" w:rsidP="005271BB">
            <w:pPr>
              <w:rPr>
                <w:rFonts w:cs="Arial"/>
                <w:color w:val="000000" w:themeColor="text1"/>
                <w:sz w:val="20"/>
              </w:rPr>
            </w:pPr>
            <w:r w:rsidRPr="00CC6553">
              <w:rPr>
                <w:rFonts w:cs="Arial"/>
                <w:color w:val="000000" w:themeColor="text1"/>
                <w:sz w:val="20"/>
              </w:rPr>
              <w:t>010 - 011</w:t>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t>062</w:t>
            </w:r>
          </w:p>
        </w:tc>
        <w:tc>
          <w:tcPr>
            <w:tcW w:w="214" w:type="pct"/>
          </w:tcPr>
          <w:p w14:paraId="77A45415" w14:textId="555D1E84" w:rsidR="00897293" w:rsidRPr="00CC6553" w:rsidRDefault="00897293" w:rsidP="005271BB">
            <w:pPr>
              <w:rPr>
                <w:rFonts w:cs="Arial"/>
                <w:color w:val="000000" w:themeColor="text1"/>
                <w:sz w:val="20"/>
              </w:rPr>
            </w:pPr>
            <w:r w:rsidRPr="00CC6553">
              <w:rPr>
                <w:rFonts w:cs="Arial"/>
                <w:color w:val="000000" w:themeColor="text1"/>
                <w:sz w:val="20"/>
              </w:rPr>
              <w:t>025 – 003</w:t>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t>019</w:t>
            </w:r>
          </w:p>
        </w:tc>
        <w:tc>
          <w:tcPr>
            <w:tcW w:w="1521" w:type="pct"/>
          </w:tcPr>
          <w:p w14:paraId="763A9B71" w14:textId="72FA568F" w:rsidR="00897293" w:rsidRPr="00CC6553" w:rsidRDefault="00897293" w:rsidP="005271BB">
            <w:pPr>
              <w:rPr>
                <w:rFonts w:cs="Arial"/>
                <w:color w:val="000000" w:themeColor="text1"/>
                <w:sz w:val="20"/>
              </w:rPr>
            </w:pPr>
            <w:r w:rsidRPr="00CC6553">
              <w:rPr>
                <w:rFonts w:cs="Arial"/>
                <w:color w:val="000000" w:themeColor="text1"/>
                <w:sz w:val="20"/>
              </w:rPr>
              <w:t>This guidance suggests the need to start patients on an ACEi/ARB prior to ARNI and with a requirement for the patient to have ongoing symptoms prior to consideration of an ARNI only after reaching maximally tolerated dose of an ACEi/ARB. This practice is not well supported by the existing evidence base among high risk in-patients and potentially introduces delays in establishing this high risk cohort on optimal medical therapy (see below references from landmark studies including PIONEER-HF, PREMIER-HF, and PARAGLIDE)</w:t>
            </w:r>
            <w:r w:rsidRPr="00CC6553">
              <w:rPr>
                <w:rFonts w:cs="Arial"/>
                <w:color w:val="000000" w:themeColor="text1"/>
                <w:sz w:val="20"/>
              </w:rPr>
              <w:br/>
            </w:r>
            <w:r w:rsidRPr="00CC6553">
              <w:rPr>
                <w:rFonts w:cs="Arial"/>
                <w:color w:val="000000" w:themeColor="text1"/>
                <w:sz w:val="20"/>
              </w:rPr>
              <w:br/>
              <w:t>Velazquez EJ, Morrow DA, DeVore AD, Duffy CI, Ambrosy AP, McCague K, et al. Angiotensin-neprilysin inhibition in acute decompensated heart failure. N Engl J Med 2019;380:539–48. 10.1056/NEJMoa1812851</w:t>
            </w:r>
            <w:r w:rsidRPr="00CC6553">
              <w:rPr>
                <w:rFonts w:cs="Arial"/>
                <w:color w:val="000000" w:themeColor="text1"/>
                <w:sz w:val="20"/>
              </w:rPr>
              <w:br/>
            </w:r>
            <w:r w:rsidRPr="00CC6553">
              <w:rPr>
                <w:rFonts w:cs="Arial"/>
                <w:color w:val="000000" w:themeColor="text1"/>
                <w:sz w:val="20"/>
              </w:rPr>
              <w:br/>
              <w:t>Tanaka, et al.  In-hospital initiation of angiotensin receptor–neprilysin inhibition in acute heart failure: the PREMIER trial, European Heart Journal, Volume 45, Issue 42, 7 November 2024, Pages 4482–4493, https://doi.org/10.1093/eurheartj/ehae561</w:t>
            </w:r>
            <w:r w:rsidRPr="00CC6553">
              <w:rPr>
                <w:rFonts w:cs="Arial"/>
                <w:color w:val="000000" w:themeColor="text1"/>
                <w:sz w:val="20"/>
              </w:rPr>
              <w:br/>
            </w:r>
            <w:r w:rsidRPr="00CC6553">
              <w:rPr>
                <w:rFonts w:cs="Arial"/>
                <w:color w:val="000000" w:themeColor="text1"/>
                <w:sz w:val="20"/>
              </w:rPr>
              <w:br/>
              <w:t>Morrow DA, Velazquez EJ, Desai AS, DeVore AD, Lepage S, Park JG, et al. Sacubitril/valsartan in patients hospitalized with decompensated heart failure. J Am Coll Cardiol 2024;83:1123–32. 10.1016/j.jacc.2024.01.027</w:t>
            </w:r>
            <w:r w:rsidRPr="00CC6553">
              <w:rPr>
                <w:rFonts w:cs="Arial"/>
                <w:color w:val="000000" w:themeColor="text1"/>
                <w:sz w:val="20"/>
              </w:rPr>
              <w:br/>
            </w:r>
            <w:r w:rsidRPr="00CC6553">
              <w:rPr>
                <w:rFonts w:cs="Arial"/>
                <w:color w:val="000000" w:themeColor="text1"/>
                <w:sz w:val="20"/>
              </w:rPr>
              <w:br/>
              <w:t>We struggle to follow the rationale behind an insistence on commencing ACEi first-line ahead of an ARNI in this cohort, based on the economic analysis and evidence review provided. Please could this be addressed by drawing out the key figures/comparisons including their costs to highlight the reasoning. It is initially commented on that there is little additional benefit of ARNI over ACE-I but later this is contradicted by a statement that there is significant potential for reduced hospital admission in those switched to ARNI. Therefore which is it?</w:t>
            </w:r>
            <w:r w:rsidRPr="00CC6553">
              <w:rPr>
                <w:rFonts w:cs="Arial"/>
                <w:color w:val="000000" w:themeColor="text1"/>
                <w:sz w:val="20"/>
              </w:rPr>
              <w:br/>
            </w:r>
            <w:r w:rsidRPr="00CC6553">
              <w:rPr>
                <w:rFonts w:cs="Arial"/>
                <w:color w:val="000000" w:themeColor="text1"/>
                <w:sz w:val="20"/>
              </w:rPr>
              <w:br/>
              <w:t xml:space="preserve">Reading through the economic analysis of this specific area (evidence review A, </w:t>
            </w:r>
            <w:r w:rsidRPr="00CC6553">
              <w:rPr>
                <w:rFonts w:cs="Arial"/>
                <w:color w:val="000000" w:themeColor="text1"/>
                <w:sz w:val="20"/>
              </w:rPr>
              <w:lastRenderedPageBreak/>
              <w:t xml:space="preserve">page 62 lines 19 onwards) there is inconsistency in the choice of elements of the economic modelling without a clear rationale. </w:t>
            </w:r>
            <w:r w:rsidRPr="00B45706">
              <w:rPr>
                <w:rFonts w:cs="Arial"/>
                <w:color w:val="000000" w:themeColor="text1"/>
                <w:sz w:val="20"/>
              </w:rPr>
              <w:t>[This text was identified as confidential and has been removed].</w:t>
            </w:r>
            <w:r w:rsidRPr="00CC6553">
              <w:rPr>
                <w:rFonts w:cs="Arial"/>
                <w:color w:val="000000" w:themeColor="text1"/>
                <w:sz w:val="20"/>
              </w:rPr>
              <w:br/>
            </w:r>
            <w:r w:rsidRPr="00CC6553">
              <w:rPr>
                <w:rFonts w:cs="Arial"/>
                <w:color w:val="000000" w:themeColor="text1"/>
                <w:sz w:val="20"/>
              </w:rPr>
              <w:br/>
              <w:t>Therefore, in our opinion it should be concluded that there is too much cost uncertainty to be definitive, which should allow clinician discretion to use an ACE-I, ARB or ARNI as thought best by the HF team.</w:t>
            </w:r>
          </w:p>
        </w:tc>
        <w:tc>
          <w:tcPr>
            <w:tcW w:w="2122" w:type="pct"/>
          </w:tcPr>
          <w:p w14:paraId="08A05FA4" w14:textId="5C1AB553" w:rsidR="00897293" w:rsidRPr="009B3C47" w:rsidRDefault="00897293" w:rsidP="009B3C47">
            <w:pPr>
              <w:pStyle w:val="Heading1"/>
              <w:rPr>
                <w:rFonts w:cs="Arial"/>
                <w:color w:val="000000" w:themeColor="text1"/>
                <w:sz w:val="20"/>
              </w:rPr>
            </w:pPr>
            <w:r w:rsidRPr="00CC6553">
              <w:rPr>
                <w:rFonts w:cs="Arial"/>
                <w:b w:val="0"/>
                <w:bCs w:val="0"/>
                <w:color w:val="000000" w:themeColor="text1"/>
                <w:sz w:val="20"/>
              </w:rPr>
              <w:lastRenderedPageBreak/>
              <w:t xml:space="preserve">Thank you for your comment. </w:t>
            </w:r>
          </w:p>
          <w:p w14:paraId="0D2A9D03" w14:textId="4B44F22D" w:rsidR="00897293" w:rsidRPr="00CC6553" w:rsidRDefault="00897293" w:rsidP="002E0DAA">
            <w:pPr>
              <w:pStyle w:val="Heading1"/>
              <w:rPr>
                <w:rFonts w:cs="Arial"/>
                <w:b w:val="0"/>
                <w:bCs w:val="0"/>
                <w:color w:val="000000" w:themeColor="text1"/>
                <w:sz w:val="20"/>
              </w:rPr>
            </w:pPr>
            <w:r w:rsidRPr="00CC6553">
              <w:rPr>
                <w:rFonts w:cs="Arial"/>
                <w:b w:val="0"/>
                <w:bCs w:val="0"/>
                <w:color w:val="000000" w:themeColor="text1"/>
                <w:sz w:val="20"/>
              </w:rPr>
              <w:t xml:space="preserve">The guideline recommended to start patients either on ACEI or ARNI if intolerant to ACEI. This was informed by the economic model which incorporated relative treatment effects of ARNI derived from clinical trials, including PARADIGM-HF, and real-world evidence from OpenSAFELY. </w:t>
            </w:r>
          </w:p>
          <w:p w14:paraId="15474F5A" w14:textId="77777777" w:rsidR="00897293" w:rsidRPr="00CC6553" w:rsidRDefault="00897293" w:rsidP="002E0DAA">
            <w:pPr>
              <w:pStyle w:val="Heading1"/>
              <w:rPr>
                <w:rFonts w:cs="Arial"/>
                <w:b w:val="0"/>
                <w:bCs w:val="0"/>
                <w:color w:val="000000" w:themeColor="text1"/>
                <w:sz w:val="20"/>
              </w:rPr>
            </w:pPr>
          </w:p>
          <w:p w14:paraId="1996B84E" w14:textId="22DE8C44" w:rsidR="00897293" w:rsidRPr="00CC6553" w:rsidRDefault="00897293" w:rsidP="002E0DAA">
            <w:pPr>
              <w:pStyle w:val="Heading1"/>
              <w:rPr>
                <w:rFonts w:cs="Arial"/>
                <w:b w:val="0"/>
                <w:bCs w:val="0"/>
                <w:color w:val="000000" w:themeColor="text1"/>
                <w:sz w:val="20"/>
              </w:rPr>
            </w:pPr>
            <w:r w:rsidRPr="00CC6553">
              <w:rPr>
                <w:rFonts w:cs="Arial"/>
                <w:b w:val="0"/>
                <w:bCs w:val="0"/>
                <w:color w:val="000000" w:themeColor="text1"/>
                <w:sz w:val="20"/>
              </w:rPr>
              <w:t xml:space="preserve">ARNI was found to have clinical advantages compared to ACEI, in terms of reduced mortality and risk of hospitalisation. However, at its current price, ARNI was not found to be cost-effective compared to ACEI. This may change in future updates if the price of ARNI is reduced.  </w:t>
            </w:r>
          </w:p>
          <w:p w14:paraId="383A1B59" w14:textId="77777777" w:rsidR="00897293" w:rsidRPr="00CC6553" w:rsidRDefault="00897293" w:rsidP="6CFEEC42">
            <w:pPr>
              <w:pStyle w:val="Heading1"/>
              <w:rPr>
                <w:rFonts w:cs="Arial"/>
                <w:b w:val="0"/>
                <w:color w:val="000000" w:themeColor="text1"/>
                <w:sz w:val="20"/>
              </w:rPr>
            </w:pPr>
          </w:p>
          <w:p w14:paraId="0244DCE7" w14:textId="54A97A5C" w:rsidR="00897293" w:rsidRPr="00CC6553" w:rsidRDefault="00897293" w:rsidP="6CFEEC42">
            <w:pPr>
              <w:pStyle w:val="Heading1"/>
              <w:rPr>
                <w:rFonts w:cs="Arial"/>
                <w:b w:val="0"/>
                <w:bCs w:val="0"/>
                <w:color w:val="000000" w:themeColor="text1"/>
                <w:sz w:val="20"/>
              </w:rPr>
            </w:pPr>
            <w:r w:rsidRPr="00CC6553">
              <w:rPr>
                <w:rFonts w:cs="Arial"/>
                <w:b w:val="0"/>
                <w:bCs w:val="0"/>
                <w:color w:val="000000" w:themeColor="text1"/>
                <w:sz w:val="20"/>
              </w:rPr>
              <w:t xml:space="preserve">The economic model (see Economic Report) explored several scenarios and assumptions. Early ARNI was found to be cost-effective in none with the exception of one scenario where quality of life benefits of ARNI and SGLTi were summed together. This was considered highly unrealistic by the committee who were more confident with the </w:t>
            </w:r>
            <w:r w:rsidRPr="00CC6553">
              <w:rPr>
                <w:rFonts w:cs="Arial"/>
                <w:b w:val="0"/>
                <w:bCs w:val="0"/>
                <w:color w:val="000000" w:themeColor="text1"/>
                <w:sz w:val="20"/>
              </w:rPr>
              <w:lastRenderedPageBreak/>
              <w:t>findings of the base case scenario and made a recommendation accordingly.</w:t>
            </w:r>
            <w:r>
              <w:rPr>
                <w:rFonts w:cs="Arial"/>
                <w:b w:val="0"/>
                <w:bCs w:val="0"/>
                <w:color w:val="000000" w:themeColor="text1"/>
                <w:sz w:val="20"/>
              </w:rPr>
              <w:t xml:space="preserve"> Whilst the full population of the PARADIGM-HF trial was used in the base case analysis, the European subpopulation, which was preferred by the committee in TA388 was explored in scenario analysis, in this scenario early ARNI was not cost-effective. ARNI has been brought forward in the treatment pathway in this update, however its high acquisition cost means it is unlikely to be cost-effective as a first line treatment. </w:t>
            </w:r>
          </w:p>
          <w:p w14:paraId="06843F3A" w14:textId="77777777" w:rsidR="00897293" w:rsidRPr="00CC6553" w:rsidRDefault="00897293" w:rsidP="00B51DCB">
            <w:pPr>
              <w:rPr>
                <w:color w:val="000000" w:themeColor="text1"/>
              </w:rPr>
            </w:pPr>
          </w:p>
          <w:p w14:paraId="416A3AF5" w14:textId="7E5A5DBF" w:rsidR="00897293" w:rsidRPr="00CC6553" w:rsidRDefault="00897293" w:rsidP="6CFEEC42">
            <w:pPr>
              <w:rPr>
                <w:rFonts w:cs="Arial"/>
                <w:color w:val="000000" w:themeColor="text1"/>
                <w:sz w:val="20"/>
              </w:rPr>
            </w:pPr>
          </w:p>
        </w:tc>
      </w:tr>
      <w:tr w:rsidR="00897293" w:rsidRPr="00CC6553" w14:paraId="5EEF06B3" w14:textId="77777777" w:rsidTr="00897293">
        <w:trPr>
          <w:trHeight w:val="300"/>
        </w:trPr>
        <w:tc>
          <w:tcPr>
            <w:tcW w:w="109" w:type="pct"/>
          </w:tcPr>
          <w:p w14:paraId="659D1797"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53</w:t>
            </w:r>
          </w:p>
        </w:tc>
        <w:tc>
          <w:tcPr>
            <w:tcW w:w="143" w:type="pct"/>
          </w:tcPr>
          <w:p w14:paraId="569EDBD6" w14:textId="75FD3F1B"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276494BC" w14:textId="0F6AD28B"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58AAAAAA" w14:textId="101BC8FC"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266228B5" w14:textId="14FA1EA7" w:rsidR="00897293" w:rsidRPr="00CC6553" w:rsidRDefault="00897293" w:rsidP="005271BB">
            <w:pPr>
              <w:rPr>
                <w:rFonts w:cs="Arial"/>
                <w:color w:val="000000" w:themeColor="text1"/>
                <w:sz w:val="20"/>
              </w:rPr>
            </w:pPr>
            <w:r w:rsidRPr="00CC6553">
              <w:rPr>
                <w:rFonts w:cs="Arial"/>
                <w:color w:val="000000" w:themeColor="text1"/>
                <w:sz w:val="20"/>
              </w:rPr>
              <w:t>010 &amp; 013</w:t>
            </w:r>
          </w:p>
        </w:tc>
        <w:tc>
          <w:tcPr>
            <w:tcW w:w="214" w:type="pct"/>
          </w:tcPr>
          <w:p w14:paraId="1EC05F47" w14:textId="5A769B7F" w:rsidR="00897293" w:rsidRPr="00CC6553" w:rsidRDefault="00897293" w:rsidP="005271BB">
            <w:pPr>
              <w:rPr>
                <w:rFonts w:cs="Arial"/>
                <w:color w:val="000000" w:themeColor="text1"/>
                <w:sz w:val="20"/>
              </w:rPr>
            </w:pPr>
            <w:r w:rsidRPr="00CC6553">
              <w:rPr>
                <w:rFonts w:cs="Arial"/>
                <w:color w:val="000000" w:themeColor="text1"/>
                <w:sz w:val="20"/>
              </w:rPr>
              <w:t>025 &amp; 014</w:t>
            </w:r>
          </w:p>
        </w:tc>
        <w:tc>
          <w:tcPr>
            <w:tcW w:w="1521" w:type="pct"/>
          </w:tcPr>
          <w:p w14:paraId="5513F11F" w14:textId="479BBAAF" w:rsidR="00897293" w:rsidRPr="00CC6553" w:rsidRDefault="00897293" w:rsidP="005271BB">
            <w:pPr>
              <w:rPr>
                <w:rFonts w:cs="Arial"/>
                <w:color w:val="000000" w:themeColor="text1"/>
                <w:sz w:val="20"/>
              </w:rPr>
            </w:pPr>
            <w:r w:rsidRPr="00CC6553">
              <w:rPr>
                <w:rFonts w:cs="Arial"/>
                <w:color w:val="000000" w:themeColor="text1"/>
                <w:sz w:val="20"/>
              </w:rPr>
              <w:t>ACE or ARB</w:t>
            </w:r>
            <w:r w:rsidRPr="00CC6553">
              <w:rPr>
                <w:rFonts w:cs="Arial"/>
                <w:color w:val="000000" w:themeColor="text1"/>
                <w:sz w:val="20"/>
              </w:rPr>
              <w:br/>
              <w:t> </w:t>
            </w:r>
            <w:r w:rsidRPr="00CC6553">
              <w:rPr>
                <w:rFonts w:cs="Arial"/>
                <w:color w:val="000000" w:themeColor="text1"/>
                <w:sz w:val="20"/>
              </w:rPr>
              <w:br/>
              <w:t>Reference should be made to 1.7.9</w:t>
            </w:r>
          </w:p>
        </w:tc>
        <w:tc>
          <w:tcPr>
            <w:tcW w:w="2122" w:type="pct"/>
          </w:tcPr>
          <w:p w14:paraId="7916134A" w14:textId="07AB0C58"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  The committee agreed that the wording of these recommendations should be for people who can tolerate an ACEI with additional separate recommendations for people who are unable to.  As there are a number of recommendations for starting and monitoring treatment the committee agreed not to cross reference to individual recommendations.</w:t>
            </w:r>
          </w:p>
        </w:tc>
      </w:tr>
      <w:tr w:rsidR="00897293" w:rsidRPr="00CC6553" w14:paraId="1D961BB0" w14:textId="77777777" w:rsidTr="00897293">
        <w:trPr>
          <w:trHeight w:val="300"/>
        </w:trPr>
        <w:tc>
          <w:tcPr>
            <w:tcW w:w="109" w:type="pct"/>
          </w:tcPr>
          <w:p w14:paraId="12E0F4F2"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54</w:t>
            </w:r>
          </w:p>
        </w:tc>
        <w:tc>
          <w:tcPr>
            <w:tcW w:w="143" w:type="pct"/>
          </w:tcPr>
          <w:p w14:paraId="5B219B50" w14:textId="70C0F5B3"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33503D21" w14:textId="359ED7C1" w:rsidR="00897293" w:rsidRPr="00CC6553" w:rsidRDefault="00897293" w:rsidP="005271BB">
            <w:pPr>
              <w:rPr>
                <w:rFonts w:cs="Arial"/>
                <w:bCs/>
                <w:iCs/>
                <w:color w:val="000000" w:themeColor="text1"/>
                <w:sz w:val="20"/>
              </w:rPr>
            </w:pPr>
            <w:r w:rsidRPr="00CC6553">
              <w:rPr>
                <w:rFonts w:cs="Arial"/>
                <w:color w:val="000000" w:themeColor="text1"/>
                <w:sz w:val="20"/>
              </w:rPr>
              <w:t>Imperial College Healthcare NHS Trust</w:t>
            </w:r>
          </w:p>
        </w:tc>
        <w:tc>
          <w:tcPr>
            <w:tcW w:w="279" w:type="pct"/>
          </w:tcPr>
          <w:p w14:paraId="2845F880" w14:textId="29C7C72E"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1F5B145A" w14:textId="7030EECC" w:rsidR="00897293" w:rsidRPr="00CC6553" w:rsidRDefault="00897293" w:rsidP="005271BB">
            <w:pPr>
              <w:rPr>
                <w:rFonts w:cs="Arial"/>
                <w:color w:val="000000" w:themeColor="text1"/>
                <w:sz w:val="20"/>
              </w:rPr>
            </w:pPr>
            <w:r w:rsidRPr="00CC6553">
              <w:rPr>
                <w:rFonts w:cs="Arial"/>
                <w:color w:val="000000" w:themeColor="text1"/>
                <w:sz w:val="20"/>
              </w:rPr>
              <w:t>010</w:t>
            </w:r>
          </w:p>
        </w:tc>
        <w:tc>
          <w:tcPr>
            <w:tcW w:w="214" w:type="pct"/>
          </w:tcPr>
          <w:p w14:paraId="04288FF9" w14:textId="20460611" w:rsidR="00897293" w:rsidRPr="00CC6553" w:rsidRDefault="00897293" w:rsidP="005271BB">
            <w:pPr>
              <w:rPr>
                <w:rFonts w:cs="Arial"/>
                <w:color w:val="000000" w:themeColor="text1"/>
                <w:sz w:val="20"/>
              </w:rPr>
            </w:pPr>
            <w:r w:rsidRPr="00CC6553">
              <w:rPr>
                <w:rFonts w:cs="Arial"/>
                <w:color w:val="000000" w:themeColor="text1"/>
                <w:sz w:val="20"/>
              </w:rPr>
              <w:t>General</w:t>
            </w:r>
          </w:p>
        </w:tc>
        <w:tc>
          <w:tcPr>
            <w:tcW w:w="1521" w:type="pct"/>
          </w:tcPr>
          <w:p w14:paraId="2327FDAE" w14:textId="39637AB1" w:rsidR="00897293" w:rsidRPr="00CC6553" w:rsidRDefault="00897293" w:rsidP="005271BB">
            <w:pPr>
              <w:rPr>
                <w:rFonts w:cs="Arial"/>
                <w:color w:val="000000" w:themeColor="text1"/>
                <w:sz w:val="20"/>
              </w:rPr>
            </w:pPr>
            <w:r w:rsidRPr="00CC6553">
              <w:rPr>
                <w:rFonts w:cs="Arial"/>
                <w:color w:val="000000" w:themeColor="text1"/>
                <w:sz w:val="20"/>
              </w:rPr>
              <w:t>We would like to consider stating the role of the HF specialist nurse/pharmacist in the treatment section. Any, a statement that ALL patients with HF should have access to these specialists should be added to prevent the current inequity between those who have HFrEF and those who have HFpEF</w:t>
            </w:r>
          </w:p>
        </w:tc>
        <w:tc>
          <w:tcPr>
            <w:tcW w:w="2122" w:type="pct"/>
          </w:tcPr>
          <w:p w14:paraId="3E57B3D6" w14:textId="38EDED9C" w:rsidR="00897293" w:rsidRPr="00CC6553" w:rsidRDefault="00897293" w:rsidP="00B276E4">
            <w:pPr>
              <w:pStyle w:val="Paragraph"/>
              <w:numPr>
                <w:ilvl w:val="0"/>
                <w:numId w:val="0"/>
              </w:numPr>
              <w:rPr>
                <w:color w:val="000000" w:themeColor="text1"/>
              </w:rPr>
            </w:pPr>
            <w:r w:rsidRPr="00CC6553">
              <w:rPr>
                <w:rFonts w:cs="Arial"/>
                <w:color w:val="000000" w:themeColor="text1"/>
                <w:sz w:val="20"/>
              </w:rPr>
              <w:t>Thank you for your comment.  The committee agree that specialist heart failure nurse and pharmacists play an important role.  The recommendation in section 1.1 on MDTs has been edited to reflect this.</w:t>
            </w:r>
          </w:p>
          <w:p w14:paraId="503BB4DB" w14:textId="459AE671" w:rsidR="00897293" w:rsidRPr="00CC6553" w:rsidRDefault="00897293" w:rsidP="005271BB">
            <w:pPr>
              <w:pStyle w:val="Heading1"/>
              <w:rPr>
                <w:rFonts w:cs="Arial"/>
                <w:b w:val="0"/>
                <w:color w:val="000000" w:themeColor="text1"/>
                <w:sz w:val="20"/>
              </w:rPr>
            </w:pPr>
          </w:p>
        </w:tc>
      </w:tr>
      <w:tr w:rsidR="00897293" w:rsidRPr="00CC6553" w14:paraId="1E396773" w14:textId="77777777" w:rsidTr="00897293">
        <w:trPr>
          <w:trHeight w:val="300"/>
        </w:trPr>
        <w:tc>
          <w:tcPr>
            <w:tcW w:w="109" w:type="pct"/>
          </w:tcPr>
          <w:p w14:paraId="22B0F885" w14:textId="77777777" w:rsidR="00897293" w:rsidRPr="00CC6553" w:rsidRDefault="00897293" w:rsidP="005271BB">
            <w:pPr>
              <w:rPr>
                <w:rFonts w:cs="Arial"/>
                <w:color w:val="000000" w:themeColor="text1"/>
                <w:sz w:val="20"/>
              </w:rPr>
            </w:pPr>
            <w:r w:rsidRPr="00CC6553">
              <w:rPr>
                <w:rFonts w:cs="Arial"/>
                <w:color w:val="000000" w:themeColor="text1"/>
                <w:sz w:val="20"/>
              </w:rPr>
              <w:t>55</w:t>
            </w:r>
          </w:p>
        </w:tc>
        <w:tc>
          <w:tcPr>
            <w:tcW w:w="143" w:type="pct"/>
          </w:tcPr>
          <w:p w14:paraId="7A3AC806" w14:textId="38669AD7"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3C1899D9" w14:textId="534EE8F8" w:rsidR="00897293" w:rsidRPr="00CC6553" w:rsidRDefault="00897293" w:rsidP="005271BB">
            <w:pPr>
              <w:rPr>
                <w:rFonts w:cs="Arial"/>
                <w:bCs/>
                <w:iCs/>
                <w:color w:val="000000" w:themeColor="text1"/>
                <w:sz w:val="20"/>
              </w:rPr>
            </w:pPr>
            <w:r w:rsidRPr="00CC6553">
              <w:rPr>
                <w:rFonts w:cs="Arial"/>
                <w:color w:val="000000" w:themeColor="text1"/>
                <w:sz w:val="20"/>
              </w:rPr>
              <w:t>British Association for Nursing in Cardiovascular Care (BANCC)</w:t>
            </w:r>
          </w:p>
        </w:tc>
        <w:tc>
          <w:tcPr>
            <w:tcW w:w="279" w:type="pct"/>
          </w:tcPr>
          <w:p w14:paraId="16D2E37D" w14:textId="154C5B25"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336DFB17" w14:textId="2D51673F" w:rsidR="00897293" w:rsidRPr="00CC6553" w:rsidRDefault="00897293" w:rsidP="005271BB">
            <w:pPr>
              <w:rPr>
                <w:rFonts w:cs="Arial"/>
                <w:color w:val="000000" w:themeColor="text1"/>
                <w:sz w:val="20"/>
              </w:rPr>
            </w:pPr>
            <w:r w:rsidRPr="00CC6553">
              <w:rPr>
                <w:rFonts w:cs="Arial"/>
                <w:color w:val="000000" w:themeColor="text1"/>
                <w:sz w:val="20"/>
              </w:rPr>
              <w:t>010</w:t>
            </w:r>
          </w:p>
        </w:tc>
        <w:tc>
          <w:tcPr>
            <w:tcW w:w="214" w:type="pct"/>
          </w:tcPr>
          <w:p w14:paraId="1D46828A" w14:textId="26F29655" w:rsidR="00897293" w:rsidRPr="00CC6553" w:rsidRDefault="00897293" w:rsidP="005271BB">
            <w:pPr>
              <w:rPr>
                <w:rFonts w:cs="Arial"/>
                <w:color w:val="000000" w:themeColor="text1"/>
                <w:sz w:val="20"/>
              </w:rPr>
            </w:pPr>
            <w:r w:rsidRPr="00CC6553">
              <w:rPr>
                <w:rFonts w:cs="Arial"/>
                <w:color w:val="000000" w:themeColor="text1"/>
                <w:sz w:val="20"/>
              </w:rPr>
              <w:t>General</w:t>
            </w:r>
          </w:p>
        </w:tc>
        <w:tc>
          <w:tcPr>
            <w:tcW w:w="1521" w:type="pct"/>
          </w:tcPr>
          <w:p w14:paraId="350AB22A" w14:textId="437E086E" w:rsidR="00897293" w:rsidRPr="00CC6553" w:rsidRDefault="00897293" w:rsidP="005271BB">
            <w:pPr>
              <w:rPr>
                <w:rFonts w:cs="Arial"/>
                <w:color w:val="000000" w:themeColor="text1"/>
                <w:sz w:val="20"/>
              </w:rPr>
            </w:pPr>
            <w:r w:rsidRPr="00CC6553">
              <w:rPr>
                <w:rFonts w:cs="Arial"/>
                <w:color w:val="000000" w:themeColor="text1"/>
                <w:sz w:val="20"/>
              </w:rPr>
              <w:t>We would like to consider stating the role of the HF specialist nurse/pharmacist in the treatment section. Any, a statement that ALL patients with HF should have access to these specialists should be added to prevent the current inequity between those who have HFrEF and those who have HFpEF</w:t>
            </w:r>
          </w:p>
        </w:tc>
        <w:tc>
          <w:tcPr>
            <w:tcW w:w="2122" w:type="pct"/>
          </w:tcPr>
          <w:p w14:paraId="2865BEBE" w14:textId="0136A995" w:rsidR="00897293" w:rsidRPr="00CC6553" w:rsidRDefault="00897293" w:rsidP="21434BE0">
            <w:pPr>
              <w:pStyle w:val="Paragraph"/>
              <w:numPr>
                <w:ilvl w:val="0"/>
                <w:numId w:val="0"/>
              </w:numPr>
              <w:rPr>
                <w:rFonts w:cs="Arial"/>
                <w:color w:val="000000" w:themeColor="text1"/>
                <w:sz w:val="20"/>
              </w:rPr>
            </w:pPr>
            <w:r w:rsidRPr="00CC6553">
              <w:rPr>
                <w:rFonts w:cs="Arial"/>
                <w:color w:val="000000" w:themeColor="text1"/>
                <w:sz w:val="20"/>
              </w:rPr>
              <w:t>Thank you for your comment.  The committee agree that specialist heart failure nurse and pharmacists play an important role.  The recommendation in section 1.1 on MDTs has been edited to reflect this.</w:t>
            </w:r>
          </w:p>
          <w:p w14:paraId="7661BA6A" w14:textId="77777777" w:rsidR="00897293" w:rsidRPr="00CC6553" w:rsidRDefault="00897293" w:rsidP="005271BB">
            <w:pPr>
              <w:pStyle w:val="Heading1"/>
              <w:rPr>
                <w:rFonts w:cs="Arial"/>
                <w:b w:val="0"/>
                <w:color w:val="000000" w:themeColor="text1"/>
                <w:sz w:val="20"/>
              </w:rPr>
            </w:pPr>
          </w:p>
        </w:tc>
      </w:tr>
      <w:tr w:rsidR="00897293" w:rsidRPr="00CC6553" w14:paraId="058EACDE" w14:textId="77777777" w:rsidTr="00897293">
        <w:trPr>
          <w:trHeight w:val="300"/>
        </w:trPr>
        <w:tc>
          <w:tcPr>
            <w:tcW w:w="109" w:type="pct"/>
          </w:tcPr>
          <w:p w14:paraId="1B4272D5" w14:textId="77777777" w:rsidR="00897293" w:rsidRPr="00CC6553" w:rsidRDefault="00897293" w:rsidP="005271BB">
            <w:pPr>
              <w:rPr>
                <w:rFonts w:cs="Arial"/>
                <w:color w:val="000000" w:themeColor="text1"/>
                <w:sz w:val="20"/>
              </w:rPr>
            </w:pPr>
            <w:r w:rsidRPr="00CC6553">
              <w:rPr>
                <w:rFonts w:cs="Arial"/>
                <w:color w:val="000000" w:themeColor="text1"/>
                <w:sz w:val="20"/>
              </w:rPr>
              <w:t>56</w:t>
            </w:r>
          </w:p>
        </w:tc>
        <w:tc>
          <w:tcPr>
            <w:tcW w:w="143" w:type="pct"/>
          </w:tcPr>
          <w:p w14:paraId="5F3C16DD" w14:textId="55163DB9"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1F46130C" w14:textId="514AD346"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5E558960" w14:textId="3E9801F1"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128415CC" w14:textId="688F4866"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7044F87E" w14:textId="5BD966B1" w:rsidR="00897293" w:rsidRPr="00CC6553" w:rsidRDefault="00897293" w:rsidP="005271BB">
            <w:pPr>
              <w:rPr>
                <w:rFonts w:cs="Arial"/>
                <w:color w:val="000000" w:themeColor="text1"/>
                <w:sz w:val="20"/>
              </w:rPr>
            </w:pPr>
            <w:r w:rsidRPr="00CC6553">
              <w:rPr>
                <w:rFonts w:cs="Arial"/>
                <w:color w:val="000000" w:themeColor="text1"/>
                <w:sz w:val="20"/>
              </w:rPr>
              <w:t>001</w:t>
            </w:r>
          </w:p>
        </w:tc>
        <w:tc>
          <w:tcPr>
            <w:tcW w:w="1521" w:type="pct"/>
          </w:tcPr>
          <w:p w14:paraId="20FDDB42" w14:textId="3C55AEC8" w:rsidR="00897293" w:rsidRPr="00CC6553" w:rsidRDefault="00897293" w:rsidP="005271BB">
            <w:pPr>
              <w:rPr>
                <w:rFonts w:cs="Arial"/>
                <w:color w:val="000000" w:themeColor="text1"/>
                <w:sz w:val="20"/>
              </w:rPr>
            </w:pPr>
            <w:r w:rsidRPr="00CC6553">
              <w:rPr>
                <w:rFonts w:cs="Arial"/>
                <w:color w:val="000000" w:themeColor="text1"/>
                <w:sz w:val="20"/>
              </w:rPr>
              <w:t>1.4.2 – see comment above – the 4 pillar approach is ARNI, SGLT2i, MRA, BB – with consideration of an ACEI or ARB should people experience symptomatic hypotension when prescribed an ARNI.</w:t>
            </w:r>
          </w:p>
        </w:tc>
        <w:tc>
          <w:tcPr>
            <w:tcW w:w="2122" w:type="pct"/>
          </w:tcPr>
          <w:p w14:paraId="45D13297" w14:textId="6AA7996A"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 Although the benefits of ARNI are recognised, even in the more favourable scenarios for ARNI, at current prices, the economic modelling found it not cost-effective in people who can tolerate ACEI. </w:t>
            </w:r>
          </w:p>
        </w:tc>
      </w:tr>
      <w:tr w:rsidR="00897293" w:rsidRPr="00CC6553" w14:paraId="199C8F5B" w14:textId="77777777" w:rsidTr="00897293">
        <w:trPr>
          <w:trHeight w:val="300"/>
        </w:trPr>
        <w:tc>
          <w:tcPr>
            <w:tcW w:w="109" w:type="pct"/>
          </w:tcPr>
          <w:p w14:paraId="4D8A643D" w14:textId="77777777" w:rsidR="00897293" w:rsidRPr="00CC6553" w:rsidRDefault="00897293" w:rsidP="005271BB">
            <w:pPr>
              <w:rPr>
                <w:rFonts w:cs="Arial"/>
                <w:color w:val="000000" w:themeColor="text1"/>
                <w:sz w:val="20"/>
              </w:rPr>
            </w:pPr>
            <w:r w:rsidRPr="00CC6553">
              <w:rPr>
                <w:rFonts w:cs="Arial"/>
                <w:color w:val="000000" w:themeColor="text1"/>
                <w:sz w:val="20"/>
              </w:rPr>
              <w:t>57</w:t>
            </w:r>
          </w:p>
        </w:tc>
        <w:tc>
          <w:tcPr>
            <w:tcW w:w="143" w:type="pct"/>
          </w:tcPr>
          <w:p w14:paraId="51345CB7" w14:textId="09A1E11D"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60D5A92D" w14:textId="2245D54D"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7FC8153C" w14:textId="6C14B48D"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39E3A299" w14:textId="715F6D4C"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6CE18E89" w14:textId="74F0E1FC" w:rsidR="00897293" w:rsidRPr="00CC6553" w:rsidRDefault="00897293" w:rsidP="005271BB">
            <w:pPr>
              <w:rPr>
                <w:rFonts w:cs="Arial"/>
                <w:color w:val="000000" w:themeColor="text1"/>
                <w:sz w:val="20"/>
              </w:rPr>
            </w:pPr>
            <w:r w:rsidRPr="00CC6553">
              <w:rPr>
                <w:rFonts w:cs="Arial"/>
                <w:color w:val="000000" w:themeColor="text1"/>
                <w:sz w:val="20"/>
              </w:rPr>
              <w:t>001</w:t>
            </w:r>
          </w:p>
        </w:tc>
        <w:tc>
          <w:tcPr>
            <w:tcW w:w="1521" w:type="pct"/>
          </w:tcPr>
          <w:p w14:paraId="24261E80" w14:textId="581A779B" w:rsidR="00897293" w:rsidRPr="00CC6553" w:rsidRDefault="00897293" w:rsidP="005271BB">
            <w:pPr>
              <w:rPr>
                <w:rFonts w:cs="Arial"/>
                <w:color w:val="000000" w:themeColor="text1"/>
                <w:sz w:val="20"/>
              </w:rPr>
            </w:pPr>
            <w:r w:rsidRPr="00CC6553">
              <w:rPr>
                <w:rFonts w:cs="Arial"/>
                <w:color w:val="000000" w:themeColor="text1"/>
                <w:sz w:val="20"/>
              </w:rPr>
              <w:t>1.4.2 For people on the maximum tolerated dose of each of the 4 medicines who continue to have symptoms of heart failure, consider switching the ACE inhibitor to an angiotensin receptor-neprilysin inhibitor (ARNI). [2025]</w:t>
            </w:r>
            <w:r w:rsidRPr="00CC6553">
              <w:rPr>
                <w:rFonts w:cs="Arial"/>
                <w:color w:val="000000" w:themeColor="text1"/>
                <w:sz w:val="20"/>
              </w:rPr>
              <w:br/>
              <w:t xml:space="preserve">A. </w:t>
            </w:r>
            <w:r w:rsidRPr="009B3C47">
              <w:rPr>
                <w:rFonts w:cs="Arial"/>
                <w:color w:val="000000" w:themeColor="text1"/>
                <w:sz w:val="20"/>
              </w:rPr>
              <w:t xml:space="preserve">This recommendation is not evidence based. The Paradigm trial required only maximum dose of enalapril and a stable dose of beta blocker no requirement for </w:t>
            </w:r>
            <w:r w:rsidRPr="009B3C47">
              <w:rPr>
                <w:rFonts w:cs="Arial"/>
                <w:color w:val="000000" w:themeColor="text1"/>
                <w:sz w:val="20"/>
              </w:rPr>
              <w:lastRenderedPageBreak/>
              <w:t>sglt2- or MRA. The wording should be changed to ‘For people on the maximum tolerated dose of ACE- as part of ‘4 pillar’ HF therapy…</w:t>
            </w:r>
            <w:r w:rsidRPr="00CC6553">
              <w:rPr>
                <w:rFonts w:cs="Arial"/>
                <w:color w:val="000000" w:themeColor="text1"/>
                <w:sz w:val="20"/>
              </w:rPr>
              <w:br/>
              <w:t xml:space="preserve">B. The rationale given for reserving ARNI for this subgroup is that ‘where this combination is providing symptomatic improvement, switching to an ARNI is not advised because it is not as cost effective as an ACE inhibitor.’  </w:t>
            </w:r>
            <w:r w:rsidRPr="00CC6553">
              <w:rPr>
                <w:rFonts w:cs="Arial"/>
                <w:color w:val="000000" w:themeColor="text1"/>
                <w:sz w:val="20"/>
              </w:rPr>
              <w:br/>
              <w:t>Did this factor in the end of the patent before next guideline plus reduced referrals for ICD/CRT devices due to better LV recovery with ARNi?</w:t>
            </w:r>
          </w:p>
        </w:tc>
        <w:tc>
          <w:tcPr>
            <w:tcW w:w="2122" w:type="pct"/>
          </w:tcPr>
          <w:p w14:paraId="2BBDA4B2" w14:textId="77777777" w:rsidR="00897293" w:rsidRPr="00CC6553" w:rsidRDefault="00897293" w:rsidP="005271BB">
            <w:pPr>
              <w:pStyle w:val="Heading1"/>
              <w:rPr>
                <w:rFonts w:cs="Arial"/>
                <w:b w:val="0"/>
                <w:bCs w:val="0"/>
                <w:color w:val="000000" w:themeColor="text1"/>
                <w:sz w:val="20"/>
              </w:rPr>
            </w:pPr>
            <w:r w:rsidRPr="00CC6553">
              <w:rPr>
                <w:rFonts w:cs="Arial"/>
                <w:b w:val="0"/>
                <w:bCs w:val="0"/>
                <w:color w:val="000000" w:themeColor="text1"/>
                <w:sz w:val="20"/>
              </w:rPr>
              <w:lastRenderedPageBreak/>
              <w:t xml:space="preserve">Thank you for your comment. </w:t>
            </w:r>
          </w:p>
          <w:p w14:paraId="7359EDAA" w14:textId="77777777" w:rsidR="00897293" w:rsidRPr="00CC6553" w:rsidRDefault="00897293" w:rsidP="001E1102">
            <w:pPr>
              <w:rPr>
                <w:rFonts w:cs="Arial"/>
                <w:color w:val="000000" w:themeColor="text1"/>
                <w:sz w:val="20"/>
              </w:rPr>
            </w:pPr>
          </w:p>
          <w:p w14:paraId="728CCE21" w14:textId="06DA362C" w:rsidR="00897293" w:rsidRPr="00CC6553" w:rsidRDefault="00897293" w:rsidP="00DF606B">
            <w:pPr>
              <w:rPr>
                <w:rFonts w:cs="Arial"/>
                <w:bCs/>
                <w:color w:val="000000" w:themeColor="text1"/>
                <w:sz w:val="20"/>
              </w:rPr>
            </w:pPr>
            <w:r w:rsidRPr="00CC6553">
              <w:rPr>
                <w:rFonts w:cs="Arial"/>
                <w:bCs/>
                <w:color w:val="000000" w:themeColor="text1"/>
                <w:sz w:val="20"/>
              </w:rPr>
              <w:t>The economic model did not factor in the end of the patent. This is because, although</w:t>
            </w:r>
            <w:r w:rsidRPr="00CC6553">
              <w:rPr>
                <w:rFonts w:cs="Arial"/>
                <w:color w:val="000000" w:themeColor="text1"/>
                <w:sz w:val="20"/>
              </w:rPr>
              <w:t xml:space="preserve"> the initial patent </w:t>
            </w:r>
            <w:r w:rsidRPr="00CC6553">
              <w:rPr>
                <w:rFonts w:cs="Arial"/>
                <w:color w:val="000000" w:themeColor="text1"/>
                <w:sz w:val="20"/>
              </w:rPr>
              <w:lastRenderedPageBreak/>
              <w:t xml:space="preserve">has recently ended, secondary patents </w:t>
            </w:r>
            <w:r w:rsidRPr="00CC6553">
              <w:rPr>
                <w:rFonts w:cs="Arial"/>
                <w:bCs/>
                <w:color w:val="000000" w:themeColor="text1"/>
                <w:sz w:val="20"/>
              </w:rPr>
              <w:t>are still in place</w:t>
            </w:r>
            <w:r w:rsidRPr="00CC6553">
              <w:rPr>
                <w:rFonts w:cs="Arial"/>
                <w:color w:val="000000" w:themeColor="text1"/>
                <w:sz w:val="20"/>
              </w:rPr>
              <w:t xml:space="preserve"> until </w:t>
            </w:r>
            <w:r w:rsidRPr="00CC6553">
              <w:rPr>
                <w:rFonts w:cs="Arial"/>
                <w:bCs/>
                <w:color w:val="000000" w:themeColor="text1"/>
                <w:sz w:val="20"/>
              </w:rPr>
              <w:t>2036. Hence, it is uncertain when generic versions of ARNI will enter the market and what their price will be. It is anticipated that, when this occurs, the model will be re-run with the new prices and the recommendations will be updated.</w:t>
            </w:r>
          </w:p>
          <w:p w14:paraId="3EF33FC7" w14:textId="77777777" w:rsidR="00897293" w:rsidRPr="00CC6553" w:rsidRDefault="00897293" w:rsidP="0056764E">
            <w:pPr>
              <w:rPr>
                <w:rFonts w:cs="Arial"/>
                <w:bCs/>
                <w:color w:val="000000" w:themeColor="text1"/>
                <w:sz w:val="20"/>
              </w:rPr>
            </w:pPr>
          </w:p>
          <w:p w14:paraId="656CCA5F" w14:textId="30B0A3E5" w:rsidR="00897293" w:rsidRPr="00CC6553" w:rsidRDefault="00897293" w:rsidP="14DE5554">
            <w:pPr>
              <w:rPr>
                <w:rFonts w:cs="Arial"/>
                <w:color w:val="000000" w:themeColor="text1"/>
                <w:sz w:val="20"/>
              </w:rPr>
            </w:pPr>
            <w:r w:rsidRPr="00CC6553">
              <w:rPr>
                <w:rFonts w:cs="Arial"/>
                <w:color w:val="000000" w:themeColor="text1"/>
                <w:sz w:val="20"/>
              </w:rPr>
              <w:t xml:space="preserve">Reduced referrals for ICD and CRT devices were not considered within the cost-effective modelling as this was not a reported outcome in the clinical trials. Overall, the committee agreed that clinical practice varies considerably regarding the point at which a patient may be considered for a device, particularly CRT/CRT-D. Younger patients with a broad LBBB morphology on ECG may receive device therapy early in their treatment pathway and there is no robust evidence to guide clinicians regarding the re-assessment of ejection fraction. Overall, the CG committee agreed that an impact on device therapy could not be predicted and therefore should not be included in the cost-effective modelling. The guideline does not prevent the use of sacubitril </w:t>
            </w:r>
            <w:r w:rsidRPr="00CC6553">
              <w:rPr>
                <w:rFonts w:cs="Arial"/>
                <w:color w:val="000000" w:themeColor="text1"/>
                <w:sz w:val="20"/>
              </w:rPr>
              <w:lastRenderedPageBreak/>
              <w:t xml:space="preserve">valsartan and as such, if the LV function remains low despite optimal therapy with an ACEI then switching to sacubitril valsartan would be the preferred option prior to device consideration.   </w:t>
            </w:r>
            <w:r w:rsidRPr="00CC6553">
              <w:rPr>
                <w:rFonts w:cs="Arial"/>
                <w:color w:val="000000" w:themeColor="text1"/>
                <w:sz w:val="20"/>
              </w:rPr>
              <w:br/>
            </w:r>
          </w:p>
        </w:tc>
      </w:tr>
      <w:tr w:rsidR="00897293" w:rsidRPr="00CC6553" w14:paraId="7ABD4117" w14:textId="77777777" w:rsidTr="00897293">
        <w:trPr>
          <w:trHeight w:val="300"/>
        </w:trPr>
        <w:tc>
          <w:tcPr>
            <w:tcW w:w="109" w:type="pct"/>
          </w:tcPr>
          <w:p w14:paraId="26345EAA"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58</w:t>
            </w:r>
          </w:p>
        </w:tc>
        <w:tc>
          <w:tcPr>
            <w:tcW w:w="143" w:type="pct"/>
          </w:tcPr>
          <w:p w14:paraId="422079F9" w14:textId="0A6B6747"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72F4139B" w14:textId="5565CCD5"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18A10C75" w14:textId="3D6FF081"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7567B4C0" w14:textId="0A6A58A3"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268E1832" w14:textId="2CD71B8A" w:rsidR="00897293" w:rsidRPr="00CC6553" w:rsidRDefault="00897293" w:rsidP="005271BB">
            <w:pPr>
              <w:rPr>
                <w:rFonts w:cs="Arial"/>
                <w:color w:val="000000" w:themeColor="text1"/>
                <w:sz w:val="20"/>
              </w:rPr>
            </w:pPr>
            <w:r w:rsidRPr="00CC6553">
              <w:rPr>
                <w:rFonts w:cs="Arial"/>
                <w:color w:val="000000" w:themeColor="text1"/>
                <w:sz w:val="20"/>
              </w:rPr>
              <w:t>001</w:t>
            </w:r>
          </w:p>
        </w:tc>
        <w:tc>
          <w:tcPr>
            <w:tcW w:w="1521" w:type="pct"/>
          </w:tcPr>
          <w:p w14:paraId="3443061D" w14:textId="53484B0F" w:rsidR="00897293" w:rsidRPr="00CC6553" w:rsidRDefault="00897293" w:rsidP="005271BB">
            <w:pPr>
              <w:rPr>
                <w:rFonts w:cs="Arial"/>
                <w:color w:val="000000" w:themeColor="text1"/>
                <w:sz w:val="20"/>
              </w:rPr>
            </w:pPr>
            <w:r w:rsidRPr="00CC6553">
              <w:rPr>
                <w:rFonts w:cs="Arial"/>
                <w:color w:val="000000" w:themeColor="text1"/>
                <w:sz w:val="20"/>
              </w:rPr>
              <w:t>Concerned this recommendation implies an ARNI can only be added once on all four pillars. Emphasis on tailored approach though gold standard. Consider possibility of initiating with ARNI (depending on local policy and access) even before all four pillars for reasons as above discussed.</w:t>
            </w:r>
          </w:p>
        </w:tc>
        <w:tc>
          <w:tcPr>
            <w:tcW w:w="2122" w:type="pct"/>
          </w:tcPr>
          <w:p w14:paraId="0A4E591C" w14:textId="65D6AC46"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 Although the benefits of ARNI are recognised, initiating treatment with ARNI was not feasible based on the cost-effectiveness analysis. Even in the more favourable scenarios for ARNI, at current prices, the economic modelling found it not cost-effective in people who can tolerate ACEI. </w:t>
            </w:r>
          </w:p>
        </w:tc>
      </w:tr>
      <w:tr w:rsidR="00897293" w:rsidRPr="00CC6553" w14:paraId="0B9BBE82" w14:textId="77777777" w:rsidTr="00897293">
        <w:trPr>
          <w:trHeight w:val="300"/>
        </w:trPr>
        <w:tc>
          <w:tcPr>
            <w:tcW w:w="109" w:type="pct"/>
          </w:tcPr>
          <w:p w14:paraId="4976F8DB" w14:textId="77777777" w:rsidR="00897293" w:rsidRPr="00CC6553" w:rsidRDefault="00897293" w:rsidP="005271BB">
            <w:pPr>
              <w:rPr>
                <w:rFonts w:cs="Arial"/>
                <w:color w:val="000000" w:themeColor="text1"/>
                <w:sz w:val="20"/>
              </w:rPr>
            </w:pPr>
            <w:r w:rsidRPr="00CC6553">
              <w:rPr>
                <w:rFonts w:cs="Arial"/>
                <w:color w:val="000000" w:themeColor="text1"/>
                <w:sz w:val="20"/>
              </w:rPr>
              <w:t>59</w:t>
            </w:r>
          </w:p>
        </w:tc>
        <w:tc>
          <w:tcPr>
            <w:tcW w:w="143" w:type="pct"/>
          </w:tcPr>
          <w:p w14:paraId="7435B9CE" w14:textId="177454B2"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4C260248" w14:textId="64E1E6C3"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6932541A" w14:textId="495EA639"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4AD16261" w14:textId="4F1BBB50"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5DB80385" w14:textId="75EDC766" w:rsidR="00897293" w:rsidRPr="00CC6553" w:rsidRDefault="00897293" w:rsidP="005271BB">
            <w:pPr>
              <w:rPr>
                <w:rFonts w:cs="Arial"/>
                <w:color w:val="000000" w:themeColor="text1"/>
                <w:sz w:val="20"/>
              </w:rPr>
            </w:pPr>
            <w:r w:rsidRPr="00CC6553">
              <w:rPr>
                <w:rFonts w:cs="Arial"/>
                <w:color w:val="000000" w:themeColor="text1"/>
                <w:sz w:val="20"/>
              </w:rPr>
              <w:t>001</w:t>
            </w:r>
          </w:p>
        </w:tc>
        <w:tc>
          <w:tcPr>
            <w:tcW w:w="1521" w:type="pct"/>
          </w:tcPr>
          <w:p w14:paraId="776BEED0" w14:textId="3E077E01" w:rsidR="00897293" w:rsidRPr="00CC6553" w:rsidRDefault="00897293" w:rsidP="005271BB">
            <w:pPr>
              <w:rPr>
                <w:rFonts w:cs="Arial"/>
                <w:color w:val="000000" w:themeColor="text1"/>
                <w:sz w:val="20"/>
              </w:rPr>
            </w:pPr>
            <w:r w:rsidRPr="00CC6553">
              <w:rPr>
                <w:rFonts w:cs="Arial"/>
                <w:color w:val="000000" w:themeColor="text1"/>
                <w:sz w:val="20"/>
              </w:rPr>
              <w:t>As above</w:t>
            </w:r>
          </w:p>
        </w:tc>
        <w:tc>
          <w:tcPr>
            <w:tcW w:w="2122" w:type="pct"/>
          </w:tcPr>
          <w:p w14:paraId="02B5982E" w14:textId="33DBE383"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 Although the benefits of ARNI are recognised, initiating treatment with ARNI was not feasible based on the cost-effectiveness analysis. Even in the more favourable scenarios for ARNI, at current prices, the economic modelling found it not cost-effective in people who can tolerate ACEI. </w:t>
            </w:r>
          </w:p>
        </w:tc>
      </w:tr>
      <w:tr w:rsidR="00897293" w:rsidRPr="00CC6553" w14:paraId="29F779A7" w14:textId="77777777" w:rsidTr="00897293">
        <w:trPr>
          <w:trHeight w:val="300"/>
        </w:trPr>
        <w:tc>
          <w:tcPr>
            <w:tcW w:w="109" w:type="pct"/>
          </w:tcPr>
          <w:p w14:paraId="70E831A1" w14:textId="77777777" w:rsidR="00897293" w:rsidRPr="00CC6553" w:rsidRDefault="00897293" w:rsidP="005271BB">
            <w:pPr>
              <w:rPr>
                <w:rFonts w:cs="Arial"/>
                <w:color w:val="000000" w:themeColor="text1"/>
                <w:sz w:val="20"/>
              </w:rPr>
            </w:pPr>
            <w:r w:rsidRPr="00CC6553">
              <w:rPr>
                <w:rFonts w:cs="Arial"/>
                <w:color w:val="000000" w:themeColor="text1"/>
                <w:sz w:val="20"/>
              </w:rPr>
              <w:t>60</w:t>
            </w:r>
          </w:p>
        </w:tc>
        <w:tc>
          <w:tcPr>
            <w:tcW w:w="143" w:type="pct"/>
          </w:tcPr>
          <w:p w14:paraId="16C4EB5C" w14:textId="4079C035"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1B85F91F" w14:textId="19CF94E9" w:rsidR="00897293" w:rsidRPr="00CC6553" w:rsidRDefault="00897293" w:rsidP="005271BB">
            <w:pPr>
              <w:rPr>
                <w:rFonts w:cs="Arial"/>
                <w:bCs/>
                <w:iCs/>
                <w:color w:val="000000" w:themeColor="text1"/>
                <w:sz w:val="20"/>
              </w:rPr>
            </w:pPr>
            <w:r w:rsidRPr="00CC6553">
              <w:rPr>
                <w:rFonts w:cs="Arial"/>
                <w:color w:val="000000" w:themeColor="text1"/>
                <w:sz w:val="20"/>
              </w:rPr>
              <w:t>Primary Care Cardiovascular Society (PCCS)</w:t>
            </w:r>
          </w:p>
        </w:tc>
        <w:tc>
          <w:tcPr>
            <w:tcW w:w="279" w:type="pct"/>
          </w:tcPr>
          <w:p w14:paraId="7DB2E5C9" w14:textId="4B907873"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532653D1" w14:textId="0069AA66"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006A6640" w14:textId="70BABDA1" w:rsidR="00897293" w:rsidRPr="00CC6553" w:rsidRDefault="00897293" w:rsidP="005271BB">
            <w:pPr>
              <w:rPr>
                <w:rFonts w:cs="Arial"/>
                <w:color w:val="000000" w:themeColor="text1"/>
                <w:sz w:val="20"/>
              </w:rPr>
            </w:pPr>
            <w:r w:rsidRPr="00CC6553">
              <w:rPr>
                <w:rFonts w:cs="Arial"/>
                <w:color w:val="000000" w:themeColor="text1"/>
                <w:sz w:val="20"/>
              </w:rPr>
              <w:t>001</w:t>
            </w:r>
          </w:p>
        </w:tc>
        <w:tc>
          <w:tcPr>
            <w:tcW w:w="1521" w:type="pct"/>
          </w:tcPr>
          <w:p w14:paraId="0CE15941" w14:textId="3E1EF504" w:rsidR="00897293" w:rsidRPr="00CC6553" w:rsidRDefault="00897293" w:rsidP="005271BB">
            <w:pPr>
              <w:rPr>
                <w:rFonts w:cs="Arial"/>
                <w:color w:val="000000" w:themeColor="text1"/>
                <w:sz w:val="20"/>
              </w:rPr>
            </w:pPr>
            <w:r w:rsidRPr="00CC6553">
              <w:rPr>
                <w:rFonts w:cs="Arial"/>
                <w:color w:val="000000" w:themeColor="text1"/>
                <w:sz w:val="20"/>
              </w:rPr>
              <w:t>Consider switching to ARNI even if people are not on maximum tolerated dose of all 4 agents.</w:t>
            </w:r>
          </w:p>
        </w:tc>
        <w:tc>
          <w:tcPr>
            <w:tcW w:w="2122" w:type="pct"/>
          </w:tcPr>
          <w:p w14:paraId="3C29C857" w14:textId="2F18694C"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 xml:space="preserve">Thank you for your comment. Although the benefits of ARNI are recognised, the recommendation was made taking into consideration the cost-effectiveness as well as </w:t>
            </w:r>
            <w:r w:rsidRPr="00CC6553">
              <w:rPr>
                <w:rFonts w:cs="Arial"/>
                <w:b w:val="0"/>
                <w:color w:val="000000" w:themeColor="text1"/>
                <w:sz w:val="20"/>
              </w:rPr>
              <w:lastRenderedPageBreak/>
              <w:t>clinical effectiveness analysis. Even in the more favourable scenarios for ARNI, at current prices, the economic modelling found it not cost-effective in people who can tolerate ACEI.</w:t>
            </w:r>
          </w:p>
        </w:tc>
      </w:tr>
      <w:tr w:rsidR="00897293" w:rsidRPr="00CC6553" w14:paraId="05037D45" w14:textId="77777777" w:rsidTr="00897293">
        <w:trPr>
          <w:trHeight w:val="300"/>
        </w:trPr>
        <w:tc>
          <w:tcPr>
            <w:tcW w:w="109" w:type="pct"/>
          </w:tcPr>
          <w:p w14:paraId="1602B4C4"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61</w:t>
            </w:r>
          </w:p>
        </w:tc>
        <w:tc>
          <w:tcPr>
            <w:tcW w:w="143" w:type="pct"/>
          </w:tcPr>
          <w:p w14:paraId="00DD866B" w14:textId="5B49A55A"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4D7A67B9" w14:textId="335958FE" w:rsidR="00897293" w:rsidRPr="00CC6553" w:rsidRDefault="00897293" w:rsidP="005271BB">
            <w:pPr>
              <w:rPr>
                <w:rFonts w:cs="Arial"/>
                <w:bCs/>
                <w:iCs/>
                <w:color w:val="000000" w:themeColor="text1"/>
                <w:sz w:val="20"/>
              </w:rPr>
            </w:pPr>
            <w:r w:rsidRPr="00CC6553">
              <w:rPr>
                <w:rFonts w:cs="Arial"/>
                <w:color w:val="000000" w:themeColor="text1"/>
                <w:sz w:val="20"/>
              </w:rPr>
              <w:t>Primary Care Cardiovascular Society (PCCS)</w:t>
            </w:r>
          </w:p>
        </w:tc>
        <w:tc>
          <w:tcPr>
            <w:tcW w:w="279" w:type="pct"/>
          </w:tcPr>
          <w:p w14:paraId="6BEA0E87" w14:textId="05B7E650"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0D3C530C" w14:textId="7B0B3CF6"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5E4AAC87" w14:textId="792EA884" w:rsidR="00897293" w:rsidRPr="00CC6553" w:rsidRDefault="00897293" w:rsidP="005271BB">
            <w:pPr>
              <w:rPr>
                <w:rFonts w:cs="Arial"/>
                <w:color w:val="000000" w:themeColor="text1"/>
                <w:sz w:val="20"/>
              </w:rPr>
            </w:pPr>
            <w:r w:rsidRPr="00CC6553">
              <w:rPr>
                <w:rFonts w:cs="Arial"/>
                <w:color w:val="000000" w:themeColor="text1"/>
                <w:sz w:val="20"/>
              </w:rPr>
              <w:t>001</w:t>
            </w:r>
          </w:p>
        </w:tc>
        <w:tc>
          <w:tcPr>
            <w:tcW w:w="1521" w:type="pct"/>
          </w:tcPr>
          <w:p w14:paraId="71C9A795" w14:textId="0E03D99A" w:rsidR="00897293" w:rsidRPr="00CC6553" w:rsidRDefault="00897293" w:rsidP="005271BB">
            <w:pPr>
              <w:rPr>
                <w:rFonts w:cs="Arial"/>
                <w:color w:val="000000" w:themeColor="text1"/>
                <w:sz w:val="20"/>
              </w:rPr>
            </w:pPr>
            <w:r w:rsidRPr="00CC6553">
              <w:rPr>
                <w:rFonts w:cs="Arial"/>
                <w:color w:val="000000" w:themeColor="text1"/>
                <w:sz w:val="20"/>
              </w:rPr>
              <w:t xml:space="preserve">In people with HFrEF and EF &lt; 35% there is an argument for de novo initiation with ARNI rather than starting with an ACEI and then switching to an ARNI. This would reduce the number of GP/HF appointments needed for medicines optimisation (although agree that the design of the PARADIGM study was symptomatic heart failure despite optimised dose of ACEI).  Presume that this has been proposed on the basis of a cost-effectiveness model.When will the patent for sacubitril/valsartan expire and would that change the recommendations? </w:t>
            </w:r>
            <w:r w:rsidRPr="00CC6553">
              <w:rPr>
                <w:rFonts w:cs="Arial"/>
                <w:color w:val="000000" w:themeColor="text1"/>
                <w:sz w:val="20"/>
              </w:rPr>
              <w:br/>
              <w:t xml:space="preserve">Also, of note ARNI are already being considered as a first line options by HF teams for selected patients (in keeping with other international guidance) </w:t>
            </w:r>
            <w:r w:rsidRPr="00CC6553">
              <w:rPr>
                <w:rFonts w:cs="Arial"/>
                <w:color w:val="000000" w:themeColor="text1"/>
                <w:sz w:val="20"/>
              </w:rPr>
              <w:br/>
              <w:t>In longer term sacubitril+ valsartan has been shown to slow deterioration of renal function and may increase number of people MRA can be added (i.e. more likely to get onto 4 pillars) as less hyperkalaemia</w:t>
            </w:r>
          </w:p>
        </w:tc>
        <w:tc>
          <w:tcPr>
            <w:tcW w:w="2122" w:type="pct"/>
          </w:tcPr>
          <w:p w14:paraId="726089F5" w14:textId="038C4D81"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 xml:space="preserve">Thank you for your comment. </w:t>
            </w:r>
          </w:p>
          <w:p w14:paraId="23BB178F" w14:textId="77777777" w:rsidR="00897293" w:rsidRPr="00CC6553" w:rsidRDefault="00897293" w:rsidP="008A39AD">
            <w:pPr>
              <w:rPr>
                <w:color w:val="000000" w:themeColor="text1"/>
              </w:rPr>
            </w:pPr>
          </w:p>
          <w:p w14:paraId="21140C44" w14:textId="4E2500EB" w:rsidR="00897293" w:rsidRPr="00CC6553" w:rsidRDefault="00897293" w:rsidP="008A39AD">
            <w:pPr>
              <w:rPr>
                <w:rFonts w:cs="Arial"/>
                <w:bCs/>
                <w:color w:val="000000" w:themeColor="text1"/>
                <w:sz w:val="20"/>
              </w:rPr>
            </w:pPr>
            <w:r w:rsidRPr="00CC6553">
              <w:rPr>
                <w:rFonts w:cs="Arial"/>
                <w:bCs/>
                <w:color w:val="000000" w:themeColor="text1"/>
                <w:sz w:val="20"/>
              </w:rPr>
              <w:t>The economic model accounted for the higher number of visits and blood tests required for optimising people starting on ACEI and being switched to ARNI. Even with those costs, early ARNI was not found to be cost-effective in people who can tolerate ACEI.</w:t>
            </w:r>
          </w:p>
          <w:p w14:paraId="48CBE846" w14:textId="77777777" w:rsidR="00897293" w:rsidRPr="00CC6553" w:rsidRDefault="00897293" w:rsidP="008A39AD">
            <w:pPr>
              <w:rPr>
                <w:rFonts w:cs="Arial"/>
                <w:bCs/>
                <w:color w:val="000000" w:themeColor="text1"/>
                <w:sz w:val="20"/>
              </w:rPr>
            </w:pPr>
          </w:p>
          <w:p w14:paraId="3660CEC5" w14:textId="08DD407B" w:rsidR="00897293" w:rsidRPr="00CC6553" w:rsidRDefault="00897293" w:rsidP="008A39AD">
            <w:pPr>
              <w:rPr>
                <w:rFonts w:cs="Arial"/>
                <w:b/>
                <w:color w:val="000000" w:themeColor="text1"/>
                <w:sz w:val="20"/>
              </w:rPr>
            </w:pPr>
            <w:r w:rsidRPr="00CC6553">
              <w:rPr>
                <w:rFonts w:cs="Arial"/>
                <w:bCs/>
                <w:color w:val="000000" w:themeColor="text1"/>
                <w:sz w:val="20"/>
              </w:rPr>
              <w:t>There is uncertainty regarding ARNI patent, as secondary patents will be in place until 2036. However, it is anticipated that when generic ARNI will be available, the guideline model will be re-run using the new prices and the recommendations will be updated</w:t>
            </w:r>
            <w:r w:rsidRPr="00CC6553">
              <w:rPr>
                <w:rFonts w:cs="Arial"/>
                <w:b/>
                <w:color w:val="000000" w:themeColor="text1"/>
                <w:sz w:val="20"/>
              </w:rPr>
              <w:t>.</w:t>
            </w:r>
          </w:p>
          <w:p w14:paraId="7F4E3081" w14:textId="77777777" w:rsidR="00897293" w:rsidRPr="00CC6553" w:rsidRDefault="00897293" w:rsidP="008A39AD">
            <w:pPr>
              <w:rPr>
                <w:rFonts w:cs="Arial"/>
                <w:b/>
                <w:color w:val="000000" w:themeColor="text1"/>
                <w:sz w:val="20"/>
              </w:rPr>
            </w:pPr>
          </w:p>
          <w:p w14:paraId="602EF896" w14:textId="479FB687" w:rsidR="00897293" w:rsidRPr="00CC6553" w:rsidRDefault="00897293" w:rsidP="00504EFD">
            <w:pPr>
              <w:pStyle w:val="Heading1"/>
              <w:rPr>
                <w:color w:val="000000" w:themeColor="text1"/>
              </w:rPr>
            </w:pPr>
          </w:p>
        </w:tc>
      </w:tr>
      <w:tr w:rsidR="00897293" w:rsidRPr="00CC6553" w14:paraId="20A2F5C7" w14:textId="77777777" w:rsidTr="00897293">
        <w:trPr>
          <w:trHeight w:val="300"/>
        </w:trPr>
        <w:tc>
          <w:tcPr>
            <w:tcW w:w="109" w:type="pct"/>
          </w:tcPr>
          <w:p w14:paraId="71E96D52" w14:textId="77777777" w:rsidR="00897293" w:rsidRPr="00CC6553" w:rsidRDefault="00897293" w:rsidP="005271BB">
            <w:pPr>
              <w:rPr>
                <w:rFonts w:cs="Arial"/>
                <w:color w:val="000000" w:themeColor="text1"/>
                <w:sz w:val="20"/>
              </w:rPr>
            </w:pPr>
            <w:r w:rsidRPr="00CC6553">
              <w:rPr>
                <w:rFonts w:cs="Arial"/>
                <w:color w:val="000000" w:themeColor="text1"/>
                <w:sz w:val="20"/>
              </w:rPr>
              <w:t>62</w:t>
            </w:r>
          </w:p>
        </w:tc>
        <w:tc>
          <w:tcPr>
            <w:tcW w:w="143" w:type="pct"/>
          </w:tcPr>
          <w:p w14:paraId="2313D7E7" w14:textId="44BF8FFC"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4B4E8F29" w14:textId="04038261" w:rsidR="00897293" w:rsidRPr="00CC6553" w:rsidRDefault="00897293" w:rsidP="005271BB">
            <w:pPr>
              <w:rPr>
                <w:rFonts w:cs="Arial"/>
                <w:bCs/>
                <w:iCs/>
                <w:color w:val="000000" w:themeColor="text1"/>
                <w:sz w:val="20"/>
              </w:rPr>
            </w:pPr>
            <w:r w:rsidRPr="00CC6553">
              <w:rPr>
                <w:rFonts w:cs="Arial"/>
                <w:color w:val="000000" w:themeColor="text1"/>
                <w:sz w:val="20"/>
              </w:rPr>
              <w:t>British Association for Nursing in Cardiovascul</w:t>
            </w:r>
            <w:r w:rsidRPr="00CC6553">
              <w:rPr>
                <w:rFonts w:cs="Arial"/>
                <w:color w:val="000000" w:themeColor="text1"/>
                <w:sz w:val="20"/>
              </w:rPr>
              <w:lastRenderedPageBreak/>
              <w:t>ar Care (BANCC)</w:t>
            </w:r>
          </w:p>
        </w:tc>
        <w:tc>
          <w:tcPr>
            <w:tcW w:w="279" w:type="pct"/>
          </w:tcPr>
          <w:p w14:paraId="1FD6F45C" w14:textId="15AD6FD3" w:rsidR="00897293" w:rsidRPr="00CC6553" w:rsidRDefault="00897293" w:rsidP="005271BB">
            <w:pPr>
              <w:rPr>
                <w:rFonts w:cs="Arial"/>
                <w:color w:val="000000" w:themeColor="text1"/>
                <w:sz w:val="20"/>
              </w:rPr>
            </w:pPr>
            <w:r w:rsidRPr="00CC6553">
              <w:rPr>
                <w:rFonts w:cs="Arial"/>
                <w:color w:val="000000" w:themeColor="text1"/>
                <w:sz w:val="20"/>
              </w:rPr>
              <w:lastRenderedPageBreak/>
              <w:t>Guideline</w:t>
            </w:r>
          </w:p>
        </w:tc>
        <w:tc>
          <w:tcPr>
            <w:tcW w:w="214" w:type="pct"/>
          </w:tcPr>
          <w:p w14:paraId="14692672" w14:textId="39A7A80D"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20F49FA9" w14:textId="6FE6CF9D" w:rsidR="00897293" w:rsidRPr="00CC6553" w:rsidRDefault="00897293" w:rsidP="005271BB">
            <w:pPr>
              <w:rPr>
                <w:rFonts w:cs="Arial"/>
                <w:color w:val="000000" w:themeColor="text1"/>
                <w:sz w:val="20"/>
              </w:rPr>
            </w:pPr>
            <w:r w:rsidRPr="00CC6553">
              <w:rPr>
                <w:rFonts w:cs="Arial"/>
                <w:color w:val="000000" w:themeColor="text1"/>
                <w:sz w:val="20"/>
              </w:rPr>
              <w:t>001</w:t>
            </w:r>
          </w:p>
        </w:tc>
        <w:tc>
          <w:tcPr>
            <w:tcW w:w="1521" w:type="pct"/>
          </w:tcPr>
          <w:p w14:paraId="639DCB5E" w14:textId="04B7B286" w:rsidR="00897293" w:rsidRPr="00CC6553" w:rsidRDefault="00897293" w:rsidP="005271BB">
            <w:pPr>
              <w:rPr>
                <w:rFonts w:cs="Arial"/>
                <w:color w:val="000000" w:themeColor="text1"/>
                <w:sz w:val="20"/>
              </w:rPr>
            </w:pPr>
            <w:r w:rsidRPr="00CC6553">
              <w:rPr>
                <w:rFonts w:cs="Arial"/>
                <w:color w:val="000000" w:themeColor="text1"/>
                <w:sz w:val="20"/>
              </w:rPr>
              <w:t xml:space="preserve">Waiting until patients are on max tolerated doses of 4 pillar medication before considering an ARNI may exclude patients from being able to be switched if BP falls &lt;100 systolic. PARADIGM-HF showed significant benefit over ACEi which is therefore particularly important to switch those with severe LVSD earlier that </w:t>
            </w:r>
            <w:r w:rsidRPr="00CC6553">
              <w:rPr>
                <w:rFonts w:cs="Arial"/>
                <w:color w:val="000000" w:themeColor="text1"/>
                <w:sz w:val="20"/>
              </w:rPr>
              <w:lastRenderedPageBreak/>
              <w:t>waiting for all 4 pillars to have been optimised.</w:t>
            </w:r>
            <w:r w:rsidRPr="00CC6553">
              <w:rPr>
                <w:rFonts w:cs="Arial"/>
                <w:color w:val="000000" w:themeColor="text1"/>
                <w:sz w:val="20"/>
              </w:rPr>
              <w:br/>
              <w:t>HF treatment should be individualised according to frailty, co-morbidities etc, and some patients may benefit from an ARNI sooner to prevent worsening HF/risk of transplant etc.</w:t>
            </w:r>
          </w:p>
        </w:tc>
        <w:tc>
          <w:tcPr>
            <w:tcW w:w="2122" w:type="pct"/>
          </w:tcPr>
          <w:p w14:paraId="378FBF19" w14:textId="4D3A5277" w:rsidR="00897293" w:rsidRPr="00CC6553" w:rsidRDefault="00897293" w:rsidP="14DE5554">
            <w:pPr>
              <w:pStyle w:val="Heading1"/>
              <w:rPr>
                <w:rFonts w:cs="Arial"/>
                <w:b w:val="0"/>
                <w:bCs w:val="0"/>
                <w:color w:val="000000" w:themeColor="text1"/>
                <w:sz w:val="20"/>
              </w:rPr>
            </w:pPr>
            <w:r w:rsidRPr="00CC6553">
              <w:rPr>
                <w:rFonts w:cs="Arial"/>
                <w:b w:val="0"/>
                <w:bCs w:val="0"/>
                <w:color w:val="000000" w:themeColor="text1"/>
                <w:sz w:val="20"/>
              </w:rPr>
              <w:lastRenderedPageBreak/>
              <w:t xml:space="preserve">Thank you for your comment. Although the benefits of ARNI are recognised, the recommendation was made taking into consideration </w:t>
            </w:r>
            <w:r w:rsidRPr="00CC6553">
              <w:rPr>
                <w:rFonts w:cs="Arial"/>
                <w:b w:val="0"/>
                <w:bCs w:val="0"/>
                <w:color w:val="000000" w:themeColor="text1"/>
                <w:sz w:val="20"/>
              </w:rPr>
              <w:lastRenderedPageBreak/>
              <w:t>the cost-effectiveness as well as clinical effectiveness analysis. Even in the more favourable scenarios for ARNI, at current prices, the economic modelling found it not cost-effective in people who can tolerate ACEI</w:t>
            </w:r>
          </w:p>
        </w:tc>
      </w:tr>
      <w:tr w:rsidR="00897293" w:rsidRPr="00CC6553" w14:paraId="3DA4CF72" w14:textId="77777777" w:rsidTr="00897293">
        <w:trPr>
          <w:trHeight w:val="300"/>
        </w:trPr>
        <w:tc>
          <w:tcPr>
            <w:tcW w:w="109" w:type="pct"/>
          </w:tcPr>
          <w:p w14:paraId="26BBA903"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63</w:t>
            </w:r>
          </w:p>
        </w:tc>
        <w:tc>
          <w:tcPr>
            <w:tcW w:w="143" w:type="pct"/>
          </w:tcPr>
          <w:p w14:paraId="084FAA24" w14:textId="16487528"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733ED694" w14:textId="74C33507" w:rsidR="00897293" w:rsidRPr="00CC6553" w:rsidRDefault="00897293" w:rsidP="005271BB">
            <w:pPr>
              <w:rPr>
                <w:rFonts w:cs="Arial"/>
                <w:bCs/>
                <w:iCs/>
                <w:color w:val="000000" w:themeColor="text1"/>
                <w:sz w:val="20"/>
              </w:rPr>
            </w:pPr>
            <w:r w:rsidRPr="00CC6553">
              <w:rPr>
                <w:rFonts w:cs="Arial"/>
                <w:color w:val="000000" w:themeColor="text1"/>
                <w:sz w:val="20"/>
              </w:rPr>
              <w:t>British Association for Nursing in Cardiovascular Care (BANCC)</w:t>
            </w:r>
          </w:p>
        </w:tc>
        <w:tc>
          <w:tcPr>
            <w:tcW w:w="279" w:type="pct"/>
          </w:tcPr>
          <w:p w14:paraId="4CBAF21D" w14:textId="7FD641E7"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3AE7103D" w14:textId="59AB3E91"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4D66B57F" w14:textId="198C2010" w:rsidR="00897293" w:rsidRPr="00CC6553" w:rsidRDefault="00897293" w:rsidP="005271BB">
            <w:pPr>
              <w:rPr>
                <w:rFonts w:cs="Arial"/>
                <w:color w:val="000000" w:themeColor="text1"/>
                <w:sz w:val="20"/>
              </w:rPr>
            </w:pPr>
            <w:r w:rsidRPr="00CC6553">
              <w:rPr>
                <w:rFonts w:cs="Arial"/>
                <w:color w:val="000000" w:themeColor="text1"/>
                <w:sz w:val="20"/>
              </w:rPr>
              <w:t>001</w:t>
            </w:r>
          </w:p>
        </w:tc>
        <w:tc>
          <w:tcPr>
            <w:tcW w:w="1521" w:type="pct"/>
          </w:tcPr>
          <w:p w14:paraId="784DB1F5" w14:textId="2FB6C20E" w:rsidR="00897293" w:rsidRPr="00CC6553" w:rsidRDefault="00897293" w:rsidP="005271BB">
            <w:pPr>
              <w:rPr>
                <w:rFonts w:cs="Arial"/>
                <w:color w:val="000000" w:themeColor="text1"/>
                <w:sz w:val="20"/>
              </w:rPr>
            </w:pPr>
            <w:r w:rsidRPr="00CC6553">
              <w:rPr>
                <w:rFonts w:cs="Arial"/>
                <w:color w:val="000000" w:themeColor="text1"/>
                <w:sz w:val="20"/>
              </w:rPr>
              <w:t>This recommendation is not evidence based. The Paradigm trial required only maximum dose of enalapril and a stable dose of beta blocker no requirement for sglt2i- or MRA.</w:t>
            </w:r>
            <w:r w:rsidRPr="00CC6553">
              <w:rPr>
                <w:rFonts w:cs="Arial"/>
                <w:color w:val="000000" w:themeColor="text1"/>
                <w:sz w:val="20"/>
              </w:rPr>
              <w:br/>
              <w:t>The rationale given for reserving ARNI for this subgroup is that ‘where this combination is providing symptomatic improvement, switching to an ARNI is not advised because it is not as cost effective as an ACE inhibitor.’  Did this factor in the end of the patent before next guideline and reduced device referrals?</w:t>
            </w:r>
          </w:p>
        </w:tc>
        <w:tc>
          <w:tcPr>
            <w:tcW w:w="2122" w:type="pct"/>
          </w:tcPr>
          <w:p w14:paraId="2E74219A" w14:textId="4244A0B7" w:rsidR="00897293" w:rsidRPr="00CC6553" w:rsidRDefault="00897293" w:rsidP="00191652">
            <w:pPr>
              <w:rPr>
                <w:rFonts w:cs="Arial"/>
                <w:bCs/>
                <w:color w:val="000000" w:themeColor="text1"/>
                <w:sz w:val="20"/>
              </w:rPr>
            </w:pPr>
            <w:r w:rsidRPr="009B3C47">
              <w:rPr>
                <w:rFonts w:cs="Arial"/>
                <w:color w:val="000000" w:themeColor="text1"/>
                <w:sz w:val="20"/>
              </w:rPr>
              <w:t xml:space="preserve">Thank you for your comment. </w:t>
            </w:r>
            <w:r w:rsidRPr="009B3C47">
              <w:rPr>
                <w:rFonts w:cs="Arial"/>
                <w:color w:val="000000" w:themeColor="text1"/>
                <w:sz w:val="20"/>
              </w:rPr>
              <w:br/>
            </w:r>
            <w:r w:rsidRPr="00CC6553">
              <w:rPr>
                <w:rFonts w:cs="Arial"/>
                <w:bCs/>
                <w:color w:val="000000" w:themeColor="text1"/>
                <w:sz w:val="20"/>
              </w:rPr>
              <w:t>The economic model did not factor in the end of the patent. This is because, although the initial patent has recently ended</w:t>
            </w:r>
            <w:r w:rsidRPr="00CC6553">
              <w:rPr>
                <w:rFonts w:cs="Arial"/>
                <w:b/>
                <w:bCs/>
                <w:color w:val="000000" w:themeColor="text1"/>
                <w:sz w:val="20"/>
              </w:rPr>
              <w:t>,</w:t>
            </w:r>
            <w:r w:rsidRPr="00CC6553">
              <w:rPr>
                <w:rFonts w:cs="Arial"/>
                <w:bCs/>
                <w:color w:val="000000" w:themeColor="text1"/>
                <w:sz w:val="20"/>
              </w:rPr>
              <w:t xml:space="preserve"> secondary patents are still in place until 2036. Hence, it is uncertain when generic versions of ARNI will enter the market and what their price will be. It is anticipated that, when this occurs, the guidelines model will be re-run with the new prices and the recommendations will be updated.</w:t>
            </w:r>
          </w:p>
          <w:p w14:paraId="20CB9460" w14:textId="77777777" w:rsidR="00897293" w:rsidRPr="00CC6553" w:rsidRDefault="00897293" w:rsidP="00191652">
            <w:pPr>
              <w:rPr>
                <w:rFonts w:cs="Arial"/>
                <w:bCs/>
                <w:color w:val="000000" w:themeColor="text1"/>
                <w:sz w:val="20"/>
              </w:rPr>
            </w:pPr>
          </w:p>
          <w:p w14:paraId="57B108A0" w14:textId="66F61864"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 xml:space="preserve">Overall, the committee agreed that clinical practice varies considerably regarding the point at which a patient may be considered for a device, particularly CRT/CRT-D. Younger patients with a broad LBBB morphology on ECG may receive device therapy early in their treatment pathway and there is no robust evidence to guide clinicians regarding the re-assessment of </w:t>
            </w:r>
            <w:r w:rsidRPr="00CC6553">
              <w:rPr>
                <w:rFonts w:cs="Arial"/>
                <w:b w:val="0"/>
                <w:color w:val="000000" w:themeColor="text1"/>
                <w:sz w:val="20"/>
              </w:rPr>
              <w:lastRenderedPageBreak/>
              <w:t xml:space="preserve">ejection fraction. Overall, the CG committee agreed that an impact on device therapy could not be predicted and therefore should not be included in the cost-effective modelling.  </w:t>
            </w:r>
          </w:p>
        </w:tc>
      </w:tr>
      <w:tr w:rsidR="00897293" w:rsidRPr="00CC6553" w14:paraId="0956300C" w14:textId="77777777" w:rsidTr="00897293">
        <w:trPr>
          <w:trHeight w:val="300"/>
        </w:trPr>
        <w:tc>
          <w:tcPr>
            <w:tcW w:w="109" w:type="pct"/>
          </w:tcPr>
          <w:p w14:paraId="76B722C6"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64</w:t>
            </w:r>
          </w:p>
        </w:tc>
        <w:tc>
          <w:tcPr>
            <w:tcW w:w="143" w:type="pct"/>
          </w:tcPr>
          <w:p w14:paraId="6ABE0861" w14:textId="113F6E6D"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17545439" w14:textId="497C0F2F" w:rsidR="00897293" w:rsidRPr="00CC6553" w:rsidRDefault="00897293" w:rsidP="005271BB">
            <w:pPr>
              <w:rPr>
                <w:rFonts w:cs="Arial"/>
                <w:bCs/>
                <w:iCs/>
                <w:color w:val="000000" w:themeColor="text1"/>
                <w:sz w:val="20"/>
              </w:rPr>
            </w:pPr>
            <w:r w:rsidRPr="00CC6553">
              <w:rPr>
                <w:rFonts w:cs="Arial"/>
                <w:color w:val="000000" w:themeColor="text1"/>
                <w:sz w:val="20"/>
              </w:rPr>
              <w:t>British Association for Nursing in Cardiovascular Care (BANCC)</w:t>
            </w:r>
          </w:p>
        </w:tc>
        <w:tc>
          <w:tcPr>
            <w:tcW w:w="279" w:type="pct"/>
          </w:tcPr>
          <w:p w14:paraId="192FC02A" w14:textId="375F51C5"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57EBBA3D" w14:textId="5ED0C848"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09548BBB" w14:textId="0AA06A92" w:rsidR="00897293" w:rsidRPr="00CC6553" w:rsidRDefault="00897293" w:rsidP="005271BB">
            <w:pPr>
              <w:rPr>
                <w:rFonts w:cs="Arial"/>
                <w:color w:val="000000" w:themeColor="text1"/>
                <w:sz w:val="20"/>
              </w:rPr>
            </w:pPr>
            <w:r w:rsidRPr="00CC6553">
              <w:rPr>
                <w:rFonts w:cs="Arial"/>
                <w:color w:val="000000" w:themeColor="text1"/>
                <w:sz w:val="20"/>
              </w:rPr>
              <w:t>001</w:t>
            </w:r>
          </w:p>
        </w:tc>
        <w:tc>
          <w:tcPr>
            <w:tcW w:w="1521" w:type="pct"/>
          </w:tcPr>
          <w:p w14:paraId="0B81490C" w14:textId="44AA636F" w:rsidR="00897293" w:rsidRPr="00CC6553" w:rsidRDefault="00897293" w:rsidP="005271BB">
            <w:pPr>
              <w:rPr>
                <w:rFonts w:cs="Arial"/>
                <w:color w:val="000000" w:themeColor="text1"/>
                <w:sz w:val="20"/>
              </w:rPr>
            </w:pPr>
            <w:r w:rsidRPr="00CC6553">
              <w:rPr>
                <w:rFonts w:cs="Arial"/>
                <w:color w:val="000000" w:themeColor="text1"/>
                <w:sz w:val="20"/>
              </w:rPr>
              <w:t>Switching people to ARNI only when they have reached max tolerated doses of 4 pillars (or are intolerant of ACE-I) will lead to additional appointments with heart failure teams (and bloods for renal function). It would be good to know if that was included the economic modelling. As well as the cost implications, this also negatively impacts on waiting times for specialist review and monitoring (and the associated risks and costs that come along with that) making other welcome criteria within the guidance much more challenging to achieve.</w:t>
            </w:r>
          </w:p>
        </w:tc>
        <w:tc>
          <w:tcPr>
            <w:tcW w:w="2122" w:type="pct"/>
          </w:tcPr>
          <w:p w14:paraId="549FA482" w14:textId="044F799D" w:rsidR="00897293" w:rsidRPr="00CC6553" w:rsidRDefault="00897293" w:rsidP="00D672E1">
            <w:pPr>
              <w:pStyle w:val="Heading1"/>
              <w:rPr>
                <w:rFonts w:cs="Arial"/>
                <w:b w:val="0"/>
                <w:color w:val="000000" w:themeColor="text1"/>
                <w:sz w:val="20"/>
              </w:rPr>
            </w:pPr>
            <w:r w:rsidRPr="00CC6553">
              <w:rPr>
                <w:rFonts w:cs="Arial"/>
                <w:b w:val="0"/>
                <w:color w:val="000000" w:themeColor="text1"/>
                <w:sz w:val="20"/>
              </w:rPr>
              <w:t xml:space="preserve">Thank you for your comment. </w:t>
            </w:r>
            <w:r w:rsidRPr="00CC6553">
              <w:rPr>
                <w:rFonts w:cs="Arial"/>
                <w:b w:val="0"/>
                <w:color w:val="000000" w:themeColor="text1"/>
                <w:sz w:val="20"/>
              </w:rPr>
              <w:br/>
            </w:r>
          </w:p>
          <w:p w14:paraId="2BE8E04A" w14:textId="0A9BF778" w:rsidR="00897293" w:rsidRPr="00CC6553" w:rsidRDefault="00897293" w:rsidP="00B41613">
            <w:pPr>
              <w:rPr>
                <w:rFonts w:cs="Arial"/>
                <w:bCs/>
                <w:color w:val="000000" w:themeColor="text1"/>
                <w:sz w:val="20"/>
              </w:rPr>
            </w:pPr>
            <w:r w:rsidRPr="00CC6553">
              <w:rPr>
                <w:rFonts w:cs="Arial"/>
                <w:bCs/>
                <w:color w:val="000000" w:themeColor="text1"/>
                <w:sz w:val="20"/>
              </w:rPr>
              <w:t>The economic model accounted for the higher number of visits and blood tests required for optimising people starting on ACEI and being switched to ARNI. Even after adding these costs, early ARNI was not found to be cost-effective in people who can tolerate ACEI.</w:t>
            </w:r>
          </w:p>
          <w:p w14:paraId="79DC091A" w14:textId="22E2CBA1" w:rsidR="00897293" w:rsidRPr="00CC6553" w:rsidRDefault="00897293" w:rsidP="00FE2009">
            <w:pPr>
              <w:pStyle w:val="Heading1"/>
              <w:rPr>
                <w:color w:val="000000" w:themeColor="text1"/>
              </w:rPr>
            </w:pPr>
            <w:r w:rsidRPr="00CC6553">
              <w:rPr>
                <w:rFonts w:cs="Arial"/>
                <w:b w:val="0"/>
                <w:color w:val="000000" w:themeColor="text1"/>
                <w:sz w:val="20"/>
              </w:rPr>
              <w:t>This may change in future updates if the price of ARNI is reduced.</w:t>
            </w:r>
            <w:r w:rsidRPr="00CC6553">
              <w:rPr>
                <w:rFonts w:cs="Arial"/>
                <w:color w:val="000000" w:themeColor="text1"/>
                <w:sz w:val="20"/>
              </w:rPr>
              <w:t xml:space="preserve">  </w:t>
            </w:r>
          </w:p>
        </w:tc>
      </w:tr>
      <w:tr w:rsidR="00897293" w:rsidRPr="00CC6553" w14:paraId="1AC51C32" w14:textId="77777777" w:rsidTr="00897293">
        <w:trPr>
          <w:trHeight w:val="300"/>
        </w:trPr>
        <w:tc>
          <w:tcPr>
            <w:tcW w:w="109" w:type="pct"/>
          </w:tcPr>
          <w:p w14:paraId="4A7DEABD" w14:textId="77777777" w:rsidR="00897293" w:rsidRPr="00CC6553" w:rsidRDefault="00897293" w:rsidP="005271BB">
            <w:pPr>
              <w:rPr>
                <w:rFonts w:cs="Arial"/>
                <w:color w:val="000000" w:themeColor="text1"/>
                <w:sz w:val="20"/>
              </w:rPr>
            </w:pPr>
            <w:r w:rsidRPr="00CC6553">
              <w:rPr>
                <w:rFonts w:cs="Arial"/>
                <w:color w:val="000000" w:themeColor="text1"/>
                <w:sz w:val="20"/>
              </w:rPr>
              <w:t>65</w:t>
            </w:r>
          </w:p>
        </w:tc>
        <w:tc>
          <w:tcPr>
            <w:tcW w:w="143" w:type="pct"/>
          </w:tcPr>
          <w:p w14:paraId="5BA33F35" w14:textId="74453E7A"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20BCB956" w14:textId="1F7AC250" w:rsidR="00897293" w:rsidRPr="00CC6553" w:rsidRDefault="00897293" w:rsidP="005271BB">
            <w:pPr>
              <w:rPr>
                <w:rFonts w:cs="Arial"/>
                <w:bCs/>
                <w:iCs/>
                <w:color w:val="000000" w:themeColor="text1"/>
                <w:sz w:val="20"/>
              </w:rPr>
            </w:pPr>
            <w:r w:rsidRPr="00CC6553">
              <w:rPr>
                <w:rFonts w:cs="Arial"/>
                <w:color w:val="000000" w:themeColor="text1"/>
                <w:sz w:val="20"/>
              </w:rPr>
              <w:t>British Association for Nursing in Cardiovascular Care (BANCC)</w:t>
            </w:r>
          </w:p>
        </w:tc>
        <w:tc>
          <w:tcPr>
            <w:tcW w:w="279" w:type="pct"/>
          </w:tcPr>
          <w:p w14:paraId="031ECCFF" w14:textId="437D316F"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4FAB0151" w14:textId="34DE35E8"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6E5E607C" w14:textId="4BC6E32A" w:rsidR="00897293" w:rsidRPr="00CC6553" w:rsidRDefault="00897293" w:rsidP="005271BB">
            <w:pPr>
              <w:rPr>
                <w:rFonts w:cs="Arial"/>
                <w:color w:val="000000" w:themeColor="text1"/>
                <w:sz w:val="20"/>
              </w:rPr>
            </w:pPr>
            <w:r w:rsidRPr="00CC6553">
              <w:rPr>
                <w:rFonts w:cs="Arial"/>
                <w:color w:val="000000" w:themeColor="text1"/>
                <w:sz w:val="20"/>
              </w:rPr>
              <w:t>001</w:t>
            </w:r>
          </w:p>
        </w:tc>
        <w:tc>
          <w:tcPr>
            <w:tcW w:w="1521" w:type="pct"/>
          </w:tcPr>
          <w:p w14:paraId="35A860A5" w14:textId="2805B2F4" w:rsidR="00897293" w:rsidRPr="00CC6553" w:rsidRDefault="00897293" w:rsidP="005271BB">
            <w:pPr>
              <w:rPr>
                <w:rFonts w:cs="Arial"/>
                <w:color w:val="000000" w:themeColor="text1"/>
                <w:sz w:val="20"/>
              </w:rPr>
            </w:pPr>
            <w:r w:rsidRPr="00CC6553">
              <w:rPr>
                <w:rFonts w:cs="Arial"/>
                <w:color w:val="000000" w:themeColor="text1"/>
                <w:sz w:val="20"/>
              </w:rPr>
              <w:t>De novo ARNI should be considered. It increases service pressures due to switching on discharge and increased resource requirements e.g. bloods, further appointments etc</w:t>
            </w:r>
          </w:p>
        </w:tc>
        <w:tc>
          <w:tcPr>
            <w:tcW w:w="2122" w:type="pct"/>
          </w:tcPr>
          <w:p w14:paraId="5F52EE8F" w14:textId="1C7175FC" w:rsidR="00897293" w:rsidRPr="00CC6553" w:rsidRDefault="00897293" w:rsidP="00152812">
            <w:pPr>
              <w:pStyle w:val="Heading1"/>
              <w:rPr>
                <w:rFonts w:cs="Arial"/>
                <w:b w:val="0"/>
                <w:color w:val="000000" w:themeColor="text1"/>
                <w:sz w:val="20"/>
              </w:rPr>
            </w:pPr>
            <w:r w:rsidRPr="00CC6553">
              <w:rPr>
                <w:rFonts w:cs="Arial"/>
                <w:b w:val="0"/>
                <w:color w:val="000000" w:themeColor="text1"/>
                <w:sz w:val="20"/>
              </w:rPr>
              <w:t>Thank you for your comment. The economic model accounted for the higher number of visits and blood tests required for optimising people starting on ACEI and being switched to ARNI. Even after adding these costs, early ARNI was not found to be cost-effective in people who can tolerate ACEI.</w:t>
            </w:r>
          </w:p>
          <w:p w14:paraId="17906D7D" w14:textId="478B172C"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 xml:space="preserve">This may change in future updates if the price of ARNI is reduced.  </w:t>
            </w:r>
          </w:p>
        </w:tc>
      </w:tr>
      <w:tr w:rsidR="00897293" w:rsidRPr="00CC6553" w14:paraId="7D84D454" w14:textId="77777777" w:rsidTr="00897293">
        <w:trPr>
          <w:trHeight w:val="300"/>
        </w:trPr>
        <w:tc>
          <w:tcPr>
            <w:tcW w:w="109" w:type="pct"/>
          </w:tcPr>
          <w:p w14:paraId="16D75E18" w14:textId="77777777" w:rsidR="00897293" w:rsidRPr="00CC6553" w:rsidRDefault="00897293" w:rsidP="005271BB">
            <w:pPr>
              <w:rPr>
                <w:rFonts w:cs="Arial"/>
                <w:color w:val="000000" w:themeColor="text1"/>
                <w:sz w:val="20"/>
              </w:rPr>
            </w:pPr>
            <w:r w:rsidRPr="00CC6553">
              <w:rPr>
                <w:rFonts w:cs="Arial"/>
                <w:color w:val="000000" w:themeColor="text1"/>
                <w:sz w:val="20"/>
              </w:rPr>
              <w:t>66</w:t>
            </w:r>
          </w:p>
        </w:tc>
        <w:tc>
          <w:tcPr>
            <w:tcW w:w="143" w:type="pct"/>
          </w:tcPr>
          <w:p w14:paraId="5F416D79" w14:textId="7DAEF54E"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6C11A1FB" w14:textId="3C05BA28" w:rsidR="00897293" w:rsidRPr="00CC6553" w:rsidRDefault="00897293" w:rsidP="005271BB">
            <w:pPr>
              <w:rPr>
                <w:rFonts w:cs="Arial"/>
                <w:bCs/>
                <w:iCs/>
                <w:color w:val="000000" w:themeColor="text1"/>
                <w:sz w:val="20"/>
              </w:rPr>
            </w:pPr>
            <w:r w:rsidRPr="00CC6553">
              <w:rPr>
                <w:rFonts w:cs="Arial"/>
                <w:color w:val="000000" w:themeColor="text1"/>
                <w:sz w:val="20"/>
              </w:rPr>
              <w:t xml:space="preserve">British Association for Nursing in </w:t>
            </w:r>
            <w:r w:rsidRPr="00CC6553">
              <w:rPr>
                <w:rFonts w:cs="Arial"/>
                <w:color w:val="000000" w:themeColor="text1"/>
                <w:sz w:val="20"/>
              </w:rPr>
              <w:lastRenderedPageBreak/>
              <w:t>Cardiovascular Care (BANCC)</w:t>
            </w:r>
          </w:p>
        </w:tc>
        <w:tc>
          <w:tcPr>
            <w:tcW w:w="279" w:type="pct"/>
          </w:tcPr>
          <w:p w14:paraId="7B801104" w14:textId="42C35E15" w:rsidR="00897293" w:rsidRPr="00CC6553" w:rsidRDefault="00897293" w:rsidP="005271BB">
            <w:pPr>
              <w:rPr>
                <w:rFonts w:cs="Arial"/>
                <w:color w:val="000000" w:themeColor="text1"/>
                <w:sz w:val="20"/>
              </w:rPr>
            </w:pPr>
            <w:r w:rsidRPr="00CC6553">
              <w:rPr>
                <w:rFonts w:cs="Arial"/>
                <w:color w:val="000000" w:themeColor="text1"/>
                <w:sz w:val="20"/>
              </w:rPr>
              <w:lastRenderedPageBreak/>
              <w:t>Guideline</w:t>
            </w:r>
          </w:p>
        </w:tc>
        <w:tc>
          <w:tcPr>
            <w:tcW w:w="214" w:type="pct"/>
          </w:tcPr>
          <w:p w14:paraId="7B19C9F3" w14:textId="5BFD2564"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27656717" w14:textId="19905E66" w:rsidR="00897293" w:rsidRPr="00CC6553" w:rsidRDefault="00897293" w:rsidP="005271BB">
            <w:pPr>
              <w:rPr>
                <w:rFonts w:cs="Arial"/>
                <w:color w:val="000000" w:themeColor="text1"/>
                <w:sz w:val="20"/>
              </w:rPr>
            </w:pPr>
            <w:r w:rsidRPr="00CC6553">
              <w:rPr>
                <w:rFonts w:cs="Arial"/>
                <w:color w:val="000000" w:themeColor="text1"/>
                <w:sz w:val="20"/>
              </w:rPr>
              <w:t>001</w:t>
            </w:r>
          </w:p>
        </w:tc>
        <w:tc>
          <w:tcPr>
            <w:tcW w:w="1521" w:type="pct"/>
          </w:tcPr>
          <w:p w14:paraId="7830A1E9" w14:textId="52822633" w:rsidR="00897293" w:rsidRPr="00CC6553" w:rsidRDefault="00897293" w:rsidP="005271BB">
            <w:pPr>
              <w:rPr>
                <w:rFonts w:cs="Arial"/>
                <w:color w:val="000000" w:themeColor="text1"/>
                <w:sz w:val="20"/>
              </w:rPr>
            </w:pPr>
            <w:r w:rsidRPr="00CC6553">
              <w:rPr>
                <w:rFonts w:cs="Arial"/>
                <w:color w:val="000000" w:themeColor="text1"/>
                <w:sz w:val="20"/>
              </w:rPr>
              <w:t>ARNI should be prioritised in HFrEF given clear evidence for better outcomes compared with ACEI</w:t>
            </w:r>
          </w:p>
        </w:tc>
        <w:tc>
          <w:tcPr>
            <w:tcW w:w="2122" w:type="pct"/>
          </w:tcPr>
          <w:p w14:paraId="7CC06F90" w14:textId="011BFB98"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 xml:space="preserve">Thank you for your comment. Although the benefits of ARNI are recognised, the recommendation </w:t>
            </w:r>
            <w:r w:rsidRPr="00CC6553">
              <w:rPr>
                <w:rFonts w:cs="Arial"/>
                <w:b w:val="0"/>
                <w:color w:val="000000" w:themeColor="text1"/>
                <w:sz w:val="20"/>
              </w:rPr>
              <w:lastRenderedPageBreak/>
              <w:t>was made taking into the cost-effectiveness as well as clinical effectiveness analysis. Even in the more favourable scenarios for ARNI, at current prices, the economic modelling found it not cost-effective in people who can tolerate ACEI</w:t>
            </w:r>
          </w:p>
        </w:tc>
      </w:tr>
      <w:tr w:rsidR="00897293" w:rsidRPr="00CC6553" w14:paraId="6126E980" w14:textId="77777777" w:rsidTr="00897293">
        <w:trPr>
          <w:trHeight w:val="300"/>
        </w:trPr>
        <w:tc>
          <w:tcPr>
            <w:tcW w:w="109" w:type="pct"/>
          </w:tcPr>
          <w:p w14:paraId="6BD2A5CE"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67</w:t>
            </w:r>
          </w:p>
        </w:tc>
        <w:tc>
          <w:tcPr>
            <w:tcW w:w="143" w:type="pct"/>
          </w:tcPr>
          <w:p w14:paraId="0B2FC374" w14:textId="660066BD"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4269F71B" w14:textId="3872564C" w:rsidR="00897293" w:rsidRPr="00CC6553" w:rsidRDefault="00897293" w:rsidP="005271BB">
            <w:pPr>
              <w:rPr>
                <w:rFonts w:cs="Arial"/>
                <w:bCs/>
                <w:iCs/>
                <w:color w:val="000000" w:themeColor="text1"/>
                <w:sz w:val="20"/>
              </w:rPr>
            </w:pPr>
            <w:r w:rsidRPr="00CC6553">
              <w:rPr>
                <w:rFonts w:cs="Arial"/>
                <w:color w:val="000000" w:themeColor="text1"/>
                <w:sz w:val="20"/>
              </w:rPr>
              <w:t>British Society for Heart Failure (BSHF)</w:t>
            </w:r>
          </w:p>
        </w:tc>
        <w:tc>
          <w:tcPr>
            <w:tcW w:w="279" w:type="pct"/>
          </w:tcPr>
          <w:p w14:paraId="7639A8F6" w14:textId="15658232"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1D13E3A0" w14:textId="724070CF"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1F102727" w14:textId="2D349B54" w:rsidR="00897293" w:rsidRPr="00CC6553" w:rsidRDefault="00897293" w:rsidP="005271BB">
            <w:pPr>
              <w:rPr>
                <w:rFonts w:cs="Arial"/>
                <w:color w:val="000000" w:themeColor="text1"/>
                <w:sz w:val="20"/>
              </w:rPr>
            </w:pPr>
            <w:r w:rsidRPr="00CC6553">
              <w:rPr>
                <w:rFonts w:cs="Arial"/>
                <w:color w:val="000000" w:themeColor="text1"/>
                <w:sz w:val="20"/>
              </w:rPr>
              <w:t>001</w:t>
            </w:r>
          </w:p>
        </w:tc>
        <w:tc>
          <w:tcPr>
            <w:tcW w:w="1521" w:type="pct"/>
          </w:tcPr>
          <w:p w14:paraId="49BAB538" w14:textId="5637AF2B" w:rsidR="00897293" w:rsidRPr="00CC6553" w:rsidRDefault="00897293" w:rsidP="005271BB">
            <w:pPr>
              <w:rPr>
                <w:rFonts w:cs="Arial"/>
                <w:color w:val="000000" w:themeColor="text1"/>
                <w:sz w:val="20"/>
              </w:rPr>
            </w:pPr>
            <w:r w:rsidRPr="00CC6553">
              <w:rPr>
                <w:rFonts w:cs="Arial"/>
                <w:color w:val="000000" w:themeColor="text1"/>
                <w:sz w:val="20"/>
              </w:rPr>
              <w:t>Waiting until patients are on max tolerated doses of 4 pillar medication before considering an ARNI may exclude patients from being able to be switched if BP falls &lt;100 systolic. PARADIGM-HF showed significant benefit over ACEi which is therefore particularly important to switch those with severe LVSD earlier that waiting for all 4 pillars to have been optimised.</w:t>
            </w:r>
            <w:r w:rsidRPr="00CC6553">
              <w:rPr>
                <w:rFonts w:cs="Arial"/>
                <w:color w:val="000000" w:themeColor="text1"/>
                <w:sz w:val="20"/>
              </w:rPr>
              <w:br/>
              <w:t>HF treatment should be individualised according to frailty, co-morbidities etc, and some patients may benefit from an ARNI sooner to prevent worsening HF/risk of transplant etc.</w:t>
            </w:r>
          </w:p>
        </w:tc>
        <w:tc>
          <w:tcPr>
            <w:tcW w:w="2122" w:type="pct"/>
          </w:tcPr>
          <w:p w14:paraId="1AC70C13" w14:textId="064010EC" w:rsidR="00897293" w:rsidRPr="00CC6553" w:rsidRDefault="00897293" w:rsidP="000044F8">
            <w:pPr>
              <w:rPr>
                <w:color w:val="000000" w:themeColor="text1"/>
              </w:rPr>
            </w:pPr>
            <w:r w:rsidRPr="00CC6553">
              <w:rPr>
                <w:rFonts w:cs="Arial"/>
                <w:color w:val="000000" w:themeColor="text1"/>
                <w:sz w:val="20"/>
              </w:rPr>
              <w:t>Thank you for your comment. Although the benefits of ARNI are recognised, the recommendation was made taking into the cost-effectiveness as well as clinical effectiveness analysis.</w:t>
            </w:r>
            <w:r w:rsidRPr="00CC6553">
              <w:rPr>
                <w:rFonts w:cs="Arial"/>
                <w:b/>
                <w:color w:val="000000" w:themeColor="text1"/>
                <w:sz w:val="20"/>
              </w:rPr>
              <w:t xml:space="preserve"> </w:t>
            </w:r>
            <w:r w:rsidRPr="00CC6553">
              <w:rPr>
                <w:rFonts w:cs="Arial"/>
                <w:color w:val="000000" w:themeColor="text1"/>
                <w:sz w:val="20"/>
              </w:rPr>
              <w:t>Even in the more favourable scenarios for ARNI, at current prices, the economic modelling found it not cost-effective in people who can tolerate ACEI</w:t>
            </w:r>
          </w:p>
        </w:tc>
      </w:tr>
      <w:tr w:rsidR="00897293" w:rsidRPr="00CC6553" w14:paraId="2FE37640" w14:textId="77777777" w:rsidTr="00897293">
        <w:trPr>
          <w:trHeight w:val="300"/>
        </w:trPr>
        <w:tc>
          <w:tcPr>
            <w:tcW w:w="109" w:type="pct"/>
          </w:tcPr>
          <w:p w14:paraId="2CD8C0F9" w14:textId="77777777" w:rsidR="00897293" w:rsidRPr="00CC6553" w:rsidRDefault="00897293" w:rsidP="005271BB">
            <w:pPr>
              <w:rPr>
                <w:rFonts w:cs="Arial"/>
                <w:color w:val="000000" w:themeColor="text1"/>
                <w:sz w:val="20"/>
              </w:rPr>
            </w:pPr>
            <w:r w:rsidRPr="00CC6553">
              <w:rPr>
                <w:rFonts w:cs="Arial"/>
                <w:color w:val="000000" w:themeColor="text1"/>
                <w:sz w:val="20"/>
              </w:rPr>
              <w:t>68</w:t>
            </w:r>
          </w:p>
        </w:tc>
        <w:tc>
          <w:tcPr>
            <w:tcW w:w="143" w:type="pct"/>
          </w:tcPr>
          <w:p w14:paraId="126FD266" w14:textId="3147F3AB"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66E74089" w14:textId="305BA1F1" w:rsidR="00897293" w:rsidRPr="00CC6553" w:rsidRDefault="00897293" w:rsidP="005271BB">
            <w:pPr>
              <w:rPr>
                <w:rFonts w:cs="Arial"/>
                <w:bCs/>
                <w:iCs/>
                <w:color w:val="000000" w:themeColor="text1"/>
                <w:sz w:val="20"/>
              </w:rPr>
            </w:pPr>
            <w:r w:rsidRPr="00CC6553">
              <w:rPr>
                <w:rFonts w:cs="Arial"/>
                <w:color w:val="000000" w:themeColor="text1"/>
                <w:sz w:val="20"/>
              </w:rPr>
              <w:t>British Society for Heart Failure (BSHF)</w:t>
            </w:r>
          </w:p>
        </w:tc>
        <w:tc>
          <w:tcPr>
            <w:tcW w:w="279" w:type="pct"/>
          </w:tcPr>
          <w:p w14:paraId="50A3AB6C" w14:textId="46606494"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31F43E67" w14:textId="7AFF6D49"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020ACC0A" w14:textId="34107C76" w:rsidR="00897293" w:rsidRPr="00CC6553" w:rsidRDefault="00897293" w:rsidP="005271BB">
            <w:pPr>
              <w:rPr>
                <w:rFonts w:cs="Arial"/>
                <w:color w:val="000000" w:themeColor="text1"/>
                <w:sz w:val="20"/>
              </w:rPr>
            </w:pPr>
            <w:r w:rsidRPr="00CC6553">
              <w:rPr>
                <w:rFonts w:cs="Arial"/>
                <w:color w:val="000000" w:themeColor="text1"/>
                <w:sz w:val="20"/>
              </w:rPr>
              <w:t>001</w:t>
            </w:r>
          </w:p>
        </w:tc>
        <w:tc>
          <w:tcPr>
            <w:tcW w:w="1521" w:type="pct"/>
          </w:tcPr>
          <w:p w14:paraId="73424E35" w14:textId="778386EB" w:rsidR="00897293" w:rsidRPr="00CC6553" w:rsidRDefault="00897293" w:rsidP="005271BB">
            <w:pPr>
              <w:rPr>
                <w:rFonts w:cs="Arial"/>
                <w:color w:val="000000" w:themeColor="text1"/>
                <w:sz w:val="20"/>
              </w:rPr>
            </w:pPr>
            <w:r w:rsidRPr="00CC6553">
              <w:rPr>
                <w:rFonts w:cs="Arial"/>
                <w:color w:val="000000" w:themeColor="text1"/>
                <w:sz w:val="20"/>
              </w:rPr>
              <w:t>This recommendation is not evidence based. The Paradigm trial required only maximum dose of enalapril and a stable dose of beta blocker no requirement for sglt2i- or MRA.</w:t>
            </w:r>
            <w:r w:rsidRPr="00CC6553">
              <w:rPr>
                <w:rFonts w:cs="Arial"/>
                <w:color w:val="000000" w:themeColor="text1"/>
                <w:sz w:val="20"/>
              </w:rPr>
              <w:br/>
              <w:t>The rationale given for reserving ARNI for this subgroup is that ‘where this combination is providing symptomatic improvement, switching to an ARNI is not advised because it is not as cost effective as an ACE inhibitor.’  Did this factor in the end of the patent before next guideline and reduced device referrals?</w:t>
            </w:r>
          </w:p>
        </w:tc>
        <w:tc>
          <w:tcPr>
            <w:tcW w:w="2122" w:type="pct"/>
          </w:tcPr>
          <w:p w14:paraId="5A941C6A" w14:textId="77777777"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 xml:space="preserve">Thank you for your comment. Although the benefits of ARNI are recognised, the recommendation was made taking into the cost-effectiveness as well as clinical effectiveness analysis. </w:t>
            </w:r>
          </w:p>
          <w:p w14:paraId="17DD9CAA" w14:textId="77777777" w:rsidR="00897293" w:rsidRPr="00CC6553" w:rsidRDefault="00897293" w:rsidP="005271BB">
            <w:pPr>
              <w:pStyle w:val="Heading1"/>
              <w:rPr>
                <w:rFonts w:cs="Arial"/>
                <w:b w:val="0"/>
                <w:color w:val="000000" w:themeColor="text1"/>
                <w:sz w:val="20"/>
              </w:rPr>
            </w:pPr>
          </w:p>
          <w:p w14:paraId="4A16A7A0" w14:textId="77777777" w:rsidR="00897293" w:rsidRPr="00CC6553" w:rsidRDefault="00897293" w:rsidP="00402D1A">
            <w:pPr>
              <w:rPr>
                <w:rFonts w:cs="Arial"/>
                <w:bCs/>
                <w:color w:val="000000" w:themeColor="text1"/>
                <w:sz w:val="20"/>
              </w:rPr>
            </w:pPr>
            <w:r w:rsidRPr="00CC6553">
              <w:rPr>
                <w:rFonts w:cs="Arial"/>
                <w:color w:val="000000" w:themeColor="text1"/>
                <w:sz w:val="20"/>
              </w:rPr>
              <w:t>The economic model did not factor in the end of the patent. This is because, although the initial patent has recently ended</w:t>
            </w:r>
            <w:r w:rsidRPr="00CC6553">
              <w:rPr>
                <w:rFonts w:cs="Arial"/>
                <w:b/>
                <w:color w:val="000000" w:themeColor="text1"/>
                <w:sz w:val="20"/>
              </w:rPr>
              <w:t>,</w:t>
            </w:r>
            <w:r w:rsidRPr="00CC6553">
              <w:rPr>
                <w:rFonts w:cs="Arial"/>
                <w:color w:val="000000" w:themeColor="text1"/>
                <w:sz w:val="20"/>
              </w:rPr>
              <w:t xml:space="preserve"> secondary patents are still in place until 2036. Hence, it is uncertain when generic versions of ARNI will enter the market and what their price will be. It </w:t>
            </w:r>
            <w:r w:rsidRPr="00CC6553">
              <w:rPr>
                <w:rFonts w:cs="Arial"/>
                <w:color w:val="000000" w:themeColor="text1"/>
                <w:sz w:val="20"/>
              </w:rPr>
              <w:lastRenderedPageBreak/>
              <w:t xml:space="preserve">is anticipated that, when this occurs, the </w:t>
            </w:r>
            <w:r w:rsidRPr="00CC6553">
              <w:rPr>
                <w:rFonts w:cs="Arial"/>
                <w:bCs/>
                <w:color w:val="000000" w:themeColor="text1"/>
                <w:sz w:val="20"/>
              </w:rPr>
              <w:t xml:space="preserve">guidelines </w:t>
            </w:r>
            <w:r w:rsidRPr="00CC6553">
              <w:rPr>
                <w:rFonts w:cs="Arial"/>
                <w:color w:val="000000" w:themeColor="text1"/>
                <w:sz w:val="20"/>
              </w:rPr>
              <w:t xml:space="preserve">model </w:t>
            </w:r>
            <w:r w:rsidRPr="00CC6553">
              <w:rPr>
                <w:rFonts w:cs="Arial"/>
                <w:bCs/>
                <w:color w:val="000000" w:themeColor="text1"/>
                <w:sz w:val="20"/>
              </w:rPr>
              <w:t xml:space="preserve">will be </w:t>
            </w:r>
            <w:r w:rsidRPr="00CC6553">
              <w:rPr>
                <w:rFonts w:cs="Arial"/>
                <w:color w:val="000000" w:themeColor="text1"/>
                <w:sz w:val="20"/>
              </w:rPr>
              <w:t>re-run with the new prices</w:t>
            </w:r>
            <w:r w:rsidRPr="00CC6553">
              <w:rPr>
                <w:rFonts w:cs="Arial"/>
                <w:bCs/>
                <w:color w:val="000000" w:themeColor="text1"/>
                <w:sz w:val="20"/>
              </w:rPr>
              <w:t xml:space="preserve"> and the recommendations will be updated.</w:t>
            </w:r>
          </w:p>
          <w:p w14:paraId="622985A2" w14:textId="77777777" w:rsidR="00897293" w:rsidRPr="00CC6553" w:rsidRDefault="00897293" w:rsidP="00402D1A">
            <w:pPr>
              <w:rPr>
                <w:rFonts w:cs="Arial"/>
                <w:bCs/>
                <w:color w:val="000000" w:themeColor="text1"/>
                <w:sz w:val="20"/>
              </w:rPr>
            </w:pPr>
          </w:p>
          <w:p w14:paraId="51BF3866" w14:textId="4C46AEED" w:rsidR="00897293" w:rsidRPr="00CC6553" w:rsidRDefault="00897293" w:rsidP="00402D1A">
            <w:pPr>
              <w:rPr>
                <w:rFonts w:cs="Arial"/>
                <w:color w:val="000000" w:themeColor="text1"/>
                <w:sz w:val="20"/>
              </w:rPr>
            </w:pPr>
            <w:r w:rsidRPr="00CC6553">
              <w:rPr>
                <w:rFonts w:cs="Arial"/>
                <w:bCs/>
                <w:color w:val="000000" w:themeColor="text1"/>
                <w:sz w:val="20"/>
              </w:rPr>
              <w:t xml:space="preserve">Overall, the committee agreed that clinical practice varies considerably regarding the point at which a patient may be considered for a device, particularly CRT/CRT-D. Younger patients with a broad LBBB morphology on ECG may receive device therapy early in their treatment pathway and there is no robust evidence to guide clinicians regarding the re-assessment of ejection fraction. Overall, the guideline committee agreed that an impact on device therapy could not be predicted and therefore should not be included in the cost-effective modelling.  </w:t>
            </w:r>
          </w:p>
        </w:tc>
      </w:tr>
      <w:tr w:rsidR="00897293" w:rsidRPr="00CC6553" w14:paraId="6284C917" w14:textId="77777777" w:rsidTr="00897293">
        <w:trPr>
          <w:trHeight w:val="300"/>
        </w:trPr>
        <w:tc>
          <w:tcPr>
            <w:tcW w:w="109" w:type="pct"/>
          </w:tcPr>
          <w:p w14:paraId="443C3CE2"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69</w:t>
            </w:r>
          </w:p>
        </w:tc>
        <w:tc>
          <w:tcPr>
            <w:tcW w:w="143" w:type="pct"/>
          </w:tcPr>
          <w:p w14:paraId="55F87674" w14:textId="0BDBCD3A"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37E51D81" w14:textId="0A5CD442" w:rsidR="00897293" w:rsidRPr="00CC6553" w:rsidRDefault="00897293" w:rsidP="005271BB">
            <w:pPr>
              <w:rPr>
                <w:rFonts w:cs="Arial"/>
                <w:bCs/>
                <w:iCs/>
                <w:color w:val="000000" w:themeColor="text1"/>
                <w:sz w:val="20"/>
              </w:rPr>
            </w:pPr>
            <w:r w:rsidRPr="00CC6553">
              <w:rPr>
                <w:rFonts w:cs="Arial"/>
                <w:color w:val="000000" w:themeColor="text1"/>
                <w:sz w:val="20"/>
              </w:rPr>
              <w:t>British Society for Heart Failure (BSHF)</w:t>
            </w:r>
          </w:p>
        </w:tc>
        <w:tc>
          <w:tcPr>
            <w:tcW w:w="279" w:type="pct"/>
          </w:tcPr>
          <w:p w14:paraId="6BA99DC6" w14:textId="2647A592"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6516B2CF" w14:textId="25A7915B"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32D68F09" w14:textId="28801631" w:rsidR="00897293" w:rsidRPr="00CC6553" w:rsidRDefault="00897293" w:rsidP="005271BB">
            <w:pPr>
              <w:rPr>
                <w:rFonts w:cs="Arial"/>
                <w:color w:val="000000" w:themeColor="text1"/>
                <w:sz w:val="20"/>
              </w:rPr>
            </w:pPr>
            <w:r w:rsidRPr="00CC6553">
              <w:rPr>
                <w:rFonts w:cs="Arial"/>
                <w:color w:val="000000" w:themeColor="text1"/>
                <w:sz w:val="20"/>
              </w:rPr>
              <w:t>001</w:t>
            </w:r>
          </w:p>
        </w:tc>
        <w:tc>
          <w:tcPr>
            <w:tcW w:w="1521" w:type="pct"/>
          </w:tcPr>
          <w:p w14:paraId="6C3A0BF5" w14:textId="57B57004" w:rsidR="00897293" w:rsidRPr="00CC6553" w:rsidRDefault="00897293" w:rsidP="005271BB">
            <w:pPr>
              <w:rPr>
                <w:rFonts w:cs="Arial"/>
                <w:color w:val="000000" w:themeColor="text1"/>
                <w:sz w:val="20"/>
              </w:rPr>
            </w:pPr>
            <w:r w:rsidRPr="00CC6553">
              <w:rPr>
                <w:rFonts w:cs="Arial"/>
                <w:color w:val="000000" w:themeColor="text1"/>
                <w:sz w:val="20"/>
              </w:rPr>
              <w:t>Switching people to ARNI only when they have reached max tolerated doses of 4 pillars (or are intolerant of ACE-I) will lead to additional appointments with heart failure teams (and bloods for renal function). It would be good to know if that was included the economic modelling? As well as the cost implications, this also negatively impacts on waiting times for specialist review and monitoring (and the associated risks and costs that come along with that) making other welcome criteria within the guidance much more challenging to achieve.</w:t>
            </w:r>
          </w:p>
        </w:tc>
        <w:tc>
          <w:tcPr>
            <w:tcW w:w="2122" w:type="pct"/>
          </w:tcPr>
          <w:p w14:paraId="32E1FF93" w14:textId="77777777" w:rsidR="00897293" w:rsidRPr="00CC6553" w:rsidRDefault="00897293" w:rsidP="003E05B9">
            <w:pPr>
              <w:pStyle w:val="Heading1"/>
              <w:rPr>
                <w:rFonts w:cs="Arial"/>
                <w:b w:val="0"/>
                <w:color w:val="000000" w:themeColor="text1"/>
                <w:sz w:val="20"/>
              </w:rPr>
            </w:pPr>
            <w:r w:rsidRPr="00CC6553">
              <w:rPr>
                <w:rFonts w:cs="Arial"/>
                <w:b w:val="0"/>
                <w:color w:val="000000" w:themeColor="text1"/>
                <w:sz w:val="20"/>
              </w:rPr>
              <w:t xml:space="preserve">Thank you for your comment. </w:t>
            </w:r>
            <w:r w:rsidRPr="00CC6553">
              <w:rPr>
                <w:rFonts w:cs="Arial"/>
                <w:b w:val="0"/>
                <w:color w:val="000000" w:themeColor="text1"/>
                <w:sz w:val="20"/>
              </w:rPr>
              <w:br/>
            </w:r>
          </w:p>
          <w:p w14:paraId="5885EFD4" w14:textId="0D8AEF9B" w:rsidR="00897293" w:rsidRPr="00CC6553" w:rsidRDefault="00897293" w:rsidP="00453647">
            <w:pPr>
              <w:rPr>
                <w:rFonts w:cs="Arial"/>
                <w:color w:val="000000" w:themeColor="text1"/>
                <w:sz w:val="20"/>
              </w:rPr>
            </w:pPr>
            <w:r w:rsidRPr="00CC6553">
              <w:rPr>
                <w:rFonts w:cs="Arial"/>
                <w:color w:val="000000" w:themeColor="text1"/>
                <w:sz w:val="20"/>
              </w:rPr>
              <w:t>The economic model accounted for the higher number of visits and blood tests required for optimising people starting on ACEI and being switched to ARNI. Even after adding these costs, early ARNI was not found to be cost-effective in people who can tolerate ACEI.</w:t>
            </w:r>
          </w:p>
          <w:p w14:paraId="09E99EFB" w14:textId="5F15205C" w:rsidR="00897293" w:rsidRPr="00CC6553" w:rsidRDefault="00897293" w:rsidP="005F299E">
            <w:pPr>
              <w:rPr>
                <w:rFonts w:cs="Arial"/>
                <w:b/>
                <w:color w:val="000000" w:themeColor="text1"/>
                <w:sz w:val="20"/>
              </w:rPr>
            </w:pPr>
            <w:r w:rsidRPr="00CC6553">
              <w:rPr>
                <w:rFonts w:cs="Arial"/>
                <w:color w:val="000000" w:themeColor="text1"/>
                <w:sz w:val="20"/>
              </w:rPr>
              <w:lastRenderedPageBreak/>
              <w:t xml:space="preserve">This may change in future updates if the price of ARNI is reduced.    </w:t>
            </w:r>
          </w:p>
        </w:tc>
      </w:tr>
      <w:tr w:rsidR="00897293" w:rsidRPr="00CC6553" w14:paraId="039F19E4" w14:textId="77777777" w:rsidTr="00897293">
        <w:trPr>
          <w:trHeight w:val="300"/>
        </w:trPr>
        <w:tc>
          <w:tcPr>
            <w:tcW w:w="109" w:type="pct"/>
          </w:tcPr>
          <w:p w14:paraId="1B236341"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70</w:t>
            </w:r>
          </w:p>
        </w:tc>
        <w:tc>
          <w:tcPr>
            <w:tcW w:w="143" w:type="pct"/>
          </w:tcPr>
          <w:p w14:paraId="37A37DAB" w14:textId="37A77737"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1618E6C9" w14:textId="2E9557C4" w:rsidR="00897293" w:rsidRPr="00CC6553" w:rsidRDefault="00897293" w:rsidP="005271BB">
            <w:pPr>
              <w:rPr>
                <w:rFonts w:cs="Arial"/>
                <w:bCs/>
                <w:iCs/>
                <w:color w:val="000000" w:themeColor="text1"/>
                <w:sz w:val="20"/>
              </w:rPr>
            </w:pPr>
            <w:r w:rsidRPr="00CC6553">
              <w:rPr>
                <w:rFonts w:cs="Arial"/>
                <w:color w:val="000000" w:themeColor="text1"/>
                <w:sz w:val="20"/>
              </w:rPr>
              <w:t>British Society for Heart Failure (BSHF)</w:t>
            </w:r>
          </w:p>
        </w:tc>
        <w:tc>
          <w:tcPr>
            <w:tcW w:w="279" w:type="pct"/>
          </w:tcPr>
          <w:p w14:paraId="545A6271" w14:textId="3254CB6D"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2A7F7673" w14:textId="7A0CEA8A"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76EFD4BE" w14:textId="5C8E9715" w:rsidR="00897293" w:rsidRPr="00CC6553" w:rsidRDefault="00897293" w:rsidP="005271BB">
            <w:pPr>
              <w:rPr>
                <w:rFonts w:cs="Arial"/>
                <w:color w:val="000000" w:themeColor="text1"/>
                <w:sz w:val="20"/>
              </w:rPr>
            </w:pPr>
            <w:r w:rsidRPr="00CC6553">
              <w:rPr>
                <w:rFonts w:cs="Arial"/>
                <w:color w:val="000000" w:themeColor="text1"/>
                <w:sz w:val="20"/>
              </w:rPr>
              <w:t>001</w:t>
            </w:r>
          </w:p>
        </w:tc>
        <w:tc>
          <w:tcPr>
            <w:tcW w:w="1521" w:type="pct"/>
          </w:tcPr>
          <w:p w14:paraId="69C17B5A" w14:textId="6697295C" w:rsidR="00897293" w:rsidRPr="00CC6553" w:rsidRDefault="00897293" w:rsidP="005271BB">
            <w:pPr>
              <w:rPr>
                <w:rFonts w:cs="Arial"/>
                <w:color w:val="000000" w:themeColor="text1"/>
                <w:sz w:val="20"/>
              </w:rPr>
            </w:pPr>
            <w:r w:rsidRPr="00CC6553">
              <w:rPr>
                <w:rFonts w:cs="Arial"/>
                <w:color w:val="000000" w:themeColor="text1"/>
                <w:sz w:val="20"/>
              </w:rPr>
              <w:t>A shame that de novo ARNI not considered. It’s a waste of time and negatively impactful not to mention increasing service pressures on switching etc and blood tests.</w:t>
            </w:r>
          </w:p>
        </w:tc>
        <w:tc>
          <w:tcPr>
            <w:tcW w:w="2122" w:type="pct"/>
          </w:tcPr>
          <w:p w14:paraId="19F7819F" w14:textId="77777777"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 xml:space="preserve">Thank you for your comment. </w:t>
            </w:r>
          </w:p>
          <w:p w14:paraId="78C1B3B0" w14:textId="77777777" w:rsidR="00897293" w:rsidRPr="00CC6553" w:rsidRDefault="00897293" w:rsidP="005271BB">
            <w:pPr>
              <w:pStyle w:val="Heading1"/>
              <w:rPr>
                <w:rFonts w:cs="Arial"/>
                <w:b w:val="0"/>
                <w:color w:val="000000" w:themeColor="text1"/>
                <w:sz w:val="20"/>
              </w:rPr>
            </w:pPr>
          </w:p>
          <w:p w14:paraId="64B6E226" w14:textId="488742BC" w:rsidR="00897293" w:rsidRPr="00CC6553" w:rsidRDefault="00897293" w:rsidP="005F299E">
            <w:pPr>
              <w:pStyle w:val="Heading1"/>
              <w:rPr>
                <w:rFonts w:cs="Arial"/>
                <w:b w:val="0"/>
                <w:color w:val="000000" w:themeColor="text1"/>
                <w:sz w:val="20"/>
              </w:rPr>
            </w:pPr>
            <w:r w:rsidRPr="00CC6553">
              <w:rPr>
                <w:rFonts w:cs="Arial"/>
                <w:b w:val="0"/>
                <w:color w:val="000000" w:themeColor="text1"/>
                <w:sz w:val="20"/>
              </w:rPr>
              <w:t>The economic model accounted for the higher number of visits and blood tests required for optimising people starting on ACEI and being switched to ARNI. Even after adding these costs, early ARNI was not found to be cost-effective in people who can tolerate ACEI.</w:t>
            </w:r>
          </w:p>
          <w:p w14:paraId="3EA60F20" w14:textId="570EBFB8"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 xml:space="preserve">This may change in future updates if the price of ARNI is reduced.    </w:t>
            </w:r>
          </w:p>
        </w:tc>
      </w:tr>
      <w:tr w:rsidR="00897293" w:rsidRPr="00CC6553" w14:paraId="7803FBAF" w14:textId="77777777" w:rsidTr="00897293">
        <w:trPr>
          <w:trHeight w:val="300"/>
        </w:trPr>
        <w:tc>
          <w:tcPr>
            <w:tcW w:w="109" w:type="pct"/>
          </w:tcPr>
          <w:p w14:paraId="09B0FC73" w14:textId="77777777" w:rsidR="00897293" w:rsidRPr="00CC6553" w:rsidRDefault="00897293" w:rsidP="005271BB">
            <w:pPr>
              <w:rPr>
                <w:rFonts w:cs="Arial"/>
                <w:color w:val="000000" w:themeColor="text1"/>
                <w:sz w:val="20"/>
              </w:rPr>
            </w:pPr>
            <w:r w:rsidRPr="00CC6553">
              <w:rPr>
                <w:rFonts w:cs="Arial"/>
                <w:color w:val="000000" w:themeColor="text1"/>
                <w:sz w:val="20"/>
              </w:rPr>
              <w:t>71</w:t>
            </w:r>
          </w:p>
        </w:tc>
        <w:tc>
          <w:tcPr>
            <w:tcW w:w="143" w:type="pct"/>
          </w:tcPr>
          <w:p w14:paraId="65D1793A" w14:textId="6D8AD8FC"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3024A1C7" w14:textId="02B31CBC" w:rsidR="00897293" w:rsidRPr="00CC6553" w:rsidRDefault="00897293" w:rsidP="005271BB">
            <w:pPr>
              <w:rPr>
                <w:rFonts w:cs="Arial"/>
                <w:bCs/>
                <w:iCs/>
                <w:color w:val="000000" w:themeColor="text1"/>
                <w:sz w:val="20"/>
              </w:rPr>
            </w:pPr>
            <w:r w:rsidRPr="00CC6553">
              <w:rPr>
                <w:rFonts w:cs="Arial"/>
                <w:color w:val="000000" w:themeColor="text1"/>
                <w:sz w:val="20"/>
              </w:rPr>
              <w:t>British Society for Heart Failure (BSHF)</w:t>
            </w:r>
          </w:p>
        </w:tc>
        <w:tc>
          <w:tcPr>
            <w:tcW w:w="279" w:type="pct"/>
          </w:tcPr>
          <w:p w14:paraId="085F24DD" w14:textId="2C61FC0A"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4515F665" w14:textId="460ED7C3"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769A5ECC" w14:textId="4278334C" w:rsidR="00897293" w:rsidRPr="00CC6553" w:rsidRDefault="00897293" w:rsidP="005271BB">
            <w:pPr>
              <w:rPr>
                <w:rFonts w:cs="Arial"/>
                <w:color w:val="000000" w:themeColor="text1"/>
                <w:sz w:val="20"/>
              </w:rPr>
            </w:pPr>
            <w:r w:rsidRPr="00CC6553">
              <w:rPr>
                <w:rFonts w:cs="Arial"/>
                <w:color w:val="000000" w:themeColor="text1"/>
                <w:sz w:val="20"/>
              </w:rPr>
              <w:t>001</w:t>
            </w:r>
          </w:p>
        </w:tc>
        <w:tc>
          <w:tcPr>
            <w:tcW w:w="1521" w:type="pct"/>
          </w:tcPr>
          <w:p w14:paraId="1B33BDB6" w14:textId="1854D430" w:rsidR="00897293" w:rsidRPr="00CC6553" w:rsidRDefault="00897293" w:rsidP="005271BB">
            <w:pPr>
              <w:rPr>
                <w:rFonts w:cs="Arial"/>
                <w:color w:val="000000" w:themeColor="text1"/>
                <w:sz w:val="20"/>
              </w:rPr>
            </w:pPr>
            <w:r w:rsidRPr="00CC6553">
              <w:rPr>
                <w:rFonts w:cs="Arial"/>
                <w:color w:val="000000" w:themeColor="text1"/>
                <w:sz w:val="20"/>
              </w:rPr>
              <w:t>Given that we try to make every consult count with patients, would have liked to see ARNI up front in HFrEF given clear evidence for better outcomes compared with ACEI</w:t>
            </w:r>
          </w:p>
        </w:tc>
        <w:tc>
          <w:tcPr>
            <w:tcW w:w="2122" w:type="pct"/>
          </w:tcPr>
          <w:p w14:paraId="2B019D80" w14:textId="19DD26D3"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 Although the benefits of ARNI are recognised, the recommendation was made taking into the cost-effectiveness as well as clinical effectiveness analysis. Even in the more favourable scenarios for ARNI, at current prices, the economic modelling found it not cost-effective in people who can tolerate ACEI.</w:t>
            </w:r>
          </w:p>
        </w:tc>
      </w:tr>
      <w:tr w:rsidR="00897293" w:rsidRPr="00CC6553" w14:paraId="5B9362CF" w14:textId="77777777" w:rsidTr="00897293">
        <w:trPr>
          <w:trHeight w:val="300"/>
        </w:trPr>
        <w:tc>
          <w:tcPr>
            <w:tcW w:w="109" w:type="pct"/>
          </w:tcPr>
          <w:p w14:paraId="4BDB4DA7" w14:textId="77777777" w:rsidR="00897293" w:rsidRPr="00CC6553" w:rsidRDefault="00897293" w:rsidP="005271BB">
            <w:pPr>
              <w:rPr>
                <w:rFonts w:cs="Arial"/>
                <w:color w:val="000000" w:themeColor="text1"/>
                <w:sz w:val="20"/>
              </w:rPr>
            </w:pPr>
            <w:r w:rsidRPr="00CC6553">
              <w:rPr>
                <w:rFonts w:cs="Arial"/>
                <w:color w:val="000000" w:themeColor="text1"/>
                <w:sz w:val="20"/>
              </w:rPr>
              <w:t>72</w:t>
            </w:r>
          </w:p>
        </w:tc>
        <w:tc>
          <w:tcPr>
            <w:tcW w:w="143" w:type="pct"/>
          </w:tcPr>
          <w:p w14:paraId="373EDADB" w14:textId="095CE64B"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015EDF93" w14:textId="4BFB8F35" w:rsidR="00897293" w:rsidRPr="00CC6553" w:rsidRDefault="00897293" w:rsidP="005271BB">
            <w:pPr>
              <w:rPr>
                <w:rFonts w:cs="Arial"/>
                <w:bCs/>
                <w:iCs/>
                <w:color w:val="000000" w:themeColor="text1"/>
                <w:sz w:val="20"/>
              </w:rPr>
            </w:pPr>
            <w:r w:rsidRPr="00CC6553">
              <w:rPr>
                <w:rFonts w:cs="Arial"/>
                <w:color w:val="000000" w:themeColor="text1"/>
                <w:sz w:val="20"/>
              </w:rPr>
              <w:t>Pumping Marvellous Foundation</w:t>
            </w:r>
          </w:p>
        </w:tc>
        <w:tc>
          <w:tcPr>
            <w:tcW w:w="279" w:type="pct"/>
          </w:tcPr>
          <w:p w14:paraId="2FB3BFFA" w14:textId="0CB1B46E"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1DD8AECB" w14:textId="1863A114"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1CB65FFA" w14:textId="412729D3" w:rsidR="00897293" w:rsidRPr="00CC6553" w:rsidRDefault="00897293" w:rsidP="005271BB">
            <w:pPr>
              <w:rPr>
                <w:rFonts w:cs="Arial"/>
                <w:color w:val="000000" w:themeColor="text1"/>
                <w:sz w:val="20"/>
              </w:rPr>
            </w:pPr>
            <w:r w:rsidRPr="00CC6553">
              <w:rPr>
                <w:rFonts w:cs="Arial"/>
                <w:color w:val="000000" w:themeColor="text1"/>
                <w:sz w:val="20"/>
              </w:rPr>
              <w:t>001</w:t>
            </w:r>
          </w:p>
        </w:tc>
        <w:tc>
          <w:tcPr>
            <w:tcW w:w="1521" w:type="pct"/>
          </w:tcPr>
          <w:p w14:paraId="1B8CBAD3" w14:textId="167C47EA" w:rsidR="00897293" w:rsidRPr="00CC6553" w:rsidRDefault="00897293" w:rsidP="005271BB">
            <w:pPr>
              <w:rPr>
                <w:rFonts w:cs="Arial"/>
                <w:color w:val="000000" w:themeColor="text1"/>
                <w:sz w:val="20"/>
              </w:rPr>
            </w:pPr>
            <w:r w:rsidRPr="00CC6553">
              <w:rPr>
                <w:rFonts w:cs="Arial"/>
                <w:color w:val="000000" w:themeColor="text1"/>
                <w:sz w:val="20"/>
              </w:rPr>
              <w:t>Concerned this recommendation implies an ARNI can only be added once on all four pillars. Emphasis on tailored approach though gold standard. Consider possibility of initiating with ARNI (depending on local policy and access) even before all four pillars for reasons as above discussed.</w:t>
            </w:r>
          </w:p>
        </w:tc>
        <w:tc>
          <w:tcPr>
            <w:tcW w:w="2122" w:type="pct"/>
          </w:tcPr>
          <w:p w14:paraId="00E7E6F1" w14:textId="3831AA24"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 xml:space="preserve">Thank you for your comment. Although the benefits of ARNI are recognised, the recommendation was made taking into the cost-effectiveness as well as clinical effectiveness analysis. Even in the more favourable scenarios for ARNI, at current prices, the economic </w:t>
            </w:r>
            <w:r w:rsidRPr="00CC6553">
              <w:rPr>
                <w:rFonts w:cs="Arial"/>
                <w:b w:val="0"/>
                <w:color w:val="000000" w:themeColor="text1"/>
                <w:sz w:val="20"/>
              </w:rPr>
              <w:lastRenderedPageBreak/>
              <w:t>modelling found it not cost-effective in people who can tolerate ACEI.</w:t>
            </w:r>
          </w:p>
        </w:tc>
      </w:tr>
      <w:tr w:rsidR="00897293" w:rsidRPr="00CC6553" w14:paraId="63CEE8DF" w14:textId="77777777" w:rsidTr="00897293">
        <w:trPr>
          <w:trHeight w:val="300"/>
        </w:trPr>
        <w:tc>
          <w:tcPr>
            <w:tcW w:w="109" w:type="pct"/>
          </w:tcPr>
          <w:p w14:paraId="40428AAF"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73</w:t>
            </w:r>
          </w:p>
        </w:tc>
        <w:tc>
          <w:tcPr>
            <w:tcW w:w="143" w:type="pct"/>
          </w:tcPr>
          <w:p w14:paraId="53CF4359" w14:textId="38DFA1B1"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51579D20" w14:textId="764ADA4A"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2933AEC4" w14:textId="30A544AA"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3EC45C63" w14:textId="4F480A4B"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0E190AE0" w14:textId="19BFC59A" w:rsidR="00897293" w:rsidRPr="00CC6553" w:rsidRDefault="00897293" w:rsidP="005271BB">
            <w:pPr>
              <w:rPr>
                <w:rFonts w:cs="Arial"/>
                <w:color w:val="000000" w:themeColor="text1"/>
                <w:sz w:val="20"/>
              </w:rPr>
            </w:pPr>
            <w:r w:rsidRPr="00CC6553">
              <w:rPr>
                <w:rFonts w:cs="Arial"/>
                <w:color w:val="000000" w:themeColor="text1"/>
                <w:sz w:val="20"/>
              </w:rPr>
              <w:t>001</w:t>
            </w:r>
          </w:p>
        </w:tc>
        <w:tc>
          <w:tcPr>
            <w:tcW w:w="1521" w:type="pct"/>
          </w:tcPr>
          <w:p w14:paraId="71C2DCBC" w14:textId="4196F64F" w:rsidR="00897293" w:rsidRPr="00CC6553" w:rsidRDefault="00897293" w:rsidP="005271BB">
            <w:pPr>
              <w:rPr>
                <w:rFonts w:cs="Arial"/>
                <w:color w:val="000000" w:themeColor="text1"/>
                <w:sz w:val="20"/>
              </w:rPr>
            </w:pPr>
            <w:r w:rsidRPr="00CC6553">
              <w:rPr>
                <w:rFonts w:cs="Arial"/>
                <w:color w:val="000000" w:themeColor="text1"/>
                <w:sz w:val="20"/>
              </w:rPr>
              <w:br/>
              <w:t>  Primary care should be enabled to initiate ARNI</w:t>
            </w:r>
            <w:r w:rsidRPr="00CC6553">
              <w:rPr>
                <w:rFonts w:cs="Arial"/>
                <w:color w:val="000000" w:themeColor="text1"/>
                <w:sz w:val="20"/>
              </w:rPr>
              <w:br/>
              <w:t>If EF&lt;35%, patients should go direct to ARNI, rather than trying an ACEI/arb first</w:t>
            </w:r>
            <w:r w:rsidRPr="00CC6553">
              <w:rPr>
                <w:rFonts w:cs="Arial"/>
                <w:color w:val="000000" w:themeColor="text1"/>
                <w:sz w:val="20"/>
              </w:rPr>
              <w:br/>
            </w:r>
          </w:p>
        </w:tc>
        <w:tc>
          <w:tcPr>
            <w:tcW w:w="2122" w:type="pct"/>
          </w:tcPr>
          <w:p w14:paraId="5B9AFC53" w14:textId="7F699CBB"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 Although the benefits of ARNI are recognised, the recommendation was made taking into the cost-effectiveness as well as clinical effectiveness analysis. Even in the more favourable scenarios for ARNI, at current prices, the economic modelling found it not cost-effective in people who can tolerate ACEI.</w:t>
            </w:r>
          </w:p>
        </w:tc>
      </w:tr>
      <w:tr w:rsidR="00897293" w:rsidRPr="00CC6553" w14:paraId="43F2E994" w14:textId="77777777" w:rsidTr="00897293">
        <w:trPr>
          <w:trHeight w:val="300"/>
        </w:trPr>
        <w:tc>
          <w:tcPr>
            <w:tcW w:w="109" w:type="pct"/>
          </w:tcPr>
          <w:p w14:paraId="13C8A25C" w14:textId="77777777" w:rsidR="00897293" w:rsidRPr="00CC6553" w:rsidRDefault="00897293" w:rsidP="005271BB">
            <w:pPr>
              <w:rPr>
                <w:rFonts w:cs="Arial"/>
                <w:color w:val="000000" w:themeColor="text1"/>
                <w:sz w:val="20"/>
              </w:rPr>
            </w:pPr>
            <w:r w:rsidRPr="00CC6553">
              <w:rPr>
                <w:rFonts w:cs="Arial"/>
                <w:color w:val="000000" w:themeColor="text1"/>
                <w:sz w:val="20"/>
              </w:rPr>
              <w:t>74</w:t>
            </w:r>
          </w:p>
        </w:tc>
        <w:tc>
          <w:tcPr>
            <w:tcW w:w="143" w:type="pct"/>
          </w:tcPr>
          <w:p w14:paraId="130953C1" w14:textId="0E5B30E4"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67DECCA8" w14:textId="10A9E47E" w:rsidR="00897293" w:rsidRPr="00CC6553" w:rsidRDefault="00897293" w:rsidP="005271BB">
            <w:pPr>
              <w:rPr>
                <w:rFonts w:cs="Arial"/>
                <w:bCs/>
                <w:iCs/>
                <w:color w:val="000000" w:themeColor="text1"/>
                <w:sz w:val="20"/>
              </w:rPr>
            </w:pPr>
            <w:r w:rsidRPr="00CC6553">
              <w:rPr>
                <w:rFonts w:cs="Arial"/>
                <w:color w:val="000000" w:themeColor="text1"/>
                <w:sz w:val="20"/>
              </w:rPr>
              <w:t>British Geriatrics Society</w:t>
            </w:r>
          </w:p>
        </w:tc>
        <w:tc>
          <w:tcPr>
            <w:tcW w:w="279" w:type="pct"/>
          </w:tcPr>
          <w:p w14:paraId="695E360D" w14:textId="59FEC248"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5E4C7593" w14:textId="1D701BC0"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364774F9" w14:textId="70E55530" w:rsidR="00897293" w:rsidRPr="00CC6553" w:rsidRDefault="00897293" w:rsidP="005271BB">
            <w:pPr>
              <w:rPr>
                <w:rFonts w:cs="Arial"/>
                <w:color w:val="000000" w:themeColor="text1"/>
                <w:sz w:val="20"/>
              </w:rPr>
            </w:pPr>
            <w:r w:rsidRPr="00CC6553">
              <w:rPr>
                <w:rFonts w:cs="Arial"/>
                <w:color w:val="000000" w:themeColor="text1"/>
                <w:sz w:val="20"/>
              </w:rPr>
              <w:t>001 - 003</w:t>
            </w:r>
          </w:p>
        </w:tc>
        <w:tc>
          <w:tcPr>
            <w:tcW w:w="1521" w:type="pct"/>
          </w:tcPr>
          <w:p w14:paraId="6E5F55DC" w14:textId="2901F45F" w:rsidR="00897293" w:rsidRPr="00CC6553" w:rsidRDefault="00897293" w:rsidP="005271BB">
            <w:pPr>
              <w:rPr>
                <w:rFonts w:cs="Arial"/>
                <w:color w:val="000000" w:themeColor="text1"/>
                <w:sz w:val="20"/>
              </w:rPr>
            </w:pPr>
            <w:r w:rsidRPr="00CC6553">
              <w:rPr>
                <w:rFonts w:cs="Arial"/>
                <w:color w:val="000000" w:themeColor="text1"/>
                <w:sz w:val="20"/>
              </w:rPr>
              <w:t>Rec 1.4.2: The recommendation to give ARNI only to those patients with HFrEF who continue to experience symptoms on “maximum tolerated doses of each of the 4 medicines” is not consistent with ESC guidance, findings from several trials or with existing practice across many HF services. ARNI has proven superiority and waiting weeks to months for patients to be optimised may be detrimental to a patient who could be optimised on ARNI at the start of their treatment</w:t>
            </w:r>
          </w:p>
        </w:tc>
        <w:tc>
          <w:tcPr>
            <w:tcW w:w="2122" w:type="pct"/>
          </w:tcPr>
          <w:p w14:paraId="5A6DDE38" w14:textId="73F7F16D"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 Although the benefits of ARNI are recognised, the recommendation was made taking into the cost-effectiveness as well as clinical effectiveness analysis. Even in the more favourable scenarios for ARNI, at current prices, the economic modelling found it not cost-effective in people who can tolerate ACEI.</w:t>
            </w:r>
          </w:p>
        </w:tc>
      </w:tr>
      <w:tr w:rsidR="00897293" w:rsidRPr="00CC6553" w14:paraId="114A29DC" w14:textId="77777777" w:rsidTr="00897293">
        <w:trPr>
          <w:trHeight w:val="300"/>
        </w:trPr>
        <w:tc>
          <w:tcPr>
            <w:tcW w:w="109" w:type="pct"/>
          </w:tcPr>
          <w:p w14:paraId="58F7A76F" w14:textId="77777777" w:rsidR="00897293" w:rsidRPr="00CC6553" w:rsidRDefault="00897293" w:rsidP="005271BB">
            <w:pPr>
              <w:rPr>
                <w:rFonts w:cs="Arial"/>
                <w:color w:val="000000" w:themeColor="text1"/>
                <w:sz w:val="20"/>
              </w:rPr>
            </w:pPr>
            <w:r w:rsidRPr="00CC6553">
              <w:rPr>
                <w:rFonts w:cs="Arial"/>
                <w:color w:val="000000" w:themeColor="text1"/>
                <w:sz w:val="20"/>
              </w:rPr>
              <w:t>75</w:t>
            </w:r>
          </w:p>
        </w:tc>
        <w:tc>
          <w:tcPr>
            <w:tcW w:w="143" w:type="pct"/>
          </w:tcPr>
          <w:p w14:paraId="2FDF30E8" w14:textId="4B08A392"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2063F71F" w14:textId="257807AF" w:rsidR="00897293" w:rsidRPr="00CC6553" w:rsidRDefault="00897293" w:rsidP="005271BB">
            <w:pPr>
              <w:rPr>
                <w:rFonts w:cs="Arial"/>
                <w:bCs/>
                <w:iCs/>
                <w:color w:val="000000" w:themeColor="text1"/>
                <w:sz w:val="20"/>
              </w:rPr>
            </w:pPr>
            <w:r w:rsidRPr="00CC6553">
              <w:rPr>
                <w:rFonts w:cs="Arial"/>
                <w:color w:val="000000" w:themeColor="text1"/>
                <w:sz w:val="20"/>
              </w:rPr>
              <w:t>University Hospital Southampton NHS Foundation Trust</w:t>
            </w:r>
          </w:p>
        </w:tc>
        <w:tc>
          <w:tcPr>
            <w:tcW w:w="279" w:type="pct"/>
          </w:tcPr>
          <w:p w14:paraId="360C14A3" w14:textId="08CB90C8"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088089C9" w14:textId="047DF1B9"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46328BF5" w14:textId="6EAEE7FF" w:rsidR="00897293" w:rsidRPr="00CC6553" w:rsidRDefault="00897293" w:rsidP="005271BB">
            <w:pPr>
              <w:rPr>
                <w:rFonts w:cs="Arial"/>
                <w:color w:val="000000" w:themeColor="text1"/>
                <w:sz w:val="20"/>
              </w:rPr>
            </w:pPr>
            <w:r w:rsidRPr="00CC6553">
              <w:rPr>
                <w:rFonts w:cs="Arial"/>
                <w:color w:val="000000" w:themeColor="text1"/>
                <w:sz w:val="20"/>
              </w:rPr>
              <w:t>001 - 003</w:t>
            </w:r>
          </w:p>
        </w:tc>
        <w:tc>
          <w:tcPr>
            <w:tcW w:w="1521" w:type="pct"/>
          </w:tcPr>
          <w:p w14:paraId="1C3008BA" w14:textId="60AF70D1" w:rsidR="00897293" w:rsidRPr="00CC6553" w:rsidRDefault="00897293" w:rsidP="005271BB">
            <w:pPr>
              <w:rPr>
                <w:rFonts w:cs="Arial"/>
                <w:color w:val="000000" w:themeColor="text1"/>
                <w:sz w:val="20"/>
              </w:rPr>
            </w:pPr>
            <w:r w:rsidRPr="00CC6553">
              <w:rPr>
                <w:rFonts w:cs="Arial"/>
                <w:color w:val="000000" w:themeColor="text1"/>
                <w:sz w:val="20"/>
              </w:rPr>
              <w:t>We are concerned that the guideline recommends only considering switching ACEi to ARNI in the context of ongoing symptoms. Whilst we recognise the details in the evidence review regarding the predominant effect on symptoms, in clincal practice we are concerned that there will be a focus on referring frail, elderly patients for consideration of conversion and ignoring young patients with severe LV impairment and minimal symptom burden, who are both more likely to tolerate the conversion and more likely to derive the proven benefits related to slowing progression of heart failure and reduction in sudden cardiac death.</w:t>
            </w:r>
          </w:p>
        </w:tc>
        <w:tc>
          <w:tcPr>
            <w:tcW w:w="2122" w:type="pct"/>
          </w:tcPr>
          <w:p w14:paraId="79CB8F6C" w14:textId="1D0E3C44"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  A recommendation on tailoring treatment in section 1.7 recommends that the choice of specific medicines is based on the person’s medical history, frailty (which has been added), prognosis and preferences.  This would include consideration of the factors you have identified.</w:t>
            </w:r>
          </w:p>
        </w:tc>
      </w:tr>
      <w:tr w:rsidR="00897293" w:rsidRPr="00CC6553" w14:paraId="714D8406" w14:textId="77777777" w:rsidTr="00897293">
        <w:trPr>
          <w:trHeight w:val="300"/>
        </w:trPr>
        <w:tc>
          <w:tcPr>
            <w:tcW w:w="109" w:type="pct"/>
          </w:tcPr>
          <w:p w14:paraId="653487B4"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76</w:t>
            </w:r>
          </w:p>
        </w:tc>
        <w:tc>
          <w:tcPr>
            <w:tcW w:w="143" w:type="pct"/>
          </w:tcPr>
          <w:p w14:paraId="2B46F9BB" w14:textId="77342C3A"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5CE73FA4" w14:textId="2791A3E9" w:rsidR="00897293" w:rsidRPr="00CC6553" w:rsidRDefault="00897293" w:rsidP="005271BB">
            <w:pPr>
              <w:rPr>
                <w:rFonts w:cs="Arial"/>
                <w:bCs/>
                <w:iCs/>
                <w:color w:val="000000" w:themeColor="text1"/>
                <w:sz w:val="20"/>
              </w:rPr>
            </w:pPr>
            <w:r w:rsidRPr="00CC6553">
              <w:rPr>
                <w:rFonts w:cs="Arial"/>
                <w:color w:val="000000" w:themeColor="text1"/>
                <w:sz w:val="20"/>
              </w:rPr>
              <w:t>Pumping Marvellous Foundation</w:t>
            </w:r>
          </w:p>
        </w:tc>
        <w:tc>
          <w:tcPr>
            <w:tcW w:w="279" w:type="pct"/>
          </w:tcPr>
          <w:p w14:paraId="2E816613" w14:textId="1949D86B"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3535A52B" w14:textId="4100523E"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660E3A49" w14:textId="445FF867" w:rsidR="00897293" w:rsidRPr="00CC6553" w:rsidRDefault="00897293" w:rsidP="005271BB">
            <w:pPr>
              <w:rPr>
                <w:rFonts w:cs="Arial"/>
                <w:color w:val="000000" w:themeColor="text1"/>
                <w:sz w:val="20"/>
              </w:rPr>
            </w:pPr>
            <w:r w:rsidRPr="00CC6553">
              <w:rPr>
                <w:rFonts w:cs="Arial"/>
                <w:color w:val="000000" w:themeColor="text1"/>
                <w:sz w:val="20"/>
              </w:rPr>
              <w:t>011 - 003</w:t>
            </w:r>
          </w:p>
        </w:tc>
        <w:tc>
          <w:tcPr>
            <w:tcW w:w="1521" w:type="pct"/>
          </w:tcPr>
          <w:p w14:paraId="4ADEF04A" w14:textId="30C96621" w:rsidR="00897293" w:rsidRPr="00CC6553" w:rsidRDefault="00897293" w:rsidP="005271BB">
            <w:pPr>
              <w:rPr>
                <w:rFonts w:cs="Arial"/>
                <w:color w:val="000000" w:themeColor="text1"/>
                <w:sz w:val="20"/>
              </w:rPr>
            </w:pPr>
            <w:r w:rsidRPr="00CC6553">
              <w:rPr>
                <w:rFonts w:cs="Arial"/>
                <w:color w:val="000000" w:themeColor="text1"/>
                <w:sz w:val="20"/>
              </w:rPr>
              <w:t>Evidence aligns with FAIR-HF, AFFIRM-AHF and IRONMAN. Access to TSATs may vary regionally, leading to under identification. Need clarity on referral pathway for IV iron. Who is responsible for safe prescribing and administration of IV iron (secondary vs primary care).</w:t>
            </w:r>
          </w:p>
        </w:tc>
        <w:tc>
          <w:tcPr>
            <w:tcW w:w="2122" w:type="pct"/>
          </w:tcPr>
          <w:p w14:paraId="65B524B1" w14:textId="211954F9"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  The committee agreed that referral pathways would have to be decided locally including who is responsible for prescribing and administrating IV iron.</w:t>
            </w:r>
          </w:p>
        </w:tc>
      </w:tr>
      <w:tr w:rsidR="00897293" w:rsidRPr="00CC6553" w14:paraId="629618E3" w14:textId="77777777" w:rsidTr="00897293">
        <w:trPr>
          <w:trHeight w:val="300"/>
        </w:trPr>
        <w:tc>
          <w:tcPr>
            <w:tcW w:w="109" w:type="pct"/>
          </w:tcPr>
          <w:p w14:paraId="45CEBF55" w14:textId="77777777" w:rsidR="00897293" w:rsidRPr="00CC6553" w:rsidRDefault="00897293" w:rsidP="005271BB">
            <w:pPr>
              <w:rPr>
                <w:rFonts w:cs="Arial"/>
                <w:color w:val="000000" w:themeColor="text1"/>
                <w:sz w:val="20"/>
              </w:rPr>
            </w:pPr>
            <w:r w:rsidRPr="00CC6553">
              <w:rPr>
                <w:rFonts w:cs="Arial"/>
                <w:color w:val="000000" w:themeColor="text1"/>
                <w:sz w:val="20"/>
              </w:rPr>
              <w:t>77</w:t>
            </w:r>
          </w:p>
        </w:tc>
        <w:tc>
          <w:tcPr>
            <w:tcW w:w="143" w:type="pct"/>
          </w:tcPr>
          <w:p w14:paraId="278F021D" w14:textId="395FCA3E"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3450CB08" w14:textId="2ADE8697"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1A89CA19" w14:textId="35DE0F12"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331AF2E8" w14:textId="22F4F291"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2BE56F3F" w14:textId="2A0A7407" w:rsidR="00897293" w:rsidRPr="00CC6553" w:rsidRDefault="00897293" w:rsidP="005271BB">
            <w:pPr>
              <w:rPr>
                <w:rFonts w:cs="Arial"/>
                <w:color w:val="000000" w:themeColor="text1"/>
                <w:sz w:val="20"/>
              </w:rPr>
            </w:pPr>
            <w:r w:rsidRPr="00CC6553">
              <w:rPr>
                <w:rFonts w:cs="Arial"/>
                <w:color w:val="000000" w:themeColor="text1"/>
                <w:sz w:val="20"/>
              </w:rPr>
              <w:t>005</w:t>
            </w:r>
          </w:p>
        </w:tc>
        <w:tc>
          <w:tcPr>
            <w:tcW w:w="1521" w:type="pct"/>
          </w:tcPr>
          <w:p w14:paraId="1BE989DF" w14:textId="6E11F1BA" w:rsidR="00897293" w:rsidRPr="00CC6553" w:rsidRDefault="00897293" w:rsidP="005271BB">
            <w:pPr>
              <w:rPr>
                <w:rFonts w:cs="Arial"/>
                <w:color w:val="000000" w:themeColor="text1"/>
                <w:sz w:val="20"/>
              </w:rPr>
            </w:pPr>
            <w:r w:rsidRPr="00CC6553">
              <w:rPr>
                <w:rFonts w:cs="Arial"/>
                <w:color w:val="000000" w:themeColor="text1"/>
                <w:sz w:val="20"/>
              </w:rPr>
              <w:t>Wording not clear enough and open to misinterpretation. Perhaps better reword as If people with chronic HF with reduced EF cannot tolerate an ACE inhibitor, unless this is due to angioedema, offer an ARNI instead of ACEi and also offer betablocker, MRA and SGLT2i</w:t>
            </w:r>
            <w:r w:rsidRPr="00CC6553">
              <w:rPr>
                <w:rFonts w:cs="Arial"/>
                <w:color w:val="000000" w:themeColor="text1"/>
                <w:sz w:val="20"/>
              </w:rPr>
              <w:br/>
              <w:t>Potassium Binders – there is no mention of the role of potassium binders (which have NICE TA recommendation) for people who experiencing hyperkalemia that precludes them from being treated with prognostically beneficial RAASi therapies.</w:t>
            </w:r>
            <w:r w:rsidRPr="00CC6553">
              <w:rPr>
                <w:rFonts w:cs="Arial"/>
                <w:color w:val="000000" w:themeColor="text1"/>
                <w:sz w:val="20"/>
              </w:rPr>
              <w:br/>
              <w:t>Inform the heart failure team or seek specialist advice (preferably prior to if possibly in a timely manner) if stopping prognostic therapies.</w:t>
            </w:r>
          </w:p>
        </w:tc>
        <w:tc>
          <w:tcPr>
            <w:tcW w:w="2122" w:type="pct"/>
          </w:tcPr>
          <w:p w14:paraId="695AFC83" w14:textId="1BEE9E43"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 This recommendation has been edited to make it clear what to offer if there is angioedema. We have added a cross reference to the NICE TAs 623 and 599 on potassium binders to section 1.7.  The committee agreed that it is good clinical practice to inform the heart failure team or to seek specialist advice if stopping prognostic therapy but this is not specific to chronic heart failure.</w:t>
            </w:r>
          </w:p>
        </w:tc>
      </w:tr>
      <w:tr w:rsidR="00897293" w:rsidRPr="00CC6553" w14:paraId="6E5CB05C" w14:textId="77777777" w:rsidTr="00897293">
        <w:trPr>
          <w:trHeight w:val="300"/>
        </w:trPr>
        <w:tc>
          <w:tcPr>
            <w:tcW w:w="109" w:type="pct"/>
          </w:tcPr>
          <w:p w14:paraId="33459A80" w14:textId="77777777" w:rsidR="00897293" w:rsidRPr="00CC6553" w:rsidRDefault="00897293" w:rsidP="005271BB">
            <w:pPr>
              <w:rPr>
                <w:rFonts w:cs="Arial"/>
                <w:color w:val="000000" w:themeColor="text1"/>
                <w:sz w:val="20"/>
              </w:rPr>
            </w:pPr>
            <w:r w:rsidRPr="00CC6553">
              <w:rPr>
                <w:rFonts w:cs="Arial"/>
                <w:color w:val="000000" w:themeColor="text1"/>
                <w:sz w:val="20"/>
              </w:rPr>
              <w:t>78</w:t>
            </w:r>
          </w:p>
        </w:tc>
        <w:tc>
          <w:tcPr>
            <w:tcW w:w="143" w:type="pct"/>
          </w:tcPr>
          <w:p w14:paraId="1044F8C5" w14:textId="41736DD2"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41084FFE" w14:textId="0448F7DF" w:rsidR="00897293" w:rsidRPr="00CC6553" w:rsidRDefault="00897293" w:rsidP="005271BB">
            <w:pPr>
              <w:rPr>
                <w:rFonts w:cs="Arial"/>
                <w:bCs/>
                <w:iCs/>
                <w:color w:val="000000" w:themeColor="text1"/>
                <w:sz w:val="20"/>
              </w:rPr>
            </w:pPr>
            <w:r w:rsidRPr="00CC6553">
              <w:rPr>
                <w:rFonts w:cs="Arial"/>
                <w:color w:val="000000" w:themeColor="text1"/>
                <w:sz w:val="20"/>
              </w:rPr>
              <w:t>Primary Care Cardiovascular Society (PCCS)</w:t>
            </w:r>
          </w:p>
        </w:tc>
        <w:tc>
          <w:tcPr>
            <w:tcW w:w="279" w:type="pct"/>
          </w:tcPr>
          <w:p w14:paraId="76F1A67A" w14:textId="7E59CCAC"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2F8C830B" w14:textId="560DD832"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3C8C060D" w14:textId="6C2BDDCA" w:rsidR="00897293" w:rsidRPr="00CC6553" w:rsidRDefault="00897293" w:rsidP="005271BB">
            <w:pPr>
              <w:rPr>
                <w:rFonts w:cs="Arial"/>
                <w:color w:val="000000" w:themeColor="text1"/>
                <w:sz w:val="20"/>
              </w:rPr>
            </w:pPr>
            <w:r w:rsidRPr="00CC6553">
              <w:rPr>
                <w:rFonts w:cs="Arial"/>
                <w:color w:val="000000" w:themeColor="text1"/>
                <w:sz w:val="20"/>
              </w:rPr>
              <w:t>005</w:t>
            </w:r>
          </w:p>
        </w:tc>
        <w:tc>
          <w:tcPr>
            <w:tcW w:w="1521" w:type="pct"/>
          </w:tcPr>
          <w:p w14:paraId="62D0FE62" w14:textId="69E8703D" w:rsidR="00897293" w:rsidRPr="00CC6553" w:rsidRDefault="00897293" w:rsidP="005271BB">
            <w:pPr>
              <w:rPr>
                <w:rFonts w:cs="Arial"/>
                <w:color w:val="000000" w:themeColor="text1"/>
                <w:sz w:val="20"/>
              </w:rPr>
            </w:pPr>
            <w:r w:rsidRPr="00CC6553">
              <w:rPr>
                <w:rFonts w:cs="Arial"/>
                <w:color w:val="000000" w:themeColor="text1"/>
                <w:sz w:val="20"/>
              </w:rPr>
              <w:t>Agree that switch to ARNI (if ACEI intolerant) rather than to an ARB is preferred</w:t>
            </w:r>
          </w:p>
        </w:tc>
        <w:tc>
          <w:tcPr>
            <w:tcW w:w="2122" w:type="pct"/>
          </w:tcPr>
          <w:p w14:paraId="06BBD164" w14:textId="47DEB4E7"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w:t>
            </w:r>
          </w:p>
        </w:tc>
      </w:tr>
      <w:tr w:rsidR="00897293" w:rsidRPr="00CC6553" w14:paraId="1C536AA0" w14:textId="77777777" w:rsidTr="00897293">
        <w:trPr>
          <w:trHeight w:val="300"/>
        </w:trPr>
        <w:tc>
          <w:tcPr>
            <w:tcW w:w="109" w:type="pct"/>
          </w:tcPr>
          <w:p w14:paraId="74E69AC0" w14:textId="77777777" w:rsidR="00897293" w:rsidRPr="00CC6553" w:rsidRDefault="00897293" w:rsidP="005271BB">
            <w:pPr>
              <w:rPr>
                <w:rFonts w:cs="Arial"/>
                <w:color w:val="000000" w:themeColor="text1"/>
                <w:sz w:val="20"/>
              </w:rPr>
            </w:pPr>
            <w:r w:rsidRPr="00CC6553">
              <w:rPr>
                <w:rFonts w:cs="Arial"/>
                <w:color w:val="000000" w:themeColor="text1"/>
                <w:sz w:val="20"/>
              </w:rPr>
              <w:t>79</w:t>
            </w:r>
          </w:p>
        </w:tc>
        <w:tc>
          <w:tcPr>
            <w:tcW w:w="143" w:type="pct"/>
          </w:tcPr>
          <w:p w14:paraId="4DCBB627" w14:textId="1526B6B2"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1B17E07E" w14:textId="093B78AC" w:rsidR="00897293" w:rsidRPr="00CC6553" w:rsidRDefault="00897293" w:rsidP="005271BB">
            <w:pPr>
              <w:rPr>
                <w:rFonts w:cs="Arial"/>
                <w:bCs/>
                <w:iCs/>
                <w:color w:val="000000" w:themeColor="text1"/>
                <w:sz w:val="20"/>
              </w:rPr>
            </w:pPr>
            <w:r w:rsidRPr="00CC6553">
              <w:rPr>
                <w:rFonts w:cs="Arial"/>
                <w:color w:val="000000" w:themeColor="text1"/>
                <w:sz w:val="20"/>
              </w:rPr>
              <w:t>British Association for Nursing in Cardiovascular Care (BANCC)</w:t>
            </w:r>
          </w:p>
        </w:tc>
        <w:tc>
          <w:tcPr>
            <w:tcW w:w="279" w:type="pct"/>
          </w:tcPr>
          <w:p w14:paraId="7E0C11F1" w14:textId="49912631"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30195864" w14:textId="6072F91F"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5760C852" w14:textId="35CBF381" w:rsidR="00897293" w:rsidRPr="00CC6553" w:rsidRDefault="00897293" w:rsidP="005271BB">
            <w:pPr>
              <w:rPr>
                <w:rFonts w:cs="Arial"/>
                <w:color w:val="000000" w:themeColor="text1"/>
                <w:sz w:val="20"/>
              </w:rPr>
            </w:pPr>
            <w:r w:rsidRPr="00CC6553">
              <w:rPr>
                <w:rFonts w:cs="Arial"/>
                <w:color w:val="000000" w:themeColor="text1"/>
                <w:sz w:val="20"/>
              </w:rPr>
              <w:t>005</w:t>
            </w:r>
          </w:p>
        </w:tc>
        <w:tc>
          <w:tcPr>
            <w:tcW w:w="1521" w:type="pct"/>
          </w:tcPr>
          <w:p w14:paraId="36F1E362" w14:textId="6C495C26" w:rsidR="00897293" w:rsidRPr="00CC6553" w:rsidRDefault="00897293" w:rsidP="005271BB">
            <w:pPr>
              <w:rPr>
                <w:rFonts w:cs="Arial"/>
                <w:color w:val="000000" w:themeColor="text1"/>
                <w:sz w:val="20"/>
              </w:rPr>
            </w:pPr>
            <w:r w:rsidRPr="00CC6553">
              <w:rPr>
                <w:rFonts w:cs="Arial"/>
                <w:color w:val="000000" w:themeColor="text1"/>
                <w:sz w:val="20"/>
              </w:rPr>
              <w:t>Wording not clear enough and open to misinterpretation. Reword as ‘If ACEi not tolerated i.e cough, excluding angioedema, an ARNI must be offered.</w:t>
            </w:r>
          </w:p>
        </w:tc>
        <w:tc>
          <w:tcPr>
            <w:tcW w:w="2122" w:type="pct"/>
          </w:tcPr>
          <w:p w14:paraId="78ACE829" w14:textId="54DDD777"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  The committee has edited the recommendation in section 1.4 to make it clearer what to do if there is intolerance or if angioedema has occurred.</w:t>
            </w:r>
          </w:p>
        </w:tc>
      </w:tr>
      <w:tr w:rsidR="00897293" w:rsidRPr="00CC6553" w14:paraId="30D8E1CB" w14:textId="77777777" w:rsidTr="00897293">
        <w:trPr>
          <w:trHeight w:val="300"/>
        </w:trPr>
        <w:tc>
          <w:tcPr>
            <w:tcW w:w="109" w:type="pct"/>
          </w:tcPr>
          <w:p w14:paraId="472E4E2C" w14:textId="77777777" w:rsidR="00897293" w:rsidRPr="00CC6553" w:rsidRDefault="00897293" w:rsidP="005271BB">
            <w:pPr>
              <w:rPr>
                <w:rFonts w:cs="Arial"/>
                <w:color w:val="000000" w:themeColor="text1"/>
                <w:sz w:val="20"/>
              </w:rPr>
            </w:pPr>
            <w:r w:rsidRPr="00CC6553">
              <w:rPr>
                <w:rFonts w:cs="Arial"/>
                <w:color w:val="000000" w:themeColor="text1"/>
                <w:sz w:val="20"/>
              </w:rPr>
              <w:t>80</w:t>
            </w:r>
          </w:p>
        </w:tc>
        <w:tc>
          <w:tcPr>
            <w:tcW w:w="143" w:type="pct"/>
          </w:tcPr>
          <w:p w14:paraId="5679C3DA" w14:textId="55611829"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185B622E" w14:textId="08E8CE90" w:rsidR="00897293" w:rsidRPr="00CC6553" w:rsidRDefault="00897293" w:rsidP="005271BB">
            <w:pPr>
              <w:rPr>
                <w:rFonts w:cs="Arial"/>
                <w:bCs/>
                <w:iCs/>
                <w:color w:val="000000" w:themeColor="text1"/>
                <w:sz w:val="20"/>
              </w:rPr>
            </w:pPr>
            <w:r w:rsidRPr="00CC6553">
              <w:rPr>
                <w:rFonts w:cs="Arial"/>
                <w:color w:val="000000" w:themeColor="text1"/>
                <w:sz w:val="20"/>
              </w:rPr>
              <w:t xml:space="preserve">British Society for </w:t>
            </w:r>
            <w:r w:rsidRPr="00CC6553">
              <w:rPr>
                <w:rFonts w:cs="Arial"/>
                <w:color w:val="000000" w:themeColor="text1"/>
                <w:sz w:val="20"/>
              </w:rPr>
              <w:lastRenderedPageBreak/>
              <w:t>Heart Failure (BSHF)</w:t>
            </w:r>
          </w:p>
        </w:tc>
        <w:tc>
          <w:tcPr>
            <w:tcW w:w="279" w:type="pct"/>
          </w:tcPr>
          <w:p w14:paraId="04D24C57" w14:textId="664932D7" w:rsidR="00897293" w:rsidRPr="00CC6553" w:rsidRDefault="00897293" w:rsidP="005271BB">
            <w:pPr>
              <w:rPr>
                <w:rFonts w:cs="Arial"/>
                <w:color w:val="000000" w:themeColor="text1"/>
                <w:sz w:val="20"/>
              </w:rPr>
            </w:pPr>
            <w:r w:rsidRPr="00CC6553">
              <w:rPr>
                <w:rFonts w:cs="Arial"/>
                <w:color w:val="000000" w:themeColor="text1"/>
                <w:sz w:val="20"/>
              </w:rPr>
              <w:lastRenderedPageBreak/>
              <w:t>Guideline</w:t>
            </w:r>
          </w:p>
        </w:tc>
        <w:tc>
          <w:tcPr>
            <w:tcW w:w="214" w:type="pct"/>
          </w:tcPr>
          <w:p w14:paraId="12C75FFA" w14:textId="21305BB7"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05B9C068" w14:textId="573B4DC0" w:rsidR="00897293" w:rsidRPr="00CC6553" w:rsidRDefault="00897293" w:rsidP="005271BB">
            <w:pPr>
              <w:rPr>
                <w:rFonts w:cs="Arial"/>
                <w:color w:val="000000" w:themeColor="text1"/>
                <w:sz w:val="20"/>
              </w:rPr>
            </w:pPr>
            <w:r w:rsidRPr="00CC6553">
              <w:rPr>
                <w:rFonts w:cs="Arial"/>
                <w:color w:val="000000" w:themeColor="text1"/>
                <w:sz w:val="20"/>
              </w:rPr>
              <w:t>005</w:t>
            </w:r>
          </w:p>
        </w:tc>
        <w:tc>
          <w:tcPr>
            <w:tcW w:w="1521" w:type="pct"/>
          </w:tcPr>
          <w:p w14:paraId="42170D4E" w14:textId="1922A987" w:rsidR="00897293" w:rsidRPr="00CC6553" w:rsidRDefault="00897293" w:rsidP="005271BB">
            <w:pPr>
              <w:rPr>
                <w:rFonts w:cs="Arial"/>
                <w:color w:val="000000" w:themeColor="text1"/>
                <w:sz w:val="20"/>
              </w:rPr>
            </w:pPr>
            <w:r w:rsidRPr="00CC6553">
              <w:rPr>
                <w:rFonts w:cs="Arial"/>
                <w:color w:val="000000" w:themeColor="text1"/>
                <w:sz w:val="20"/>
              </w:rPr>
              <w:t xml:space="preserve">Wording not clear enough and open to misinterpretation. Perhaps better reword as ‘If people with chronic HF with reduced EF cannot tolerate an ACE inhibitor, unless </w:t>
            </w:r>
            <w:r w:rsidRPr="00CC6553">
              <w:rPr>
                <w:rFonts w:cs="Arial"/>
                <w:color w:val="000000" w:themeColor="text1"/>
                <w:sz w:val="20"/>
              </w:rPr>
              <w:lastRenderedPageBreak/>
              <w:t>this is due to angioedema, offer an ARNI instead of ACEi in addition to betablocker, MRA and SGLT2i’</w:t>
            </w:r>
          </w:p>
        </w:tc>
        <w:tc>
          <w:tcPr>
            <w:tcW w:w="2122" w:type="pct"/>
          </w:tcPr>
          <w:p w14:paraId="096633AB" w14:textId="579914E1"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lastRenderedPageBreak/>
              <w:t xml:space="preserve">Thank you for your comment.  The committee has edited the recommendation in section 1.4 to </w:t>
            </w:r>
            <w:r w:rsidRPr="00CC6553">
              <w:rPr>
                <w:rFonts w:cs="Arial"/>
                <w:b w:val="0"/>
                <w:color w:val="000000" w:themeColor="text1"/>
                <w:sz w:val="20"/>
              </w:rPr>
              <w:lastRenderedPageBreak/>
              <w:t>make it clearer what to do if there is intolerance or if angioedema has occurred.</w:t>
            </w:r>
          </w:p>
        </w:tc>
      </w:tr>
      <w:tr w:rsidR="00897293" w:rsidRPr="00CC6553" w14:paraId="248B9706" w14:textId="77777777" w:rsidTr="00897293">
        <w:trPr>
          <w:trHeight w:val="300"/>
        </w:trPr>
        <w:tc>
          <w:tcPr>
            <w:tcW w:w="109" w:type="pct"/>
          </w:tcPr>
          <w:p w14:paraId="0B5AE4D8"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81</w:t>
            </w:r>
          </w:p>
        </w:tc>
        <w:tc>
          <w:tcPr>
            <w:tcW w:w="143" w:type="pct"/>
          </w:tcPr>
          <w:p w14:paraId="3909D982" w14:textId="61CE4D4C"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49EA1C0E" w14:textId="427851B9" w:rsidR="00897293" w:rsidRPr="00CC6553" w:rsidRDefault="00897293" w:rsidP="005271BB">
            <w:pPr>
              <w:rPr>
                <w:rFonts w:cs="Arial"/>
                <w:bCs/>
                <w:iCs/>
                <w:color w:val="000000" w:themeColor="text1"/>
                <w:sz w:val="20"/>
              </w:rPr>
            </w:pPr>
            <w:r w:rsidRPr="00CC6553">
              <w:rPr>
                <w:rFonts w:cs="Arial"/>
                <w:color w:val="000000" w:themeColor="text1"/>
                <w:sz w:val="20"/>
              </w:rPr>
              <w:t>Pumping Marvellous Foundation</w:t>
            </w:r>
          </w:p>
        </w:tc>
        <w:tc>
          <w:tcPr>
            <w:tcW w:w="279" w:type="pct"/>
          </w:tcPr>
          <w:p w14:paraId="35431808" w14:textId="1CE3FC61"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69FDC7AA" w14:textId="7155C45E"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47E1C004" w14:textId="025B2DA8" w:rsidR="00897293" w:rsidRPr="00CC6553" w:rsidRDefault="00897293" w:rsidP="005271BB">
            <w:pPr>
              <w:rPr>
                <w:rFonts w:cs="Arial"/>
                <w:color w:val="000000" w:themeColor="text1"/>
                <w:sz w:val="20"/>
              </w:rPr>
            </w:pPr>
            <w:r w:rsidRPr="00CC6553">
              <w:rPr>
                <w:rFonts w:cs="Arial"/>
                <w:color w:val="000000" w:themeColor="text1"/>
                <w:sz w:val="20"/>
              </w:rPr>
              <w:t>005</w:t>
            </w:r>
          </w:p>
        </w:tc>
        <w:tc>
          <w:tcPr>
            <w:tcW w:w="1521" w:type="pct"/>
          </w:tcPr>
          <w:p w14:paraId="3A902B93" w14:textId="7EF341E5" w:rsidR="00897293" w:rsidRPr="00CC6553" w:rsidRDefault="00897293" w:rsidP="005271BB">
            <w:pPr>
              <w:rPr>
                <w:rFonts w:cs="Arial"/>
                <w:color w:val="000000" w:themeColor="text1"/>
                <w:sz w:val="20"/>
              </w:rPr>
            </w:pPr>
            <w:r w:rsidRPr="00CC6553">
              <w:rPr>
                <w:rFonts w:cs="Arial"/>
                <w:color w:val="000000" w:themeColor="text1"/>
                <w:sz w:val="20"/>
              </w:rPr>
              <w:t>Wording not clear enough and open to misinterpretation. Perhaps better reword as If people with chronic HF with reduced EF cannot tolerate an ACE inhibitor, unless this is due to angioedema, offer an ARNI instead of ACEi and also offer betablocker, MRA and SGLT2i</w:t>
            </w:r>
            <w:r w:rsidRPr="00CC6553">
              <w:rPr>
                <w:rFonts w:cs="Arial"/>
                <w:color w:val="000000" w:themeColor="text1"/>
                <w:sz w:val="20"/>
              </w:rPr>
              <w:br/>
              <w:t>Potassium Binders – there is no mention of the role of potassium binders (which have NICE TA recommendation) for people who experiencing hyperkalemia that precludes them from being treated with prognostically beneficial RAASi therapies.</w:t>
            </w:r>
            <w:r w:rsidRPr="00CC6553">
              <w:rPr>
                <w:rFonts w:cs="Arial"/>
                <w:color w:val="000000" w:themeColor="text1"/>
                <w:sz w:val="20"/>
              </w:rPr>
              <w:br/>
              <w:t>Inform the heart failure team or seek specialist advice (preferably prior to if possibly in a timely manner) if stopping prognostic therapies.</w:t>
            </w:r>
          </w:p>
        </w:tc>
        <w:tc>
          <w:tcPr>
            <w:tcW w:w="2122" w:type="pct"/>
          </w:tcPr>
          <w:p w14:paraId="28EC95CB" w14:textId="4A90891A" w:rsidR="00897293" w:rsidRPr="00CC6553" w:rsidRDefault="00897293" w:rsidP="21434BE0">
            <w:pPr>
              <w:pStyle w:val="Heading1"/>
              <w:rPr>
                <w:rFonts w:cs="Arial"/>
                <w:b w:val="0"/>
                <w:bCs w:val="0"/>
                <w:color w:val="000000" w:themeColor="text1"/>
                <w:sz w:val="20"/>
              </w:rPr>
            </w:pPr>
            <w:r w:rsidRPr="00CC6553">
              <w:rPr>
                <w:rFonts w:cs="Arial"/>
                <w:b w:val="0"/>
                <w:bCs w:val="0"/>
                <w:color w:val="000000" w:themeColor="text1"/>
                <w:sz w:val="20"/>
              </w:rPr>
              <w:t>Thank you for your comment.  The committee has edited the recommendation in section 1.4 to make it clearer what to do if there is intolerance or if angioedema has occurred.  The guideline now cross refers to TA 623 and TA 599 on potassium binders.  The committee agreed that it is good clinical practice to inform other health professionals when a medication is stopped but this is not specific to the management of chronic heart failure.</w:t>
            </w:r>
          </w:p>
          <w:p w14:paraId="47E4833D" w14:textId="3958C0BD" w:rsidR="00897293" w:rsidRPr="00CC6553" w:rsidRDefault="00897293" w:rsidP="00134BF2">
            <w:pPr>
              <w:rPr>
                <w:color w:val="000000" w:themeColor="text1"/>
              </w:rPr>
            </w:pPr>
          </w:p>
        </w:tc>
      </w:tr>
      <w:tr w:rsidR="00897293" w:rsidRPr="00CC6553" w14:paraId="5938F6B7" w14:textId="77777777" w:rsidTr="00897293">
        <w:trPr>
          <w:trHeight w:val="300"/>
        </w:trPr>
        <w:tc>
          <w:tcPr>
            <w:tcW w:w="109" w:type="pct"/>
          </w:tcPr>
          <w:p w14:paraId="1A2D8F2F" w14:textId="77777777" w:rsidR="00897293" w:rsidRPr="00CC6553" w:rsidRDefault="00897293" w:rsidP="005271BB">
            <w:pPr>
              <w:rPr>
                <w:rFonts w:cs="Arial"/>
                <w:color w:val="000000" w:themeColor="text1"/>
                <w:sz w:val="20"/>
              </w:rPr>
            </w:pPr>
            <w:r w:rsidRPr="00CC6553">
              <w:rPr>
                <w:rFonts w:cs="Arial"/>
                <w:color w:val="000000" w:themeColor="text1"/>
                <w:sz w:val="20"/>
              </w:rPr>
              <w:t>82</w:t>
            </w:r>
          </w:p>
        </w:tc>
        <w:tc>
          <w:tcPr>
            <w:tcW w:w="143" w:type="pct"/>
          </w:tcPr>
          <w:p w14:paraId="60DAB4EC" w14:textId="5533F36A"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415B9A13" w14:textId="450E18C7" w:rsidR="00897293" w:rsidRPr="00CC6553" w:rsidRDefault="00897293" w:rsidP="005271BB">
            <w:pPr>
              <w:rPr>
                <w:rFonts w:cs="Arial"/>
                <w:bCs/>
                <w:iCs/>
                <w:color w:val="000000" w:themeColor="text1"/>
                <w:sz w:val="20"/>
              </w:rPr>
            </w:pPr>
            <w:r w:rsidRPr="00CC6553">
              <w:rPr>
                <w:rFonts w:cs="Arial"/>
                <w:color w:val="000000" w:themeColor="text1"/>
                <w:sz w:val="20"/>
              </w:rPr>
              <w:t>UK Clinical Pharmacy Association (UKCPA) – heart failure committee</w:t>
            </w:r>
          </w:p>
        </w:tc>
        <w:tc>
          <w:tcPr>
            <w:tcW w:w="279" w:type="pct"/>
          </w:tcPr>
          <w:p w14:paraId="7232AAA8" w14:textId="48D95A04"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1CC9F47B" w14:textId="555F2F7B"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0AB4D97F" w14:textId="3FAD6E54" w:rsidR="00897293" w:rsidRPr="00CC6553" w:rsidRDefault="00897293" w:rsidP="005271BB">
            <w:pPr>
              <w:rPr>
                <w:rFonts w:cs="Arial"/>
                <w:color w:val="000000" w:themeColor="text1"/>
                <w:sz w:val="20"/>
              </w:rPr>
            </w:pPr>
            <w:r w:rsidRPr="00CC6553">
              <w:rPr>
                <w:rFonts w:cs="Arial"/>
                <w:color w:val="000000" w:themeColor="text1"/>
                <w:sz w:val="20"/>
              </w:rPr>
              <w:t>005</w:t>
            </w:r>
          </w:p>
        </w:tc>
        <w:tc>
          <w:tcPr>
            <w:tcW w:w="1521" w:type="pct"/>
          </w:tcPr>
          <w:p w14:paraId="57088333" w14:textId="7B6E74E3" w:rsidR="00897293" w:rsidRPr="00CC6553" w:rsidRDefault="00897293" w:rsidP="005271BB">
            <w:pPr>
              <w:rPr>
                <w:rFonts w:cs="Arial"/>
                <w:color w:val="000000" w:themeColor="text1"/>
                <w:sz w:val="20"/>
              </w:rPr>
            </w:pPr>
            <w:r w:rsidRPr="00CC6553">
              <w:rPr>
                <w:rFonts w:cs="Arial"/>
                <w:color w:val="000000" w:themeColor="text1"/>
                <w:sz w:val="20"/>
              </w:rPr>
              <w:t>We believe this should be reworded to state ARNI, BB, MRA and SGLT2 as 1st line and if ARNI not tolerated or C/I offer an ACE inhibitor. If ACE inhibitor not tolerated offer an ARB. This aligns with the sequence of therapy outlined in ESC and ACC/AHA/HFSA guidelines. As above</w:t>
            </w:r>
          </w:p>
        </w:tc>
        <w:tc>
          <w:tcPr>
            <w:tcW w:w="2122" w:type="pct"/>
          </w:tcPr>
          <w:p w14:paraId="645D0D1A" w14:textId="77777777" w:rsidR="0089729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 Although the benefits of ARNI are recognised, the recommendation was made taking into the cost-effectiveness as well as clinical effectiveness analysis. Even in the more favourable scenarios for ARNI, at current prices, the economic modelling found it not cost-effective in people who can tolerate ACEI.</w:t>
            </w:r>
          </w:p>
          <w:p w14:paraId="1F7BEC83" w14:textId="77777777" w:rsidR="00897293" w:rsidRDefault="00897293" w:rsidP="00FD3CC2"/>
          <w:p w14:paraId="7C9E1FDA" w14:textId="69B1B13F" w:rsidR="00897293" w:rsidRPr="009B3C47" w:rsidRDefault="00897293" w:rsidP="009B3C47">
            <w:pPr>
              <w:rPr>
                <w:b/>
              </w:rPr>
            </w:pPr>
            <w:r w:rsidRPr="003B7C9A">
              <w:rPr>
                <w:rFonts w:cs="Arial"/>
                <w:color w:val="000000" w:themeColor="text1"/>
                <w:sz w:val="20"/>
              </w:rPr>
              <w:t xml:space="preserve">The ESC guidelines considered clinical effectiveness only and the </w:t>
            </w:r>
            <w:r w:rsidRPr="003B7C9A">
              <w:rPr>
                <w:rFonts w:cs="Arial"/>
                <w:color w:val="000000" w:themeColor="text1"/>
                <w:sz w:val="20"/>
              </w:rPr>
              <w:lastRenderedPageBreak/>
              <w:t>cost-effectiveness of using ARNI as first-line was not explored.</w:t>
            </w:r>
          </w:p>
        </w:tc>
      </w:tr>
      <w:tr w:rsidR="00897293" w:rsidRPr="00CC6553" w14:paraId="008A4129" w14:textId="77777777" w:rsidTr="00897293">
        <w:trPr>
          <w:trHeight w:val="300"/>
        </w:trPr>
        <w:tc>
          <w:tcPr>
            <w:tcW w:w="109" w:type="pct"/>
          </w:tcPr>
          <w:p w14:paraId="795DA285"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83</w:t>
            </w:r>
          </w:p>
        </w:tc>
        <w:tc>
          <w:tcPr>
            <w:tcW w:w="143" w:type="pct"/>
          </w:tcPr>
          <w:p w14:paraId="1830B291" w14:textId="578729A4"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1F3F2E08" w14:textId="7755581C" w:rsidR="00897293" w:rsidRPr="00CC6553" w:rsidRDefault="00897293" w:rsidP="005271BB">
            <w:pPr>
              <w:rPr>
                <w:rFonts w:cs="Arial"/>
                <w:bCs/>
                <w:iCs/>
                <w:color w:val="000000" w:themeColor="text1"/>
                <w:sz w:val="20"/>
              </w:rPr>
            </w:pPr>
            <w:r w:rsidRPr="00CC6553">
              <w:rPr>
                <w:rFonts w:cs="Arial"/>
                <w:color w:val="000000" w:themeColor="text1"/>
                <w:sz w:val="20"/>
              </w:rPr>
              <w:t>UK Clinical Pharmacy Association (UKCPA) – heart failure committee</w:t>
            </w:r>
          </w:p>
        </w:tc>
        <w:tc>
          <w:tcPr>
            <w:tcW w:w="279" w:type="pct"/>
          </w:tcPr>
          <w:p w14:paraId="55D5BC13" w14:textId="20221AB7"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039D1693" w14:textId="5767B1BA"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3C77A792" w14:textId="4019FED8" w:rsidR="00897293" w:rsidRPr="00CC6553" w:rsidRDefault="00897293" w:rsidP="005271BB">
            <w:pPr>
              <w:rPr>
                <w:rFonts w:cs="Arial"/>
                <w:color w:val="000000" w:themeColor="text1"/>
                <w:sz w:val="20"/>
              </w:rPr>
            </w:pPr>
            <w:r w:rsidRPr="00CC6553">
              <w:rPr>
                <w:rFonts w:cs="Arial"/>
                <w:color w:val="000000" w:themeColor="text1"/>
                <w:sz w:val="20"/>
              </w:rPr>
              <w:t>008</w:t>
            </w:r>
          </w:p>
        </w:tc>
        <w:tc>
          <w:tcPr>
            <w:tcW w:w="1521" w:type="pct"/>
          </w:tcPr>
          <w:p w14:paraId="55645F49" w14:textId="405268E1" w:rsidR="00897293" w:rsidRPr="00CC6553" w:rsidRDefault="00897293" w:rsidP="005271BB">
            <w:pPr>
              <w:rPr>
                <w:rFonts w:cs="Arial"/>
                <w:color w:val="000000" w:themeColor="text1"/>
                <w:sz w:val="20"/>
              </w:rPr>
            </w:pPr>
            <w:r w:rsidRPr="00CC6553">
              <w:rPr>
                <w:rFonts w:cs="Arial"/>
                <w:color w:val="000000" w:themeColor="text1"/>
                <w:sz w:val="20"/>
              </w:rPr>
              <w:t>Agree with the statement but could make it clearer that ARBs are not interchangeable as they do not offer superior mortality and morbidity benefits when compared to ARNIs.</w:t>
            </w:r>
          </w:p>
        </w:tc>
        <w:tc>
          <w:tcPr>
            <w:tcW w:w="2122" w:type="pct"/>
          </w:tcPr>
          <w:p w14:paraId="06A845CB" w14:textId="7E1F9820"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  The committee have edited the recommendation to address your comment.</w:t>
            </w:r>
          </w:p>
        </w:tc>
      </w:tr>
      <w:tr w:rsidR="00897293" w:rsidRPr="00CC6553" w14:paraId="509579E8" w14:textId="77777777" w:rsidTr="00897293">
        <w:trPr>
          <w:trHeight w:val="300"/>
        </w:trPr>
        <w:tc>
          <w:tcPr>
            <w:tcW w:w="109" w:type="pct"/>
          </w:tcPr>
          <w:p w14:paraId="52F26F27" w14:textId="77777777" w:rsidR="00897293" w:rsidRPr="00CC6553" w:rsidRDefault="00897293" w:rsidP="005271BB">
            <w:pPr>
              <w:rPr>
                <w:rFonts w:cs="Arial"/>
                <w:color w:val="000000" w:themeColor="text1"/>
                <w:sz w:val="20"/>
              </w:rPr>
            </w:pPr>
            <w:r w:rsidRPr="00CC6553">
              <w:rPr>
                <w:rFonts w:cs="Arial"/>
                <w:color w:val="000000" w:themeColor="text1"/>
                <w:sz w:val="20"/>
              </w:rPr>
              <w:t>84</w:t>
            </w:r>
          </w:p>
        </w:tc>
        <w:tc>
          <w:tcPr>
            <w:tcW w:w="143" w:type="pct"/>
          </w:tcPr>
          <w:p w14:paraId="399EF9EB" w14:textId="348E535C"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22E68E01" w14:textId="5320BF2C" w:rsidR="00897293" w:rsidRPr="00CC6553" w:rsidRDefault="00897293" w:rsidP="005271BB">
            <w:pPr>
              <w:rPr>
                <w:rFonts w:cs="Arial"/>
                <w:bCs/>
                <w:iCs/>
                <w:color w:val="000000" w:themeColor="text1"/>
                <w:sz w:val="20"/>
              </w:rPr>
            </w:pPr>
            <w:r w:rsidRPr="00CC6553">
              <w:rPr>
                <w:rFonts w:cs="Arial"/>
                <w:color w:val="000000" w:themeColor="text1"/>
                <w:sz w:val="20"/>
              </w:rPr>
              <w:t>Royal College of Nursing</w:t>
            </w:r>
          </w:p>
        </w:tc>
        <w:tc>
          <w:tcPr>
            <w:tcW w:w="279" w:type="pct"/>
          </w:tcPr>
          <w:p w14:paraId="01E289D8" w14:textId="2A52D127"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6ACECFE6" w14:textId="462E9AA9"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1B0A9FBF" w14:textId="04F028E7" w:rsidR="00897293" w:rsidRPr="00CC6553" w:rsidRDefault="00897293" w:rsidP="005271BB">
            <w:pPr>
              <w:rPr>
                <w:rFonts w:cs="Arial"/>
                <w:color w:val="000000" w:themeColor="text1"/>
                <w:sz w:val="20"/>
              </w:rPr>
            </w:pPr>
            <w:r w:rsidRPr="00CC6553">
              <w:rPr>
                <w:rFonts w:cs="Arial"/>
                <w:color w:val="000000" w:themeColor="text1"/>
                <w:sz w:val="20"/>
              </w:rPr>
              <w:t>008</w:t>
            </w:r>
          </w:p>
        </w:tc>
        <w:tc>
          <w:tcPr>
            <w:tcW w:w="1521" w:type="pct"/>
          </w:tcPr>
          <w:p w14:paraId="019F303E" w14:textId="4587E0DC" w:rsidR="00897293" w:rsidRPr="00CC6553" w:rsidRDefault="00897293" w:rsidP="005271BB">
            <w:pPr>
              <w:rPr>
                <w:rFonts w:cs="Arial"/>
                <w:color w:val="000000" w:themeColor="text1"/>
                <w:sz w:val="20"/>
              </w:rPr>
            </w:pPr>
            <w:r w:rsidRPr="00CC6553">
              <w:rPr>
                <w:rFonts w:cs="Arial"/>
                <w:color w:val="000000" w:themeColor="text1"/>
                <w:sz w:val="20"/>
              </w:rPr>
              <w:t xml:space="preserve">This recommendation seems to instruct clinicians to prescribe an ARNI if patient is intolerant of an ARB (ARNI being contraindicated if intolerant of an ARB as contains an ARB). </w:t>
            </w:r>
            <w:r w:rsidRPr="00CC6553">
              <w:rPr>
                <w:rFonts w:cs="Arial"/>
                <w:color w:val="000000" w:themeColor="text1"/>
                <w:sz w:val="20"/>
              </w:rPr>
              <w:br/>
            </w:r>
            <w:r w:rsidRPr="00CC6553">
              <w:rPr>
                <w:rFonts w:cs="Arial"/>
                <w:color w:val="000000" w:themeColor="text1"/>
                <w:sz w:val="20"/>
              </w:rPr>
              <w:br/>
              <w:t>What we believe the recommendation is trying to say is if intolerant due to hypotension, but this is not clear and confusing.  Recommend consider rephrasing for better clarity.</w:t>
            </w:r>
          </w:p>
        </w:tc>
        <w:tc>
          <w:tcPr>
            <w:tcW w:w="2122" w:type="pct"/>
          </w:tcPr>
          <w:p w14:paraId="530A636F" w14:textId="53C390AE"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  The committee have edited the recommendation to address your comment.</w:t>
            </w:r>
          </w:p>
        </w:tc>
      </w:tr>
      <w:tr w:rsidR="00897293" w:rsidRPr="00CC6553" w14:paraId="62F7FCF1" w14:textId="77777777" w:rsidTr="00897293">
        <w:trPr>
          <w:trHeight w:val="300"/>
        </w:trPr>
        <w:tc>
          <w:tcPr>
            <w:tcW w:w="109" w:type="pct"/>
          </w:tcPr>
          <w:p w14:paraId="1172A3C2" w14:textId="77777777" w:rsidR="00897293" w:rsidRPr="00CC6553" w:rsidRDefault="00897293" w:rsidP="005271BB">
            <w:pPr>
              <w:rPr>
                <w:rFonts w:cs="Arial"/>
                <w:color w:val="000000" w:themeColor="text1"/>
                <w:sz w:val="20"/>
              </w:rPr>
            </w:pPr>
            <w:r w:rsidRPr="00CC6553">
              <w:rPr>
                <w:rFonts w:cs="Arial"/>
                <w:color w:val="000000" w:themeColor="text1"/>
                <w:sz w:val="20"/>
              </w:rPr>
              <w:t>85</w:t>
            </w:r>
          </w:p>
        </w:tc>
        <w:tc>
          <w:tcPr>
            <w:tcW w:w="143" w:type="pct"/>
          </w:tcPr>
          <w:p w14:paraId="76010138" w14:textId="08ABBAE2"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1F98C6F1" w14:textId="3F2D21EE"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4314E04B" w14:textId="417B7948"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12ED87CC" w14:textId="38E8A67C"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3D7F5BD3" w14:textId="5047A907" w:rsidR="00897293" w:rsidRPr="00CC6553" w:rsidRDefault="00897293" w:rsidP="005271BB">
            <w:pPr>
              <w:rPr>
                <w:rFonts w:cs="Arial"/>
                <w:color w:val="000000" w:themeColor="text1"/>
                <w:sz w:val="20"/>
              </w:rPr>
            </w:pPr>
            <w:r w:rsidRPr="00CC6553">
              <w:rPr>
                <w:rFonts w:cs="Arial"/>
                <w:color w:val="000000" w:themeColor="text1"/>
                <w:sz w:val="20"/>
              </w:rPr>
              <w:t>010</w:t>
            </w:r>
          </w:p>
        </w:tc>
        <w:tc>
          <w:tcPr>
            <w:tcW w:w="1521" w:type="pct"/>
          </w:tcPr>
          <w:p w14:paraId="59F288C4" w14:textId="682C6468" w:rsidR="00897293" w:rsidRPr="00CC6553" w:rsidRDefault="00897293" w:rsidP="005271BB">
            <w:pPr>
              <w:rPr>
                <w:rFonts w:cs="Arial"/>
                <w:color w:val="000000" w:themeColor="text1"/>
                <w:sz w:val="20"/>
              </w:rPr>
            </w:pPr>
            <w:r w:rsidRPr="00CC6553">
              <w:rPr>
                <w:rFonts w:cs="Arial"/>
                <w:color w:val="000000" w:themeColor="text1"/>
                <w:sz w:val="20"/>
              </w:rPr>
              <w:t>Would clarify that this is for secondary care (primary care do not do iron infusions)</w:t>
            </w:r>
          </w:p>
        </w:tc>
        <w:tc>
          <w:tcPr>
            <w:tcW w:w="2122" w:type="pct"/>
          </w:tcPr>
          <w:p w14:paraId="48759C3F" w14:textId="2F8092AF"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  The recommendation does not preclude the infusions only being done in secondary care.</w:t>
            </w:r>
          </w:p>
        </w:tc>
      </w:tr>
      <w:tr w:rsidR="00897293" w:rsidRPr="00CC6553" w14:paraId="5D04430C" w14:textId="77777777" w:rsidTr="00897293">
        <w:trPr>
          <w:trHeight w:val="300"/>
        </w:trPr>
        <w:tc>
          <w:tcPr>
            <w:tcW w:w="109" w:type="pct"/>
          </w:tcPr>
          <w:p w14:paraId="5EAFA482" w14:textId="77777777" w:rsidR="00897293" w:rsidRPr="00CC6553" w:rsidRDefault="00897293" w:rsidP="005271BB">
            <w:pPr>
              <w:rPr>
                <w:rFonts w:cs="Arial"/>
                <w:color w:val="000000" w:themeColor="text1"/>
                <w:sz w:val="20"/>
              </w:rPr>
            </w:pPr>
            <w:r w:rsidRPr="00CC6553">
              <w:rPr>
                <w:rFonts w:cs="Arial"/>
                <w:color w:val="000000" w:themeColor="text1"/>
                <w:sz w:val="20"/>
              </w:rPr>
              <w:t>86</w:t>
            </w:r>
          </w:p>
        </w:tc>
        <w:tc>
          <w:tcPr>
            <w:tcW w:w="143" w:type="pct"/>
          </w:tcPr>
          <w:p w14:paraId="1346EBD7" w14:textId="0A14D515"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22D25E11" w14:textId="5C3F3E4D" w:rsidR="00897293" w:rsidRPr="00CC6553" w:rsidRDefault="00897293" w:rsidP="005271BB">
            <w:pPr>
              <w:rPr>
                <w:rFonts w:cs="Arial"/>
                <w:bCs/>
                <w:iCs/>
                <w:color w:val="000000" w:themeColor="text1"/>
                <w:sz w:val="20"/>
              </w:rPr>
            </w:pPr>
            <w:r w:rsidRPr="00CC6553">
              <w:rPr>
                <w:rFonts w:cs="Arial"/>
                <w:color w:val="000000" w:themeColor="text1"/>
                <w:sz w:val="20"/>
              </w:rPr>
              <w:t>British Association for Nursing in Cardiovascular Care (BANCC)</w:t>
            </w:r>
          </w:p>
        </w:tc>
        <w:tc>
          <w:tcPr>
            <w:tcW w:w="279" w:type="pct"/>
          </w:tcPr>
          <w:p w14:paraId="7B6F662C" w14:textId="0145E83E"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7BAFA86E" w14:textId="71EB44F3"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1CDD8D4F" w14:textId="69C1017B" w:rsidR="00897293" w:rsidRPr="00CC6553" w:rsidRDefault="00897293" w:rsidP="005271BB">
            <w:pPr>
              <w:rPr>
                <w:rFonts w:cs="Arial"/>
                <w:color w:val="000000" w:themeColor="text1"/>
                <w:sz w:val="20"/>
              </w:rPr>
            </w:pPr>
            <w:r w:rsidRPr="00CC6553">
              <w:rPr>
                <w:rFonts w:cs="Arial"/>
                <w:color w:val="000000" w:themeColor="text1"/>
                <w:sz w:val="20"/>
              </w:rPr>
              <w:t>010</w:t>
            </w:r>
          </w:p>
        </w:tc>
        <w:tc>
          <w:tcPr>
            <w:tcW w:w="1521" w:type="pct"/>
          </w:tcPr>
          <w:p w14:paraId="7A82C139" w14:textId="2C62C3F2" w:rsidR="00897293" w:rsidRPr="00CC6553" w:rsidRDefault="00897293" w:rsidP="005271BB">
            <w:pPr>
              <w:rPr>
                <w:rFonts w:cs="Arial"/>
                <w:color w:val="000000" w:themeColor="text1"/>
                <w:sz w:val="20"/>
              </w:rPr>
            </w:pPr>
            <w:r w:rsidRPr="00CC6553">
              <w:rPr>
                <w:rFonts w:cs="Arial"/>
                <w:color w:val="000000" w:themeColor="text1"/>
                <w:sz w:val="20"/>
              </w:rPr>
              <w:t>We welcome addition to include IV iron in line with ESC. Disappointing that it excludes EF 41-45% as FAIR-HF, CONFIRM and IRONMAN all included EF&lt;45%.</w:t>
            </w:r>
          </w:p>
        </w:tc>
        <w:tc>
          <w:tcPr>
            <w:tcW w:w="2122" w:type="pct"/>
          </w:tcPr>
          <w:p w14:paraId="053BAA63" w14:textId="30BC9D59" w:rsidR="00897293" w:rsidRPr="00CC6553" w:rsidRDefault="00897293" w:rsidP="005271BB">
            <w:pPr>
              <w:pStyle w:val="Heading1"/>
              <w:rPr>
                <w:rFonts w:cs="Arial"/>
                <w:b w:val="0"/>
                <w:color w:val="000000" w:themeColor="text1"/>
                <w:sz w:val="20"/>
              </w:rPr>
            </w:pPr>
            <w:r w:rsidRPr="00CC6553">
              <w:rPr>
                <w:rFonts w:cs="Arial"/>
                <w:b w:val="0"/>
                <w:bCs w:val="0"/>
                <w:color w:val="000000" w:themeColor="text1"/>
                <w:sz w:val="20"/>
              </w:rPr>
              <w:t>Thank you for your comment. The recommendations made reflect the clinical and cost-effectiveness evidence which focussed largely on a population with EF 40% or lower (please see table 2 in Evidence Review C for baseline LVEF values).</w:t>
            </w:r>
          </w:p>
        </w:tc>
      </w:tr>
      <w:tr w:rsidR="00897293" w:rsidRPr="00CC6553" w14:paraId="5FBA377F" w14:textId="77777777" w:rsidTr="00897293">
        <w:trPr>
          <w:trHeight w:val="300"/>
        </w:trPr>
        <w:tc>
          <w:tcPr>
            <w:tcW w:w="109" w:type="pct"/>
          </w:tcPr>
          <w:p w14:paraId="078D0E36" w14:textId="77777777" w:rsidR="00897293" w:rsidRPr="00CC6553" w:rsidRDefault="00897293" w:rsidP="005271BB">
            <w:pPr>
              <w:rPr>
                <w:rFonts w:cs="Arial"/>
                <w:color w:val="000000" w:themeColor="text1"/>
                <w:sz w:val="20"/>
              </w:rPr>
            </w:pPr>
            <w:r w:rsidRPr="00CC6553">
              <w:rPr>
                <w:rFonts w:cs="Arial"/>
                <w:color w:val="000000" w:themeColor="text1"/>
                <w:sz w:val="20"/>
              </w:rPr>
              <w:t>87</w:t>
            </w:r>
          </w:p>
        </w:tc>
        <w:tc>
          <w:tcPr>
            <w:tcW w:w="143" w:type="pct"/>
          </w:tcPr>
          <w:p w14:paraId="4966E1D8" w14:textId="6403E2D8"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0AF2E61A" w14:textId="042260B3" w:rsidR="00897293" w:rsidRPr="00CC6553" w:rsidRDefault="00897293" w:rsidP="005271BB">
            <w:pPr>
              <w:rPr>
                <w:rFonts w:cs="Arial"/>
                <w:bCs/>
                <w:iCs/>
                <w:color w:val="000000" w:themeColor="text1"/>
                <w:sz w:val="20"/>
              </w:rPr>
            </w:pPr>
            <w:r w:rsidRPr="00CC6553">
              <w:rPr>
                <w:rFonts w:cs="Arial"/>
                <w:color w:val="000000" w:themeColor="text1"/>
                <w:sz w:val="20"/>
              </w:rPr>
              <w:t>British Society for Heart Failure (BSHF)</w:t>
            </w:r>
          </w:p>
        </w:tc>
        <w:tc>
          <w:tcPr>
            <w:tcW w:w="279" w:type="pct"/>
          </w:tcPr>
          <w:p w14:paraId="237223A0" w14:textId="35E4598B"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6CCD8318" w14:textId="144BEAE9"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232B24FC" w14:textId="3F7FB613" w:rsidR="00897293" w:rsidRPr="00CC6553" w:rsidRDefault="00897293" w:rsidP="005271BB">
            <w:pPr>
              <w:rPr>
                <w:rFonts w:cs="Arial"/>
                <w:color w:val="000000" w:themeColor="text1"/>
                <w:sz w:val="20"/>
              </w:rPr>
            </w:pPr>
            <w:r w:rsidRPr="00CC6553">
              <w:rPr>
                <w:rFonts w:cs="Arial"/>
                <w:color w:val="000000" w:themeColor="text1"/>
                <w:sz w:val="20"/>
              </w:rPr>
              <w:t>010</w:t>
            </w:r>
          </w:p>
        </w:tc>
        <w:tc>
          <w:tcPr>
            <w:tcW w:w="1521" w:type="pct"/>
          </w:tcPr>
          <w:p w14:paraId="4936955D" w14:textId="2178D10B" w:rsidR="00897293" w:rsidRPr="00CC6553" w:rsidRDefault="00897293" w:rsidP="005271BB">
            <w:pPr>
              <w:rPr>
                <w:rFonts w:cs="Arial"/>
                <w:color w:val="000000" w:themeColor="text1"/>
                <w:sz w:val="20"/>
              </w:rPr>
            </w:pPr>
            <w:r w:rsidRPr="00CC6553">
              <w:rPr>
                <w:rFonts w:cs="Arial"/>
                <w:color w:val="000000" w:themeColor="text1"/>
                <w:sz w:val="20"/>
              </w:rPr>
              <w:t>We welcome addition to include IV iron in line with ESC. Disappointing that it excludes EF 41-45% as FAIR-HF, CONFIRM and IRONMAN all included EF&lt;45%.</w:t>
            </w:r>
          </w:p>
        </w:tc>
        <w:tc>
          <w:tcPr>
            <w:tcW w:w="2122" w:type="pct"/>
          </w:tcPr>
          <w:p w14:paraId="4E0CE501" w14:textId="647B361D" w:rsidR="00897293" w:rsidRPr="00CC6553" w:rsidRDefault="00897293" w:rsidP="005271BB">
            <w:pPr>
              <w:pStyle w:val="Heading1"/>
              <w:rPr>
                <w:rFonts w:cs="Arial"/>
                <w:b w:val="0"/>
                <w:color w:val="000000" w:themeColor="text1"/>
                <w:sz w:val="20"/>
              </w:rPr>
            </w:pPr>
            <w:r w:rsidRPr="00CC6553">
              <w:rPr>
                <w:rFonts w:cs="Arial"/>
                <w:b w:val="0"/>
                <w:bCs w:val="0"/>
                <w:color w:val="000000" w:themeColor="text1"/>
                <w:sz w:val="20"/>
              </w:rPr>
              <w:t xml:space="preserve">Thank you for your comment. The recommendations made reflect the clinical and cost-effectiveness evidence which focussed largely on a population with EF 40% or lower </w:t>
            </w:r>
            <w:r w:rsidRPr="00CC6553">
              <w:rPr>
                <w:rFonts w:cs="Arial"/>
                <w:b w:val="0"/>
                <w:bCs w:val="0"/>
                <w:color w:val="000000" w:themeColor="text1"/>
                <w:sz w:val="20"/>
              </w:rPr>
              <w:lastRenderedPageBreak/>
              <w:t>(please see table 2 in Evidence Review C for baseline LVEF values).</w:t>
            </w:r>
          </w:p>
        </w:tc>
      </w:tr>
      <w:tr w:rsidR="00897293" w:rsidRPr="00CC6553" w14:paraId="5C32F368" w14:textId="77777777" w:rsidTr="00897293">
        <w:trPr>
          <w:trHeight w:val="300"/>
        </w:trPr>
        <w:tc>
          <w:tcPr>
            <w:tcW w:w="109" w:type="pct"/>
          </w:tcPr>
          <w:p w14:paraId="05EFDEB4"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88</w:t>
            </w:r>
          </w:p>
        </w:tc>
        <w:tc>
          <w:tcPr>
            <w:tcW w:w="143" w:type="pct"/>
          </w:tcPr>
          <w:p w14:paraId="5E3F5184" w14:textId="32F85A2E"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3E2722A6" w14:textId="7CA85F9D"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7E691125" w14:textId="6269001F"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1FC3A64A" w14:textId="7136894A"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2FCF2373" w14:textId="543DC887"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1521" w:type="pct"/>
          </w:tcPr>
          <w:p w14:paraId="388FBFF4" w14:textId="6142CB91" w:rsidR="00897293" w:rsidRPr="00CC6553" w:rsidRDefault="00897293" w:rsidP="005271BB">
            <w:pPr>
              <w:rPr>
                <w:rFonts w:cs="Arial"/>
                <w:color w:val="000000" w:themeColor="text1"/>
                <w:sz w:val="20"/>
              </w:rPr>
            </w:pPr>
            <w:r w:rsidRPr="00CC6553">
              <w:rPr>
                <w:rFonts w:cs="Arial"/>
                <w:color w:val="000000" w:themeColor="text1"/>
                <w:sz w:val="20"/>
              </w:rPr>
              <w:t>Suggesting adding to the guidance as to the frequency of the blood testing. That transferrin saturation (TSAT), serum ferritin and haemoglobin to be tested routinely as part of the annual review.</w:t>
            </w:r>
          </w:p>
        </w:tc>
        <w:tc>
          <w:tcPr>
            <w:tcW w:w="2122" w:type="pct"/>
          </w:tcPr>
          <w:p w14:paraId="6FBF741C" w14:textId="77777777" w:rsidR="00897293" w:rsidRPr="00CC6553" w:rsidRDefault="00897293" w:rsidP="005271BB">
            <w:pPr>
              <w:pStyle w:val="Heading1"/>
              <w:rPr>
                <w:rFonts w:cs="Arial"/>
                <w:b w:val="0"/>
                <w:bCs w:val="0"/>
                <w:color w:val="000000" w:themeColor="text1"/>
                <w:sz w:val="20"/>
              </w:rPr>
            </w:pPr>
            <w:r w:rsidRPr="00CC6553">
              <w:rPr>
                <w:rFonts w:cs="Arial"/>
                <w:b w:val="0"/>
                <w:color w:val="000000" w:themeColor="text1"/>
                <w:sz w:val="20"/>
              </w:rPr>
              <w:t xml:space="preserve">Thank you for your comment. </w:t>
            </w:r>
            <w:r w:rsidRPr="00CC6553">
              <w:rPr>
                <w:rFonts w:cs="Arial"/>
                <w:b w:val="0"/>
                <w:bCs w:val="0"/>
                <w:color w:val="000000" w:themeColor="text1"/>
                <w:sz w:val="20"/>
              </w:rPr>
              <w:t>The committee has added iron status and haemoglobin to section 1.8 clinical review.</w:t>
            </w:r>
          </w:p>
          <w:p w14:paraId="59129269" w14:textId="77777777" w:rsidR="00897293" w:rsidRPr="00CC6553" w:rsidRDefault="00897293" w:rsidP="006E3703">
            <w:pPr>
              <w:rPr>
                <w:color w:val="000000" w:themeColor="text1"/>
              </w:rPr>
            </w:pPr>
          </w:p>
          <w:p w14:paraId="7DC3D0EC" w14:textId="39F74937" w:rsidR="00897293" w:rsidRPr="00CC6553" w:rsidRDefault="00897293" w:rsidP="006E3703">
            <w:pPr>
              <w:rPr>
                <w:color w:val="000000" w:themeColor="text1"/>
              </w:rPr>
            </w:pPr>
          </w:p>
        </w:tc>
      </w:tr>
      <w:tr w:rsidR="00897293" w:rsidRPr="00CC6553" w14:paraId="7DEFDE4F" w14:textId="77777777" w:rsidTr="00897293">
        <w:trPr>
          <w:trHeight w:val="300"/>
        </w:trPr>
        <w:tc>
          <w:tcPr>
            <w:tcW w:w="109" w:type="pct"/>
          </w:tcPr>
          <w:p w14:paraId="29B0B86C" w14:textId="77777777" w:rsidR="00897293" w:rsidRPr="00CC6553" w:rsidRDefault="00897293" w:rsidP="005271BB">
            <w:pPr>
              <w:rPr>
                <w:rFonts w:cs="Arial"/>
                <w:color w:val="000000" w:themeColor="text1"/>
                <w:sz w:val="20"/>
              </w:rPr>
            </w:pPr>
            <w:r w:rsidRPr="00CC6553">
              <w:rPr>
                <w:rFonts w:cs="Arial"/>
                <w:color w:val="000000" w:themeColor="text1"/>
                <w:sz w:val="20"/>
              </w:rPr>
              <w:t>89</w:t>
            </w:r>
          </w:p>
        </w:tc>
        <w:tc>
          <w:tcPr>
            <w:tcW w:w="143" w:type="pct"/>
          </w:tcPr>
          <w:p w14:paraId="7B9FC054" w14:textId="5A88626D"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3AA24017" w14:textId="3D34C6E4" w:rsidR="00897293" w:rsidRPr="00CC6553" w:rsidRDefault="00897293" w:rsidP="005271BB">
            <w:pPr>
              <w:rPr>
                <w:rFonts w:cs="Arial"/>
                <w:bCs/>
                <w:iCs/>
                <w:color w:val="000000" w:themeColor="text1"/>
                <w:sz w:val="20"/>
              </w:rPr>
            </w:pPr>
            <w:r w:rsidRPr="00CC6553">
              <w:rPr>
                <w:rFonts w:cs="Arial"/>
                <w:color w:val="000000" w:themeColor="text1"/>
                <w:sz w:val="20"/>
              </w:rPr>
              <w:t>UK Clinical Pharmacy Association (UKCPA) – heart failure committee</w:t>
            </w:r>
          </w:p>
        </w:tc>
        <w:tc>
          <w:tcPr>
            <w:tcW w:w="279" w:type="pct"/>
          </w:tcPr>
          <w:p w14:paraId="7D8189A5" w14:textId="2CBEE3C2"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6D8A703B" w14:textId="32345588"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730079D9" w14:textId="1CC203E5"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1521" w:type="pct"/>
          </w:tcPr>
          <w:p w14:paraId="744F61C1" w14:textId="5A1C3897" w:rsidR="00897293" w:rsidRPr="00CC6553" w:rsidRDefault="00897293" w:rsidP="005271BB">
            <w:pPr>
              <w:rPr>
                <w:rFonts w:cs="Arial"/>
                <w:color w:val="000000" w:themeColor="text1"/>
                <w:sz w:val="20"/>
              </w:rPr>
            </w:pPr>
            <w:r w:rsidRPr="00CC6553">
              <w:rPr>
                <w:rFonts w:cs="Arial"/>
                <w:color w:val="000000" w:themeColor="text1"/>
                <w:sz w:val="20"/>
              </w:rPr>
              <w:t>We agree with the recommendation but also highlight that iron deficiency may be present even without anaemia.</w:t>
            </w:r>
          </w:p>
        </w:tc>
        <w:tc>
          <w:tcPr>
            <w:tcW w:w="2122" w:type="pct"/>
          </w:tcPr>
          <w:p w14:paraId="48CCC28B" w14:textId="4805419E" w:rsidR="00897293" w:rsidRPr="00CC6553" w:rsidRDefault="00897293" w:rsidP="038F8132">
            <w:pPr>
              <w:pStyle w:val="Heading1"/>
              <w:rPr>
                <w:rFonts w:cs="Arial"/>
                <w:b w:val="0"/>
                <w:bCs w:val="0"/>
                <w:color w:val="000000" w:themeColor="text1"/>
                <w:sz w:val="20"/>
              </w:rPr>
            </w:pPr>
            <w:r w:rsidRPr="038F8132">
              <w:rPr>
                <w:rFonts w:cs="Arial"/>
                <w:b w:val="0"/>
                <w:bCs w:val="0"/>
                <w:color w:val="000000" w:themeColor="text1"/>
                <w:sz w:val="20"/>
              </w:rPr>
              <w:t xml:space="preserve">Thank you for your comment.  The recommendation is based on the inclusion criteria of the trials (see evidence review C) which included </w:t>
            </w:r>
            <w:r>
              <w:rPr>
                <w:rFonts w:cs="Arial"/>
                <w:b w:val="0"/>
                <w:bCs w:val="0"/>
                <w:color w:val="000000" w:themeColor="text1"/>
                <w:sz w:val="20"/>
              </w:rPr>
              <w:t>haemoglobin</w:t>
            </w:r>
            <w:r w:rsidRPr="038F8132">
              <w:rPr>
                <w:rFonts w:cs="Arial"/>
                <w:b w:val="0"/>
                <w:bCs w:val="0"/>
                <w:color w:val="000000" w:themeColor="text1"/>
                <w:sz w:val="20"/>
              </w:rPr>
              <w:t xml:space="preserve"> cut offs.</w:t>
            </w:r>
          </w:p>
          <w:p w14:paraId="0EBDEE5D" w14:textId="77777777" w:rsidR="00897293" w:rsidRDefault="00897293" w:rsidP="00591F65"/>
          <w:p w14:paraId="5ED2BFA0" w14:textId="140361D3" w:rsidR="00897293" w:rsidRPr="00AA4A4D" w:rsidRDefault="00897293" w:rsidP="009B3C47">
            <w:pPr>
              <w:rPr>
                <w:rFonts w:cs="Arial"/>
                <w:color w:val="000000" w:themeColor="text1"/>
                <w:sz w:val="20"/>
              </w:rPr>
            </w:pPr>
            <w:r w:rsidRPr="009B3C47">
              <w:rPr>
                <w:rFonts w:cs="Arial"/>
                <w:color w:val="000000" w:themeColor="text1"/>
                <w:sz w:val="20"/>
              </w:rPr>
              <w:t xml:space="preserve">The committee discussed that iron deficiency can be present without </w:t>
            </w:r>
            <w:r w:rsidRPr="00AA4A4D">
              <w:rPr>
                <w:rFonts w:cs="Arial"/>
                <w:color w:val="000000" w:themeColor="text1"/>
                <w:sz w:val="20"/>
              </w:rPr>
              <w:t>anaemia but</w:t>
            </w:r>
            <w:r w:rsidRPr="009B3C47">
              <w:rPr>
                <w:rFonts w:cs="Arial"/>
                <w:color w:val="000000" w:themeColor="text1"/>
                <w:sz w:val="20"/>
              </w:rPr>
              <w:t xml:space="preserve"> agreed that this detail was not required in the wording of the recommendation as is well-known amongst clinicians.</w:t>
            </w:r>
          </w:p>
          <w:p w14:paraId="246626EB" w14:textId="12E07B8B" w:rsidR="00897293" w:rsidRPr="00CC6553" w:rsidRDefault="00897293" w:rsidP="038F8132">
            <w:pPr>
              <w:rPr>
                <w:color w:val="000000" w:themeColor="text1"/>
                <w:sz w:val="20"/>
              </w:rPr>
            </w:pPr>
          </w:p>
        </w:tc>
      </w:tr>
      <w:tr w:rsidR="00897293" w:rsidRPr="00CC6553" w14:paraId="017EE658" w14:textId="77777777" w:rsidTr="00897293">
        <w:trPr>
          <w:trHeight w:val="300"/>
        </w:trPr>
        <w:tc>
          <w:tcPr>
            <w:tcW w:w="109" w:type="pct"/>
          </w:tcPr>
          <w:p w14:paraId="76306DD7" w14:textId="77777777" w:rsidR="00897293" w:rsidRPr="00CC6553" w:rsidRDefault="00897293" w:rsidP="005271BB">
            <w:pPr>
              <w:rPr>
                <w:rFonts w:cs="Arial"/>
                <w:color w:val="000000" w:themeColor="text1"/>
                <w:sz w:val="20"/>
              </w:rPr>
            </w:pPr>
            <w:r w:rsidRPr="00CC6553">
              <w:rPr>
                <w:rFonts w:cs="Arial"/>
                <w:color w:val="000000" w:themeColor="text1"/>
                <w:sz w:val="20"/>
              </w:rPr>
              <w:t>90</w:t>
            </w:r>
          </w:p>
        </w:tc>
        <w:tc>
          <w:tcPr>
            <w:tcW w:w="143" w:type="pct"/>
          </w:tcPr>
          <w:p w14:paraId="3AF2B5BC" w14:textId="07B3CEE0"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0C32C50B" w14:textId="18142EEF" w:rsidR="00897293" w:rsidRPr="00CC6553" w:rsidRDefault="00897293" w:rsidP="005271BB">
            <w:pPr>
              <w:rPr>
                <w:rFonts w:cs="Arial"/>
                <w:bCs/>
                <w:iCs/>
                <w:color w:val="000000" w:themeColor="text1"/>
                <w:sz w:val="20"/>
              </w:rPr>
            </w:pPr>
            <w:r w:rsidRPr="00CC6553">
              <w:rPr>
                <w:rFonts w:cs="Arial"/>
                <w:color w:val="000000" w:themeColor="text1"/>
                <w:sz w:val="20"/>
              </w:rPr>
              <w:t>University Hospital Southampton NHS Foundation Trust</w:t>
            </w:r>
          </w:p>
        </w:tc>
        <w:tc>
          <w:tcPr>
            <w:tcW w:w="279" w:type="pct"/>
          </w:tcPr>
          <w:p w14:paraId="12BDDF03" w14:textId="59594C35"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1921296B" w14:textId="51CD6EBC"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283EB19C" w14:textId="511E0833" w:rsidR="00897293" w:rsidRPr="00CC6553" w:rsidRDefault="00897293" w:rsidP="005271BB">
            <w:pPr>
              <w:rPr>
                <w:rFonts w:cs="Arial"/>
                <w:color w:val="000000" w:themeColor="text1"/>
                <w:sz w:val="20"/>
              </w:rPr>
            </w:pPr>
            <w:r w:rsidRPr="00CC6553">
              <w:rPr>
                <w:rFonts w:cs="Arial"/>
                <w:color w:val="000000" w:themeColor="text1"/>
                <w:sz w:val="20"/>
              </w:rPr>
              <w:t>011 - 012</w:t>
            </w:r>
          </w:p>
        </w:tc>
        <w:tc>
          <w:tcPr>
            <w:tcW w:w="1521" w:type="pct"/>
          </w:tcPr>
          <w:p w14:paraId="083068F2" w14:textId="08CA3716" w:rsidR="00897293" w:rsidRPr="00CC6553" w:rsidRDefault="00897293" w:rsidP="21434BE0">
            <w:pPr>
              <w:rPr>
                <w:rFonts w:cs="Arial"/>
                <w:color w:val="000000" w:themeColor="text1"/>
                <w:sz w:val="20"/>
              </w:rPr>
            </w:pPr>
            <w:r w:rsidRPr="00CC6553">
              <w:rPr>
                <w:rFonts w:cs="Arial"/>
                <w:color w:val="000000" w:themeColor="text1"/>
                <w:sz w:val="20"/>
              </w:rPr>
              <w:t>We are dissapointed that the guideline has not commented on the frequency of assessment of iron status in clinical practice.</w:t>
            </w:r>
            <w:r w:rsidRPr="00CC6553">
              <w:rPr>
                <w:color w:val="000000" w:themeColor="text1"/>
              </w:rPr>
              <w:br/>
            </w:r>
            <w:r w:rsidRPr="00CC6553">
              <w:rPr>
                <w:rFonts w:cs="Arial"/>
                <w:color w:val="000000" w:themeColor="text1"/>
                <w:sz w:val="20"/>
              </w:rPr>
              <w:t>We are also concerned that the guideline implies that assessment of iron status and consideration of IV Iron therapy should be considered only in HFrEF and not in HfmrEF, which would seem to be contrary to the available evidence given the inclusion criteria for most major trials in this area included LVEF cut offs of 45%.</w:t>
            </w:r>
          </w:p>
        </w:tc>
        <w:tc>
          <w:tcPr>
            <w:tcW w:w="2122" w:type="pct"/>
          </w:tcPr>
          <w:p w14:paraId="4F0DF82A" w14:textId="77777777" w:rsidR="00897293" w:rsidRDefault="00897293" w:rsidP="00ED5869">
            <w:pPr>
              <w:pStyle w:val="Heading1"/>
              <w:rPr>
                <w:rFonts w:cs="Arial"/>
                <w:b w:val="0"/>
                <w:bCs w:val="0"/>
                <w:color w:val="000000" w:themeColor="text1"/>
                <w:sz w:val="20"/>
              </w:rPr>
            </w:pPr>
            <w:r w:rsidRPr="00CC6553">
              <w:rPr>
                <w:rFonts w:cs="Arial"/>
                <w:b w:val="0"/>
                <w:bCs w:val="0"/>
                <w:color w:val="000000" w:themeColor="text1"/>
                <w:sz w:val="20"/>
              </w:rPr>
              <w:t xml:space="preserve">Thank you for your comment. </w:t>
            </w:r>
          </w:p>
          <w:p w14:paraId="03ACE113" w14:textId="77777777" w:rsidR="00897293" w:rsidRDefault="00897293" w:rsidP="00ED5869">
            <w:pPr>
              <w:pStyle w:val="Heading1"/>
              <w:rPr>
                <w:rFonts w:cs="Arial"/>
                <w:b w:val="0"/>
                <w:bCs w:val="0"/>
                <w:color w:val="000000" w:themeColor="text1"/>
                <w:sz w:val="20"/>
              </w:rPr>
            </w:pPr>
          </w:p>
          <w:p w14:paraId="258EAAA0" w14:textId="5A739EB5" w:rsidR="00897293" w:rsidRDefault="00897293" w:rsidP="6763097B">
            <w:pPr>
              <w:pStyle w:val="Heading1"/>
              <w:rPr>
                <w:rFonts w:cs="Arial"/>
                <w:b w:val="0"/>
                <w:bCs w:val="0"/>
                <w:color w:val="000000" w:themeColor="text1"/>
                <w:sz w:val="20"/>
              </w:rPr>
            </w:pPr>
            <w:r w:rsidRPr="6763097B">
              <w:rPr>
                <w:rFonts w:cs="Arial"/>
                <w:b w:val="0"/>
                <w:bCs w:val="0"/>
                <w:color w:val="000000" w:themeColor="text1"/>
                <w:sz w:val="20"/>
              </w:rPr>
              <w:t xml:space="preserve">The committee discussed the frequency of assessment of iron status in clinical practice but were unable to provide specific guidance on this as this question was outside the scope of the guideline update.  However, the committee confirmed </w:t>
            </w:r>
            <w:r w:rsidRPr="6763097B">
              <w:rPr>
                <w:rFonts w:cs="Arial"/>
                <w:b w:val="0"/>
                <w:bCs w:val="0"/>
                <w:color w:val="000000" w:themeColor="text1"/>
                <w:sz w:val="20"/>
              </w:rPr>
              <w:lastRenderedPageBreak/>
              <w:t>that the frequency of testing would depend on individual patient factors.</w:t>
            </w:r>
          </w:p>
          <w:p w14:paraId="5629032D" w14:textId="77777777" w:rsidR="00897293" w:rsidRDefault="00897293" w:rsidP="00ED5869">
            <w:pPr>
              <w:pStyle w:val="Heading1"/>
              <w:rPr>
                <w:rFonts w:cs="Arial"/>
                <w:b w:val="0"/>
                <w:bCs w:val="0"/>
                <w:color w:val="000000" w:themeColor="text1"/>
                <w:sz w:val="20"/>
              </w:rPr>
            </w:pPr>
          </w:p>
          <w:p w14:paraId="0A55E5AF" w14:textId="29E0FDD5" w:rsidR="00897293" w:rsidRPr="00CC6553" w:rsidRDefault="00897293" w:rsidP="00203193">
            <w:pPr>
              <w:pStyle w:val="Heading1"/>
              <w:rPr>
                <w:rFonts w:cs="Arial"/>
                <w:b w:val="0"/>
                <w:bCs w:val="0"/>
                <w:color w:val="000000" w:themeColor="text1"/>
                <w:sz w:val="20"/>
              </w:rPr>
            </w:pPr>
            <w:r w:rsidRPr="00CC6553">
              <w:rPr>
                <w:rFonts w:cs="Arial"/>
                <w:b w:val="0"/>
                <w:bCs w:val="0"/>
                <w:color w:val="000000" w:themeColor="text1"/>
                <w:sz w:val="20"/>
              </w:rPr>
              <w:t>The committee has added iron status and haemoglobin to section 1.8 clinical review</w:t>
            </w:r>
            <w:r w:rsidRPr="6763097B">
              <w:rPr>
                <w:rFonts w:cs="Arial"/>
                <w:b w:val="0"/>
                <w:bCs w:val="0"/>
                <w:color w:val="000000" w:themeColor="text1"/>
                <w:sz w:val="20"/>
              </w:rPr>
              <w:t xml:space="preserve"> to ensure that this is checked. </w:t>
            </w:r>
          </w:p>
          <w:p w14:paraId="72B2774E" w14:textId="1C591416" w:rsidR="00897293" w:rsidRPr="00CC6553" w:rsidRDefault="00897293" w:rsidP="00473082">
            <w:pPr>
              <w:pStyle w:val="Heading1"/>
              <w:rPr>
                <w:rFonts w:cs="Arial"/>
                <w:b w:val="0"/>
                <w:bCs w:val="0"/>
                <w:color w:val="000000" w:themeColor="text1"/>
                <w:sz w:val="20"/>
              </w:rPr>
            </w:pPr>
            <w:r w:rsidRPr="00CC6553">
              <w:rPr>
                <w:rFonts w:cs="Arial"/>
                <w:b w:val="0"/>
                <w:bCs w:val="0"/>
                <w:color w:val="000000" w:themeColor="text1"/>
                <w:sz w:val="20"/>
              </w:rPr>
              <w:t xml:space="preserve">The recommendations made reflect the clinical and cost-effectiveness evidence which focussed largely on a population with HFrEF (please see table 2 in Evidence Review C for baseline LVEF values). </w:t>
            </w:r>
          </w:p>
          <w:p w14:paraId="239C79E7" w14:textId="77777777" w:rsidR="00897293" w:rsidRPr="00CC6553" w:rsidRDefault="00897293" w:rsidP="00473082">
            <w:pPr>
              <w:pStyle w:val="Heading1"/>
              <w:rPr>
                <w:rFonts w:cs="Arial"/>
                <w:b w:val="0"/>
                <w:color w:val="000000" w:themeColor="text1"/>
                <w:sz w:val="20"/>
              </w:rPr>
            </w:pPr>
          </w:p>
          <w:p w14:paraId="4436B307" w14:textId="6C1B81C5" w:rsidR="00897293" w:rsidRPr="00CC6553" w:rsidRDefault="00897293" w:rsidP="00A767A8">
            <w:pPr>
              <w:rPr>
                <w:color w:val="000000" w:themeColor="text1"/>
              </w:rPr>
            </w:pPr>
          </w:p>
        </w:tc>
      </w:tr>
      <w:tr w:rsidR="00897293" w:rsidRPr="00CC6553" w14:paraId="2F9BB0C8" w14:textId="77777777" w:rsidTr="00897293">
        <w:trPr>
          <w:trHeight w:val="300"/>
        </w:trPr>
        <w:tc>
          <w:tcPr>
            <w:tcW w:w="109" w:type="pct"/>
          </w:tcPr>
          <w:p w14:paraId="7C57666D"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91</w:t>
            </w:r>
          </w:p>
        </w:tc>
        <w:tc>
          <w:tcPr>
            <w:tcW w:w="143" w:type="pct"/>
          </w:tcPr>
          <w:p w14:paraId="40016719" w14:textId="50EAF3C0"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10DD0712" w14:textId="6095F0ED"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0A6500FA" w14:textId="7348AEAD"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5FE33C94" w14:textId="46622958"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2B97D7BA" w14:textId="3ED8F09B" w:rsidR="00897293" w:rsidRPr="00CC6553" w:rsidRDefault="00897293" w:rsidP="005271BB">
            <w:pPr>
              <w:rPr>
                <w:rFonts w:cs="Arial"/>
                <w:color w:val="000000" w:themeColor="text1"/>
                <w:sz w:val="20"/>
              </w:rPr>
            </w:pPr>
            <w:r w:rsidRPr="00CC6553">
              <w:rPr>
                <w:rFonts w:cs="Arial"/>
                <w:color w:val="000000" w:themeColor="text1"/>
                <w:sz w:val="20"/>
              </w:rPr>
              <w:t>011 - 015</w:t>
            </w:r>
          </w:p>
        </w:tc>
        <w:tc>
          <w:tcPr>
            <w:tcW w:w="1521" w:type="pct"/>
          </w:tcPr>
          <w:p w14:paraId="7B3BCBDD" w14:textId="239349C5" w:rsidR="00897293" w:rsidRPr="00CC6553" w:rsidRDefault="00897293" w:rsidP="21434BE0">
            <w:pPr>
              <w:rPr>
                <w:rFonts w:cs="Arial"/>
                <w:color w:val="000000" w:themeColor="text1"/>
                <w:sz w:val="20"/>
              </w:rPr>
            </w:pPr>
            <w:r w:rsidRPr="00CC6553">
              <w:rPr>
                <w:rFonts w:cs="Arial"/>
                <w:color w:val="000000" w:themeColor="text1"/>
                <w:sz w:val="20"/>
              </w:rPr>
              <w:t>Intravenous iron therapy      Section 1.4.6       Definition of iron deficiency</w:t>
            </w:r>
            <w:r w:rsidRPr="00CC6553">
              <w:rPr>
                <w:color w:val="000000" w:themeColor="text1"/>
              </w:rPr>
              <w:br/>
            </w:r>
            <w:r w:rsidRPr="00CC6553">
              <w:rPr>
                <w:color w:val="000000" w:themeColor="text1"/>
              </w:rPr>
              <w:br/>
            </w:r>
            <w:r w:rsidRPr="00CC6553">
              <w:rPr>
                <w:rFonts w:cs="Arial"/>
                <w:color w:val="000000" w:themeColor="text1"/>
                <w:sz w:val="20"/>
              </w:rPr>
              <w:t>Comment</w:t>
            </w:r>
            <w:r w:rsidRPr="00CC6553">
              <w:rPr>
                <w:color w:val="000000" w:themeColor="text1"/>
              </w:rPr>
              <w:br/>
            </w:r>
            <w:r w:rsidRPr="00CC6553">
              <w:rPr>
                <w:rFonts w:cs="Arial"/>
                <w:color w:val="000000" w:themeColor="text1"/>
                <w:sz w:val="20"/>
              </w:rPr>
              <w:t xml:space="preserve">Noting that there is debate on the optimal definition of iron deficiency in heart failure, inevitably the committee have had to use data from the trial inclusion and exclusion criteria. Given there have been slight differences between the trials in this respect (for example, HEART-FID AFIRM-AHF and IRONMAN) these criteria seem appropriate. However, it would be important to add that ‘when making clinical decisions it is important to review all available data, including haemoglobin, TSAT and ferritin’. </w:t>
            </w:r>
            <w:r w:rsidRPr="00CC6553">
              <w:rPr>
                <w:color w:val="000000" w:themeColor="text1"/>
              </w:rPr>
              <w:br/>
            </w:r>
            <w:r w:rsidRPr="00CC6553">
              <w:rPr>
                <w:color w:val="000000" w:themeColor="text1"/>
              </w:rPr>
              <w:br/>
            </w:r>
            <w:r w:rsidRPr="00CC6553">
              <w:rPr>
                <w:rFonts w:cs="Arial"/>
                <w:color w:val="000000" w:themeColor="text1"/>
                <w:sz w:val="20"/>
              </w:rPr>
              <w:t>There may be a danger of purely relying on a single marker. For example, a ferritin of &lt;100 alone may identify patients without iron deficiency, noting that SGLT2 inhibitors may reduce ferritin values (published data from DAPA-HF).</w:t>
            </w:r>
            <w:r w:rsidRPr="00CC6553">
              <w:rPr>
                <w:color w:val="000000" w:themeColor="text1"/>
              </w:rPr>
              <w:br/>
            </w:r>
            <w:r w:rsidRPr="00CC6553">
              <w:rPr>
                <w:color w:val="000000" w:themeColor="text1"/>
              </w:rPr>
              <w:br/>
            </w:r>
            <w:r w:rsidRPr="00CC6553">
              <w:rPr>
                <w:rFonts w:cs="Arial"/>
                <w:color w:val="000000" w:themeColor="text1"/>
                <w:sz w:val="20"/>
              </w:rPr>
              <w:t xml:space="preserve">Please note as a GENERAL comment that the AFFIRM-AHF trial has not been </w:t>
            </w:r>
            <w:r w:rsidRPr="00CC6553">
              <w:rPr>
                <w:rFonts w:cs="Arial"/>
                <w:color w:val="000000" w:themeColor="text1"/>
                <w:sz w:val="20"/>
              </w:rPr>
              <w:lastRenderedPageBreak/>
              <w:t>included in the evidence review because it is thought to be an acute heart failure trial. This seems to be at odds with the patient with heart failure journey. For example, in AFFIRM-AHF, 70% of patients had known chronic heart failure. They deteriorated, were treated and then recruited pre-discharge. One might argue this is when they are transitioning back or into the chronic phase of heart failure. Certainly, the next 1 year of the patient follow up with repeat doses of IV as necessary is in the chronic phase. As such it does not make clinical sense to ignore these important data that add to our understanding of this area.</w:t>
            </w:r>
          </w:p>
        </w:tc>
        <w:tc>
          <w:tcPr>
            <w:tcW w:w="2122" w:type="pct"/>
          </w:tcPr>
          <w:p w14:paraId="79529786" w14:textId="6C27DF78" w:rsidR="00897293" w:rsidRPr="00CC6553" w:rsidRDefault="00897293" w:rsidP="009C18AF">
            <w:pPr>
              <w:pStyle w:val="Heading1"/>
              <w:rPr>
                <w:color w:val="000000" w:themeColor="text1"/>
              </w:rPr>
            </w:pPr>
            <w:r w:rsidRPr="00CC6553">
              <w:rPr>
                <w:rFonts w:cs="Arial"/>
                <w:b w:val="0"/>
                <w:bCs w:val="0"/>
                <w:color w:val="000000" w:themeColor="text1"/>
                <w:sz w:val="20"/>
              </w:rPr>
              <w:lastRenderedPageBreak/>
              <w:t xml:space="preserve">Thank you for your comment.  The committee has added iron status and haemoglobin to section 1.8 clinical review. </w:t>
            </w:r>
          </w:p>
          <w:p w14:paraId="4008E08F" w14:textId="4D201646" w:rsidR="00897293" w:rsidRPr="00CC6553" w:rsidRDefault="00897293" w:rsidP="005C65E8">
            <w:pPr>
              <w:pStyle w:val="Heading1"/>
              <w:rPr>
                <w:rFonts w:cs="Arial"/>
                <w:b w:val="0"/>
                <w:color w:val="000000" w:themeColor="text1"/>
                <w:sz w:val="20"/>
              </w:rPr>
            </w:pPr>
            <w:r w:rsidRPr="00CC6553">
              <w:rPr>
                <w:rFonts w:cs="Arial"/>
                <w:b w:val="0"/>
                <w:bCs w:val="0"/>
                <w:color w:val="000000" w:themeColor="text1"/>
                <w:sz w:val="20"/>
              </w:rPr>
              <w:t xml:space="preserve">Since the AFFIRM trial is based on a population presenting to hospital with an acute episode of HF, this trial does not meet the population protocol requirements for inclusion in this review. </w:t>
            </w:r>
          </w:p>
        </w:tc>
      </w:tr>
      <w:tr w:rsidR="00897293" w:rsidRPr="00CC6553" w14:paraId="49FD8A8B" w14:textId="77777777" w:rsidTr="00897293">
        <w:trPr>
          <w:trHeight w:val="300"/>
        </w:trPr>
        <w:tc>
          <w:tcPr>
            <w:tcW w:w="109" w:type="pct"/>
          </w:tcPr>
          <w:p w14:paraId="02D9B28A" w14:textId="77777777" w:rsidR="00897293" w:rsidRPr="00CC6553" w:rsidRDefault="00897293" w:rsidP="005271BB">
            <w:pPr>
              <w:rPr>
                <w:rFonts w:cs="Arial"/>
                <w:color w:val="000000" w:themeColor="text1"/>
                <w:sz w:val="20"/>
              </w:rPr>
            </w:pPr>
            <w:r w:rsidRPr="00CC6553">
              <w:rPr>
                <w:rFonts w:cs="Arial"/>
                <w:color w:val="000000" w:themeColor="text1"/>
                <w:sz w:val="20"/>
              </w:rPr>
              <w:t>92</w:t>
            </w:r>
          </w:p>
        </w:tc>
        <w:tc>
          <w:tcPr>
            <w:tcW w:w="143" w:type="pct"/>
          </w:tcPr>
          <w:p w14:paraId="74A30F5A" w14:textId="6481CDC6"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2E90EAE2" w14:textId="50AFEE54" w:rsidR="00897293" w:rsidRPr="00CC6553" w:rsidRDefault="00897293" w:rsidP="005271BB">
            <w:pPr>
              <w:rPr>
                <w:rFonts w:cs="Arial"/>
                <w:bCs/>
                <w:iCs/>
                <w:color w:val="000000" w:themeColor="text1"/>
                <w:sz w:val="20"/>
              </w:rPr>
            </w:pPr>
            <w:r w:rsidRPr="00CC6553">
              <w:rPr>
                <w:rFonts w:cs="Arial"/>
                <w:color w:val="000000" w:themeColor="text1"/>
                <w:sz w:val="20"/>
              </w:rPr>
              <w:t>Portsmouth Hospitals University NHS Trust</w:t>
            </w:r>
          </w:p>
        </w:tc>
        <w:tc>
          <w:tcPr>
            <w:tcW w:w="279" w:type="pct"/>
          </w:tcPr>
          <w:p w14:paraId="088F9BF9" w14:textId="7FF8BF8C"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085F57F5" w14:textId="04D95466"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4CBE03D5" w14:textId="20878E52" w:rsidR="00897293" w:rsidRPr="00CC6553" w:rsidRDefault="00897293" w:rsidP="005271BB">
            <w:pPr>
              <w:rPr>
                <w:rFonts w:cs="Arial"/>
                <w:color w:val="000000" w:themeColor="text1"/>
                <w:sz w:val="20"/>
              </w:rPr>
            </w:pPr>
            <w:r w:rsidRPr="00CC6553">
              <w:rPr>
                <w:rFonts w:cs="Arial"/>
                <w:color w:val="000000" w:themeColor="text1"/>
                <w:sz w:val="20"/>
              </w:rPr>
              <w:t>011 - 015</w:t>
            </w:r>
          </w:p>
        </w:tc>
        <w:tc>
          <w:tcPr>
            <w:tcW w:w="1521" w:type="pct"/>
          </w:tcPr>
          <w:p w14:paraId="30A5D434" w14:textId="0B6B9B49" w:rsidR="00897293" w:rsidRPr="00CC6553" w:rsidRDefault="00897293" w:rsidP="005271BB">
            <w:pPr>
              <w:rPr>
                <w:rFonts w:cs="Arial"/>
                <w:color w:val="000000" w:themeColor="text1"/>
                <w:sz w:val="20"/>
              </w:rPr>
            </w:pPr>
            <w:r w:rsidRPr="00CC6553">
              <w:rPr>
                <w:rFonts w:cs="Arial"/>
                <w:color w:val="000000" w:themeColor="text1"/>
                <w:sz w:val="20"/>
              </w:rPr>
              <w:t>Intravenous iron therapy      Section 1.4.6       Definition of iron deficiency</w:t>
            </w:r>
            <w:r w:rsidRPr="00CC6553">
              <w:rPr>
                <w:rFonts w:cs="Arial"/>
                <w:color w:val="000000" w:themeColor="text1"/>
                <w:sz w:val="20"/>
              </w:rPr>
              <w:br/>
            </w:r>
            <w:r w:rsidRPr="00CC6553">
              <w:rPr>
                <w:rFonts w:cs="Arial"/>
                <w:color w:val="000000" w:themeColor="text1"/>
                <w:sz w:val="20"/>
              </w:rPr>
              <w:br/>
              <w:t>Comment</w:t>
            </w:r>
            <w:r w:rsidRPr="00CC6553">
              <w:rPr>
                <w:rFonts w:cs="Arial"/>
                <w:color w:val="000000" w:themeColor="text1"/>
                <w:sz w:val="20"/>
              </w:rPr>
              <w:br/>
              <w:t xml:space="preserve">Noting that there is debate on the optimal definition of iron deficiency in heart failure, inevitably the committee have had to use data from the trial inclusion and exclusion criteria. Given there have been slight differences between the trials in this respect (for example, HEART-FID AFIRM-AHF and IRONMAN) these criteria seem appropriate. However, it would be important to add that ‘when making clinical decisions it is important to review all available data, including haemoglobin, TSAT and ferritin’. </w:t>
            </w:r>
            <w:r w:rsidRPr="00CC6553">
              <w:rPr>
                <w:rFonts w:cs="Arial"/>
                <w:color w:val="000000" w:themeColor="text1"/>
                <w:sz w:val="20"/>
              </w:rPr>
              <w:br/>
            </w:r>
            <w:r w:rsidRPr="00CC6553">
              <w:rPr>
                <w:rFonts w:cs="Arial"/>
                <w:color w:val="000000" w:themeColor="text1"/>
                <w:sz w:val="20"/>
              </w:rPr>
              <w:br/>
              <w:t>There may be a danger of purely relying on a single marker. For example, a ferritin of &lt;100 alone may identify patients without iron deficiency, noting that SGLT2 inhibitors may reduce ferritin values (published data from DAPA-HF).</w:t>
            </w:r>
            <w:r w:rsidRPr="00CC6553">
              <w:rPr>
                <w:rFonts w:cs="Arial"/>
                <w:color w:val="000000" w:themeColor="text1"/>
                <w:sz w:val="20"/>
              </w:rPr>
              <w:br/>
            </w:r>
            <w:r w:rsidRPr="00CC6553">
              <w:rPr>
                <w:rFonts w:cs="Arial"/>
                <w:color w:val="000000" w:themeColor="text1"/>
                <w:sz w:val="20"/>
              </w:rPr>
              <w:br/>
              <w:t>Please note as a GENERAL comment that the AFFIRM-AHF trial has not been included in the evidence review because it is thought to be an acute heart failure trial. This seems to be at odds with the patient with heart failure journey. For example, in AFFIRM-AHF, 70% of patients had known chronic heart failure. They deteriorated, were treated and then recruited pre-discharge. One might argue this is when they are transitioning back or into the chronic phase of heart failure. Certainly, the next 1 year of the patient follow up with repeat doses of IV as necessary is in the chronic phase. As such it does not make clinical sense to ignore these important data that add to our understanding of this area.</w:t>
            </w:r>
          </w:p>
        </w:tc>
        <w:tc>
          <w:tcPr>
            <w:tcW w:w="2122" w:type="pct"/>
          </w:tcPr>
          <w:p w14:paraId="2DD86B2A" w14:textId="62657CE9" w:rsidR="00897293" w:rsidRPr="00CC6553" w:rsidRDefault="00897293" w:rsidP="00D57748">
            <w:pPr>
              <w:pStyle w:val="Heading1"/>
              <w:rPr>
                <w:color w:val="000000" w:themeColor="text1"/>
              </w:rPr>
            </w:pPr>
            <w:r w:rsidRPr="00CC6553">
              <w:rPr>
                <w:rFonts w:cs="Arial"/>
                <w:b w:val="0"/>
                <w:bCs w:val="0"/>
                <w:color w:val="000000" w:themeColor="text1"/>
                <w:sz w:val="20"/>
              </w:rPr>
              <w:t xml:space="preserve">Thank you for your comment.  The committee has added iron status and haemoglobin to section 1.8 clinical review. </w:t>
            </w:r>
          </w:p>
          <w:p w14:paraId="64CA8FDA" w14:textId="6293F0D7" w:rsidR="00897293" w:rsidRPr="00CC6553" w:rsidRDefault="00897293" w:rsidP="00D57748">
            <w:pPr>
              <w:pStyle w:val="Heading1"/>
              <w:rPr>
                <w:rFonts w:cs="Arial"/>
                <w:b w:val="0"/>
                <w:color w:val="000000" w:themeColor="text1"/>
                <w:sz w:val="20"/>
              </w:rPr>
            </w:pPr>
            <w:r w:rsidRPr="00CC6553">
              <w:rPr>
                <w:rFonts w:cs="Arial"/>
                <w:b w:val="0"/>
                <w:bCs w:val="0"/>
                <w:color w:val="000000" w:themeColor="text1"/>
                <w:sz w:val="20"/>
              </w:rPr>
              <w:t>Since the AFFIRM trial is based on a population presenting to hospital with an acute episode of HF, this trial does not meet the population protocol requirements for inclusion in this review.</w:t>
            </w:r>
          </w:p>
        </w:tc>
      </w:tr>
      <w:tr w:rsidR="00897293" w:rsidRPr="00CC6553" w14:paraId="175C9280" w14:textId="77777777" w:rsidTr="00897293">
        <w:trPr>
          <w:trHeight w:val="300"/>
        </w:trPr>
        <w:tc>
          <w:tcPr>
            <w:tcW w:w="109" w:type="pct"/>
          </w:tcPr>
          <w:p w14:paraId="1EB8C300"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93</w:t>
            </w:r>
          </w:p>
        </w:tc>
        <w:tc>
          <w:tcPr>
            <w:tcW w:w="143" w:type="pct"/>
          </w:tcPr>
          <w:p w14:paraId="311D9BEF" w14:textId="3A30FB8A"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57F3FDDC" w14:textId="042EA392" w:rsidR="00897293" w:rsidRPr="00CC6553" w:rsidRDefault="00897293" w:rsidP="005271BB">
            <w:pPr>
              <w:rPr>
                <w:rFonts w:cs="Arial"/>
                <w:bCs/>
                <w:iCs/>
                <w:color w:val="000000" w:themeColor="text1"/>
                <w:sz w:val="20"/>
              </w:rPr>
            </w:pPr>
            <w:r w:rsidRPr="00CC6553">
              <w:rPr>
                <w:rFonts w:cs="Arial"/>
                <w:color w:val="000000" w:themeColor="text1"/>
                <w:sz w:val="20"/>
              </w:rPr>
              <w:t>First Community Health and Care</w:t>
            </w:r>
          </w:p>
        </w:tc>
        <w:tc>
          <w:tcPr>
            <w:tcW w:w="279" w:type="pct"/>
          </w:tcPr>
          <w:p w14:paraId="465EB930" w14:textId="0C45C1A1"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3AF33F3A" w14:textId="6B21E9B2"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20CD7747" w14:textId="0F0F31F3" w:rsidR="00897293" w:rsidRPr="00CC6553" w:rsidRDefault="00897293" w:rsidP="005271BB">
            <w:pPr>
              <w:rPr>
                <w:rFonts w:cs="Arial"/>
                <w:color w:val="000000" w:themeColor="text1"/>
                <w:sz w:val="20"/>
              </w:rPr>
            </w:pPr>
            <w:r w:rsidRPr="00CC6553">
              <w:rPr>
                <w:rFonts w:cs="Arial"/>
                <w:color w:val="000000" w:themeColor="text1"/>
                <w:sz w:val="20"/>
              </w:rPr>
              <w:t>011 - 020</w:t>
            </w:r>
          </w:p>
        </w:tc>
        <w:tc>
          <w:tcPr>
            <w:tcW w:w="1521" w:type="pct"/>
          </w:tcPr>
          <w:p w14:paraId="0565A528" w14:textId="54FBFA7D" w:rsidR="00897293" w:rsidRPr="00CC6553" w:rsidRDefault="00897293" w:rsidP="005271BB">
            <w:pPr>
              <w:rPr>
                <w:rFonts w:cs="Arial"/>
                <w:color w:val="000000" w:themeColor="text1"/>
                <w:sz w:val="20"/>
              </w:rPr>
            </w:pPr>
            <w:r w:rsidRPr="00CC6553">
              <w:rPr>
                <w:rFonts w:cs="Arial"/>
                <w:color w:val="000000" w:themeColor="text1"/>
                <w:sz w:val="20"/>
              </w:rPr>
              <w:t>Rec 1.4.5 and 1.4.6 - Due to limited capacity for the administration of intravenous (IV) iron in secondary care (haematology out patients) – would need new treatment pathways and possibly a move to cardiology ‘iron infusion clinics’.  Not currently resourced.  Haematology currently has long waiting times for outpatient appointments.</w:t>
            </w:r>
          </w:p>
        </w:tc>
        <w:tc>
          <w:tcPr>
            <w:tcW w:w="2122" w:type="pct"/>
          </w:tcPr>
          <w:p w14:paraId="277D9226" w14:textId="30336A39"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  The committee agree that new treatment pathways may be required but how services are commissioned is outside of the scope of this guideline update.</w:t>
            </w:r>
          </w:p>
        </w:tc>
      </w:tr>
      <w:tr w:rsidR="00897293" w:rsidRPr="00CC6553" w14:paraId="13F4D247" w14:textId="77777777" w:rsidTr="00897293">
        <w:trPr>
          <w:trHeight w:val="300"/>
        </w:trPr>
        <w:tc>
          <w:tcPr>
            <w:tcW w:w="109" w:type="pct"/>
          </w:tcPr>
          <w:p w14:paraId="556CF20B" w14:textId="77777777" w:rsidR="00897293" w:rsidRPr="00CC6553" w:rsidRDefault="00897293" w:rsidP="005271BB">
            <w:pPr>
              <w:rPr>
                <w:rFonts w:cs="Arial"/>
                <w:color w:val="000000" w:themeColor="text1"/>
                <w:sz w:val="20"/>
              </w:rPr>
            </w:pPr>
            <w:r w:rsidRPr="00CC6553">
              <w:rPr>
                <w:rFonts w:cs="Arial"/>
                <w:color w:val="000000" w:themeColor="text1"/>
                <w:sz w:val="20"/>
              </w:rPr>
              <w:t>94</w:t>
            </w:r>
          </w:p>
        </w:tc>
        <w:tc>
          <w:tcPr>
            <w:tcW w:w="143" w:type="pct"/>
          </w:tcPr>
          <w:p w14:paraId="4F8E7D04" w14:textId="61C564A0"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285EE74F" w14:textId="6CB23872"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5BDC87E8" w14:textId="0C2C63F4"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3656B0B0" w14:textId="1E0348E8"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36C52EDF" w14:textId="7F10A7C5" w:rsidR="00897293" w:rsidRPr="00CC6553" w:rsidRDefault="00897293" w:rsidP="005271BB">
            <w:pPr>
              <w:rPr>
                <w:rFonts w:cs="Arial"/>
                <w:color w:val="000000" w:themeColor="text1"/>
                <w:sz w:val="20"/>
              </w:rPr>
            </w:pPr>
            <w:r w:rsidRPr="00CC6553">
              <w:rPr>
                <w:rFonts w:cs="Arial"/>
                <w:color w:val="000000" w:themeColor="text1"/>
                <w:sz w:val="20"/>
              </w:rPr>
              <w:t>015</w:t>
            </w:r>
          </w:p>
        </w:tc>
        <w:tc>
          <w:tcPr>
            <w:tcW w:w="1521" w:type="pct"/>
          </w:tcPr>
          <w:p w14:paraId="45A4002C" w14:textId="3D013950" w:rsidR="00897293" w:rsidRPr="00CC6553" w:rsidRDefault="00897293" w:rsidP="005271BB">
            <w:pPr>
              <w:rPr>
                <w:rFonts w:cs="Arial"/>
                <w:color w:val="000000" w:themeColor="text1"/>
                <w:sz w:val="20"/>
              </w:rPr>
            </w:pPr>
            <w:r w:rsidRPr="00CC6553">
              <w:rPr>
                <w:rFonts w:cs="Arial"/>
                <w:color w:val="000000" w:themeColor="text1"/>
                <w:sz w:val="20"/>
              </w:rPr>
              <w:t>Evidence aligns with FAIR-HF, AFFIRM-AHF and IRONMAN. Access to TSATs may vary regionally, leading to under identification. Need clarity on referral pathway for IV iron. Who is responsible for safe prescribing and administration of IV iron (secondary vs primary care).</w:t>
            </w:r>
          </w:p>
        </w:tc>
        <w:tc>
          <w:tcPr>
            <w:tcW w:w="2122" w:type="pct"/>
          </w:tcPr>
          <w:p w14:paraId="3FA765AF" w14:textId="4232FE9F" w:rsidR="00897293" w:rsidRPr="00CC6553" w:rsidRDefault="00897293" w:rsidP="038F8132">
            <w:pPr>
              <w:pStyle w:val="Heading1"/>
              <w:rPr>
                <w:rFonts w:cs="Arial"/>
                <w:b w:val="0"/>
                <w:bCs w:val="0"/>
                <w:color w:val="000000" w:themeColor="text1"/>
                <w:sz w:val="20"/>
              </w:rPr>
            </w:pPr>
            <w:r w:rsidRPr="038F8132">
              <w:rPr>
                <w:rFonts w:cs="Arial"/>
                <w:b w:val="0"/>
                <w:bCs w:val="0"/>
                <w:color w:val="000000" w:themeColor="text1"/>
                <w:sz w:val="20"/>
              </w:rPr>
              <w:t>Thank you for your comment.  NICE guidelines typically do not recommend who should carry a recommendation out but it should be someone with the necessary competencies.</w:t>
            </w:r>
          </w:p>
        </w:tc>
      </w:tr>
      <w:tr w:rsidR="00897293" w:rsidRPr="00CC6553" w14:paraId="0528D056" w14:textId="77777777" w:rsidTr="00897293">
        <w:trPr>
          <w:trHeight w:val="300"/>
        </w:trPr>
        <w:tc>
          <w:tcPr>
            <w:tcW w:w="109" w:type="pct"/>
          </w:tcPr>
          <w:p w14:paraId="3233B041" w14:textId="77777777" w:rsidR="00897293" w:rsidRPr="00CC6553" w:rsidRDefault="00897293" w:rsidP="005271BB">
            <w:pPr>
              <w:rPr>
                <w:rFonts w:cs="Arial"/>
                <w:color w:val="000000" w:themeColor="text1"/>
                <w:sz w:val="20"/>
              </w:rPr>
            </w:pPr>
            <w:r w:rsidRPr="00CC6553">
              <w:rPr>
                <w:rFonts w:cs="Arial"/>
                <w:color w:val="000000" w:themeColor="text1"/>
                <w:sz w:val="20"/>
              </w:rPr>
              <w:t>95</w:t>
            </w:r>
          </w:p>
        </w:tc>
        <w:tc>
          <w:tcPr>
            <w:tcW w:w="143" w:type="pct"/>
          </w:tcPr>
          <w:p w14:paraId="03FD8BE1" w14:textId="73007891"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30EBD72F" w14:textId="741E4FF4" w:rsidR="00897293" w:rsidRPr="00CC6553" w:rsidRDefault="00897293" w:rsidP="005271BB">
            <w:pPr>
              <w:rPr>
                <w:rFonts w:cs="Arial"/>
                <w:bCs/>
                <w:iCs/>
                <w:color w:val="000000" w:themeColor="text1"/>
                <w:sz w:val="20"/>
              </w:rPr>
            </w:pPr>
            <w:r w:rsidRPr="00CC6553">
              <w:rPr>
                <w:rFonts w:cs="Arial"/>
                <w:color w:val="000000" w:themeColor="text1"/>
                <w:sz w:val="20"/>
              </w:rPr>
              <w:t>Pumping Marvellous Foundation</w:t>
            </w:r>
          </w:p>
        </w:tc>
        <w:tc>
          <w:tcPr>
            <w:tcW w:w="279" w:type="pct"/>
          </w:tcPr>
          <w:p w14:paraId="62AAF280" w14:textId="49EE3874"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5325FCD4" w14:textId="52F89ADF"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7361332B" w14:textId="265A49F6" w:rsidR="00897293" w:rsidRPr="00CC6553" w:rsidRDefault="00897293" w:rsidP="005271BB">
            <w:pPr>
              <w:rPr>
                <w:rFonts w:cs="Arial"/>
                <w:color w:val="000000" w:themeColor="text1"/>
                <w:sz w:val="20"/>
              </w:rPr>
            </w:pPr>
            <w:r w:rsidRPr="00CC6553">
              <w:rPr>
                <w:rFonts w:cs="Arial"/>
                <w:color w:val="000000" w:themeColor="text1"/>
                <w:sz w:val="20"/>
              </w:rPr>
              <w:t>016</w:t>
            </w:r>
          </w:p>
        </w:tc>
        <w:tc>
          <w:tcPr>
            <w:tcW w:w="1521" w:type="pct"/>
          </w:tcPr>
          <w:p w14:paraId="72F4F6DF" w14:textId="70D419E3" w:rsidR="00897293" w:rsidRPr="00CC6553" w:rsidRDefault="00897293" w:rsidP="005271BB">
            <w:pPr>
              <w:rPr>
                <w:rFonts w:cs="Arial"/>
                <w:color w:val="000000" w:themeColor="text1"/>
                <w:sz w:val="20"/>
              </w:rPr>
            </w:pPr>
            <w:r w:rsidRPr="00CC6553">
              <w:rPr>
                <w:rFonts w:cs="Arial"/>
                <w:color w:val="000000" w:themeColor="text1"/>
                <w:sz w:val="20"/>
              </w:rPr>
              <w:t>Suggesting adding to the guidance as to the frequency of the blood testing. That transferrin saturation (TSAT), serum ferritin and haemoglobin to be tested routinely as part of the annual review.</w:t>
            </w:r>
          </w:p>
        </w:tc>
        <w:tc>
          <w:tcPr>
            <w:tcW w:w="2122" w:type="pct"/>
          </w:tcPr>
          <w:p w14:paraId="3AAFCBC3" w14:textId="28570293"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  The committee have added iron status and haemoglobin to section 1.8 clinical review.</w:t>
            </w:r>
          </w:p>
        </w:tc>
      </w:tr>
      <w:tr w:rsidR="00897293" w:rsidRPr="00CC6553" w14:paraId="6D11A614" w14:textId="77777777" w:rsidTr="00897293">
        <w:trPr>
          <w:trHeight w:val="300"/>
        </w:trPr>
        <w:tc>
          <w:tcPr>
            <w:tcW w:w="109" w:type="pct"/>
          </w:tcPr>
          <w:p w14:paraId="09CD1437" w14:textId="77777777" w:rsidR="00897293" w:rsidRPr="00CC6553" w:rsidRDefault="00897293" w:rsidP="005271BB">
            <w:pPr>
              <w:rPr>
                <w:rFonts w:cs="Arial"/>
                <w:color w:val="000000" w:themeColor="text1"/>
                <w:sz w:val="20"/>
              </w:rPr>
            </w:pPr>
            <w:r w:rsidRPr="00CC6553">
              <w:rPr>
                <w:rFonts w:cs="Arial"/>
                <w:color w:val="000000" w:themeColor="text1"/>
                <w:sz w:val="20"/>
              </w:rPr>
              <w:t>96</w:t>
            </w:r>
          </w:p>
        </w:tc>
        <w:tc>
          <w:tcPr>
            <w:tcW w:w="143" w:type="pct"/>
          </w:tcPr>
          <w:p w14:paraId="1B8D3276" w14:textId="13F20A29"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12D5A05A" w14:textId="477C8190" w:rsidR="00897293" w:rsidRPr="00CC6553" w:rsidRDefault="00897293" w:rsidP="005271BB">
            <w:pPr>
              <w:rPr>
                <w:rFonts w:cs="Arial"/>
                <w:bCs/>
                <w:iCs/>
                <w:color w:val="000000" w:themeColor="text1"/>
                <w:sz w:val="20"/>
              </w:rPr>
            </w:pPr>
            <w:r w:rsidRPr="00CC6553">
              <w:rPr>
                <w:rFonts w:cs="Arial"/>
                <w:color w:val="000000" w:themeColor="text1"/>
                <w:sz w:val="20"/>
              </w:rPr>
              <w:t>UK Clinical Pharmacy Association (UKCPA) – heart failure committee</w:t>
            </w:r>
          </w:p>
        </w:tc>
        <w:tc>
          <w:tcPr>
            <w:tcW w:w="279" w:type="pct"/>
          </w:tcPr>
          <w:p w14:paraId="28755B1D" w14:textId="0E8353C6"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393526C6" w14:textId="5F3179F7"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471D5F75" w14:textId="0820EAED" w:rsidR="00897293" w:rsidRPr="00CC6553" w:rsidRDefault="00897293" w:rsidP="005271BB">
            <w:pPr>
              <w:rPr>
                <w:rFonts w:cs="Arial"/>
                <w:color w:val="000000" w:themeColor="text1"/>
                <w:sz w:val="20"/>
              </w:rPr>
            </w:pPr>
            <w:r w:rsidRPr="00CC6553">
              <w:rPr>
                <w:rFonts w:cs="Arial"/>
                <w:color w:val="000000" w:themeColor="text1"/>
                <w:sz w:val="20"/>
              </w:rPr>
              <w:t>016</w:t>
            </w:r>
          </w:p>
        </w:tc>
        <w:tc>
          <w:tcPr>
            <w:tcW w:w="1521" w:type="pct"/>
          </w:tcPr>
          <w:p w14:paraId="4CE3EA10" w14:textId="0856F438" w:rsidR="00897293" w:rsidRPr="00CC6553" w:rsidRDefault="00897293" w:rsidP="21434BE0">
            <w:pPr>
              <w:rPr>
                <w:rFonts w:cs="Arial"/>
                <w:color w:val="000000" w:themeColor="text1"/>
                <w:sz w:val="20"/>
              </w:rPr>
            </w:pPr>
            <w:r w:rsidRPr="00CC6553">
              <w:rPr>
                <w:rFonts w:cs="Arial"/>
                <w:color w:val="000000" w:themeColor="text1"/>
                <w:sz w:val="20"/>
              </w:rPr>
              <w:t xml:space="preserve">Agree with the recommendation but could consider rewording </w:t>
            </w:r>
            <w:r w:rsidRPr="000555AF">
              <w:rPr>
                <w:rFonts w:cs="Arial"/>
                <w:color w:val="000000" w:themeColor="text1"/>
                <w:sz w:val="20"/>
              </w:rPr>
              <w:t>statement ‘offer IV iron to adults with HFrEF and iron deficiency (TSATS &lt;20% or ferritin &lt;100ng/ml), regardless of Hb level, provided it is less than 150g/L</w:t>
            </w:r>
            <w:r w:rsidRPr="000555AF">
              <w:rPr>
                <w:color w:val="000000" w:themeColor="text1"/>
              </w:rPr>
              <w:br/>
            </w:r>
            <w:r w:rsidRPr="000555AF">
              <w:rPr>
                <w:rFonts w:cs="Arial"/>
                <w:color w:val="000000" w:themeColor="text1"/>
                <w:sz w:val="20"/>
              </w:rPr>
              <w:t>Furthermore, disappointing</w:t>
            </w:r>
            <w:r w:rsidRPr="00CC6553">
              <w:rPr>
                <w:rFonts w:cs="Arial"/>
                <w:color w:val="000000" w:themeColor="text1"/>
                <w:sz w:val="20"/>
              </w:rPr>
              <w:t xml:space="preserve"> that it excludes EF 41-45% as FAIR-HF, CONFIRM and IRONMAN all included EF&lt;45%.</w:t>
            </w:r>
          </w:p>
        </w:tc>
        <w:tc>
          <w:tcPr>
            <w:tcW w:w="2122" w:type="pct"/>
          </w:tcPr>
          <w:p w14:paraId="5E974A7E" w14:textId="36C4C7CB" w:rsidR="00897293" w:rsidRPr="00CC6553" w:rsidRDefault="00897293" w:rsidP="01B1FDC5">
            <w:pPr>
              <w:pStyle w:val="Heading1"/>
              <w:rPr>
                <w:rFonts w:cs="Arial"/>
                <w:b w:val="0"/>
                <w:bCs w:val="0"/>
                <w:color w:val="000000" w:themeColor="text1"/>
                <w:sz w:val="20"/>
              </w:rPr>
            </w:pPr>
            <w:r w:rsidRPr="00CC6553">
              <w:rPr>
                <w:rFonts w:cs="Arial"/>
                <w:b w:val="0"/>
                <w:bCs w:val="0"/>
                <w:color w:val="000000" w:themeColor="text1"/>
                <w:sz w:val="20"/>
              </w:rPr>
              <w:t xml:space="preserve">Thank you for your comment. </w:t>
            </w:r>
            <w:r w:rsidRPr="6763097B">
              <w:rPr>
                <w:rFonts w:cs="Arial"/>
                <w:b w:val="0"/>
                <w:bCs w:val="0"/>
                <w:color w:val="000000" w:themeColor="text1"/>
                <w:sz w:val="20"/>
              </w:rPr>
              <w:t xml:space="preserve">The committee agreed that it would be confusing to add regardless of haemoglobin level to the recommendation. </w:t>
            </w:r>
            <w:r w:rsidRPr="00CC6553">
              <w:rPr>
                <w:rFonts w:cs="Arial"/>
                <w:b w:val="0"/>
                <w:bCs w:val="0"/>
                <w:color w:val="000000" w:themeColor="text1"/>
                <w:sz w:val="20"/>
              </w:rPr>
              <w:t xml:space="preserve">The recommendations made reflect the clinical evidence which focussed largely on a population with HFrEF (please see table 2 in Evidence Review C for mean baseline LVEF values). </w:t>
            </w:r>
          </w:p>
        </w:tc>
      </w:tr>
      <w:tr w:rsidR="00897293" w:rsidRPr="00CC6553" w14:paraId="7B852838" w14:textId="77777777" w:rsidTr="00897293">
        <w:trPr>
          <w:trHeight w:val="300"/>
        </w:trPr>
        <w:tc>
          <w:tcPr>
            <w:tcW w:w="109" w:type="pct"/>
          </w:tcPr>
          <w:p w14:paraId="591D3318" w14:textId="77777777" w:rsidR="00897293" w:rsidRPr="00CC6553" w:rsidRDefault="00897293" w:rsidP="005271BB">
            <w:pPr>
              <w:rPr>
                <w:rFonts w:cs="Arial"/>
                <w:color w:val="000000" w:themeColor="text1"/>
                <w:sz w:val="20"/>
              </w:rPr>
            </w:pPr>
            <w:r w:rsidRPr="00CC6553">
              <w:rPr>
                <w:rFonts w:cs="Arial"/>
                <w:color w:val="000000" w:themeColor="text1"/>
                <w:sz w:val="20"/>
              </w:rPr>
              <w:t>97</w:t>
            </w:r>
          </w:p>
        </w:tc>
        <w:tc>
          <w:tcPr>
            <w:tcW w:w="143" w:type="pct"/>
          </w:tcPr>
          <w:p w14:paraId="503DF3DD" w14:textId="676219F8"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73C13E72" w14:textId="398B3A80" w:rsidR="00897293" w:rsidRPr="00CC6553" w:rsidRDefault="00897293" w:rsidP="005271BB">
            <w:pPr>
              <w:rPr>
                <w:rFonts w:cs="Arial"/>
                <w:bCs/>
                <w:iCs/>
                <w:color w:val="000000" w:themeColor="text1"/>
                <w:sz w:val="20"/>
              </w:rPr>
            </w:pPr>
            <w:r w:rsidRPr="00CC6553">
              <w:rPr>
                <w:rFonts w:cs="Arial"/>
                <w:color w:val="000000" w:themeColor="text1"/>
                <w:sz w:val="20"/>
              </w:rPr>
              <w:t xml:space="preserve">University Hospital Southampton NHS </w:t>
            </w:r>
            <w:r w:rsidRPr="00CC6553">
              <w:rPr>
                <w:rFonts w:cs="Arial"/>
                <w:color w:val="000000" w:themeColor="text1"/>
                <w:sz w:val="20"/>
              </w:rPr>
              <w:lastRenderedPageBreak/>
              <w:t>Foundation Trust</w:t>
            </w:r>
          </w:p>
        </w:tc>
        <w:tc>
          <w:tcPr>
            <w:tcW w:w="279" w:type="pct"/>
          </w:tcPr>
          <w:p w14:paraId="5785A176" w14:textId="2D50208F" w:rsidR="00897293" w:rsidRPr="00CC6553" w:rsidRDefault="00897293" w:rsidP="005271BB">
            <w:pPr>
              <w:rPr>
                <w:rFonts w:cs="Arial"/>
                <w:color w:val="000000" w:themeColor="text1"/>
                <w:sz w:val="20"/>
              </w:rPr>
            </w:pPr>
            <w:r w:rsidRPr="00CC6553">
              <w:rPr>
                <w:rFonts w:cs="Arial"/>
                <w:color w:val="000000" w:themeColor="text1"/>
                <w:sz w:val="20"/>
              </w:rPr>
              <w:lastRenderedPageBreak/>
              <w:t>Guideline</w:t>
            </w:r>
          </w:p>
        </w:tc>
        <w:tc>
          <w:tcPr>
            <w:tcW w:w="214" w:type="pct"/>
          </w:tcPr>
          <w:p w14:paraId="3C90040F" w14:textId="75FDE28A"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7BF88545" w14:textId="27E8CB1C" w:rsidR="00897293" w:rsidRPr="00CC6553" w:rsidRDefault="00897293" w:rsidP="005271BB">
            <w:pPr>
              <w:rPr>
                <w:rFonts w:cs="Arial"/>
                <w:color w:val="000000" w:themeColor="text1"/>
                <w:sz w:val="20"/>
              </w:rPr>
            </w:pPr>
            <w:r w:rsidRPr="00CC6553">
              <w:rPr>
                <w:rFonts w:cs="Arial"/>
                <w:color w:val="000000" w:themeColor="text1"/>
                <w:sz w:val="20"/>
              </w:rPr>
              <w:t>016 - 018</w:t>
            </w:r>
          </w:p>
        </w:tc>
        <w:tc>
          <w:tcPr>
            <w:tcW w:w="1521" w:type="pct"/>
          </w:tcPr>
          <w:p w14:paraId="081D8F65" w14:textId="28C4B821" w:rsidR="00897293" w:rsidRPr="00CC6553" w:rsidRDefault="00897293" w:rsidP="005271BB">
            <w:pPr>
              <w:rPr>
                <w:rFonts w:cs="Arial"/>
                <w:color w:val="000000" w:themeColor="text1"/>
                <w:sz w:val="20"/>
              </w:rPr>
            </w:pPr>
            <w:r w:rsidRPr="00CC6553">
              <w:rPr>
                <w:rFonts w:cs="Arial"/>
                <w:color w:val="000000" w:themeColor="text1"/>
                <w:sz w:val="20"/>
              </w:rPr>
              <w:t>We do not understand the evidence base for quoting a cut-off haemoglobin of 150g/L and worry that this will be challenging to implement in practice.</w:t>
            </w:r>
          </w:p>
        </w:tc>
        <w:tc>
          <w:tcPr>
            <w:tcW w:w="2122" w:type="pct"/>
          </w:tcPr>
          <w:p w14:paraId="69FE48B3" w14:textId="0F08BBF1" w:rsidR="00897293" w:rsidRPr="009B3C47" w:rsidRDefault="00897293" w:rsidP="00ED5869">
            <w:pPr>
              <w:pStyle w:val="Heading1"/>
              <w:rPr>
                <w:b w:val="0"/>
                <w:bCs w:val="0"/>
                <w:sz w:val="20"/>
                <w:szCs w:val="18"/>
              </w:rPr>
            </w:pPr>
            <w:r w:rsidRPr="00CC6553">
              <w:rPr>
                <w:rFonts w:cs="Arial"/>
                <w:b w:val="0"/>
                <w:bCs w:val="0"/>
                <w:color w:val="000000" w:themeColor="text1"/>
                <w:sz w:val="20"/>
              </w:rPr>
              <w:t xml:space="preserve">Thank you for your comment.  The value is based on the criteria from the clinical evidence. </w:t>
            </w:r>
            <w:r>
              <w:rPr>
                <w:rFonts w:cs="Arial"/>
                <w:b w:val="0"/>
                <w:bCs w:val="0"/>
                <w:color w:val="000000" w:themeColor="text1"/>
                <w:sz w:val="20"/>
              </w:rPr>
              <w:t xml:space="preserve">This is explained in section 1.1.12 of the </w:t>
            </w:r>
            <w:r>
              <w:rPr>
                <w:rFonts w:cs="Arial"/>
                <w:b w:val="0"/>
                <w:bCs w:val="0"/>
                <w:color w:val="000000" w:themeColor="text1"/>
                <w:sz w:val="20"/>
              </w:rPr>
              <w:lastRenderedPageBreak/>
              <w:t xml:space="preserve">evidence review which states: </w:t>
            </w:r>
            <w:r w:rsidRPr="009B3C47">
              <w:rPr>
                <w:b w:val="0"/>
                <w:bCs w:val="0"/>
                <w:i/>
                <w:iCs/>
                <w:sz w:val="20"/>
                <w:szCs w:val="18"/>
              </w:rPr>
              <w:t>‘The evidence-base for IV iron to treat patients with HFrEF and iron deficiency was exclusively obtained in patients with haemoglobin range between 90 g/l and either 130-135 g/l for women, or 140-150 g/l for men. Thus the recommendation treatment with IV iron to these patients is restricted to the haemoglobin being within that range (for safety).’</w:t>
            </w:r>
            <w:r>
              <w:rPr>
                <w:b w:val="0"/>
                <w:bCs w:val="0"/>
                <w:i/>
                <w:iCs/>
                <w:sz w:val="20"/>
                <w:szCs w:val="18"/>
              </w:rPr>
              <w:t xml:space="preserve"> </w:t>
            </w:r>
            <w:r w:rsidRPr="00C46A76">
              <w:rPr>
                <w:b w:val="0"/>
                <w:bCs w:val="0"/>
                <w:sz w:val="20"/>
                <w:szCs w:val="18"/>
              </w:rPr>
              <w:t>Please also see table 2 in the evidence review which s</w:t>
            </w:r>
            <w:r>
              <w:rPr>
                <w:b w:val="0"/>
                <w:bCs w:val="0"/>
                <w:sz w:val="20"/>
                <w:szCs w:val="18"/>
              </w:rPr>
              <w:t>pecifies</w:t>
            </w:r>
            <w:r w:rsidRPr="00C46A76">
              <w:rPr>
                <w:b w:val="0"/>
                <w:bCs w:val="0"/>
                <w:sz w:val="20"/>
                <w:szCs w:val="18"/>
              </w:rPr>
              <w:t xml:space="preserve"> the haemoglobin range for every trial population included in th</w:t>
            </w:r>
            <w:r>
              <w:rPr>
                <w:b w:val="0"/>
                <w:bCs w:val="0"/>
                <w:sz w:val="20"/>
                <w:szCs w:val="18"/>
              </w:rPr>
              <w:t>e</w:t>
            </w:r>
            <w:r w:rsidRPr="00C46A76">
              <w:rPr>
                <w:b w:val="0"/>
                <w:bCs w:val="0"/>
                <w:sz w:val="20"/>
                <w:szCs w:val="18"/>
              </w:rPr>
              <w:t xml:space="preserve"> evidence review.</w:t>
            </w:r>
            <w:r>
              <w:rPr>
                <w:b w:val="0"/>
                <w:bCs w:val="0"/>
                <w:sz w:val="20"/>
                <w:szCs w:val="18"/>
              </w:rPr>
              <w:t xml:space="preserve"> </w:t>
            </w:r>
          </w:p>
          <w:p w14:paraId="7112DBBF" w14:textId="4ADBB6BD" w:rsidR="00897293" w:rsidRPr="00CC6553" w:rsidRDefault="00897293" w:rsidP="21434BE0">
            <w:pPr>
              <w:pStyle w:val="Heading1"/>
              <w:rPr>
                <w:rFonts w:cs="Arial"/>
                <w:b w:val="0"/>
                <w:bCs w:val="0"/>
                <w:color w:val="000000" w:themeColor="text1"/>
                <w:sz w:val="20"/>
              </w:rPr>
            </w:pPr>
            <w:r w:rsidRPr="00CC6553">
              <w:rPr>
                <w:rFonts w:cs="Arial"/>
                <w:b w:val="0"/>
                <w:bCs w:val="0"/>
                <w:color w:val="000000" w:themeColor="text1"/>
                <w:sz w:val="20"/>
              </w:rPr>
              <w:t>The committee recognise that this may be challenging to implement but this cut off was used to improve patient outcomes.</w:t>
            </w:r>
          </w:p>
        </w:tc>
      </w:tr>
      <w:tr w:rsidR="00897293" w:rsidRPr="00CC6553" w14:paraId="365B5084" w14:textId="77777777" w:rsidTr="00897293">
        <w:trPr>
          <w:trHeight w:val="300"/>
        </w:trPr>
        <w:tc>
          <w:tcPr>
            <w:tcW w:w="109" w:type="pct"/>
          </w:tcPr>
          <w:p w14:paraId="3E64D3AC"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98</w:t>
            </w:r>
          </w:p>
        </w:tc>
        <w:tc>
          <w:tcPr>
            <w:tcW w:w="143" w:type="pct"/>
          </w:tcPr>
          <w:p w14:paraId="3D19338B" w14:textId="1DD8A45B"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0ADB2EF8" w14:textId="1B25ECC9"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15A5A0E9" w14:textId="18F99790"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0E1AC2B2" w14:textId="3A384029"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33ABD50C" w14:textId="1B023E5D" w:rsidR="00897293" w:rsidRPr="00CC6553" w:rsidRDefault="00897293" w:rsidP="005271BB">
            <w:pPr>
              <w:rPr>
                <w:rFonts w:cs="Arial"/>
                <w:color w:val="000000" w:themeColor="text1"/>
                <w:sz w:val="20"/>
              </w:rPr>
            </w:pPr>
            <w:r w:rsidRPr="00CC6553">
              <w:rPr>
                <w:rFonts w:cs="Arial"/>
                <w:color w:val="000000" w:themeColor="text1"/>
                <w:sz w:val="20"/>
              </w:rPr>
              <w:t>016 - 020</w:t>
            </w:r>
          </w:p>
        </w:tc>
        <w:tc>
          <w:tcPr>
            <w:tcW w:w="1521" w:type="pct"/>
          </w:tcPr>
          <w:p w14:paraId="6218F18B" w14:textId="0AE3CACF" w:rsidR="00897293" w:rsidRPr="00CC6553" w:rsidRDefault="00897293" w:rsidP="005271BB">
            <w:pPr>
              <w:rPr>
                <w:rFonts w:cs="Arial"/>
                <w:color w:val="000000" w:themeColor="text1"/>
                <w:sz w:val="20"/>
              </w:rPr>
            </w:pPr>
            <w:r w:rsidRPr="00CC6553">
              <w:rPr>
                <w:rFonts w:cs="Arial"/>
                <w:color w:val="000000" w:themeColor="text1"/>
                <w:sz w:val="20"/>
              </w:rPr>
              <w:t>Recommendation of IV iron only for HFrEF and NOT for HFmrEF</w:t>
            </w:r>
            <w:r w:rsidRPr="00CC6553">
              <w:rPr>
                <w:rFonts w:cs="Arial"/>
                <w:color w:val="000000" w:themeColor="text1"/>
                <w:sz w:val="20"/>
              </w:rPr>
              <w:br/>
            </w:r>
            <w:r w:rsidRPr="00CC6553">
              <w:rPr>
                <w:rFonts w:cs="Arial"/>
                <w:color w:val="000000" w:themeColor="text1"/>
                <w:sz w:val="20"/>
              </w:rPr>
              <w:br/>
              <w:t>Concern</w:t>
            </w:r>
            <w:r w:rsidRPr="00CC6553">
              <w:rPr>
                <w:rFonts w:cs="Arial"/>
                <w:color w:val="000000" w:themeColor="text1"/>
                <w:sz w:val="20"/>
              </w:rPr>
              <w:br/>
              <w:t>This is at odds with the 2023 ESC heart failure guideline update, which recommends IV iron for symptom improvement and QoL and consider it for reducing heart failure hospitalisation risk for BOTH HFrEF and HFmrEF.</w:t>
            </w:r>
            <w:r w:rsidRPr="00CC6553">
              <w:rPr>
                <w:rFonts w:cs="Arial"/>
                <w:color w:val="000000" w:themeColor="text1"/>
                <w:sz w:val="20"/>
              </w:rPr>
              <w:br/>
            </w:r>
            <w:r w:rsidRPr="00CC6553">
              <w:rPr>
                <w:rFonts w:cs="Arial"/>
                <w:color w:val="000000" w:themeColor="text1"/>
                <w:sz w:val="20"/>
              </w:rPr>
              <w:br/>
              <w:t>The ESC recommendation was based on the inclusion criteria of the major hard endpoint clinical trials and those that documented symptom and QOL benefits. For example, inclusion criteria for LVEF were: AFFIRM &lt;50%, IRONMAN &lt; or = 45%, FAIR-HF and CONFIRM &lt; or = 45%.</w:t>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lastRenderedPageBreak/>
              <w:t xml:space="preserve">In the main results from the AFFIRM-AHF trial in the Lancet, Figure 4 actually shows data according to LVEF and shows that for patients with LVEF of 40-49% there does not seem to be a difference in benefit as compared to patients with LVEF&lt;40%. </w:t>
            </w:r>
            <w:r w:rsidRPr="00CC6553">
              <w:rPr>
                <w:rFonts w:cs="Arial"/>
                <w:color w:val="000000" w:themeColor="text1"/>
                <w:sz w:val="20"/>
              </w:rPr>
              <w:br/>
              <w:t>Data according to LVEF are shown in the supplementary data alongside the main IRONMAN publication in the Lancet (figure S6d).</w:t>
            </w:r>
            <w:r w:rsidRPr="00CC6553">
              <w:rPr>
                <w:rFonts w:cs="Arial"/>
                <w:color w:val="000000" w:themeColor="text1"/>
                <w:sz w:val="20"/>
              </w:rPr>
              <w:br/>
            </w:r>
            <w:r w:rsidRPr="00CC6553">
              <w:rPr>
                <w:rFonts w:cs="Arial"/>
                <w:color w:val="000000" w:themeColor="text1"/>
                <w:sz w:val="20"/>
              </w:rPr>
              <w:br/>
              <w:t>We agree that there is a paucity of data for patients with HFpEF and fully agree with the statement that more research studies are required in this patient group.</w:t>
            </w:r>
            <w:r w:rsidRPr="00CC6553">
              <w:rPr>
                <w:rFonts w:cs="Arial"/>
                <w:color w:val="000000" w:themeColor="text1"/>
                <w:sz w:val="20"/>
              </w:rPr>
              <w:br/>
            </w:r>
            <w:r w:rsidRPr="00CC6553">
              <w:rPr>
                <w:rFonts w:cs="Arial"/>
                <w:color w:val="000000" w:themeColor="text1"/>
                <w:sz w:val="20"/>
              </w:rPr>
              <w:br/>
              <w:t>However, it would seem appropriate to consider IV iron in patients with HFmrEF according the trial inclusion criteria and in keeping with ESC guidelines.</w:t>
            </w:r>
          </w:p>
        </w:tc>
        <w:tc>
          <w:tcPr>
            <w:tcW w:w="2122" w:type="pct"/>
          </w:tcPr>
          <w:p w14:paraId="6FEE95AE" w14:textId="37769EDC" w:rsidR="00897293" w:rsidRPr="00F07308" w:rsidRDefault="00897293" w:rsidP="009B3C47">
            <w:pPr>
              <w:pStyle w:val="Heading1"/>
              <w:rPr>
                <w:rFonts w:cs="Arial"/>
                <w:color w:val="000000" w:themeColor="text1"/>
                <w:sz w:val="20"/>
              </w:rPr>
            </w:pPr>
            <w:r w:rsidRPr="00CC6553">
              <w:rPr>
                <w:rFonts w:cs="Arial"/>
                <w:b w:val="0"/>
                <w:bCs w:val="0"/>
                <w:color w:val="000000" w:themeColor="text1"/>
                <w:sz w:val="20"/>
              </w:rPr>
              <w:lastRenderedPageBreak/>
              <w:t>Thank you for your comment. The recommendations made reflect the clinical and cost-effectiveness evidence which focussed largely on a population with HFrEF (please see table 2 in Evidence Review C for baseline LVEF values).</w:t>
            </w:r>
            <w:r>
              <w:rPr>
                <w:rFonts w:cs="Arial"/>
                <w:b w:val="0"/>
                <w:bCs w:val="0"/>
                <w:color w:val="000000" w:themeColor="text1"/>
                <w:sz w:val="20"/>
              </w:rPr>
              <w:t xml:space="preserve"> </w:t>
            </w:r>
          </w:p>
          <w:p w14:paraId="6C0AA87C" w14:textId="77777777" w:rsidR="00897293" w:rsidRPr="009B3C47" w:rsidRDefault="00897293" w:rsidP="009B3C47">
            <w:pPr>
              <w:rPr>
                <w:b/>
                <w:bCs/>
              </w:rPr>
            </w:pPr>
          </w:p>
          <w:p w14:paraId="6FE8C47E" w14:textId="33DBF834" w:rsidR="00897293" w:rsidRDefault="00897293" w:rsidP="00ED5869">
            <w:pPr>
              <w:pStyle w:val="Heading1"/>
              <w:rPr>
                <w:rFonts w:cs="Arial"/>
                <w:b w:val="0"/>
                <w:bCs w:val="0"/>
                <w:color w:val="000000" w:themeColor="text1"/>
                <w:sz w:val="20"/>
              </w:rPr>
            </w:pPr>
            <w:r>
              <w:rPr>
                <w:rFonts w:cs="Arial"/>
                <w:b w:val="0"/>
                <w:bCs w:val="0"/>
                <w:color w:val="000000" w:themeColor="text1"/>
                <w:sz w:val="20"/>
              </w:rPr>
              <w:t xml:space="preserve">On careful consideration of the AFFIRM trials eligibility for inclusion, the decision to exclude was made </w:t>
            </w:r>
            <w:r w:rsidRPr="00CC6553">
              <w:rPr>
                <w:rFonts w:cs="Arial"/>
                <w:b w:val="0"/>
                <w:bCs w:val="0"/>
                <w:color w:val="000000" w:themeColor="text1"/>
                <w:sz w:val="20"/>
              </w:rPr>
              <w:t xml:space="preserve">based on </w:t>
            </w:r>
            <w:r>
              <w:rPr>
                <w:rFonts w:cs="Arial"/>
                <w:b w:val="0"/>
                <w:bCs w:val="0"/>
                <w:color w:val="000000" w:themeColor="text1"/>
                <w:sz w:val="20"/>
              </w:rPr>
              <w:t>the trial</w:t>
            </w:r>
            <w:r w:rsidRPr="00CC6553">
              <w:rPr>
                <w:rFonts w:cs="Arial"/>
                <w:b w:val="0"/>
                <w:bCs w:val="0"/>
                <w:color w:val="000000" w:themeColor="text1"/>
                <w:sz w:val="20"/>
              </w:rPr>
              <w:t xml:space="preserve"> population </w:t>
            </w:r>
            <w:r w:rsidRPr="00CC6553">
              <w:rPr>
                <w:rFonts w:cs="Arial"/>
                <w:b w:val="0"/>
                <w:bCs w:val="0"/>
                <w:color w:val="000000" w:themeColor="text1"/>
                <w:sz w:val="20"/>
              </w:rPr>
              <w:lastRenderedPageBreak/>
              <w:t>presenting to hospital with an acute episode of HF</w:t>
            </w:r>
            <w:r>
              <w:rPr>
                <w:rFonts w:cs="Arial"/>
                <w:b w:val="0"/>
                <w:bCs w:val="0"/>
                <w:color w:val="000000" w:themeColor="text1"/>
                <w:sz w:val="20"/>
              </w:rPr>
              <w:t xml:space="preserve"> which is a specified exclusion criterion in the clinical review protocol (please see Appendix A in the evidence review). Therefore, this trial did not meet the population requirement of this evidence review. </w:t>
            </w:r>
          </w:p>
          <w:p w14:paraId="3A9B2911" w14:textId="77777777" w:rsidR="00897293" w:rsidRPr="009B3C47" w:rsidRDefault="00897293" w:rsidP="009B3C47">
            <w:pPr>
              <w:rPr>
                <w:b/>
                <w:bCs/>
              </w:rPr>
            </w:pPr>
          </w:p>
          <w:p w14:paraId="71F74692" w14:textId="3AA34CE4" w:rsidR="00897293" w:rsidRPr="009B3C47" w:rsidRDefault="00897293" w:rsidP="009B3C47">
            <w:pPr>
              <w:rPr>
                <w:b/>
              </w:rPr>
            </w:pPr>
          </w:p>
        </w:tc>
      </w:tr>
      <w:tr w:rsidR="00897293" w:rsidRPr="00CC6553" w14:paraId="75836A07" w14:textId="77777777" w:rsidTr="00897293">
        <w:trPr>
          <w:trHeight w:val="300"/>
        </w:trPr>
        <w:tc>
          <w:tcPr>
            <w:tcW w:w="109" w:type="pct"/>
          </w:tcPr>
          <w:p w14:paraId="682CACFF"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99</w:t>
            </w:r>
          </w:p>
        </w:tc>
        <w:tc>
          <w:tcPr>
            <w:tcW w:w="143" w:type="pct"/>
          </w:tcPr>
          <w:p w14:paraId="14F592B3" w14:textId="05CC8909"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2C098B42" w14:textId="5FE81F18" w:rsidR="00897293" w:rsidRPr="00CC6553" w:rsidRDefault="00897293" w:rsidP="005271BB">
            <w:pPr>
              <w:rPr>
                <w:rFonts w:cs="Arial"/>
                <w:bCs/>
                <w:iCs/>
                <w:color w:val="000000" w:themeColor="text1"/>
                <w:sz w:val="20"/>
              </w:rPr>
            </w:pPr>
            <w:r w:rsidRPr="00CC6553">
              <w:rPr>
                <w:rFonts w:cs="Arial"/>
                <w:color w:val="000000" w:themeColor="text1"/>
                <w:sz w:val="20"/>
              </w:rPr>
              <w:t>Portsmouth Hospitals University NHS Trust</w:t>
            </w:r>
          </w:p>
        </w:tc>
        <w:tc>
          <w:tcPr>
            <w:tcW w:w="279" w:type="pct"/>
          </w:tcPr>
          <w:p w14:paraId="05303F98" w14:textId="48C2F556"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27044AD0" w14:textId="7A4ACA84"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6AB6E7EC" w14:textId="224827D6" w:rsidR="00897293" w:rsidRPr="00CC6553" w:rsidRDefault="00897293" w:rsidP="005271BB">
            <w:pPr>
              <w:rPr>
                <w:rFonts w:cs="Arial"/>
                <w:color w:val="000000" w:themeColor="text1"/>
                <w:sz w:val="20"/>
              </w:rPr>
            </w:pPr>
            <w:r w:rsidRPr="00CC6553">
              <w:rPr>
                <w:rFonts w:cs="Arial"/>
                <w:color w:val="000000" w:themeColor="text1"/>
                <w:sz w:val="20"/>
              </w:rPr>
              <w:t>016 - 020</w:t>
            </w:r>
          </w:p>
        </w:tc>
        <w:tc>
          <w:tcPr>
            <w:tcW w:w="1521" w:type="pct"/>
          </w:tcPr>
          <w:p w14:paraId="05EC4B30" w14:textId="66FDC8E3" w:rsidR="00897293" w:rsidRPr="00CC6553" w:rsidRDefault="00897293" w:rsidP="005271BB">
            <w:pPr>
              <w:rPr>
                <w:rFonts w:cs="Arial"/>
                <w:color w:val="000000" w:themeColor="text1"/>
                <w:sz w:val="20"/>
              </w:rPr>
            </w:pPr>
            <w:r w:rsidRPr="00CC6553">
              <w:rPr>
                <w:rFonts w:cs="Arial"/>
                <w:color w:val="000000" w:themeColor="text1"/>
                <w:sz w:val="20"/>
              </w:rPr>
              <w:t>Recommendation of IV iron only for HFrEF and NOT for HFmrEF</w:t>
            </w:r>
            <w:r w:rsidRPr="00CC6553">
              <w:rPr>
                <w:rFonts w:cs="Arial"/>
                <w:color w:val="000000" w:themeColor="text1"/>
                <w:sz w:val="20"/>
              </w:rPr>
              <w:br/>
            </w:r>
            <w:r w:rsidRPr="00CC6553">
              <w:rPr>
                <w:rFonts w:cs="Arial"/>
                <w:color w:val="000000" w:themeColor="text1"/>
                <w:sz w:val="20"/>
              </w:rPr>
              <w:br/>
              <w:t>Concern</w:t>
            </w:r>
            <w:r w:rsidRPr="00CC6553">
              <w:rPr>
                <w:rFonts w:cs="Arial"/>
                <w:color w:val="000000" w:themeColor="text1"/>
                <w:sz w:val="20"/>
              </w:rPr>
              <w:br/>
              <w:t>This is at odds with the 2023 ESC heart failure guideline update, which recommends IV iron for symptom improvement and QoL and consider it for reducing heart failure hospitalisation risk for BOTH HFrEF and HFmrEF.</w:t>
            </w:r>
            <w:r w:rsidRPr="00CC6553">
              <w:rPr>
                <w:rFonts w:cs="Arial"/>
                <w:color w:val="000000" w:themeColor="text1"/>
                <w:sz w:val="20"/>
              </w:rPr>
              <w:br/>
            </w:r>
            <w:r w:rsidRPr="00CC6553">
              <w:rPr>
                <w:rFonts w:cs="Arial"/>
                <w:color w:val="000000" w:themeColor="text1"/>
                <w:sz w:val="20"/>
              </w:rPr>
              <w:br/>
              <w:t>The ESC recommendation was based on the inclusion criteria of the major hard endpoint clinical trials and those that documented symptom and QOL benefits. For example, inclusion criteria for LVEF were: AFFIRM &lt;50%, IRONMAN &lt; or = 45%, FAIR-HF and CONFIRM &lt; or = 45%.</w:t>
            </w:r>
            <w:r w:rsidRPr="00CC6553">
              <w:rPr>
                <w:rFonts w:cs="Arial"/>
                <w:color w:val="000000" w:themeColor="text1"/>
                <w:sz w:val="20"/>
              </w:rPr>
              <w:br/>
            </w:r>
            <w:r w:rsidRPr="00CC6553">
              <w:rPr>
                <w:rFonts w:cs="Arial"/>
                <w:color w:val="000000" w:themeColor="text1"/>
                <w:sz w:val="20"/>
              </w:rPr>
              <w:br/>
              <w:t xml:space="preserve">In the main results from the AFFIRM-AHF trial in the Lancet, Figure 4 actually shows data according to LVEF and shows that for patients with LVEF of 40-49% there does not seem to be a difference in benefit as compared to patients with LVEF&lt;40%. </w:t>
            </w:r>
            <w:r w:rsidRPr="00CC6553">
              <w:rPr>
                <w:rFonts w:cs="Arial"/>
                <w:color w:val="000000" w:themeColor="text1"/>
                <w:sz w:val="20"/>
              </w:rPr>
              <w:br/>
              <w:t>Data according to LVEF are shown in the supplementary data alongside the main IRONMAN publication in the Lancet (figure S6d).</w:t>
            </w:r>
            <w:r w:rsidRPr="00CC6553">
              <w:rPr>
                <w:rFonts w:cs="Arial"/>
                <w:color w:val="000000" w:themeColor="text1"/>
                <w:sz w:val="20"/>
              </w:rPr>
              <w:br/>
            </w:r>
            <w:r w:rsidRPr="00CC6553">
              <w:rPr>
                <w:rFonts w:cs="Arial"/>
                <w:color w:val="000000" w:themeColor="text1"/>
                <w:sz w:val="20"/>
              </w:rPr>
              <w:br/>
              <w:t xml:space="preserve">We agree that there is a paucity of data for patients with HFpEF and fully agree </w:t>
            </w:r>
            <w:r w:rsidRPr="00CC6553">
              <w:rPr>
                <w:rFonts w:cs="Arial"/>
                <w:color w:val="000000" w:themeColor="text1"/>
                <w:sz w:val="20"/>
              </w:rPr>
              <w:lastRenderedPageBreak/>
              <w:t>with the statement that more research studies are required in this patient group.</w:t>
            </w:r>
            <w:r w:rsidRPr="00CC6553">
              <w:rPr>
                <w:rFonts w:cs="Arial"/>
                <w:color w:val="000000" w:themeColor="text1"/>
                <w:sz w:val="20"/>
              </w:rPr>
              <w:br/>
            </w:r>
            <w:r w:rsidRPr="00CC6553">
              <w:rPr>
                <w:rFonts w:cs="Arial"/>
                <w:color w:val="000000" w:themeColor="text1"/>
                <w:sz w:val="20"/>
              </w:rPr>
              <w:br/>
              <w:t>However, it would seem appropriate to consider IV iron in patients with HFmrEF according the trial inclusion criteria and in keeping with ESC guidelines.</w:t>
            </w:r>
          </w:p>
        </w:tc>
        <w:tc>
          <w:tcPr>
            <w:tcW w:w="2122" w:type="pct"/>
          </w:tcPr>
          <w:p w14:paraId="15DBC3BB" w14:textId="5E5C7AF7" w:rsidR="00897293" w:rsidRPr="00CC6553" w:rsidRDefault="00897293" w:rsidP="0003525E">
            <w:pPr>
              <w:pStyle w:val="Heading1"/>
              <w:rPr>
                <w:rFonts w:cs="Arial"/>
                <w:b w:val="0"/>
                <w:bCs w:val="0"/>
                <w:color w:val="000000" w:themeColor="text1"/>
                <w:sz w:val="20"/>
              </w:rPr>
            </w:pPr>
            <w:r w:rsidRPr="00CC6553">
              <w:rPr>
                <w:rFonts w:cs="Arial"/>
                <w:b w:val="0"/>
                <w:bCs w:val="0"/>
                <w:color w:val="000000" w:themeColor="text1"/>
                <w:sz w:val="20"/>
              </w:rPr>
              <w:lastRenderedPageBreak/>
              <w:t xml:space="preserve">Thank you for your comment. The recommendations made reflect the clinical and cost-effectiveness evidence which focussed largely on a population with HFrEF (please see table 2 in Evidence Review C for baseline LVEF values). </w:t>
            </w:r>
          </w:p>
          <w:p w14:paraId="3FBD2B3F" w14:textId="2A5201EA" w:rsidR="00897293" w:rsidRDefault="00897293" w:rsidP="00675118">
            <w:pPr>
              <w:pStyle w:val="Heading1"/>
              <w:rPr>
                <w:rFonts w:cs="Arial"/>
                <w:b w:val="0"/>
                <w:bCs w:val="0"/>
                <w:color w:val="000000" w:themeColor="text1"/>
                <w:sz w:val="20"/>
              </w:rPr>
            </w:pPr>
            <w:r>
              <w:rPr>
                <w:rFonts w:cs="Arial"/>
                <w:b w:val="0"/>
                <w:bCs w:val="0"/>
                <w:color w:val="000000" w:themeColor="text1"/>
                <w:sz w:val="20"/>
              </w:rPr>
              <w:t xml:space="preserve">On careful consideration of the AFFIRM trials eligibility for inclusion, the decision to exclude was made </w:t>
            </w:r>
            <w:r w:rsidRPr="00CC6553">
              <w:rPr>
                <w:rFonts w:cs="Arial"/>
                <w:b w:val="0"/>
                <w:bCs w:val="0"/>
                <w:color w:val="000000" w:themeColor="text1"/>
                <w:sz w:val="20"/>
              </w:rPr>
              <w:t xml:space="preserve">based on </w:t>
            </w:r>
            <w:r>
              <w:rPr>
                <w:rFonts w:cs="Arial"/>
                <w:b w:val="0"/>
                <w:bCs w:val="0"/>
                <w:color w:val="000000" w:themeColor="text1"/>
                <w:sz w:val="20"/>
              </w:rPr>
              <w:t>the trial</w:t>
            </w:r>
            <w:r w:rsidRPr="00CC6553">
              <w:rPr>
                <w:rFonts w:cs="Arial"/>
                <w:b w:val="0"/>
                <w:bCs w:val="0"/>
                <w:color w:val="000000" w:themeColor="text1"/>
                <w:sz w:val="20"/>
              </w:rPr>
              <w:t xml:space="preserve"> population presenting to hospital with an acute episode of HF</w:t>
            </w:r>
            <w:r>
              <w:rPr>
                <w:rFonts w:cs="Arial"/>
                <w:b w:val="0"/>
                <w:bCs w:val="0"/>
                <w:color w:val="000000" w:themeColor="text1"/>
                <w:sz w:val="20"/>
              </w:rPr>
              <w:t xml:space="preserve"> which is a specified exclusion criterion in the clinical review protocol (please see Appendix A in the evidence review). Therefore, this trial did not meet the population requirement of this evidence review. </w:t>
            </w:r>
          </w:p>
          <w:p w14:paraId="19E88D4C" w14:textId="77777777" w:rsidR="00897293" w:rsidRPr="009B3C47" w:rsidRDefault="00897293" w:rsidP="009B3C47">
            <w:pPr>
              <w:rPr>
                <w:b/>
                <w:bCs/>
              </w:rPr>
            </w:pPr>
          </w:p>
          <w:p w14:paraId="2A823443" w14:textId="52217642" w:rsidR="00897293" w:rsidRPr="00CC6553" w:rsidRDefault="00897293" w:rsidP="009B3C47">
            <w:pPr>
              <w:rPr>
                <w:rFonts w:cs="Arial"/>
                <w:color w:val="000000" w:themeColor="text1"/>
                <w:sz w:val="20"/>
              </w:rPr>
            </w:pPr>
          </w:p>
          <w:p w14:paraId="23AC30F4" w14:textId="77777777" w:rsidR="00897293" w:rsidRPr="009B3C47" w:rsidRDefault="00897293" w:rsidP="6763097B">
            <w:pPr>
              <w:rPr>
                <w:rFonts w:cs="Arial"/>
                <w:color w:val="000000" w:themeColor="text1"/>
                <w:sz w:val="20"/>
              </w:rPr>
            </w:pPr>
          </w:p>
          <w:p w14:paraId="550D2CFB" w14:textId="7E83D69F" w:rsidR="00897293" w:rsidRPr="009B3C47" w:rsidRDefault="00897293" w:rsidP="6763097B"/>
        </w:tc>
      </w:tr>
      <w:tr w:rsidR="00897293" w:rsidRPr="00CC6553" w14:paraId="5CB8F94B" w14:textId="77777777" w:rsidTr="00897293">
        <w:trPr>
          <w:trHeight w:val="300"/>
        </w:trPr>
        <w:tc>
          <w:tcPr>
            <w:tcW w:w="109" w:type="pct"/>
          </w:tcPr>
          <w:p w14:paraId="4D878E5F"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100</w:t>
            </w:r>
          </w:p>
        </w:tc>
        <w:tc>
          <w:tcPr>
            <w:tcW w:w="143" w:type="pct"/>
          </w:tcPr>
          <w:p w14:paraId="646DA7DA" w14:textId="68EE5BAB"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5DCD5220" w14:textId="31109F42" w:rsidR="00897293" w:rsidRPr="00CC6553" w:rsidRDefault="00897293" w:rsidP="005271BB">
            <w:pPr>
              <w:rPr>
                <w:rFonts w:cs="Arial"/>
                <w:bCs/>
                <w:iCs/>
                <w:color w:val="000000" w:themeColor="text1"/>
                <w:sz w:val="20"/>
              </w:rPr>
            </w:pPr>
            <w:r w:rsidRPr="00CC6553">
              <w:rPr>
                <w:rFonts w:cs="Arial"/>
                <w:color w:val="000000" w:themeColor="text1"/>
                <w:sz w:val="20"/>
              </w:rPr>
              <w:t>British Geriatrics Society</w:t>
            </w:r>
          </w:p>
        </w:tc>
        <w:tc>
          <w:tcPr>
            <w:tcW w:w="279" w:type="pct"/>
          </w:tcPr>
          <w:p w14:paraId="28D4801A" w14:textId="71BABCEA"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7B431D30" w14:textId="23EE41F0" w:rsidR="00897293" w:rsidRPr="00CC6553" w:rsidRDefault="00897293" w:rsidP="005271BB">
            <w:pPr>
              <w:rPr>
                <w:rFonts w:cs="Arial"/>
                <w:color w:val="000000" w:themeColor="text1"/>
                <w:sz w:val="20"/>
              </w:rPr>
            </w:pPr>
            <w:r w:rsidRPr="00CC6553">
              <w:rPr>
                <w:rFonts w:cs="Arial"/>
                <w:color w:val="000000" w:themeColor="text1"/>
                <w:sz w:val="20"/>
              </w:rPr>
              <w:t>011</w:t>
            </w:r>
          </w:p>
        </w:tc>
        <w:tc>
          <w:tcPr>
            <w:tcW w:w="214" w:type="pct"/>
          </w:tcPr>
          <w:p w14:paraId="58C3C009" w14:textId="06646171" w:rsidR="00897293" w:rsidRPr="00CC6553" w:rsidRDefault="00897293" w:rsidP="005271BB">
            <w:pPr>
              <w:rPr>
                <w:rFonts w:cs="Arial"/>
                <w:color w:val="000000" w:themeColor="text1"/>
                <w:sz w:val="20"/>
              </w:rPr>
            </w:pPr>
            <w:r w:rsidRPr="00CC6553">
              <w:rPr>
                <w:rFonts w:cs="Arial"/>
                <w:color w:val="000000" w:themeColor="text1"/>
                <w:sz w:val="20"/>
              </w:rPr>
              <w:t>016 - 020</w:t>
            </w:r>
          </w:p>
        </w:tc>
        <w:tc>
          <w:tcPr>
            <w:tcW w:w="1521" w:type="pct"/>
          </w:tcPr>
          <w:p w14:paraId="68AAEE03" w14:textId="53FAE9F1" w:rsidR="00897293" w:rsidRPr="00CC6553" w:rsidRDefault="00897293" w:rsidP="005271BB">
            <w:pPr>
              <w:rPr>
                <w:rFonts w:cs="Arial"/>
                <w:color w:val="000000" w:themeColor="text1"/>
                <w:sz w:val="20"/>
              </w:rPr>
            </w:pPr>
            <w:r w:rsidRPr="00CC6553">
              <w:rPr>
                <w:rFonts w:cs="Arial"/>
                <w:color w:val="000000" w:themeColor="text1"/>
                <w:sz w:val="20"/>
              </w:rPr>
              <w:t>Rec 1.4.6: The recommendations around IV iron therapy in HFrEF have some inconsistencies with the ESC guidelines and would benefit from further clarification:</w:t>
            </w:r>
            <w:r>
              <w:br/>
            </w:r>
            <w:r w:rsidRPr="00CC6553">
              <w:rPr>
                <w:rFonts w:cs="Arial"/>
                <w:color w:val="000000" w:themeColor="text1"/>
                <w:sz w:val="20"/>
              </w:rPr>
              <w:t xml:space="preserve">Which preparation of IV is preferred or are all IV irons considered equal in HF? </w:t>
            </w:r>
            <w:r>
              <w:br/>
            </w:r>
            <w:r w:rsidRPr="00CC6553">
              <w:rPr>
                <w:rFonts w:cs="Arial"/>
                <w:color w:val="000000" w:themeColor="text1"/>
                <w:sz w:val="20"/>
              </w:rPr>
              <w:t>The threshold for giving IV iron to people with EF &lt;40% differs from ESC guidelines which recommends IV iron up to an EF of 50% to reduce HF readmission and up to 45% to improve symptoms and QOL</w:t>
            </w:r>
          </w:p>
        </w:tc>
        <w:tc>
          <w:tcPr>
            <w:tcW w:w="2122" w:type="pct"/>
          </w:tcPr>
          <w:p w14:paraId="4214B695" w14:textId="400CEDAC" w:rsidR="00897293" w:rsidRPr="009B3C47" w:rsidRDefault="00897293" w:rsidP="6763097B">
            <w:pPr>
              <w:pStyle w:val="Heading1"/>
              <w:rPr>
                <w:rFonts w:cs="Arial"/>
                <w:b w:val="0"/>
                <w:color w:val="000000" w:themeColor="text1"/>
                <w:sz w:val="20"/>
              </w:rPr>
            </w:pPr>
            <w:r w:rsidRPr="6763097B">
              <w:rPr>
                <w:rFonts w:cs="Arial"/>
                <w:b w:val="0"/>
                <w:bCs w:val="0"/>
                <w:color w:val="000000" w:themeColor="text1"/>
                <w:sz w:val="20"/>
              </w:rPr>
              <w:t xml:space="preserve">Thank you for your comment. The recommendations made reflect the clinical and cost-effectiveness evidence which focussed largely on a population with HFrEF (please see table 2 in Evidence Review C for baseline LVEF values). </w:t>
            </w:r>
            <w:r>
              <w:rPr>
                <w:rFonts w:cs="Arial"/>
                <w:b w:val="0"/>
                <w:bCs w:val="0"/>
                <w:color w:val="000000" w:themeColor="text1"/>
                <w:sz w:val="20"/>
              </w:rPr>
              <w:t>Please also note the differences in approach taken when developing the guidelines as t</w:t>
            </w:r>
            <w:r w:rsidRPr="009B3C47">
              <w:rPr>
                <w:rFonts w:cs="Arial"/>
                <w:b w:val="0"/>
                <w:bCs w:val="0"/>
                <w:color w:val="000000" w:themeColor="text1"/>
                <w:sz w:val="20"/>
              </w:rPr>
              <w:t>he</w:t>
            </w:r>
            <w:r w:rsidRPr="009B3C47">
              <w:rPr>
                <w:rFonts w:cs="Arial"/>
                <w:b w:val="0"/>
                <w:color w:val="000000" w:themeColor="text1"/>
                <w:sz w:val="20"/>
              </w:rPr>
              <w:t xml:space="preserve"> ESC guidelines considered clinical effectiveness only and the cost-effectiveness of using IV iron was not explored.</w:t>
            </w:r>
            <w:r w:rsidRPr="540BFF67">
              <w:rPr>
                <w:rFonts w:cs="Arial"/>
                <w:b w:val="0"/>
                <w:bCs w:val="0"/>
                <w:color w:val="000000" w:themeColor="text1"/>
                <w:sz w:val="20"/>
              </w:rPr>
              <w:t xml:space="preserve">   The IV iron preparations were treated as a class in the evidence review and the recommendation therefore does not distinguish between them.</w:t>
            </w:r>
          </w:p>
          <w:p w14:paraId="5BCB202A" w14:textId="522F90F8" w:rsidR="00897293" w:rsidRPr="009B3C47" w:rsidRDefault="00897293" w:rsidP="009B3C47">
            <w:pPr>
              <w:rPr>
                <w:b/>
                <w:bCs/>
              </w:rPr>
            </w:pPr>
          </w:p>
          <w:p w14:paraId="0079D3A4" w14:textId="16C926B9" w:rsidR="00897293" w:rsidRPr="00CC6553" w:rsidRDefault="00897293" w:rsidP="000B2915">
            <w:pPr>
              <w:pStyle w:val="Heading1"/>
              <w:rPr>
                <w:rFonts w:cs="Arial"/>
                <w:b w:val="0"/>
                <w:color w:val="000000" w:themeColor="text1"/>
                <w:sz w:val="20"/>
              </w:rPr>
            </w:pPr>
          </w:p>
        </w:tc>
      </w:tr>
      <w:tr w:rsidR="00897293" w:rsidRPr="00CC6553" w14:paraId="1146B8CD" w14:textId="77777777" w:rsidTr="00897293">
        <w:trPr>
          <w:trHeight w:val="300"/>
        </w:trPr>
        <w:tc>
          <w:tcPr>
            <w:tcW w:w="109" w:type="pct"/>
          </w:tcPr>
          <w:p w14:paraId="3F408D5C" w14:textId="77777777" w:rsidR="00897293" w:rsidRPr="00CC6553" w:rsidRDefault="00897293" w:rsidP="005271BB">
            <w:pPr>
              <w:rPr>
                <w:rFonts w:cs="Arial"/>
                <w:color w:val="000000" w:themeColor="text1"/>
                <w:sz w:val="20"/>
              </w:rPr>
            </w:pPr>
            <w:r w:rsidRPr="00CC6553">
              <w:rPr>
                <w:rFonts w:cs="Arial"/>
                <w:color w:val="000000" w:themeColor="text1"/>
                <w:sz w:val="20"/>
              </w:rPr>
              <w:t>101</w:t>
            </w:r>
          </w:p>
        </w:tc>
        <w:tc>
          <w:tcPr>
            <w:tcW w:w="143" w:type="pct"/>
          </w:tcPr>
          <w:p w14:paraId="2A7BE2EE" w14:textId="5BED9DBD"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6DBD9C80" w14:textId="65BA64F1" w:rsidR="00897293" w:rsidRPr="00CC6553" w:rsidRDefault="00897293" w:rsidP="005271BB">
            <w:pPr>
              <w:rPr>
                <w:rFonts w:cs="Arial"/>
                <w:bCs/>
                <w:iCs/>
                <w:color w:val="000000" w:themeColor="text1"/>
                <w:sz w:val="20"/>
              </w:rPr>
            </w:pPr>
            <w:r w:rsidRPr="00CC6553">
              <w:rPr>
                <w:rFonts w:cs="Arial"/>
                <w:color w:val="000000" w:themeColor="text1"/>
                <w:sz w:val="20"/>
              </w:rPr>
              <w:t>Portsmouth Hospitals University NHS Trust</w:t>
            </w:r>
          </w:p>
        </w:tc>
        <w:tc>
          <w:tcPr>
            <w:tcW w:w="279" w:type="pct"/>
          </w:tcPr>
          <w:p w14:paraId="1E29C4C0" w14:textId="53699D6C"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436DC31B" w14:textId="15C90D35" w:rsidR="00897293" w:rsidRPr="00CC6553" w:rsidRDefault="00897293" w:rsidP="005271BB">
            <w:pPr>
              <w:rPr>
                <w:rFonts w:cs="Arial"/>
                <w:color w:val="000000" w:themeColor="text1"/>
                <w:sz w:val="20"/>
              </w:rPr>
            </w:pPr>
            <w:r w:rsidRPr="00CC6553">
              <w:rPr>
                <w:rFonts w:cs="Arial"/>
                <w:color w:val="000000" w:themeColor="text1"/>
                <w:sz w:val="20"/>
              </w:rPr>
              <w:t>011 - 012</w:t>
            </w:r>
          </w:p>
        </w:tc>
        <w:tc>
          <w:tcPr>
            <w:tcW w:w="214" w:type="pct"/>
          </w:tcPr>
          <w:p w14:paraId="64E2B5FA" w14:textId="5D0C5CFB" w:rsidR="00897293" w:rsidRPr="00CC6553" w:rsidRDefault="00897293" w:rsidP="005271BB">
            <w:pPr>
              <w:rPr>
                <w:rFonts w:cs="Arial"/>
                <w:color w:val="000000" w:themeColor="text1"/>
                <w:sz w:val="20"/>
              </w:rPr>
            </w:pPr>
            <w:r w:rsidRPr="00CC6553">
              <w:rPr>
                <w:rFonts w:cs="Arial"/>
                <w:color w:val="000000" w:themeColor="text1"/>
                <w:sz w:val="20"/>
              </w:rPr>
              <w:t>011 - 020</w:t>
            </w:r>
          </w:p>
        </w:tc>
        <w:tc>
          <w:tcPr>
            <w:tcW w:w="1521" w:type="pct"/>
          </w:tcPr>
          <w:p w14:paraId="686C297C" w14:textId="3E57E1E6" w:rsidR="00897293" w:rsidRPr="00CC6553" w:rsidRDefault="00897293" w:rsidP="005271BB">
            <w:pPr>
              <w:rPr>
                <w:rFonts w:cs="Arial"/>
                <w:color w:val="000000" w:themeColor="text1"/>
                <w:sz w:val="20"/>
              </w:rPr>
            </w:pPr>
            <w:r w:rsidRPr="00CC6553">
              <w:rPr>
                <w:rFonts w:cs="Arial"/>
                <w:color w:val="000000" w:themeColor="text1"/>
                <w:sz w:val="20"/>
              </w:rPr>
              <w:t>Given sections 1.4.5 and 1.4.6 (pages 11-12), IV iron should be included as an option in the specialist assessment box, alongside ivabradine and digoxin. If symptoms persist seek specialist advice and consider: ‘IV iron if iron deficient’</w:t>
            </w:r>
          </w:p>
        </w:tc>
        <w:tc>
          <w:tcPr>
            <w:tcW w:w="2122" w:type="pct"/>
          </w:tcPr>
          <w:p w14:paraId="188068F2" w14:textId="2D4E37D6" w:rsidR="00897293" w:rsidRPr="00CC6553" w:rsidRDefault="00897293" w:rsidP="14DE5554">
            <w:pPr>
              <w:pStyle w:val="Heading1"/>
              <w:rPr>
                <w:rFonts w:cs="Arial"/>
                <w:b w:val="0"/>
                <w:bCs w:val="0"/>
                <w:color w:val="000000" w:themeColor="text1"/>
                <w:sz w:val="20"/>
              </w:rPr>
            </w:pPr>
            <w:r w:rsidRPr="00CC6553">
              <w:rPr>
                <w:rFonts w:cs="Arial"/>
                <w:b w:val="0"/>
                <w:bCs w:val="0"/>
                <w:color w:val="000000" w:themeColor="text1"/>
                <w:sz w:val="20"/>
              </w:rPr>
              <w:t>Thank you for your comment.  We have edited the visual summary in accordance with your suggestion.</w:t>
            </w:r>
          </w:p>
        </w:tc>
      </w:tr>
      <w:tr w:rsidR="00897293" w:rsidRPr="00CC6553" w14:paraId="540ADEAB" w14:textId="77777777" w:rsidTr="00897293">
        <w:trPr>
          <w:trHeight w:val="300"/>
        </w:trPr>
        <w:tc>
          <w:tcPr>
            <w:tcW w:w="109" w:type="pct"/>
          </w:tcPr>
          <w:p w14:paraId="612C3C61" w14:textId="77777777" w:rsidR="00897293" w:rsidRPr="00CC6553" w:rsidRDefault="00897293" w:rsidP="005271BB">
            <w:pPr>
              <w:rPr>
                <w:rFonts w:cs="Arial"/>
                <w:color w:val="000000" w:themeColor="text1"/>
                <w:sz w:val="20"/>
              </w:rPr>
            </w:pPr>
            <w:r w:rsidRPr="00CC6553">
              <w:rPr>
                <w:rFonts w:cs="Arial"/>
                <w:color w:val="000000" w:themeColor="text1"/>
                <w:sz w:val="20"/>
              </w:rPr>
              <w:t>102</w:t>
            </w:r>
          </w:p>
        </w:tc>
        <w:tc>
          <w:tcPr>
            <w:tcW w:w="143" w:type="pct"/>
          </w:tcPr>
          <w:p w14:paraId="79154002" w14:textId="4C8210CA"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3F4586B6" w14:textId="34CB063A" w:rsidR="00897293" w:rsidRPr="00CC6553" w:rsidRDefault="00897293" w:rsidP="005271BB">
            <w:pPr>
              <w:rPr>
                <w:rFonts w:cs="Arial"/>
                <w:bCs/>
                <w:iCs/>
                <w:color w:val="000000" w:themeColor="text1"/>
                <w:sz w:val="20"/>
              </w:rPr>
            </w:pPr>
            <w:r w:rsidRPr="00CC6553">
              <w:rPr>
                <w:rFonts w:cs="Arial"/>
                <w:color w:val="000000" w:themeColor="text1"/>
                <w:sz w:val="20"/>
              </w:rPr>
              <w:t>Primary Care Cardiovascular Society (PCCS)</w:t>
            </w:r>
          </w:p>
        </w:tc>
        <w:tc>
          <w:tcPr>
            <w:tcW w:w="279" w:type="pct"/>
          </w:tcPr>
          <w:p w14:paraId="694DC2DD" w14:textId="6BBAA7AC"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673994D0" w14:textId="72BF720F" w:rsidR="00897293" w:rsidRPr="00CC6553" w:rsidRDefault="00897293" w:rsidP="005271BB">
            <w:pPr>
              <w:rPr>
                <w:rFonts w:cs="Arial"/>
                <w:color w:val="000000" w:themeColor="text1"/>
                <w:sz w:val="20"/>
              </w:rPr>
            </w:pPr>
            <w:r w:rsidRPr="00CC6553">
              <w:rPr>
                <w:rFonts w:cs="Arial"/>
                <w:color w:val="000000" w:themeColor="text1"/>
                <w:sz w:val="20"/>
              </w:rPr>
              <w:t>012</w:t>
            </w:r>
          </w:p>
        </w:tc>
        <w:tc>
          <w:tcPr>
            <w:tcW w:w="214" w:type="pct"/>
          </w:tcPr>
          <w:p w14:paraId="270EEB6C" w14:textId="35879DF7" w:rsidR="00897293" w:rsidRPr="00CC6553" w:rsidRDefault="00897293" w:rsidP="005271BB">
            <w:pPr>
              <w:rPr>
                <w:rFonts w:cs="Arial"/>
                <w:color w:val="000000" w:themeColor="text1"/>
                <w:sz w:val="20"/>
              </w:rPr>
            </w:pPr>
            <w:r w:rsidRPr="00CC6553">
              <w:rPr>
                <w:rFonts w:cs="Arial"/>
                <w:color w:val="000000" w:themeColor="text1"/>
                <w:sz w:val="20"/>
              </w:rPr>
              <w:t>001</w:t>
            </w:r>
          </w:p>
        </w:tc>
        <w:tc>
          <w:tcPr>
            <w:tcW w:w="1521" w:type="pct"/>
          </w:tcPr>
          <w:p w14:paraId="026A4B61" w14:textId="3ABF53B5" w:rsidR="00897293" w:rsidRPr="00CC6553" w:rsidRDefault="00897293" w:rsidP="005271BB">
            <w:pPr>
              <w:rPr>
                <w:rFonts w:cs="Arial"/>
                <w:color w:val="000000" w:themeColor="text1"/>
                <w:sz w:val="20"/>
              </w:rPr>
            </w:pPr>
            <w:r w:rsidRPr="00CC6553">
              <w:rPr>
                <w:rFonts w:cs="Arial"/>
                <w:color w:val="000000" w:themeColor="text1"/>
                <w:sz w:val="20"/>
              </w:rPr>
              <w:t>Important point re IV iron.  Add comment that oral iron unlikely to be effective if HF is cause. Emphasise need to investigate other causes</w:t>
            </w:r>
          </w:p>
        </w:tc>
        <w:tc>
          <w:tcPr>
            <w:tcW w:w="2122" w:type="pct"/>
          </w:tcPr>
          <w:p w14:paraId="42DA841B" w14:textId="071DEB79"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 xml:space="preserve">Thank you for your comment.  The focus of this review was on IV iron and the committee were therefore unable to make a recommendation </w:t>
            </w:r>
            <w:r w:rsidRPr="00CC6553">
              <w:rPr>
                <w:rFonts w:cs="Arial"/>
                <w:b w:val="0"/>
                <w:color w:val="000000" w:themeColor="text1"/>
                <w:sz w:val="20"/>
              </w:rPr>
              <w:lastRenderedPageBreak/>
              <w:t>on oral iron.  A recommendation in section 1.4 highlights the importance of investigating alternative causes</w:t>
            </w:r>
          </w:p>
        </w:tc>
      </w:tr>
      <w:tr w:rsidR="00897293" w:rsidRPr="00CC6553" w14:paraId="4F354284" w14:textId="77777777" w:rsidTr="00897293">
        <w:trPr>
          <w:trHeight w:val="300"/>
        </w:trPr>
        <w:tc>
          <w:tcPr>
            <w:tcW w:w="109" w:type="pct"/>
          </w:tcPr>
          <w:p w14:paraId="400D3551"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103</w:t>
            </w:r>
          </w:p>
        </w:tc>
        <w:tc>
          <w:tcPr>
            <w:tcW w:w="143" w:type="pct"/>
          </w:tcPr>
          <w:p w14:paraId="55C32D2E" w14:textId="294C64ED"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3BA925DD" w14:textId="72C88E1E" w:rsidR="00897293" w:rsidRPr="00CC6553" w:rsidRDefault="00897293" w:rsidP="005271BB">
            <w:pPr>
              <w:rPr>
                <w:rFonts w:cs="Arial"/>
                <w:bCs/>
                <w:iCs/>
                <w:color w:val="000000" w:themeColor="text1"/>
                <w:sz w:val="20"/>
              </w:rPr>
            </w:pPr>
            <w:r w:rsidRPr="00CC6553">
              <w:rPr>
                <w:rFonts w:cs="Arial"/>
                <w:color w:val="000000" w:themeColor="text1"/>
                <w:sz w:val="20"/>
              </w:rPr>
              <w:t>UK Clinical Pharmacy Association (UKCPA) – heart failure committee</w:t>
            </w:r>
          </w:p>
        </w:tc>
        <w:tc>
          <w:tcPr>
            <w:tcW w:w="279" w:type="pct"/>
          </w:tcPr>
          <w:p w14:paraId="631E5531" w14:textId="130113AE"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1DB724B3" w14:textId="2B5CBA93" w:rsidR="00897293" w:rsidRPr="00CC6553" w:rsidRDefault="00897293" w:rsidP="005271BB">
            <w:pPr>
              <w:rPr>
                <w:rFonts w:cs="Arial"/>
                <w:color w:val="000000" w:themeColor="text1"/>
                <w:sz w:val="20"/>
              </w:rPr>
            </w:pPr>
            <w:r w:rsidRPr="00CC6553">
              <w:rPr>
                <w:rFonts w:cs="Arial"/>
                <w:color w:val="000000" w:themeColor="text1"/>
                <w:sz w:val="20"/>
              </w:rPr>
              <w:t>012</w:t>
            </w:r>
          </w:p>
        </w:tc>
        <w:tc>
          <w:tcPr>
            <w:tcW w:w="214" w:type="pct"/>
          </w:tcPr>
          <w:p w14:paraId="1607B016" w14:textId="1F6E745E" w:rsidR="00897293" w:rsidRPr="00CC6553" w:rsidRDefault="00897293" w:rsidP="005271BB">
            <w:pPr>
              <w:rPr>
                <w:rFonts w:cs="Arial"/>
                <w:color w:val="000000" w:themeColor="text1"/>
                <w:sz w:val="20"/>
              </w:rPr>
            </w:pPr>
            <w:r w:rsidRPr="00CC6553">
              <w:rPr>
                <w:rFonts w:cs="Arial"/>
                <w:color w:val="000000" w:themeColor="text1"/>
                <w:sz w:val="20"/>
              </w:rPr>
              <w:t>001</w:t>
            </w:r>
          </w:p>
        </w:tc>
        <w:tc>
          <w:tcPr>
            <w:tcW w:w="1521" w:type="pct"/>
          </w:tcPr>
          <w:p w14:paraId="3FFAF34A" w14:textId="6B730141" w:rsidR="00897293" w:rsidRPr="00CC6553" w:rsidRDefault="00897293" w:rsidP="005271BB">
            <w:pPr>
              <w:rPr>
                <w:rFonts w:cs="Arial"/>
                <w:color w:val="000000" w:themeColor="text1"/>
                <w:sz w:val="20"/>
              </w:rPr>
            </w:pPr>
            <w:r w:rsidRPr="00CC6553">
              <w:rPr>
                <w:rFonts w:cs="Arial"/>
                <w:color w:val="000000" w:themeColor="text1"/>
                <w:sz w:val="20"/>
              </w:rPr>
              <w:t>We support the recommendation</w:t>
            </w:r>
          </w:p>
        </w:tc>
        <w:tc>
          <w:tcPr>
            <w:tcW w:w="2122" w:type="pct"/>
          </w:tcPr>
          <w:p w14:paraId="195439AC" w14:textId="7C8FA557"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w:t>
            </w:r>
          </w:p>
        </w:tc>
      </w:tr>
      <w:tr w:rsidR="00897293" w:rsidRPr="00CC6553" w14:paraId="5DAE9EA8" w14:textId="77777777" w:rsidTr="00897293">
        <w:trPr>
          <w:trHeight w:val="300"/>
        </w:trPr>
        <w:tc>
          <w:tcPr>
            <w:tcW w:w="109" w:type="pct"/>
          </w:tcPr>
          <w:p w14:paraId="4945A349" w14:textId="77777777" w:rsidR="00897293" w:rsidRPr="00CC6553" w:rsidRDefault="00897293" w:rsidP="005271BB">
            <w:pPr>
              <w:rPr>
                <w:rFonts w:cs="Arial"/>
                <w:color w:val="000000" w:themeColor="text1"/>
                <w:sz w:val="20"/>
              </w:rPr>
            </w:pPr>
            <w:r w:rsidRPr="00CC6553">
              <w:rPr>
                <w:rFonts w:cs="Arial"/>
                <w:color w:val="000000" w:themeColor="text1"/>
                <w:sz w:val="20"/>
              </w:rPr>
              <w:t>104</w:t>
            </w:r>
          </w:p>
        </w:tc>
        <w:tc>
          <w:tcPr>
            <w:tcW w:w="143" w:type="pct"/>
          </w:tcPr>
          <w:p w14:paraId="0F95FF7D" w14:textId="360402EA"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08771B55" w14:textId="52F09EDA" w:rsidR="00897293" w:rsidRPr="00CC6553" w:rsidRDefault="00897293" w:rsidP="005271BB">
            <w:pPr>
              <w:rPr>
                <w:rFonts w:cs="Arial"/>
                <w:bCs/>
                <w:iCs/>
                <w:color w:val="000000" w:themeColor="text1"/>
                <w:sz w:val="20"/>
              </w:rPr>
            </w:pPr>
            <w:r w:rsidRPr="00CC6553">
              <w:rPr>
                <w:rFonts w:cs="Arial"/>
                <w:color w:val="000000" w:themeColor="text1"/>
                <w:sz w:val="20"/>
              </w:rPr>
              <w:t>First Community Health and Care</w:t>
            </w:r>
          </w:p>
        </w:tc>
        <w:tc>
          <w:tcPr>
            <w:tcW w:w="279" w:type="pct"/>
          </w:tcPr>
          <w:p w14:paraId="5C6032D7" w14:textId="740AF4D9"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718B4D53" w14:textId="636018FF" w:rsidR="00897293" w:rsidRPr="00CC6553" w:rsidRDefault="00897293" w:rsidP="005271BB">
            <w:pPr>
              <w:rPr>
                <w:rFonts w:cs="Arial"/>
                <w:color w:val="000000" w:themeColor="text1"/>
                <w:sz w:val="20"/>
              </w:rPr>
            </w:pPr>
            <w:r w:rsidRPr="00CC6553">
              <w:rPr>
                <w:rFonts w:cs="Arial"/>
                <w:color w:val="000000" w:themeColor="text1"/>
                <w:sz w:val="20"/>
              </w:rPr>
              <w:t>012</w:t>
            </w:r>
          </w:p>
        </w:tc>
        <w:tc>
          <w:tcPr>
            <w:tcW w:w="214" w:type="pct"/>
          </w:tcPr>
          <w:p w14:paraId="08226696" w14:textId="78ABEBB0" w:rsidR="00897293" w:rsidRPr="00CC6553" w:rsidRDefault="00897293" w:rsidP="005271BB">
            <w:pPr>
              <w:rPr>
                <w:rFonts w:cs="Arial"/>
                <w:color w:val="000000" w:themeColor="text1"/>
                <w:sz w:val="20"/>
              </w:rPr>
            </w:pPr>
            <w:r w:rsidRPr="00CC6553">
              <w:rPr>
                <w:rFonts w:cs="Arial"/>
                <w:color w:val="000000" w:themeColor="text1"/>
                <w:sz w:val="20"/>
              </w:rPr>
              <w:t>001 - 003</w:t>
            </w:r>
          </w:p>
        </w:tc>
        <w:tc>
          <w:tcPr>
            <w:tcW w:w="1521" w:type="pct"/>
          </w:tcPr>
          <w:p w14:paraId="2AC63EAB" w14:textId="767DC535" w:rsidR="00897293" w:rsidRPr="00CC6553" w:rsidRDefault="00897293" w:rsidP="005271BB">
            <w:pPr>
              <w:rPr>
                <w:rFonts w:cs="Arial"/>
                <w:color w:val="000000" w:themeColor="text1"/>
                <w:sz w:val="20"/>
              </w:rPr>
            </w:pPr>
            <w:r w:rsidRPr="00CC6553">
              <w:rPr>
                <w:rFonts w:cs="Arial"/>
                <w:color w:val="000000" w:themeColor="text1"/>
                <w:sz w:val="20"/>
              </w:rPr>
              <w:t>Rec 1.4.7 - Must consider that investigation for anaemia can be wide ranging and requires referral to GP or cardiologist to initiate appropriate investigations.  Would sit outside of most heart failure specialist nurses scope. Would need to consider who should do this and whether it is currently resourced.</w:t>
            </w:r>
          </w:p>
        </w:tc>
        <w:tc>
          <w:tcPr>
            <w:tcW w:w="2122" w:type="pct"/>
          </w:tcPr>
          <w:p w14:paraId="125EE61D" w14:textId="3B66BD5E" w:rsidR="00897293" w:rsidRPr="00CC6553" w:rsidRDefault="00897293" w:rsidP="21434BE0">
            <w:pPr>
              <w:pStyle w:val="Heading1"/>
              <w:rPr>
                <w:rFonts w:cs="Arial"/>
                <w:b w:val="0"/>
                <w:bCs w:val="0"/>
                <w:color w:val="000000" w:themeColor="text1"/>
                <w:sz w:val="20"/>
              </w:rPr>
            </w:pPr>
            <w:r w:rsidRPr="00CC6553">
              <w:rPr>
                <w:rFonts w:cs="Arial"/>
                <w:b w:val="0"/>
                <w:bCs w:val="0"/>
                <w:color w:val="000000" w:themeColor="text1"/>
                <w:sz w:val="20"/>
              </w:rPr>
              <w:t>Thank you for your comment.  NICE recommendations typically do not include who should perform a recommendation, but it should be someone with the necessary competencies to do so. How services are resourced is outside the scope of NICE guidelines.</w:t>
            </w:r>
          </w:p>
        </w:tc>
      </w:tr>
      <w:tr w:rsidR="00897293" w:rsidRPr="00CC6553" w14:paraId="11F07C13" w14:textId="77777777" w:rsidTr="00897293">
        <w:trPr>
          <w:trHeight w:val="300"/>
        </w:trPr>
        <w:tc>
          <w:tcPr>
            <w:tcW w:w="109" w:type="pct"/>
          </w:tcPr>
          <w:p w14:paraId="0F096EBF" w14:textId="77777777" w:rsidR="00897293" w:rsidRPr="00CC6553" w:rsidRDefault="00897293" w:rsidP="005271BB">
            <w:pPr>
              <w:rPr>
                <w:rFonts w:cs="Arial"/>
                <w:color w:val="000000" w:themeColor="text1"/>
                <w:sz w:val="20"/>
              </w:rPr>
            </w:pPr>
            <w:r w:rsidRPr="00CC6553">
              <w:rPr>
                <w:rFonts w:cs="Arial"/>
                <w:color w:val="000000" w:themeColor="text1"/>
                <w:sz w:val="20"/>
              </w:rPr>
              <w:t>105</w:t>
            </w:r>
          </w:p>
        </w:tc>
        <w:tc>
          <w:tcPr>
            <w:tcW w:w="143" w:type="pct"/>
          </w:tcPr>
          <w:p w14:paraId="77EA5573" w14:textId="52036F46"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73DD023A" w14:textId="68D0B55B" w:rsidR="00897293" w:rsidRPr="00CC6553" w:rsidRDefault="00897293" w:rsidP="005271BB">
            <w:pPr>
              <w:rPr>
                <w:rFonts w:cs="Arial"/>
                <w:bCs/>
                <w:iCs/>
                <w:color w:val="000000" w:themeColor="text1"/>
                <w:sz w:val="20"/>
              </w:rPr>
            </w:pPr>
            <w:r w:rsidRPr="00CC6553">
              <w:rPr>
                <w:rFonts w:cs="Arial"/>
                <w:color w:val="000000" w:themeColor="text1"/>
                <w:sz w:val="20"/>
              </w:rPr>
              <w:t>UK Clinical Pharmacy Association (UKCPA) – heart failure committee</w:t>
            </w:r>
          </w:p>
        </w:tc>
        <w:tc>
          <w:tcPr>
            <w:tcW w:w="279" w:type="pct"/>
          </w:tcPr>
          <w:p w14:paraId="00AB692E" w14:textId="29CA579A"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4AEEB1CC" w14:textId="528F65DE" w:rsidR="00897293" w:rsidRPr="00CC6553" w:rsidRDefault="00897293" w:rsidP="005271BB">
            <w:pPr>
              <w:rPr>
                <w:rFonts w:cs="Arial"/>
                <w:color w:val="000000" w:themeColor="text1"/>
                <w:sz w:val="20"/>
              </w:rPr>
            </w:pPr>
            <w:r w:rsidRPr="00CC6553">
              <w:rPr>
                <w:rFonts w:cs="Arial"/>
                <w:color w:val="000000" w:themeColor="text1"/>
                <w:sz w:val="20"/>
              </w:rPr>
              <w:t>012</w:t>
            </w:r>
          </w:p>
        </w:tc>
        <w:tc>
          <w:tcPr>
            <w:tcW w:w="214" w:type="pct"/>
          </w:tcPr>
          <w:p w14:paraId="4227BFC5" w14:textId="6243D4F5" w:rsidR="00897293" w:rsidRPr="00CC6553" w:rsidRDefault="00897293" w:rsidP="005271BB">
            <w:pPr>
              <w:rPr>
                <w:rFonts w:cs="Arial"/>
                <w:color w:val="000000" w:themeColor="text1"/>
                <w:sz w:val="20"/>
              </w:rPr>
            </w:pPr>
            <w:r w:rsidRPr="00CC6553">
              <w:rPr>
                <w:rFonts w:cs="Arial"/>
                <w:color w:val="000000" w:themeColor="text1"/>
                <w:sz w:val="20"/>
              </w:rPr>
              <w:t>010</w:t>
            </w:r>
          </w:p>
        </w:tc>
        <w:tc>
          <w:tcPr>
            <w:tcW w:w="1521" w:type="pct"/>
          </w:tcPr>
          <w:p w14:paraId="09F4B3A6" w14:textId="5F4D96A4" w:rsidR="00897293" w:rsidRPr="00CC6553" w:rsidRDefault="00897293" w:rsidP="005271BB">
            <w:pPr>
              <w:rPr>
                <w:rFonts w:cs="Arial"/>
                <w:color w:val="000000" w:themeColor="text1"/>
                <w:sz w:val="20"/>
              </w:rPr>
            </w:pPr>
            <w:r w:rsidRPr="00CC6553">
              <w:rPr>
                <w:rFonts w:cs="Arial"/>
                <w:color w:val="000000" w:themeColor="text1"/>
                <w:sz w:val="20"/>
              </w:rPr>
              <w:t>We support the recommendation</w:t>
            </w:r>
          </w:p>
        </w:tc>
        <w:tc>
          <w:tcPr>
            <w:tcW w:w="2122" w:type="pct"/>
          </w:tcPr>
          <w:p w14:paraId="0B9C9AEF" w14:textId="25C80A82"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w:t>
            </w:r>
          </w:p>
        </w:tc>
      </w:tr>
      <w:tr w:rsidR="00897293" w:rsidRPr="00CC6553" w14:paraId="73F150E1" w14:textId="77777777" w:rsidTr="00897293">
        <w:trPr>
          <w:trHeight w:val="300"/>
        </w:trPr>
        <w:tc>
          <w:tcPr>
            <w:tcW w:w="109" w:type="pct"/>
          </w:tcPr>
          <w:p w14:paraId="51D48FB0" w14:textId="77777777" w:rsidR="00897293" w:rsidRPr="00CC6553" w:rsidRDefault="00897293" w:rsidP="005271BB">
            <w:pPr>
              <w:rPr>
                <w:rFonts w:cs="Arial"/>
                <w:color w:val="000000" w:themeColor="text1"/>
                <w:sz w:val="20"/>
              </w:rPr>
            </w:pPr>
            <w:r w:rsidRPr="00CC6553">
              <w:rPr>
                <w:rFonts w:cs="Arial"/>
                <w:color w:val="000000" w:themeColor="text1"/>
                <w:sz w:val="20"/>
              </w:rPr>
              <w:t>106</w:t>
            </w:r>
          </w:p>
        </w:tc>
        <w:tc>
          <w:tcPr>
            <w:tcW w:w="143" w:type="pct"/>
          </w:tcPr>
          <w:p w14:paraId="629921E9" w14:textId="3E98F10A"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27B6D2B8" w14:textId="0C63CFD9" w:rsidR="00897293" w:rsidRPr="00CC6553" w:rsidRDefault="00897293" w:rsidP="005271BB">
            <w:pPr>
              <w:rPr>
                <w:rFonts w:cs="Arial"/>
                <w:bCs/>
                <w:iCs/>
                <w:color w:val="000000" w:themeColor="text1"/>
                <w:sz w:val="20"/>
              </w:rPr>
            </w:pPr>
            <w:r w:rsidRPr="00CC6553">
              <w:rPr>
                <w:rFonts w:cs="Arial"/>
                <w:color w:val="000000" w:themeColor="text1"/>
                <w:sz w:val="20"/>
              </w:rPr>
              <w:t>Imperial College Healthcare NHS Trust</w:t>
            </w:r>
          </w:p>
        </w:tc>
        <w:tc>
          <w:tcPr>
            <w:tcW w:w="279" w:type="pct"/>
          </w:tcPr>
          <w:p w14:paraId="2BBEA5FA" w14:textId="6C2968AF"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4BF22616" w14:textId="0BA1EBE7" w:rsidR="00897293" w:rsidRPr="00CC6553" w:rsidRDefault="00897293" w:rsidP="005271BB">
            <w:pPr>
              <w:rPr>
                <w:rFonts w:cs="Arial"/>
                <w:color w:val="000000" w:themeColor="text1"/>
                <w:sz w:val="20"/>
              </w:rPr>
            </w:pPr>
            <w:r w:rsidRPr="00CC6553">
              <w:rPr>
                <w:rFonts w:cs="Arial"/>
                <w:color w:val="000000" w:themeColor="text1"/>
                <w:sz w:val="20"/>
              </w:rPr>
              <w:t>012</w:t>
            </w:r>
          </w:p>
        </w:tc>
        <w:tc>
          <w:tcPr>
            <w:tcW w:w="214" w:type="pct"/>
          </w:tcPr>
          <w:p w14:paraId="23ABF1A9" w14:textId="5DE3A6CD" w:rsidR="00897293" w:rsidRPr="00CC6553" w:rsidRDefault="00897293" w:rsidP="005271BB">
            <w:pPr>
              <w:rPr>
                <w:rFonts w:cs="Arial"/>
                <w:color w:val="000000" w:themeColor="text1"/>
                <w:sz w:val="20"/>
              </w:rPr>
            </w:pPr>
            <w:r w:rsidRPr="00CC6553">
              <w:rPr>
                <w:rFonts w:cs="Arial"/>
                <w:color w:val="000000" w:themeColor="text1"/>
                <w:sz w:val="20"/>
              </w:rPr>
              <w:t>014</w:t>
            </w:r>
          </w:p>
        </w:tc>
        <w:tc>
          <w:tcPr>
            <w:tcW w:w="1521" w:type="pct"/>
          </w:tcPr>
          <w:p w14:paraId="1662A7CE" w14:textId="58FB1EA5" w:rsidR="00897293" w:rsidRPr="00CC6553" w:rsidRDefault="00897293" w:rsidP="005271BB">
            <w:pPr>
              <w:rPr>
                <w:rFonts w:cs="Arial"/>
                <w:color w:val="000000" w:themeColor="text1"/>
                <w:sz w:val="20"/>
              </w:rPr>
            </w:pPr>
            <w:r w:rsidRPr="00CC6553">
              <w:rPr>
                <w:rFonts w:cs="Arial"/>
                <w:color w:val="000000" w:themeColor="text1"/>
                <w:sz w:val="20"/>
              </w:rPr>
              <w:t>There is no mention of checking UACR.</w:t>
            </w:r>
          </w:p>
        </w:tc>
        <w:tc>
          <w:tcPr>
            <w:tcW w:w="2122" w:type="pct"/>
          </w:tcPr>
          <w:p w14:paraId="7C22450B" w14:textId="77777777" w:rsidR="00897293" w:rsidRPr="00CC6553" w:rsidRDefault="00897293" w:rsidP="00B276E4">
            <w:pPr>
              <w:pStyle w:val="Paragraph"/>
              <w:numPr>
                <w:ilvl w:val="0"/>
                <w:numId w:val="0"/>
              </w:numPr>
              <w:spacing w:before="0" w:line="240" w:lineRule="auto"/>
              <w:rPr>
                <w:bCs/>
                <w:color w:val="000000" w:themeColor="text1"/>
                <w:sz w:val="24"/>
              </w:rPr>
            </w:pPr>
            <w:r w:rsidRPr="00CC6553">
              <w:rPr>
                <w:rFonts w:cs="Arial"/>
                <w:bCs/>
                <w:color w:val="000000" w:themeColor="text1"/>
                <w:sz w:val="20"/>
              </w:rPr>
              <w:t xml:space="preserve">Thank you for your comment.  The scope of this update was the pharmacological management of chronic heart failure </w:t>
            </w:r>
            <w:hyperlink r:id="rId14" w:history="1">
              <w:r w:rsidRPr="009B3C47">
                <w:rPr>
                  <w:rStyle w:val="Hyperlink"/>
                  <w:color w:val="000000" w:themeColor="text1"/>
                  <w:sz w:val="20"/>
                </w:rPr>
                <w:t>https://www.nice.org.uk/guidance/gid-ng10405/documents/final-scope</w:t>
              </w:r>
            </w:hyperlink>
            <w:r w:rsidRPr="009B3C47">
              <w:rPr>
                <w:color w:val="000000" w:themeColor="text1"/>
                <w:sz w:val="20"/>
              </w:rPr>
              <w:t xml:space="preserve"> </w:t>
            </w:r>
            <w:r w:rsidRPr="00CC6553">
              <w:rPr>
                <w:rFonts w:cs="Arial"/>
                <w:bCs/>
                <w:color w:val="000000" w:themeColor="text1"/>
                <w:sz w:val="20"/>
              </w:rPr>
              <w:t xml:space="preserve">and the committee is therefore only able to make editorial changes to </w:t>
            </w:r>
            <w:r w:rsidRPr="00CC6553">
              <w:rPr>
                <w:rFonts w:cs="Arial"/>
                <w:bCs/>
                <w:color w:val="000000" w:themeColor="text1"/>
                <w:sz w:val="20"/>
              </w:rPr>
              <w:lastRenderedPageBreak/>
              <w:t>recommendations on areas outside of this</w:t>
            </w:r>
          </w:p>
          <w:p w14:paraId="61CC4148" w14:textId="77777777" w:rsidR="00897293" w:rsidRPr="00CC6553" w:rsidRDefault="00897293" w:rsidP="005271BB">
            <w:pPr>
              <w:pStyle w:val="Heading1"/>
              <w:rPr>
                <w:rFonts w:cs="Arial"/>
                <w:b w:val="0"/>
                <w:color w:val="000000" w:themeColor="text1"/>
                <w:sz w:val="20"/>
              </w:rPr>
            </w:pPr>
          </w:p>
        </w:tc>
      </w:tr>
      <w:tr w:rsidR="00897293" w:rsidRPr="00CC6553" w14:paraId="22E1E790" w14:textId="77777777" w:rsidTr="00897293">
        <w:trPr>
          <w:trHeight w:val="300"/>
        </w:trPr>
        <w:tc>
          <w:tcPr>
            <w:tcW w:w="109" w:type="pct"/>
          </w:tcPr>
          <w:p w14:paraId="0BB8ACE5"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107</w:t>
            </w:r>
          </w:p>
        </w:tc>
        <w:tc>
          <w:tcPr>
            <w:tcW w:w="143" w:type="pct"/>
          </w:tcPr>
          <w:p w14:paraId="46CD890F" w14:textId="17FAAB2C"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560FE34F" w14:textId="06857BA0" w:rsidR="00897293" w:rsidRPr="00CC6553" w:rsidRDefault="00897293" w:rsidP="005271BB">
            <w:pPr>
              <w:rPr>
                <w:rFonts w:cs="Arial"/>
                <w:bCs/>
                <w:iCs/>
                <w:color w:val="000000" w:themeColor="text1"/>
                <w:sz w:val="20"/>
              </w:rPr>
            </w:pPr>
            <w:r w:rsidRPr="00CC6553">
              <w:rPr>
                <w:rFonts w:cs="Arial"/>
                <w:color w:val="000000" w:themeColor="text1"/>
                <w:sz w:val="20"/>
              </w:rPr>
              <w:t>Imperial College Healthcare NHS Trust</w:t>
            </w:r>
          </w:p>
        </w:tc>
        <w:tc>
          <w:tcPr>
            <w:tcW w:w="279" w:type="pct"/>
          </w:tcPr>
          <w:p w14:paraId="3A9025E4" w14:textId="49E4506D"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470A6DA6" w14:textId="56EE36A2" w:rsidR="00897293" w:rsidRPr="00CC6553" w:rsidRDefault="00897293" w:rsidP="005271BB">
            <w:pPr>
              <w:rPr>
                <w:rFonts w:cs="Arial"/>
                <w:color w:val="000000" w:themeColor="text1"/>
                <w:sz w:val="20"/>
              </w:rPr>
            </w:pPr>
            <w:r w:rsidRPr="00CC6553">
              <w:rPr>
                <w:rFonts w:cs="Arial"/>
                <w:color w:val="000000" w:themeColor="text1"/>
                <w:sz w:val="20"/>
              </w:rPr>
              <w:t>012</w:t>
            </w:r>
          </w:p>
        </w:tc>
        <w:tc>
          <w:tcPr>
            <w:tcW w:w="214" w:type="pct"/>
          </w:tcPr>
          <w:p w14:paraId="761D60A1" w14:textId="0BB2BC85" w:rsidR="00897293" w:rsidRPr="00CC6553" w:rsidRDefault="00897293" w:rsidP="005271BB">
            <w:pPr>
              <w:rPr>
                <w:rFonts w:cs="Arial"/>
                <w:color w:val="000000" w:themeColor="text1"/>
                <w:sz w:val="20"/>
              </w:rPr>
            </w:pPr>
            <w:r w:rsidRPr="00CC6553">
              <w:rPr>
                <w:rFonts w:cs="Arial"/>
                <w:color w:val="000000" w:themeColor="text1"/>
                <w:sz w:val="20"/>
              </w:rPr>
              <w:t>014</w:t>
            </w:r>
          </w:p>
        </w:tc>
        <w:tc>
          <w:tcPr>
            <w:tcW w:w="1521" w:type="pct"/>
          </w:tcPr>
          <w:p w14:paraId="6010ECD5" w14:textId="62F701B9" w:rsidR="00897293" w:rsidRPr="00CC6553" w:rsidRDefault="00897293" w:rsidP="005271BB">
            <w:pPr>
              <w:rPr>
                <w:rFonts w:cs="Arial"/>
                <w:color w:val="000000" w:themeColor="text1"/>
                <w:sz w:val="20"/>
              </w:rPr>
            </w:pPr>
            <w:r w:rsidRPr="00CC6553">
              <w:rPr>
                <w:rFonts w:cs="Arial"/>
                <w:color w:val="000000" w:themeColor="text1"/>
                <w:sz w:val="20"/>
              </w:rPr>
              <w:t>We think care should be taken in the CKD section as many with CKD will need to be on ACEi, MRA and SGLT2i as part of the pillars of treatment for that condition so eGFR &lt;45 should not necessarily preclude treatment or cause undue concern</w:t>
            </w:r>
          </w:p>
        </w:tc>
        <w:tc>
          <w:tcPr>
            <w:tcW w:w="2122" w:type="pct"/>
          </w:tcPr>
          <w:p w14:paraId="045A9A66" w14:textId="00D62247"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 xml:space="preserve">Thank you for your comment.  The evidence for this recommendation can be found in section 6.2.6 NG106 </w:t>
            </w:r>
            <w:hyperlink r:id="rId15" w:history="1">
              <w:r w:rsidRPr="009B3C47">
                <w:rPr>
                  <w:rStyle w:val="Hyperlink"/>
                  <w:b w:val="0"/>
                  <w:color w:val="000000" w:themeColor="text1"/>
                  <w:sz w:val="20"/>
                </w:rPr>
                <w:t>NG106 Full guideline</w:t>
              </w:r>
            </w:hyperlink>
            <w:r w:rsidRPr="009B3C47">
              <w:rPr>
                <w:b w:val="0"/>
                <w:color w:val="000000" w:themeColor="text1"/>
                <w:sz w:val="20"/>
              </w:rPr>
              <w:t xml:space="preserve">.  </w:t>
            </w:r>
            <w:r w:rsidRPr="00CC6553">
              <w:rPr>
                <w:rFonts w:cs="Arial"/>
                <w:b w:val="0"/>
                <w:color w:val="000000" w:themeColor="text1"/>
                <w:sz w:val="20"/>
              </w:rPr>
              <w:t>The scope of this update was the pharmacological management of chronic heart failure https://www.nice.org.uk/guidance/gid-ng10405/documents/final-scope and the committee is therefore only able to make editorial changes or minimal changes for consistency or clarification to recommendations on areas outside of this.</w:t>
            </w:r>
          </w:p>
        </w:tc>
      </w:tr>
      <w:tr w:rsidR="00897293" w:rsidRPr="00CC6553" w14:paraId="34A1FEF7" w14:textId="77777777" w:rsidTr="00897293">
        <w:trPr>
          <w:trHeight w:val="300"/>
        </w:trPr>
        <w:tc>
          <w:tcPr>
            <w:tcW w:w="109" w:type="pct"/>
          </w:tcPr>
          <w:p w14:paraId="4F7D551B" w14:textId="77777777" w:rsidR="00897293" w:rsidRPr="00CC6553" w:rsidRDefault="00897293" w:rsidP="005271BB">
            <w:pPr>
              <w:rPr>
                <w:rFonts w:cs="Arial"/>
                <w:color w:val="000000" w:themeColor="text1"/>
                <w:sz w:val="20"/>
              </w:rPr>
            </w:pPr>
            <w:r w:rsidRPr="00CC6553">
              <w:rPr>
                <w:rFonts w:cs="Arial"/>
                <w:color w:val="000000" w:themeColor="text1"/>
                <w:sz w:val="20"/>
              </w:rPr>
              <w:t>108</w:t>
            </w:r>
          </w:p>
        </w:tc>
        <w:tc>
          <w:tcPr>
            <w:tcW w:w="143" w:type="pct"/>
          </w:tcPr>
          <w:p w14:paraId="1636C5D4" w14:textId="3909F405"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4E500166" w14:textId="4DE3272D" w:rsidR="00897293" w:rsidRPr="00CC6553" w:rsidRDefault="00897293" w:rsidP="005271BB">
            <w:pPr>
              <w:rPr>
                <w:rFonts w:cs="Arial"/>
                <w:bCs/>
                <w:iCs/>
                <w:color w:val="000000" w:themeColor="text1"/>
                <w:sz w:val="20"/>
              </w:rPr>
            </w:pPr>
            <w:r w:rsidRPr="00CC6553">
              <w:rPr>
                <w:rFonts w:cs="Arial"/>
                <w:color w:val="000000" w:themeColor="text1"/>
                <w:sz w:val="20"/>
              </w:rPr>
              <w:t>British Association for Nursing in Cardiovascular Care (BANCC)</w:t>
            </w:r>
          </w:p>
        </w:tc>
        <w:tc>
          <w:tcPr>
            <w:tcW w:w="279" w:type="pct"/>
          </w:tcPr>
          <w:p w14:paraId="6E528669" w14:textId="1E62CE81"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6EFB5A9C" w14:textId="4F98E695" w:rsidR="00897293" w:rsidRPr="00CC6553" w:rsidRDefault="00897293" w:rsidP="005271BB">
            <w:pPr>
              <w:rPr>
                <w:rFonts w:cs="Arial"/>
                <w:color w:val="000000" w:themeColor="text1"/>
                <w:sz w:val="20"/>
              </w:rPr>
            </w:pPr>
            <w:r w:rsidRPr="00CC6553">
              <w:rPr>
                <w:rFonts w:cs="Arial"/>
                <w:color w:val="000000" w:themeColor="text1"/>
                <w:sz w:val="20"/>
              </w:rPr>
              <w:t>012</w:t>
            </w:r>
          </w:p>
        </w:tc>
        <w:tc>
          <w:tcPr>
            <w:tcW w:w="214" w:type="pct"/>
          </w:tcPr>
          <w:p w14:paraId="3BD0053D" w14:textId="37D2B30D" w:rsidR="00897293" w:rsidRPr="00CC6553" w:rsidRDefault="00897293" w:rsidP="005271BB">
            <w:pPr>
              <w:rPr>
                <w:rFonts w:cs="Arial"/>
                <w:color w:val="000000" w:themeColor="text1"/>
                <w:sz w:val="20"/>
              </w:rPr>
            </w:pPr>
            <w:r w:rsidRPr="00CC6553">
              <w:rPr>
                <w:rFonts w:cs="Arial"/>
                <w:color w:val="000000" w:themeColor="text1"/>
                <w:sz w:val="20"/>
              </w:rPr>
              <w:t>014</w:t>
            </w:r>
          </w:p>
        </w:tc>
        <w:tc>
          <w:tcPr>
            <w:tcW w:w="1521" w:type="pct"/>
          </w:tcPr>
          <w:p w14:paraId="3665C4A9" w14:textId="34D37C41" w:rsidR="00897293" w:rsidRPr="00CC6553" w:rsidRDefault="00897293" w:rsidP="005271BB">
            <w:pPr>
              <w:rPr>
                <w:rFonts w:cs="Arial"/>
                <w:color w:val="000000" w:themeColor="text1"/>
                <w:sz w:val="20"/>
              </w:rPr>
            </w:pPr>
            <w:r w:rsidRPr="00CC6553">
              <w:rPr>
                <w:rFonts w:cs="Arial"/>
                <w:color w:val="000000" w:themeColor="text1"/>
                <w:sz w:val="20"/>
              </w:rPr>
              <w:t>Should include uACR</w:t>
            </w:r>
          </w:p>
        </w:tc>
        <w:tc>
          <w:tcPr>
            <w:tcW w:w="2122" w:type="pct"/>
          </w:tcPr>
          <w:p w14:paraId="77AF999C" w14:textId="77777777" w:rsidR="00897293" w:rsidRPr="00CC6553" w:rsidRDefault="00897293" w:rsidP="00B276E4">
            <w:pPr>
              <w:pStyle w:val="Paragraph"/>
              <w:numPr>
                <w:ilvl w:val="0"/>
                <w:numId w:val="0"/>
              </w:numPr>
              <w:spacing w:before="0" w:line="240" w:lineRule="auto"/>
              <w:rPr>
                <w:bCs/>
                <w:color w:val="000000" w:themeColor="text1"/>
                <w:sz w:val="24"/>
              </w:rPr>
            </w:pPr>
            <w:r w:rsidRPr="00CC6553">
              <w:rPr>
                <w:rFonts w:cs="Arial"/>
                <w:bCs/>
                <w:color w:val="000000" w:themeColor="text1"/>
                <w:sz w:val="20"/>
              </w:rPr>
              <w:t xml:space="preserve">Thank you for your comment.  The scope of this update was the pharmacological management of chronic heart failure </w:t>
            </w:r>
            <w:hyperlink r:id="rId16" w:history="1">
              <w:r w:rsidRPr="009B3C47">
                <w:rPr>
                  <w:rStyle w:val="Hyperlink"/>
                  <w:color w:val="000000" w:themeColor="text1"/>
                  <w:sz w:val="20"/>
                </w:rPr>
                <w:t>https://www.nice.org.uk/guidance/gid-ng10405/documents/final-scope</w:t>
              </w:r>
            </w:hyperlink>
            <w:r w:rsidRPr="009B3C47">
              <w:rPr>
                <w:color w:val="000000" w:themeColor="text1"/>
                <w:sz w:val="20"/>
              </w:rPr>
              <w:t xml:space="preserve"> </w:t>
            </w:r>
            <w:r w:rsidRPr="00CC6553">
              <w:rPr>
                <w:rFonts w:cs="Arial"/>
                <w:bCs/>
                <w:color w:val="000000" w:themeColor="text1"/>
                <w:sz w:val="20"/>
              </w:rPr>
              <w:t>and the committee is therefore only able to make editorial changes to recommendations on areas outside of this</w:t>
            </w:r>
          </w:p>
          <w:p w14:paraId="79365684" w14:textId="77777777" w:rsidR="00897293" w:rsidRPr="00CC6553" w:rsidRDefault="00897293" w:rsidP="005271BB">
            <w:pPr>
              <w:pStyle w:val="Heading1"/>
              <w:rPr>
                <w:rFonts w:cs="Arial"/>
                <w:b w:val="0"/>
                <w:color w:val="000000" w:themeColor="text1"/>
                <w:sz w:val="20"/>
              </w:rPr>
            </w:pPr>
          </w:p>
        </w:tc>
      </w:tr>
      <w:tr w:rsidR="00897293" w:rsidRPr="00CC6553" w14:paraId="048B4E5F" w14:textId="77777777" w:rsidTr="00897293">
        <w:trPr>
          <w:trHeight w:val="300"/>
        </w:trPr>
        <w:tc>
          <w:tcPr>
            <w:tcW w:w="109" w:type="pct"/>
          </w:tcPr>
          <w:p w14:paraId="45BF0AB1" w14:textId="77777777" w:rsidR="00897293" w:rsidRPr="00CC6553" w:rsidRDefault="00897293" w:rsidP="005271BB">
            <w:pPr>
              <w:rPr>
                <w:rFonts w:cs="Arial"/>
                <w:color w:val="000000" w:themeColor="text1"/>
                <w:sz w:val="20"/>
              </w:rPr>
            </w:pPr>
            <w:r w:rsidRPr="00CC6553">
              <w:rPr>
                <w:rFonts w:cs="Arial"/>
                <w:color w:val="000000" w:themeColor="text1"/>
                <w:sz w:val="20"/>
              </w:rPr>
              <w:t>109</w:t>
            </w:r>
          </w:p>
        </w:tc>
        <w:tc>
          <w:tcPr>
            <w:tcW w:w="143" w:type="pct"/>
          </w:tcPr>
          <w:p w14:paraId="4D0A14A6" w14:textId="125D019B"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16C6F0CF" w14:textId="15135F51"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6910FA22" w14:textId="233C6F42"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4B58C863" w14:textId="6084FFBB" w:rsidR="00897293" w:rsidRPr="00CC6553" w:rsidRDefault="00897293" w:rsidP="005271BB">
            <w:pPr>
              <w:rPr>
                <w:rFonts w:cs="Arial"/>
                <w:color w:val="000000" w:themeColor="text1"/>
                <w:sz w:val="20"/>
              </w:rPr>
            </w:pPr>
            <w:r w:rsidRPr="00CC6553">
              <w:rPr>
                <w:rFonts w:cs="Arial"/>
                <w:color w:val="000000" w:themeColor="text1"/>
                <w:sz w:val="20"/>
              </w:rPr>
              <w:t>012</w:t>
            </w:r>
          </w:p>
        </w:tc>
        <w:tc>
          <w:tcPr>
            <w:tcW w:w="214" w:type="pct"/>
          </w:tcPr>
          <w:p w14:paraId="280C563B" w14:textId="69539115" w:rsidR="00897293" w:rsidRPr="00CC6553" w:rsidRDefault="00897293" w:rsidP="005271BB">
            <w:pPr>
              <w:rPr>
                <w:rFonts w:cs="Arial"/>
                <w:color w:val="000000" w:themeColor="text1"/>
                <w:sz w:val="20"/>
              </w:rPr>
            </w:pPr>
            <w:r w:rsidRPr="00CC6553">
              <w:rPr>
                <w:rFonts w:cs="Arial"/>
                <w:color w:val="000000" w:themeColor="text1"/>
                <w:sz w:val="20"/>
              </w:rPr>
              <w:t>020</w:t>
            </w:r>
          </w:p>
        </w:tc>
        <w:tc>
          <w:tcPr>
            <w:tcW w:w="1521" w:type="pct"/>
          </w:tcPr>
          <w:p w14:paraId="7C54EE38" w14:textId="45F1BEE6" w:rsidR="00897293" w:rsidRPr="00CC6553" w:rsidRDefault="00897293" w:rsidP="005271BB">
            <w:pPr>
              <w:rPr>
                <w:rFonts w:cs="Arial"/>
                <w:color w:val="000000" w:themeColor="text1"/>
                <w:sz w:val="20"/>
              </w:rPr>
            </w:pPr>
            <w:r w:rsidRPr="00CC6553">
              <w:rPr>
                <w:rFonts w:cs="Arial"/>
                <w:color w:val="000000" w:themeColor="text1"/>
                <w:sz w:val="20"/>
              </w:rPr>
              <w:t xml:space="preserve">1.4.10 Offer digoxin to people with worsening or severe heart failure with reduced ejection fraction despite optimised treatment combinations as detailed in </w:t>
            </w:r>
            <w:r w:rsidRPr="00CC6553">
              <w:rPr>
                <w:rFonts w:cs="Arial"/>
                <w:color w:val="000000" w:themeColor="text1"/>
                <w:sz w:val="20"/>
              </w:rPr>
              <w:lastRenderedPageBreak/>
              <w:t>recommendations 1.4.1 to 1.4.4. Seek specialist advice before starting treatment. [2010, amended 2025]</w:t>
            </w:r>
            <w:r w:rsidRPr="00CC6553">
              <w:rPr>
                <w:rFonts w:cs="Arial"/>
                <w:color w:val="000000" w:themeColor="text1"/>
                <w:sz w:val="20"/>
              </w:rPr>
              <w:br/>
              <w:t>This recommendation should be downgraded from ‘offer’ to ‘consider’. The only RCT evidence is the DIG trial from 1997 where patients were prescribed single pillar medication only (ACE-). More recent evidence in advanced heart failure and from registries has questioned the safety of digoxin in patients with sinus rhythm.</w:t>
            </w:r>
            <w:r w:rsidRPr="00CC6553">
              <w:rPr>
                <w:rFonts w:cs="Arial"/>
                <w:color w:val="000000" w:themeColor="text1"/>
                <w:sz w:val="20"/>
              </w:rPr>
              <w:br/>
              <w:t>Kapelios CJ, Lund LH, Benson L, Dahlström U, Rosano GMC, Hauptman PJ, Savarese G. Digoxin use in contemporary heart failure with reduced ejection fraction: an analysis from the Swedish Heart Failure Registry. Eur Heart J Cardiovasc Pharmacother. 2022 Dec 2;8(8):756-767. doi: 10.1093/ehjcvp/pvab079. Erratum in: Eur Heart J Cardiovasc Pharmacother. 2023 Apr 10;9(3):292. doi: 10.1093/ehjcvp/pvad010. PMID: 34921603; PMCID: PMC9716867.</w:t>
            </w:r>
            <w:r w:rsidRPr="00CC6553">
              <w:rPr>
                <w:rFonts w:cs="Arial"/>
                <w:color w:val="000000" w:themeColor="text1"/>
                <w:sz w:val="20"/>
              </w:rPr>
              <w:br/>
              <w:t>Georgiopoulou VV, Kalogeropoulos AP, Giamouzis G, Agha SA, Rashad MA, Waheed S, Laskar S, Smith AL, Butler J. Digoxin therapy does not improve outcomes in patients with advanced heart failure on contemporary medical therapy. Circ Heart Fail. 2009 Mar;2(2):90-7. doi: 10.1161/CIRCHEARTFAILURE.108.807032. Epub 2009 Feb 10. PMID: 19808323.</w:t>
            </w:r>
          </w:p>
        </w:tc>
        <w:tc>
          <w:tcPr>
            <w:tcW w:w="2122" w:type="pct"/>
          </w:tcPr>
          <w:p w14:paraId="40055588" w14:textId="77777777" w:rsidR="00897293" w:rsidRPr="00CC6553" w:rsidRDefault="00897293" w:rsidP="00B276E4">
            <w:pPr>
              <w:pStyle w:val="Paragraph"/>
              <w:numPr>
                <w:ilvl w:val="0"/>
                <w:numId w:val="0"/>
              </w:numPr>
              <w:spacing w:before="0" w:line="240" w:lineRule="auto"/>
              <w:rPr>
                <w:bCs/>
                <w:color w:val="000000" w:themeColor="text1"/>
                <w:sz w:val="24"/>
              </w:rPr>
            </w:pPr>
            <w:r w:rsidRPr="00CC6553">
              <w:rPr>
                <w:rFonts w:cs="Arial"/>
                <w:bCs/>
                <w:color w:val="000000" w:themeColor="text1"/>
                <w:sz w:val="20"/>
              </w:rPr>
              <w:lastRenderedPageBreak/>
              <w:t xml:space="preserve">Thank you for your comment.  The scope of this update was the </w:t>
            </w:r>
            <w:r w:rsidRPr="00CC6553">
              <w:rPr>
                <w:rFonts w:cs="Arial"/>
                <w:bCs/>
                <w:color w:val="000000" w:themeColor="text1"/>
                <w:sz w:val="20"/>
              </w:rPr>
              <w:lastRenderedPageBreak/>
              <w:t xml:space="preserve">pharmacological management of chronic heart failure </w:t>
            </w:r>
            <w:hyperlink r:id="rId17" w:history="1">
              <w:r w:rsidRPr="009B3C47">
                <w:rPr>
                  <w:rStyle w:val="Hyperlink"/>
                  <w:color w:val="000000" w:themeColor="text1"/>
                  <w:sz w:val="20"/>
                </w:rPr>
                <w:t>https://www.nice.org.uk/guidance/gid-ng10405/documents/final-scope</w:t>
              </w:r>
            </w:hyperlink>
            <w:r w:rsidRPr="009B3C47">
              <w:rPr>
                <w:color w:val="000000" w:themeColor="text1"/>
                <w:sz w:val="20"/>
              </w:rPr>
              <w:t xml:space="preserve"> </w:t>
            </w:r>
            <w:r w:rsidRPr="00CC6553">
              <w:rPr>
                <w:rFonts w:cs="Arial"/>
                <w:bCs/>
                <w:color w:val="000000" w:themeColor="text1"/>
                <w:sz w:val="20"/>
              </w:rPr>
              <w:t>and the committee is therefore only able to make editorial changes to recommendations on areas outside of this</w:t>
            </w:r>
          </w:p>
          <w:p w14:paraId="6143E3E9" w14:textId="77777777" w:rsidR="00897293" w:rsidRPr="00CC6553" w:rsidRDefault="00897293" w:rsidP="005271BB">
            <w:pPr>
              <w:pStyle w:val="Heading1"/>
              <w:rPr>
                <w:rFonts w:cs="Arial"/>
                <w:b w:val="0"/>
                <w:color w:val="000000" w:themeColor="text1"/>
                <w:sz w:val="20"/>
              </w:rPr>
            </w:pPr>
          </w:p>
        </w:tc>
      </w:tr>
      <w:tr w:rsidR="00897293" w:rsidRPr="00CC6553" w14:paraId="7CBEDBF5" w14:textId="77777777" w:rsidTr="00897293">
        <w:trPr>
          <w:trHeight w:val="300"/>
        </w:trPr>
        <w:tc>
          <w:tcPr>
            <w:tcW w:w="109" w:type="pct"/>
          </w:tcPr>
          <w:p w14:paraId="6F4A3520"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110</w:t>
            </w:r>
          </w:p>
        </w:tc>
        <w:tc>
          <w:tcPr>
            <w:tcW w:w="143" w:type="pct"/>
          </w:tcPr>
          <w:p w14:paraId="0CE509AF" w14:textId="66356973"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49B13832" w14:textId="2A1B5033"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2EC5A3CB" w14:textId="74E06BD2"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6F295D1D" w14:textId="60955970" w:rsidR="00897293" w:rsidRPr="00CC6553" w:rsidRDefault="00897293" w:rsidP="005271BB">
            <w:pPr>
              <w:rPr>
                <w:rFonts w:cs="Arial"/>
                <w:color w:val="000000" w:themeColor="text1"/>
                <w:sz w:val="20"/>
              </w:rPr>
            </w:pPr>
            <w:r w:rsidRPr="00CC6553">
              <w:rPr>
                <w:rFonts w:cs="Arial"/>
                <w:color w:val="000000" w:themeColor="text1"/>
                <w:sz w:val="20"/>
              </w:rPr>
              <w:t>012</w:t>
            </w:r>
          </w:p>
        </w:tc>
        <w:tc>
          <w:tcPr>
            <w:tcW w:w="214" w:type="pct"/>
          </w:tcPr>
          <w:p w14:paraId="20E60E7C" w14:textId="5C950B28" w:rsidR="00897293" w:rsidRPr="00CC6553" w:rsidRDefault="00897293" w:rsidP="005271BB">
            <w:pPr>
              <w:rPr>
                <w:rFonts w:cs="Arial"/>
                <w:color w:val="000000" w:themeColor="text1"/>
                <w:sz w:val="20"/>
              </w:rPr>
            </w:pPr>
            <w:r w:rsidRPr="00CC6553">
              <w:rPr>
                <w:rFonts w:cs="Arial"/>
                <w:color w:val="000000" w:themeColor="text1"/>
                <w:sz w:val="20"/>
              </w:rPr>
              <w:t>020</w:t>
            </w:r>
          </w:p>
        </w:tc>
        <w:tc>
          <w:tcPr>
            <w:tcW w:w="1521" w:type="pct"/>
          </w:tcPr>
          <w:p w14:paraId="34C662B8" w14:textId="5CD9E5D4" w:rsidR="00897293" w:rsidRPr="00CC6553" w:rsidRDefault="00897293" w:rsidP="005271BB">
            <w:pPr>
              <w:rPr>
                <w:rFonts w:cs="Arial"/>
                <w:color w:val="000000" w:themeColor="text1"/>
                <w:sz w:val="20"/>
              </w:rPr>
            </w:pPr>
            <w:r w:rsidRPr="00CC6553">
              <w:rPr>
                <w:rFonts w:cs="Arial"/>
                <w:color w:val="000000" w:themeColor="text1"/>
                <w:sz w:val="20"/>
              </w:rPr>
              <w:t>Please consider rewording to “consider offering digoxin……” as the only available RCT (DIG Trial) was conducted prior to modern quadruple HFrEF therapy” and more recently concerns have been raised that risks may outweigh benefits Parikh RR, Patel KR, Pergolizzi JV Jr, Breve F, Magnusson P. Effects of Digoxin in Heart Failure (HF) With Reduced Ejection Fraction (EF). Cureus. 2022 Mar 2;14(3):e22778.</w:t>
            </w:r>
          </w:p>
        </w:tc>
        <w:tc>
          <w:tcPr>
            <w:tcW w:w="2122" w:type="pct"/>
          </w:tcPr>
          <w:p w14:paraId="7452DD37" w14:textId="3B32086F" w:rsidR="00897293" w:rsidRPr="00CC6553" w:rsidRDefault="00897293" w:rsidP="476BDDBF">
            <w:pPr>
              <w:pStyle w:val="Paragraph"/>
              <w:numPr>
                <w:ilvl w:val="0"/>
                <w:numId w:val="0"/>
              </w:numPr>
              <w:spacing w:before="0" w:line="240" w:lineRule="auto"/>
              <w:rPr>
                <w:color w:val="000000" w:themeColor="text1"/>
                <w:sz w:val="24"/>
                <w:szCs w:val="24"/>
              </w:rPr>
            </w:pPr>
            <w:r w:rsidRPr="00CC6553">
              <w:rPr>
                <w:rFonts w:cs="Arial"/>
                <w:color w:val="000000" w:themeColor="text1"/>
                <w:sz w:val="20"/>
              </w:rPr>
              <w:t xml:space="preserve">Thank you for your comment.  The scope of this update was the pharmacological management of chronic heart failure with a focus on the medicines outlined here  </w:t>
            </w:r>
            <w:hyperlink r:id="rId18">
              <w:r w:rsidRPr="009B3C47">
                <w:rPr>
                  <w:rStyle w:val="Hyperlink"/>
                  <w:color w:val="000000" w:themeColor="text1"/>
                  <w:sz w:val="20"/>
                </w:rPr>
                <w:t>https://www.nice.org.uk/guidance/gid-ng10405/documents/final-scope</w:t>
              </w:r>
            </w:hyperlink>
            <w:r w:rsidRPr="009B3C47">
              <w:rPr>
                <w:color w:val="000000" w:themeColor="text1"/>
                <w:sz w:val="20"/>
              </w:rPr>
              <w:t xml:space="preserve"> </w:t>
            </w:r>
            <w:r w:rsidRPr="00CC6553">
              <w:rPr>
                <w:rFonts w:cs="Arial"/>
                <w:color w:val="000000" w:themeColor="text1"/>
                <w:sz w:val="20"/>
              </w:rPr>
              <w:t>and the committee is therefore only able to make editorial changes to recommendations on areas outside of this</w:t>
            </w:r>
          </w:p>
          <w:p w14:paraId="39C6051C" w14:textId="77777777" w:rsidR="00897293" w:rsidRPr="00CC6553" w:rsidRDefault="00897293" w:rsidP="005271BB">
            <w:pPr>
              <w:pStyle w:val="Heading1"/>
              <w:rPr>
                <w:rFonts w:cs="Arial"/>
                <w:b w:val="0"/>
                <w:color w:val="000000" w:themeColor="text1"/>
                <w:sz w:val="20"/>
              </w:rPr>
            </w:pPr>
          </w:p>
        </w:tc>
      </w:tr>
      <w:tr w:rsidR="00897293" w:rsidRPr="00CC6553" w14:paraId="556A06BC" w14:textId="77777777" w:rsidTr="00897293">
        <w:trPr>
          <w:trHeight w:val="300"/>
        </w:trPr>
        <w:tc>
          <w:tcPr>
            <w:tcW w:w="109" w:type="pct"/>
          </w:tcPr>
          <w:p w14:paraId="41094F93"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111</w:t>
            </w:r>
          </w:p>
        </w:tc>
        <w:tc>
          <w:tcPr>
            <w:tcW w:w="143" w:type="pct"/>
          </w:tcPr>
          <w:p w14:paraId="1D3E80C3" w14:textId="2E52F03A"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01DE81D3" w14:textId="3ED69E5D" w:rsidR="00897293" w:rsidRPr="00CC6553" w:rsidRDefault="00897293" w:rsidP="005271BB">
            <w:pPr>
              <w:rPr>
                <w:rFonts w:cs="Arial"/>
                <w:bCs/>
                <w:iCs/>
                <w:color w:val="000000" w:themeColor="text1"/>
                <w:sz w:val="20"/>
              </w:rPr>
            </w:pPr>
            <w:r w:rsidRPr="00CC6553">
              <w:rPr>
                <w:rFonts w:cs="Arial"/>
                <w:color w:val="000000" w:themeColor="text1"/>
                <w:sz w:val="20"/>
              </w:rPr>
              <w:t>Pumping Marvellous Foundation</w:t>
            </w:r>
          </w:p>
        </w:tc>
        <w:tc>
          <w:tcPr>
            <w:tcW w:w="279" w:type="pct"/>
          </w:tcPr>
          <w:p w14:paraId="50272BFB" w14:textId="4A861F97"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09CF1C19" w14:textId="1676BA7A" w:rsidR="00897293" w:rsidRPr="00CC6553" w:rsidRDefault="00897293" w:rsidP="005271BB">
            <w:pPr>
              <w:rPr>
                <w:rFonts w:cs="Arial"/>
                <w:color w:val="000000" w:themeColor="text1"/>
                <w:sz w:val="20"/>
              </w:rPr>
            </w:pPr>
            <w:r w:rsidRPr="00CC6553">
              <w:rPr>
                <w:rFonts w:cs="Arial"/>
                <w:color w:val="000000" w:themeColor="text1"/>
                <w:sz w:val="20"/>
              </w:rPr>
              <w:t>012</w:t>
            </w:r>
          </w:p>
        </w:tc>
        <w:tc>
          <w:tcPr>
            <w:tcW w:w="214" w:type="pct"/>
          </w:tcPr>
          <w:p w14:paraId="6975A260" w14:textId="63DC8CE5" w:rsidR="00897293" w:rsidRPr="00CC6553" w:rsidRDefault="00897293" w:rsidP="005271BB">
            <w:pPr>
              <w:rPr>
                <w:rFonts w:cs="Arial"/>
                <w:color w:val="000000" w:themeColor="text1"/>
                <w:sz w:val="20"/>
              </w:rPr>
            </w:pPr>
            <w:r w:rsidRPr="00CC6553">
              <w:rPr>
                <w:rFonts w:cs="Arial"/>
                <w:color w:val="000000" w:themeColor="text1"/>
                <w:sz w:val="20"/>
              </w:rPr>
              <w:t>020</w:t>
            </w:r>
          </w:p>
        </w:tc>
        <w:tc>
          <w:tcPr>
            <w:tcW w:w="1521" w:type="pct"/>
          </w:tcPr>
          <w:p w14:paraId="60E33F06" w14:textId="1F161E56" w:rsidR="00897293" w:rsidRPr="00CC6553" w:rsidRDefault="00897293" w:rsidP="005271BB">
            <w:pPr>
              <w:rPr>
                <w:rFonts w:cs="Arial"/>
                <w:color w:val="000000" w:themeColor="text1"/>
                <w:sz w:val="20"/>
              </w:rPr>
            </w:pPr>
            <w:r w:rsidRPr="00CC6553">
              <w:rPr>
                <w:rFonts w:cs="Arial"/>
                <w:color w:val="000000" w:themeColor="text1"/>
                <w:sz w:val="20"/>
              </w:rPr>
              <w:t>Please consider rewording to “consider offering digoxin……” as the only available RCT (DIG Trial) was conducted prior to modern quadruple HFrEF therapy” and more recently concerns have been raised that risks may outweigh benefits Parikh RR, Patel KR, Pergolizzi JV Jr, Breve F, Magnusson P. Effects of Digoxin in Heart Failure (HF) With Reduced Ejection Fraction (EF). Cureus. 2022 Mar 2;14(3):e22778.</w:t>
            </w:r>
          </w:p>
        </w:tc>
        <w:tc>
          <w:tcPr>
            <w:tcW w:w="2122" w:type="pct"/>
          </w:tcPr>
          <w:p w14:paraId="565DEAD9" w14:textId="7D52C77A" w:rsidR="00897293" w:rsidRPr="00CC6553" w:rsidRDefault="00897293" w:rsidP="00B276E4">
            <w:pPr>
              <w:pStyle w:val="Paragraph"/>
              <w:numPr>
                <w:ilvl w:val="0"/>
                <w:numId w:val="0"/>
              </w:numPr>
              <w:spacing w:before="0" w:line="240" w:lineRule="auto"/>
              <w:rPr>
                <w:color w:val="000000" w:themeColor="text1"/>
                <w:sz w:val="24"/>
                <w:szCs w:val="24"/>
              </w:rPr>
            </w:pPr>
            <w:r w:rsidRPr="00CC6553">
              <w:rPr>
                <w:rFonts w:cs="Arial"/>
                <w:color w:val="000000" w:themeColor="text1"/>
                <w:sz w:val="20"/>
              </w:rPr>
              <w:t xml:space="preserve">Thank you for your comment.  The scope of this update was the pharmacological management of chronic heart failure with a focus on the medicines outlined here </w:t>
            </w:r>
            <w:hyperlink r:id="rId19">
              <w:r w:rsidRPr="009B3C47">
                <w:rPr>
                  <w:rStyle w:val="Hyperlink"/>
                  <w:color w:val="000000" w:themeColor="text1"/>
                  <w:sz w:val="20"/>
                </w:rPr>
                <w:t>https://www.nice.org.uk/guidance/gid-ng10405/documents/final-scope</w:t>
              </w:r>
            </w:hyperlink>
            <w:r w:rsidRPr="009B3C47">
              <w:rPr>
                <w:color w:val="000000" w:themeColor="text1"/>
                <w:sz w:val="20"/>
              </w:rPr>
              <w:t xml:space="preserve"> </w:t>
            </w:r>
            <w:r w:rsidRPr="00CC6553">
              <w:rPr>
                <w:rFonts w:cs="Arial"/>
                <w:color w:val="000000" w:themeColor="text1"/>
                <w:sz w:val="20"/>
              </w:rPr>
              <w:t>and the committee is therefore only able to make editorial changes to recommendations on areas outside of this.</w:t>
            </w:r>
          </w:p>
          <w:p w14:paraId="08F5B694" w14:textId="77777777" w:rsidR="00897293" w:rsidRPr="00CC6553" w:rsidRDefault="00897293" w:rsidP="005271BB">
            <w:pPr>
              <w:pStyle w:val="Heading1"/>
              <w:rPr>
                <w:rFonts w:cs="Arial"/>
                <w:b w:val="0"/>
                <w:color w:val="000000" w:themeColor="text1"/>
                <w:sz w:val="20"/>
              </w:rPr>
            </w:pPr>
          </w:p>
        </w:tc>
      </w:tr>
      <w:tr w:rsidR="00897293" w:rsidRPr="00CC6553" w14:paraId="0F0B45F9" w14:textId="77777777" w:rsidTr="00897293">
        <w:trPr>
          <w:trHeight w:val="300"/>
        </w:trPr>
        <w:tc>
          <w:tcPr>
            <w:tcW w:w="109" w:type="pct"/>
          </w:tcPr>
          <w:p w14:paraId="5F913243" w14:textId="77777777" w:rsidR="00897293" w:rsidRPr="00CC6553" w:rsidRDefault="00897293" w:rsidP="005271BB">
            <w:pPr>
              <w:rPr>
                <w:rFonts w:cs="Arial"/>
                <w:color w:val="000000" w:themeColor="text1"/>
                <w:sz w:val="20"/>
              </w:rPr>
            </w:pPr>
            <w:r w:rsidRPr="00CC6553">
              <w:rPr>
                <w:rFonts w:cs="Arial"/>
                <w:color w:val="000000" w:themeColor="text1"/>
                <w:sz w:val="20"/>
              </w:rPr>
              <w:t>112</w:t>
            </w:r>
          </w:p>
        </w:tc>
        <w:tc>
          <w:tcPr>
            <w:tcW w:w="143" w:type="pct"/>
          </w:tcPr>
          <w:p w14:paraId="6042179E" w14:textId="2E96875C"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6290FC16" w14:textId="5FD39E26" w:rsidR="00897293" w:rsidRPr="00CC6553" w:rsidRDefault="00897293" w:rsidP="005271BB">
            <w:pPr>
              <w:rPr>
                <w:rFonts w:cs="Arial"/>
                <w:bCs/>
                <w:iCs/>
                <w:color w:val="000000" w:themeColor="text1"/>
                <w:sz w:val="20"/>
              </w:rPr>
            </w:pPr>
            <w:r w:rsidRPr="00CC6553">
              <w:rPr>
                <w:rFonts w:cs="Arial"/>
                <w:color w:val="000000" w:themeColor="text1"/>
                <w:sz w:val="20"/>
              </w:rPr>
              <w:t>Primary Care Cardiovascular Society (PCCS)</w:t>
            </w:r>
          </w:p>
        </w:tc>
        <w:tc>
          <w:tcPr>
            <w:tcW w:w="279" w:type="pct"/>
          </w:tcPr>
          <w:p w14:paraId="6F23C336" w14:textId="54670DD1"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4A04EC0C" w14:textId="1089E7FD" w:rsidR="00897293" w:rsidRPr="00CC6553" w:rsidRDefault="00897293" w:rsidP="005271BB">
            <w:pPr>
              <w:rPr>
                <w:rFonts w:cs="Arial"/>
                <w:color w:val="000000" w:themeColor="text1"/>
                <w:sz w:val="20"/>
              </w:rPr>
            </w:pPr>
            <w:r w:rsidRPr="00CC6553">
              <w:rPr>
                <w:rFonts w:cs="Arial"/>
                <w:color w:val="000000" w:themeColor="text1"/>
                <w:sz w:val="20"/>
              </w:rPr>
              <w:t>013</w:t>
            </w:r>
          </w:p>
        </w:tc>
        <w:tc>
          <w:tcPr>
            <w:tcW w:w="214" w:type="pct"/>
          </w:tcPr>
          <w:p w14:paraId="39E064E6" w14:textId="15959F51" w:rsidR="00897293" w:rsidRPr="00CC6553" w:rsidRDefault="00897293" w:rsidP="005271BB">
            <w:pPr>
              <w:rPr>
                <w:rFonts w:cs="Arial"/>
                <w:color w:val="000000" w:themeColor="text1"/>
                <w:sz w:val="20"/>
              </w:rPr>
            </w:pPr>
            <w:r w:rsidRPr="00CC6553">
              <w:rPr>
                <w:rFonts w:cs="Arial"/>
                <w:color w:val="000000" w:themeColor="text1"/>
                <w:sz w:val="20"/>
              </w:rPr>
              <w:t>001</w:t>
            </w:r>
          </w:p>
        </w:tc>
        <w:tc>
          <w:tcPr>
            <w:tcW w:w="1521" w:type="pct"/>
          </w:tcPr>
          <w:p w14:paraId="708B8B8A" w14:textId="30529B10" w:rsidR="00897293" w:rsidRPr="00CC6553" w:rsidRDefault="00897293" w:rsidP="005271BB">
            <w:pPr>
              <w:rPr>
                <w:rFonts w:cs="Arial"/>
                <w:color w:val="000000" w:themeColor="text1"/>
                <w:sz w:val="20"/>
              </w:rPr>
            </w:pPr>
            <w:r w:rsidRPr="00CC6553">
              <w:rPr>
                <w:rFonts w:cs="Arial"/>
                <w:color w:val="000000" w:themeColor="text1"/>
                <w:sz w:val="20"/>
              </w:rPr>
              <w:t>Is specialist advice needed before adding digoxin?  Is this because the scenario where digoxin would be used (in sinus rhythm) is likely severe HF and therefore specialist input may be needed rather than concerns over the use of digoxin per se</w:t>
            </w:r>
          </w:p>
        </w:tc>
        <w:tc>
          <w:tcPr>
            <w:tcW w:w="2122" w:type="pct"/>
          </w:tcPr>
          <w:p w14:paraId="16DF8947" w14:textId="2705A023" w:rsidR="00897293" w:rsidRPr="00CC6553" w:rsidRDefault="00897293" w:rsidP="476BDDBF">
            <w:pPr>
              <w:pStyle w:val="Paragraph"/>
              <w:numPr>
                <w:ilvl w:val="0"/>
                <w:numId w:val="0"/>
              </w:numPr>
              <w:spacing w:before="0" w:line="240" w:lineRule="auto"/>
              <w:rPr>
                <w:color w:val="000000" w:themeColor="text1"/>
                <w:sz w:val="24"/>
                <w:szCs w:val="24"/>
              </w:rPr>
            </w:pPr>
            <w:r w:rsidRPr="00CC6553">
              <w:rPr>
                <w:rFonts w:cs="Arial"/>
                <w:color w:val="000000" w:themeColor="text1"/>
                <w:sz w:val="20"/>
              </w:rPr>
              <w:t xml:space="preserve">Thank you for your comment.  The scope of this update was the pharmacological management of chronic heart failure with a focus on the medicines outlined here </w:t>
            </w:r>
            <w:hyperlink r:id="rId20">
              <w:r w:rsidRPr="009B3C47">
                <w:rPr>
                  <w:rStyle w:val="Hyperlink"/>
                  <w:color w:val="000000" w:themeColor="text1"/>
                  <w:sz w:val="20"/>
                </w:rPr>
                <w:t>https://www.nice.org.uk/guidance/gid-ng10405/documents/final-scope</w:t>
              </w:r>
            </w:hyperlink>
            <w:r w:rsidRPr="009B3C47">
              <w:rPr>
                <w:color w:val="000000" w:themeColor="text1"/>
                <w:sz w:val="20"/>
              </w:rPr>
              <w:t xml:space="preserve"> </w:t>
            </w:r>
            <w:r w:rsidRPr="00CC6553">
              <w:rPr>
                <w:rFonts w:cs="Arial"/>
                <w:color w:val="000000" w:themeColor="text1"/>
                <w:sz w:val="20"/>
              </w:rPr>
              <w:t>and the committee is therefore only able to make editorial changes to recommendations on areas outside of this.</w:t>
            </w:r>
          </w:p>
          <w:p w14:paraId="347531FB" w14:textId="77777777" w:rsidR="00897293" w:rsidRPr="00CC6553" w:rsidRDefault="00897293" w:rsidP="005271BB">
            <w:pPr>
              <w:pStyle w:val="Heading1"/>
              <w:rPr>
                <w:rFonts w:cs="Arial"/>
                <w:b w:val="0"/>
                <w:color w:val="000000" w:themeColor="text1"/>
                <w:sz w:val="20"/>
              </w:rPr>
            </w:pPr>
          </w:p>
        </w:tc>
      </w:tr>
      <w:tr w:rsidR="00897293" w:rsidRPr="00CC6553" w14:paraId="2216DFF8" w14:textId="77777777" w:rsidTr="00897293">
        <w:trPr>
          <w:trHeight w:val="300"/>
        </w:trPr>
        <w:tc>
          <w:tcPr>
            <w:tcW w:w="109" w:type="pct"/>
          </w:tcPr>
          <w:p w14:paraId="3E88287D" w14:textId="77777777" w:rsidR="00897293" w:rsidRPr="00CC6553" w:rsidRDefault="00897293" w:rsidP="005271BB">
            <w:pPr>
              <w:rPr>
                <w:rFonts w:cs="Arial"/>
                <w:color w:val="000000" w:themeColor="text1"/>
                <w:sz w:val="20"/>
              </w:rPr>
            </w:pPr>
            <w:r w:rsidRPr="00CC6553">
              <w:rPr>
                <w:rFonts w:cs="Arial"/>
                <w:color w:val="000000" w:themeColor="text1"/>
                <w:sz w:val="20"/>
              </w:rPr>
              <w:t>113</w:t>
            </w:r>
          </w:p>
        </w:tc>
        <w:tc>
          <w:tcPr>
            <w:tcW w:w="143" w:type="pct"/>
          </w:tcPr>
          <w:p w14:paraId="088624BF" w14:textId="2EF54C26"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1D3C64FE" w14:textId="13771B95" w:rsidR="00897293" w:rsidRPr="00CC6553" w:rsidRDefault="00897293" w:rsidP="005271BB">
            <w:pPr>
              <w:rPr>
                <w:rFonts w:cs="Arial"/>
                <w:bCs/>
                <w:iCs/>
                <w:color w:val="000000" w:themeColor="text1"/>
                <w:sz w:val="20"/>
              </w:rPr>
            </w:pPr>
            <w:r w:rsidRPr="00CC6553">
              <w:rPr>
                <w:rFonts w:cs="Arial"/>
                <w:color w:val="000000" w:themeColor="text1"/>
                <w:sz w:val="20"/>
              </w:rPr>
              <w:t xml:space="preserve">UK Clinical Pharmacy Association (UKCPA) – </w:t>
            </w:r>
            <w:r w:rsidRPr="00CC6553">
              <w:rPr>
                <w:rFonts w:cs="Arial"/>
                <w:color w:val="000000" w:themeColor="text1"/>
                <w:sz w:val="20"/>
              </w:rPr>
              <w:lastRenderedPageBreak/>
              <w:t>heart failure committee</w:t>
            </w:r>
          </w:p>
        </w:tc>
        <w:tc>
          <w:tcPr>
            <w:tcW w:w="279" w:type="pct"/>
          </w:tcPr>
          <w:p w14:paraId="30FB2131" w14:textId="5B69EB6F" w:rsidR="00897293" w:rsidRPr="00CC6553" w:rsidRDefault="00897293" w:rsidP="005271BB">
            <w:pPr>
              <w:rPr>
                <w:rFonts w:cs="Arial"/>
                <w:color w:val="000000" w:themeColor="text1"/>
                <w:sz w:val="20"/>
              </w:rPr>
            </w:pPr>
            <w:r w:rsidRPr="00CC6553">
              <w:rPr>
                <w:rFonts w:cs="Arial"/>
                <w:color w:val="000000" w:themeColor="text1"/>
                <w:sz w:val="20"/>
              </w:rPr>
              <w:lastRenderedPageBreak/>
              <w:t>Guideline</w:t>
            </w:r>
          </w:p>
        </w:tc>
        <w:tc>
          <w:tcPr>
            <w:tcW w:w="214" w:type="pct"/>
          </w:tcPr>
          <w:p w14:paraId="2D352221" w14:textId="0979E608" w:rsidR="00897293" w:rsidRPr="00CC6553" w:rsidRDefault="00897293" w:rsidP="005271BB">
            <w:pPr>
              <w:rPr>
                <w:rFonts w:cs="Arial"/>
                <w:color w:val="000000" w:themeColor="text1"/>
                <w:sz w:val="20"/>
              </w:rPr>
            </w:pPr>
            <w:r w:rsidRPr="00CC6553">
              <w:rPr>
                <w:rFonts w:cs="Arial"/>
                <w:color w:val="000000" w:themeColor="text1"/>
                <w:sz w:val="20"/>
              </w:rPr>
              <w:t>013</w:t>
            </w:r>
          </w:p>
        </w:tc>
        <w:tc>
          <w:tcPr>
            <w:tcW w:w="214" w:type="pct"/>
          </w:tcPr>
          <w:p w14:paraId="6A6B10D8" w14:textId="247A792E" w:rsidR="00897293" w:rsidRPr="00CC6553" w:rsidRDefault="00897293" w:rsidP="005271BB">
            <w:pPr>
              <w:rPr>
                <w:rFonts w:cs="Arial"/>
                <w:color w:val="000000" w:themeColor="text1"/>
                <w:sz w:val="20"/>
              </w:rPr>
            </w:pPr>
            <w:r w:rsidRPr="00CC6553">
              <w:rPr>
                <w:rFonts w:cs="Arial"/>
                <w:color w:val="000000" w:themeColor="text1"/>
                <w:sz w:val="20"/>
              </w:rPr>
              <w:t>004</w:t>
            </w:r>
          </w:p>
        </w:tc>
        <w:tc>
          <w:tcPr>
            <w:tcW w:w="1521" w:type="pct"/>
          </w:tcPr>
          <w:p w14:paraId="28722BE7" w14:textId="09879D00" w:rsidR="00897293" w:rsidRPr="00CC6553" w:rsidRDefault="00897293" w:rsidP="005271BB">
            <w:pPr>
              <w:rPr>
                <w:rFonts w:cs="Arial"/>
                <w:color w:val="000000" w:themeColor="text1"/>
                <w:sz w:val="20"/>
              </w:rPr>
            </w:pPr>
            <w:r w:rsidRPr="00CC6553">
              <w:rPr>
                <w:rFonts w:cs="Arial"/>
                <w:color w:val="000000" w:themeColor="text1"/>
                <w:sz w:val="20"/>
              </w:rPr>
              <w:t>Not absolutely necessary to include short-acting dihydropyridine agents, however might be best to say if blood pressure remains sub-optimally managed despite maximum tolerated doses, is it preferred to use other medicines which are licensed for heart failure.</w:t>
            </w:r>
            <w:r w:rsidRPr="00CC6553">
              <w:rPr>
                <w:rFonts w:cs="Arial"/>
                <w:color w:val="000000" w:themeColor="text1"/>
                <w:sz w:val="20"/>
              </w:rPr>
              <w:br/>
            </w:r>
            <w:r w:rsidRPr="00CC6553">
              <w:rPr>
                <w:rFonts w:cs="Arial"/>
                <w:color w:val="000000" w:themeColor="text1"/>
                <w:sz w:val="20"/>
              </w:rPr>
              <w:lastRenderedPageBreak/>
              <w:t>It is worth stating that amlodipine (PRAISE) and felopidine (V-HeFT III) have been shown to be safe although not prognostically beneficial in HF.</w:t>
            </w:r>
          </w:p>
        </w:tc>
        <w:tc>
          <w:tcPr>
            <w:tcW w:w="2122" w:type="pct"/>
          </w:tcPr>
          <w:p w14:paraId="3F0AF2F1" w14:textId="53C47F0E"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lastRenderedPageBreak/>
              <w:t>Thank you for your comment.  The medicines covered in this guideline update are specified in the scope of this update https://www.nice.org.uk/guidance/gid</w:t>
            </w:r>
            <w:r w:rsidRPr="00CC6553">
              <w:rPr>
                <w:rFonts w:cs="Arial"/>
                <w:b w:val="0"/>
                <w:color w:val="000000" w:themeColor="text1"/>
                <w:sz w:val="20"/>
              </w:rPr>
              <w:lastRenderedPageBreak/>
              <w:t xml:space="preserve">-ng10405/documents/final-scope and the committee is therefore unable to make recommendations on </w:t>
            </w:r>
            <w:r w:rsidRPr="00CC6553">
              <w:rPr>
                <w:rFonts w:cs="Arial"/>
                <w:b w:val="0"/>
                <w:bCs w:val="0"/>
                <w:color w:val="000000" w:themeColor="text1"/>
                <w:sz w:val="20"/>
              </w:rPr>
              <w:t>amlodipine and felopidine.</w:t>
            </w:r>
          </w:p>
        </w:tc>
      </w:tr>
      <w:tr w:rsidR="00897293" w:rsidRPr="00CC6553" w14:paraId="74C64244" w14:textId="77777777" w:rsidTr="00897293">
        <w:trPr>
          <w:trHeight w:val="300"/>
        </w:trPr>
        <w:tc>
          <w:tcPr>
            <w:tcW w:w="109" w:type="pct"/>
          </w:tcPr>
          <w:p w14:paraId="629AED75"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114</w:t>
            </w:r>
          </w:p>
        </w:tc>
        <w:tc>
          <w:tcPr>
            <w:tcW w:w="143" w:type="pct"/>
          </w:tcPr>
          <w:p w14:paraId="6C947C77" w14:textId="329EC0D3"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1777CEB4" w14:textId="0F581E7F"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6A419166" w14:textId="42969852"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7073F73A" w14:textId="265E65BF" w:rsidR="00897293" w:rsidRPr="00CC6553" w:rsidRDefault="00897293" w:rsidP="005271BB">
            <w:pPr>
              <w:rPr>
                <w:rFonts w:cs="Arial"/>
                <w:color w:val="000000" w:themeColor="text1"/>
                <w:sz w:val="20"/>
              </w:rPr>
            </w:pPr>
            <w:r w:rsidRPr="00CC6553">
              <w:rPr>
                <w:rFonts w:cs="Arial"/>
                <w:color w:val="000000" w:themeColor="text1"/>
                <w:sz w:val="20"/>
              </w:rPr>
              <w:t>013</w:t>
            </w:r>
          </w:p>
        </w:tc>
        <w:tc>
          <w:tcPr>
            <w:tcW w:w="214" w:type="pct"/>
          </w:tcPr>
          <w:p w14:paraId="2BE071F8" w14:textId="0E720FB4" w:rsidR="00897293" w:rsidRPr="00CC6553" w:rsidRDefault="00897293" w:rsidP="005271BB">
            <w:pPr>
              <w:rPr>
                <w:rFonts w:cs="Arial"/>
                <w:color w:val="000000" w:themeColor="text1"/>
                <w:sz w:val="20"/>
              </w:rPr>
            </w:pPr>
            <w:r w:rsidRPr="00CC6553">
              <w:rPr>
                <w:rFonts w:cs="Arial"/>
                <w:color w:val="000000" w:themeColor="text1"/>
                <w:sz w:val="20"/>
              </w:rPr>
              <w:t>005</w:t>
            </w:r>
          </w:p>
        </w:tc>
        <w:tc>
          <w:tcPr>
            <w:tcW w:w="1521" w:type="pct"/>
          </w:tcPr>
          <w:p w14:paraId="5C810159" w14:textId="48D13286" w:rsidR="00897293" w:rsidRPr="00CC6553" w:rsidRDefault="00897293" w:rsidP="005271BB">
            <w:pPr>
              <w:rPr>
                <w:rFonts w:cs="Arial"/>
                <w:color w:val="000000" w:themeColor="text1"/>
                <w:sz w:val="20"/>
              </w:rPr>
            </w:pPr>
            <w:r w:rsidRPr="00CC6553">
              <w:rPr>
                <w:rFonts w:cs="Arial"/>
                <w:color w:val="000000" w:themeColor="text1"/>
                <w:sz w:val="20"/>
              </w:rPr>
              <w:t>HFpEF diagnosis barrier if lack of access to ECHO.  Understand polypharmacy in HFpEF is typical in those with multi-comorbidities. MRA may not be tolerated well if risk of hyperkalaemia. Consider use of loop diuretics if overloaded. Good to see use of SGLT2i as per EMPEROR-preserved</w:t>
            </w:r>
          </w:p>
        </w:tc>
        <w:tc>
          <w:tcPr>
            <w:tcW w:w="2122" w:type="pct"/>
          </w:tcPr>
          <w:p w14:paraId="28C308D7" w14:textId="78404A5A" w:rsidR="00897293" w:rsidRPr="00CC6553" w:rsidRDefault="00897293" w:rsidP="21434BE0">
            <w:pPr>
              <w:pStyle w:val="Paragraph"/>
              <w:numPr>
                <w:ilvl w:val="0"/>
                <w:numId w:val="0"/>
              </w:numPr>
              <w:spacing w:before="0" w:line="240" w:lineRule="auto"/>
              <w:rPr>
                <w:color w:val="000000" w:themeColor="text1"/>
                <w:sz w:val="24"/>
                <w:szCs w:val="24"/>
              </w:rPr>
            </w:pPr>
            <w:r w:rsidRPr="00CC6553">
              <w:rPr>
                <w:rFonts w:cs="Arial"/>
                <w:color w:val="000000" w:themeColor="text1"/>
                <w:sz w:val="20"/>
              </w:rPr>
              <w:t xml:space="preserve">update was the pharmacological management of chronic heart failure </w:t>
            </w:r>
            <w:hyperlink r:id="rId21">
              <w:r w:rsidRPr="009B3C47">
                <w:rPr>
                  <w:rStyle w:val="Hyperlink"/>
                  <w:color w:val="000000" w:themeColor="text1"/>
                  <w:sz w:val="20"/>
                </w:rPr>
                <w:t>https://www.nice.org.uk/guidance/gid-ng10405/documents/final-scope</w:t>
              </w:r>
            </w:hyperlink>
            <w:r w:rsidRPr="009B3C47">
              <w:rPr>
                <w:color w:val="000000" w:themeColor="text1"/>
                <w:sz w:val="20"/>
              </w:rPr>
              <w:t xml:space="preserve"> </w:t>
            </w:r>
            <w:r w:rsidRPr="00CC6553">
              <w:rPr>
                <w:rFonts w:cs="Arial"/>
                <w:color w:val="000000" w:themeColor="text1"/>
                <w:sz w:val="20"/>
              </w:rPr>
              <w:t>and the committee is therefore unable to make recommendations on the diagnosis of HFpEF and the management of hyperkalemia.  The committee agree that comorbidities need to be considered when prescribing for people with HFpEF and this is discussed in the committee’s discussion of the evidence in evidence review D.  The risk and monitoring for hyperkalaemia is also mentioned in the committee’s discussion of the evidence.</w:t>
            </w:r>
          </w:p>
          <w:p w14:paraId="5C1D8D65" w14:textId="77777777" w:rsidR="00897293" w:rsidRPr="00CC6553" w:rsidRDefault="00897293" w:rsidP="005271BB">
            <w:pPr>
              <w:pStyle w:val="Heading1"/>
              <w:rPr>
                <w:rFonts w:cs="Arial"/>
                <w:b w:val="0"/>
                <w:color w:val="000000" w:themeColor="text1"/>
                <w:sz w:val="20"/>
              </w:rPr>
            </w:pPr>
          </w:p>
        </w:tc>
      </w:tr>
      <w:tr w:rsidR="00897293" w:rsidRPr="00CC6553" w14:paraId="6891C10E" w14:textId="77777777" w:rsidTr="00897293">
        <w:trPr>
          <w:trHeight w:val="300"/>
        </w:trPr>
        <w:tc>
          <w:tcPr>
            <w:tcW w:w="109" w:type="pct"/>
          </w:tcPr>
          <w:p w14:paraId="74E91E17" w14:textId="77777777" w:rsidR="00897293" w:rsidRPr="00CC6553" w:rsidRDefault="00897293" w:rsidP="005271BB">
            <w:pPr>
              <w:rPr>
                <w:rFonts w:cs="Arial"/>
                <w:color w:val="000000" w:themeColor="text1"/>
                <w:sz w:val="20"/>
              </w:rPr>
            </w:pPr>
            <w:r w:rsidRPr="00CC6553">
              <w:rPr>
                <w:rFonts w:cs="Arial"/>
                <w:color w:val="000000" w:themeColor="text1"/>
                <w:sz w:val="20"/>
              </w:rPr>
              <w:t>115</w:t>
            </w:r>
          </w:p>
        </w:tc>
        <w:tc>
          <w:tcPr>
            <w:tcW w:w="143" w:type="pct"/>
          </w:tcPr>
          <w:p w14:paraId="2E344E12" w14:textId="1C8C191F"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27A3C9CE" w14:textId="45AC76F4"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51819F54" w14:textId="045C4D6E"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74CA3BE5" w14:textId="64131FD1" w:rsidR="00897293" w:rsidRPr="00CC6553" w:rsidRDefault="00897293" w:rsidP="005271BB">
            <w:pPr>
              <w:rPr>
                <w:rFonts w:cs="Arial"/>
                <w:color w:val="000000" w:themeColor="text1"/>
                <w:sz w:val="20"/>
              </w:rPr>
            </w:pPr>
            <w:r w:rsidRPr="00CC6553">
              <w:rPr>
                <w:rFonts w:cs="Arial"/>
                <w:color w:val="000000" w:themeColor="text1"/>
                <w:sz w:val="20"/>
              </w:rPr>
              <w:t>013</w:t>
            </w:r>
          </w:p>
        </w:tc>
        <w:tc>
          <w:tcPr>
            <w:tcW w:w="214" w:type="pct"/>
          </w:tcPr>
          <w:p w14:paraId="0D68ACFE" w14:textId="4CB8913B" w:rsidR="00897293" w:rsidRPr="00CC6553" w:rsidRDefault="00897293" w:rsidP="005271BB">
            <w:pPr>
              <w:rPr>
                <w:rFonts w:cs="Arial"/>
                <w:color w:val="000000" w:themeColor="text1"/>
                <w:sz w:val="20"/>
              </w:rPr>
            </w:pPr>
            <w:r w:rsidRPr="00CC6553">
              <w:rPr>
                <w:rFonts w:cs="Arial"/>
                <w:color w:val="000000" w:themeColor="text1"/>
                <w:sz w:val="20"/>
              </w:rPr>
              <w:t>007</w:t>
            </w:r>
          </w:p>
        </w:tc>
        <w:tc>
          <w:tcPr>
            <w:tcW w:w="1521" w:type="pct"/>
          </w:tcPr>
          <w:p w14:paraId="03C135DD" w14:textId="5FA86B62" w:rsidR="00897293" w:rsidRPr="00CC6553" w:rsidRDefault="00897293" w:rsidP="14DE5554">
            <w:pPr>
              <w:rPr>
                <w:rFonts w:cs="Arial"/>
                <w:color w:val="000000" w:themeColor="text1"/>
                <w:sz w:val="20"/>
              </w:rPr>
            </w:pPr>
            <w:r w:rsidRPr="00CC6553">
              <w:rPr>
                <w:rFonts w:cs="Arial"/>
                <w:color w:val="000000" w:themeColor="text1"/>
                <w:sz w:val="20"/>
              </w:rPr>
              <w:t>1.5 treating people with newly diagnosed or pre-existing HFmrEF or HFpEF</w:t>
            </w:r>
            <w:r w:rsidRPr="00CC6553">
              <w:rPr>
                <w:color w:val="000000" w:themeColor="text1"/>
              </w:rPr>
              <w:br/>
            </w:r>
            <w:r w:rsidRPr="00CC6553">
              <w:rPr>
                <w:rFonts w:cs="Arial"/>
                <w:color w:val="000000" w:themeColor="text1"/>
                <w:sz w:val="20"/>
              </w:rPr>
              <w:t>MRA – it appears as though the guideline is suggesting that any MRA can be considered in these groups – whilst there are data for spironolactone in HFpEF (TOPCAT with doses not used in UK clinical practice) study, there are no data for eplerenone.  There are data for finerenone based on the FINEARTS-HF study.  As such, based on licensed indications and evidence base – this section of the guideline may need to specify which MRA is most appropriate</w:t>
            </w:r>
          </w:p>
        </w:tc>
        <w:tc>
          <w:tcPr>
            <w:tcW w:w="2122" w:type="pct"/>
          </w:tcPr>
          <w:p w14:paraId="34B53ED6" w14:textId="319F8062" w:rsidR="00897293" w:rsidRPr="00CC6553" w:rsidRDefault="00897293" w:rsidP="005533B8">
            <w:pPr>
              <w:rPr>
                <w:rFonts w:cs="Arial"/>
                <w:color w:val="000000" w:themeColor="text1"/>
                <w:sz w:val="20"/>
              </w:rPr>
            </w:pPr>
            <w:r w:rsidRPr="00CC6553">
              <w:rPr>
                <w:rFonts w:cs="Arial"/>
                <w:color w:val="000000" w:themeColor="text1"/>
                <w:sz w:val="20"/>
              </w:rPr>
              <w:t xml:space="preserve">Thank-you for your comments. As eplerenone is licensed for CHF with reduced ejection fraction, we have reconsidered the inclusion of trials investigating eplerenone in evidence review D. </w:t>
            </w:r>
            <w:r>
              <w:rPr>
                <w:rFonts w:cs="Arial"/>
                <w:color w:val="000000" w:themeColor="text1"/>
                <w:sz w:val="20"/>
              </w:rPr>
              <w:t>A</w:t>
            </w:r>
            <w:r w:rsidRPr="00CC6553">
              <w:rPr>
                <w:rFonts w:cs="Arial"/>
                <w:color w:val="000000" w:themeColor="text1"/>
                <w:sz w:val="20"/>
              </w:rPr>
              <w:t>ccordingly</w:t>
            </w:r>
            <w:r>
              <w:rPr>
                <w:rFonts w:cs="Arial"/>
                <w:color w:val="000000" w:themeColor="text1"/>
                <w:sz w:val="20"/>
              </w:rPr>
              <w:t>, t</w:t>
            </w:r>
            <w:r w:rsidRPr="00CC6553">
              <w:rPr>
                <w:rFonts w:cs="Arial"/>
                <w:color w:val="000000" w:themeColor="text1"/>
                <w:sz w:val="20"/>
              </w:rPr>
              <w:t xml:space="preserve">he evidence review has been amended to </w:t>
            </w:r>
            <w:r w:rsidRPr="00CC6553">
              <w:rPr>
                <w:rFonts w:cs="Arial"/>
                <w:color w:val="000000" w:themeColor="text1"/>
                <w:sz w:val="20"/>
              </w:rPr>
              <w:lastRenderedPageBreak/>
              <w:t>remove RCTs</w:t>
            </w:r>
            <w:r>
              <w:rPr>
                <w:rFonts w:cs="Arial"/>
                <w:color w:val="000000" w:themeColor="text1"/>
                <w:sz w:val="20"/>
              </w:rPr>
              <w:t xml:space="preserve"> investigating eplerenone</w:t>
            </w:r>
          </w:p>
          <w:p w14:paraId="2838716F" w14:textId="77777777" w:rsidR="00897293" w:rsidRPr="00CC6553" w:rsidRDefault="00897293" w:rsidP="005533B8">
            <w:pPr>
              <w:rPr>
                <w:rFonts w:cs="Arial"/>
                <w:color w:val="000000" w:themeColor="text1"/>
                <w:sz w:val="20"/>
              </w:rPr>
            </w:pPr>
          </w:p>
          <w:p w14:paraId="263C0B7F" w14:textId="64A68A02" w:rsidR="00897293" w:rsidRPr="00CC6553" w:rsidRDefault="00897293" w:rsidP="005533B8">
            <w:pPr>
              <w:pStyle w:val="Heading1"/>
              <w:rPr>
                <w:rFonts w:cs="Arial"/>
                <w:b w:val="0"/>
                <w:color w:val="000000" w:themeColor="text1"/>
                <w:sz w:val="20"/>
              </w:rPr>
            </w:pPr>
            <w:r w:rsidRPr="00CC6553">
              <w:rPr>
                <w:rFonts w:cs="Arial"/>
                <w:b w:val="0"/>
                <w:bCs w:val="0"/>
                <w:color w:val="000000" w:themeColor="text1"/>
                <w:sz w:val="20"/>
              </w:rPr>
              <w:t xml:space="preserve">The committee agreed to make a medicine class-based recommendation for MRAs. This is in line with the approach taken across this CHF guideline update to consider evidence per class of medicines, rather than split the evidence per individual medicine. The committee is aware that individual circumstances will feature in clinician’s decisions on exactly which medicine to use. They were comfortable with clinicians using their judgement; a sentence has been added to the summary of the committee’s discussion (evidence reviews B and D) to reflect this: ‘Clinical judgement is also important when selecting individual medicines to use within a class of medicines, including consideration of differences in side effect </w:t>
            </w:r>
            <w:r w:rsidRPr="714DC05E">
              <w:rPr>
                <w:rFonts w:cs="Arial"/>
                <w:b w:val="0"/>
                <w:bCs w:val="0"/>
                <w:color w:val="000000" w:themeColor="text1"/>
                <w:sz w:val="20"/>
              </w:rPr>
              <w:t>profiles’.</w:t>
            </w:r>
          </w:p>
        </w:tc>
      </w:tr>
      <w:tr w:rsidR="00897293" w:rsidRPr="00CC6553" w14:paraId="33ED8A79" w14:textId="77777777" w:rsidTr="00897293">
        <w:trPr>
          <w:trHeight w:val="300"/>
        </w:trPr>
        <w:tc>
          <w:tcPr>
            <w:tcW w:w="109" w:type="pct"/>
          </w:tcPr>
          <w:p w14:paraId="3AA81F96"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116</w:t>
            </w:r>
          </w:p>
        </w:tc>
        <w:tc>
          <w:tcPr>
            <w:tcW w:w="143" w:type="pct"/>
          </w:tcPr>
          <w:p w14:paraId="5ED08DBD" w14:textId="5B2C7E78"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01DA7A1C" w14:textId="54FCA2B3"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358B2D9C" w14:textId="7AFA9673"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37617E4F" w14:textId="7A6AA96B" w:rsidR="00897293" w:rsidRPr="00CC6553" w:rsidRDefault="00897293" w:rsidP="005271BB">
            <w:pPr>
              <w:rPr>
                <w:rFonts w:cs="Arial"/>
                <w:color w:val="000000" w:themeColor="text1"/>
                <w:sz w:val="20"/>
              </w:rPr>
            </w:pPr>
            <w:r w:rsidRPr="00CC6553">
              <w:rPr>
                <w:rFonts w:cs="Arial"/>
                <w:color w:val="000000" w:themeColor="text1"/>
                <w:sz w:val="20"/>
              </w:rPr>
              <w:t>013</w:t>
            </w:r>
          </w:p>
        </w:tc>
        <w:tc>
          <w:tcPr>
            <w:tcW w:w="214" w:type="pct"/>
          </w:tcPr>
          <w:p w14:paraId="323775DD" w14:textId="68F26096" w:rsidR="00897293" w:rsidRPr="00CC6553" w:rsidRDefault="00897293" w:rsidP="005271BB">
            <w:pPr>
              <w:rPr>
                <w:rFonts w:cs="Arial"/>
                <w:color w:val="000000" w:themeColor="text1"/>
                <w:sz w:val="20"/>
              </w:rPr>
            </w:pPr>
            <w:r w:rsidRPr="00CC6553">
              <w:rPr>
                <w:rFonts w:cs="Arial"/>
                <w:color w:val="000000" w:themeColor="text1"/>
                <w:sz w:val="20"/>
              </w:rPr>
              <w:t>014</w:t>
            </w:r>
          </w:p>
        </w:tc>
        <w:tc>
          <w:tcPr>
            <w:tcW w:w="1521" w:type="pct"/>
          </w:tcPr>
          <w:p w14:paraId="14B17EF9" w14:textId="357037EE" w:rsidR="00897293" w:rsidRPr="00CC6553" w:rsidRDefault="00897293" w:rsidP="005271BB">
            <w:pPr>
              <w:rPr>
                <w:rFonts w:cs="Arial"/>
                <w:color w:val="000000" w:themeColor="text1"/>
                <w:sz w:val="20"/>
              </w:rPr>
            </w:pPr>
            <w:r w:rsidRPr="00CC6553">
              <w:rPr>
                <w:rFonts w:cs="Arial"/>
                <w:color w:val="000000" w:themeColor="text1"/>
                <w:sz w:val="20"/>
              </w:rPr>
              <w:t>1.5.1 Consider an angiotensin-converting enzyme (ACE) inhibitor, a betablocker, a mineralocorticoid receptor antagonist (MRA) and a sodium glucose cotransporter-2 (SGLT2) inhibitor for treating heart failure with mildly reduced ejection fraction. [2025]</w:t>
            </w:r>
            <w:r w:rsidRPr="00CC6553">
              <w:rPr>
                <w:rFonts w:cs="Arial"/>
                <w:color w:val="000000" w:themeColor="text1"/>
                <w:sz w:val="20"/>
              </w:rPr>
              <w:br/>
              <w:t>This wording needs to change to ‘offer an SGLT2-‘ and consider an ACE-, betablocker and MRA for treating heart failure with mildly reduced ejection fraction, to align with the NICE TA for SGLT2- in HFpEF and HFmrEF.</w:t>
            </w:r>
          </w:p>
        </w:tc>
        <w:tc>
          <w:tcPr>
            <w:tcW w:w="2122" w:type="pct"/>
          </w:tcPr>
          <w:p w14:paraId="3F3D53B2" w14:textId="55B69591" w:rsidR="00897293" w:rsidRPr="00CC6553" w:rsidRDefault="00897293" w:rsidP="476BDDBF">
            <w:pPr>
              <w:pStyle w:val="Heading1"/>
              <w:rPr>
                <w:rFonts w:cs="Arial"/>
                <w:b w:val="0"/>
                <w:bCs w:val="0"/>
                <w:color w:val="000000" w:themeColor="text1"/>
                <w:sz w:val="20"/>
              </w:rPr>
            </w:pPr>
            <w:r w:rsidRPr="00CC6553">
              <w:rPr>
                <w:rFonts w:cs="Arial"/>
                <w:b w:val="0"/>
                <w:bCs w:val="0"/>
                <w:color w:val="000000" w:themeColor="text1"/>
                <w:sz w:val="20"/>
              </w:rPr>
              <w:t>Thank you for your comment.  The committee have removed reference to SGLT2 inhibitors from the recommendation but cross-refer to TA929 and TA902.</w:t>
            </w:r>
          </w:p>
          <w:p w14:paraId="7860C835" w14:textId="5CA41F79" w:rsidR="00897293" w:rsidRPr="00CC6553" w:rsidRDefault="00897293" w:rsidP="476BDDBF">
            <w:pPr>
              <w:rPr>
                <w:color w:val="000000" w:themeColor="text1"/>
              </w:rPr>
            </w:pPr>
          </w:p>
        </w:tc>
      </w:tr>
      <w:tr w:rsidR="00897293" w:rsidRPr="00CC6553" w14:paraId="6DABE185" w14:textId="77777777" w:rsidTr="00897293">
        <w:trPr>
          <w:trHeight w:val="300"/>
        </w:trPr>
        <w:tc>
          <w:tcPr>
            <w:tcW w:w="109" w:type="pct"/>
          </w:tcPr>
          <w:p w14:paraId="3AE6091E"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117</w:t>
            </w:r>
          </w:p>
        </w:tc>
        <w:tc>
          <w:tcPr>
            <w:tcW w:w="143" w:type="pct"/>
          </w:tcPr>
          <w:p w14:paraId="25F8907A" w14:textId="2D1E6C58"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4BCB6439" w14:textId="032F3F5E" w:rsidR="00897293" w:rsidRPr="00CC6553" w:rsidRDefault="00897293" w:rsidP="005271BB">
            <w:pPr>
              <w:rPr>
                <w:rFonts w:cs="Arial"/>
                <w:bCs/>
                <w:iCs/>
                <w:color w:val="000000" w:themeColor="text1"/>
                <w:sz w:val="20"/>
              </w:rPr>
            </w:pPr>
            <w:r w:rsidRPr="00CC6553">
              <w:rPr>
                <w:rFonts w:cs="Arial"/>
                <w:color w:val="000000" w:themeColor="text1"/>
                <w:sz w:val="20"/>
              </w:rPr>
              <w:t>Primary Care Cardiovascular Society (PCCS)</w:t>
            </w:r>
          </w:p>
        </w:tc>
        <w:tc>
          <w:tcPr>
            <w:tcW w:w="279" w:type="pct"/>
          </w:tcPr>
          <w:p w14:paraId="54D0B89F" w14:textId="469EB2FE"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66478466" w14:textId="51459CCE" w:rsidR="00897293" w:rsidRPr="00CC6553" w:rsidRDefault="00897293" w:rsidP="005271BB">
            <w:pPr>
              <w:rPr>
                <w:rFonts w:cs="Arial"/>
                <w:color w:val="000000" w:themeColor="text1"/>
                <w:sz w:val="20"/>
              </w:rPr>
            </w:pPr>
            <w:r w:rsidRPr="00CC6553">
              <w:rPr>
                <w:rFonts w:cs="Arial"/>
                <w:color w:val="000000" w:themeColor="text1"/>
                <w:sz w:val="20"/>
              </w:rPr>
              <w:t>013</w:t>
            </w:r>
          </w:p>
        </w:tc>
        <w:tc>
          <w:tcPr>
            <w:tcW w:w="214" w:type="pct"/>
          </w:tcPr>
          <w:p w14:paraId="60AF38AF" w14:textId="769D7635" w:rsidR="00897293" w:rsidRPr="00CC6553" w:rsidRDefault="00897293" w:rsidP="005271BB">
            <w:pPr>
              <w:rPr>
                <w:rFonts w:cs="Arial"/>
                <w:color w:val="000000" w:themeColor="text1"/>
                <w:sz w:val="20"/>
              </w:rPr>
            </w:pPr>
            <w:r w:rsidRPr="00CC6553">
              <w:rPr>
                <w:rFonts w:cs="Arial"/>
                <w:color w:val="000000" w:themeColor="text1"/>
                <w:sz w:val="20"/>
              </w:rPr>
              <w:t>014</w:t>
            </w:r>
          </w:p>
        </w:tc>
        <w:tc>
          <w:tcPr>
            <w:tcW w:w="1521" w:type="pct"/>
          </w:tcPr>
          <w:p w14:paraId="3D1E868A" w14:textId="11CCB443" w:rsidR="00897293" w:rsidRPr="00CC6553" w:rsidRDefault="00897293" w:rsidP="005271BB">
            <w:pPr>
              <w:rPr>
                <w:rFonts w:cs="Arial"/>
                <w:color w:val="000000" w:themeColor="text1"/>
                <w:sz w:val="20"/>
              </w:rPr>
            </w:pPr>
            <w:r w:rsidRPr="00CC6553">
              <w:rPr>
                <w:rFonts w:cs="Arial"/>
                <w:color w:val="000000" w:themeColor="text1"/>
                <w:sz w:val="20"/>
              </w:rPr>
              <w:t>ESC guidelines for HF 2023 – Other than diuretics for congestion SGLT2I in HFmrEF are the only class of medicine with class 1a classification.  Instead of consider should this be offer</w:t>
            </w:r>
          </w:p>
        </w:tc>
        <w:tc>
          <w:tcPr>
            <w:tcW w:w="2122" w:type="pct"/>
          </w:tcPr>
          <w:p w14:paraId="465E3771" w14:textId="77777777" w:rsidR="00897293" w:rsidRPr="00CC6553" w:rsidRDefault="00897293" w:rsidP="007129C2">
            <w:pPr>
              <w:pStyle w:val="Heading1"/>
              <w:rPr>
                <w:rFonts w:cs="Arial"/>
                <w:b w:val="0"/>
                <w:bCs w:val="0"/>
                <w:color w:val="000000" w:themeColor="text1"/>
                <w:sz w:val="20"/>
              </w:rPr>
            </w:pPr>
            <w:r w:rsidRPr="00CC6553">
              <w:rPr>
                <w:rFonts w:cs="Arial"/>
                <w:b w:val="0"/>
                <w:bCs w:val="0"/>
                <w:color w:val="000000" w:themeColor="text1"/>
                <w:sz w:val="20"/>
              </w:rPr>
              <w:t>Thank you for your comment.  The committee have removed reference to SGLT2 inhibitors from the recommendation but cross-refer to TA929 and TA902.</w:t>
            </w:r>
          </w:p>
          <w:p w14:paraId="571C245D" w14:textId="76A149D4" w:rsidR="00897293" w:rsidRPr="009B3C47" w:rsidRDefault="00897293" w:rsidP="009B3C47">
            <w:pPr>
              <w:rPr>
                <w:b/>
              </w:rPr>
            </w:pPr>
          </w:p>
        </w:tc>
      </w:tr>
      <w:tr w:rsidR="00897293" w:rsidRPr="00CC6553" w14:paraId="7E5A2E85" w14:textId="77777777" w:rsidTr="00897293">
        <w:trPr>
          <w:trHeight w:val="300"/>
        </w:trPr>
        <w:tc>
          <w:tcPr>
            <w:tcW w:w="109" w:type="pct"/>
          </w:tcPr>
          <w:p w14:paraId="75F78E12" w14:textId="77777777" w:rsidR="00897293" w:rsidRPr="00CC6553" w:rsidRDefault="00897293" w:rsidP="005271BB">
            <w:pPr>
              <w:rPr>
                <w:rFonts w:cs="Arial"/>
                <w:color w:val="000000" w:themeColor="text1"/>
                <w:sz w:val="20"/>
              </w:rPr>
            </w:pPr>
            <w:r w:rsidRPr="00CC6553">
              <w:rPr>
                <w:rFonts w:cs="Arial"/>
                <w:color w:val="000000" w:themeColor="text1"/>
                <w:sz w:val="20"/>
              </w:rPr>
              <w:t>118</w:t>
            </w:r>
          </w:p>
        </w:tc>
        <w:tc>
          <w:tcPr>
            <w:tcW w:w="143" w:type="pct"/>
          </w:tcPr>
          <w:p w14:paraId="351231F7" w14:textId="752C1C1E"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16139A17" w14:textId="383FAA6D" w:rsidR="00897293" w:rsidRPr="00CC6553" w:rsidRDefault="00897293" w:rsidP="005271BB">
            <w:pPr>
              <w:rPr>
                <w:rFonts w:cs="Arial"/>
                <w:bCs/>
                <w:iCs/>
                <w:color w:val="000000" w:themeColor="text1"/>
                <w:sz w:val="20"/>
              </w:rPr>
            </w:pPr>
            <w:r w:rsidRPr="00CC6553">
              <w:rPr>
                <w:rFonts w:cs="Arial"/>
                <w:color w:val="000000" w:themeColor="text1"/>
                <w:sz w:val="20"/>
              </w:rPr>
              <w:t>British Association for Nursing in Cardiovascular Care (BANCC)</w:t>
            </w:r>
          </w:p>
        </w:tc>
        <w:tc>
          <w:tcPr>
            <w:tcW w:w="279" w:type="pct"/>
          </w:tcPr>
          <w:p w14:paraId="090B112B" w14:textId="7D79F76D"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089E4391" w14:textId="4B161D03" w:rsidR="00897293" w:rsidRPr="00CC6553" w:rsidRDefault="00897293" w:rsidP="005271BB">
            <w:pPr>
              <w:rPr>
                <w:rFonts w:cs="Arial"/>
                <w:color w:val="000000" w:themeColor="text1"/>
                <w:sz w:val="20"/>
              </w:rPr>
            </w:pPr>
            <w:r w:rsidRPr="00CC6553">
              <w:rPr>
                <w:rFonts w:cs="Arial"/>
                <w:color w:val="000000" w:themeColor="text1"/>
                <w:sz w:val="20"/>
              </w:rPr>
              <w:t>013</w:t>
            </w:r>
          </w:p>
        </w:tc>
        <w:tc>
          <w:tcPr>
            <w:tcW w:w="214" w:type="pct"/>
          </w:tcPr>
          <w:p w14:paraId="3A92B3D8" w14:textId="2A63E537" w:rsidR="00897293" w:rsidRPr="00CC6553" w:rsidRDefault="00897293" w:rsidP="005271BB">
            <w:pPr>
              <w:rPr>
                <w:rFonts w:cs="Arial"/>
                <w:color w:val="000000" w:themeColor="text1"/>
                <w:sz w:val="20"/>
              </w:rPr>
            </w:pPr>
            <w:r w:rsidRPr="00CC6553">
              <w:rPr>
                <w:rFonts w:cs="Arial"/>
                <w:color w:val="000000" w:themeColor="text1"/>
                <w:sz w:val="20"/>
              </w:rPr>
              <w:t>014</w:t>
            </w:r>
          </w:p>
        </w:tc>
        <w:tc>
          <w:tcPr>
            <w:tcW w:w="1521" w:type="pct"/>
          </w:tcPr>
          <w:p w14:paraId="290A38B7" w14:textId="555D42C0" w:rsidR="00897293" w:rsidRPr="00CC6553" w:rsidRDefault="00897293" w:rsidP="005271BB">
            <w:pPr>
              <w:rPr>
                <w:rFonts w:cs="Arial"/>
                <w:color w:val="000000" w:themeColor="text1"/>
                <w:sz w:val="20"/>
              </w:rPr>
            </w:pPr>
            <w:r w:rsidRPr="00CC6553">
              <w:rPr>
                <w:rFonts w:cs="Arial"/>
                <w:color w:val="000000" w:themeColor="text1"/>
                <w:sz w:val="20"/>
              </w:rPr>
              <w:t>We welcome addition to include 4-pillar therapy in HFmrEF</w:t>
            </w:r>
          </w:p>
        </w:tc>
        <w:tc>
          <w:tcPr>
            <w:tcW w:w="2122" w:type="pct"/>
          </w:tcPr>
          <w:p w14:paraId="082E96C1" w14:textId="31FE921C"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w:t>
            </w:r>
          </w:p>
        </w:tc>
      </w:tr>
      <w:tr w:rsidR="00897293" w:rsidRPr="00CC6553" w14:paraId="304478AA" w14:textId="77777777" w:rsidTr="00897293">
        <w:trPr>
          <w:trHeight w:val="300"/>
        </w:trPr>
        <w:tc>
          <w:tcPr>
            <w:tcW w:w="109" w:type="pct"/>
          </w:tcPr>
          <w:p w14:paraId="64B79E4C" w14:textId="77777777" w:rsidR="00897293" w:rsidRPr="00CC6553" w:rsidRDefault="00897293" w:rsidP="005271BB">
            <w:pPr>
              <w:rPr>
                <w:rFonts w:cs="Arial"/>
                <w:color w:val="000000" w:themeColor="text1"/>
                <w:sz w:val="20"/>
              </w:rPr>
            </w:pPr>
            <w:r w:rsidRPr="00CC6553">
              <w:rPr>
                <w:rFonts w:cs="Arial"/>
                <w:color w:val="000000" w:themeColor="text1"/>
                <w:sz w:val="20"/>
              </w:rPr>
              <w:t>119</w:t>
            </w:r>
          </w:p>
        </w:tc>
        <w:tc>
          <w:tcPr>
            <w:tcW w:w="143" w:type="pct"/>
          </w:tcPr>
          <w:p w14:paraId="7340BEB8" w14:textId="75D69C6F"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15E19561" w14:textId="453C429D" w:rsidR="00897293" w:rsidRPr="00CC6553" w:rsidRDefault="00897293" w:rsidP="005271BB">
            <w:pPr>
              <w:rPr>
                <w:rFonts w:cs="Arial"/>
                <w:bCs/>
                <w:iCs/>
                <w:color w:val="000000" w:themeColor="text1"/>
                <w:sz w:val="20"/>
              </w:rPr>
            </w:pPr>
            <w:r w:rsidRPr="00CC6553">
              <w:rPr>
                <w:rFonts w:cs="Arial"/>
                <w:color w:val="000000" w:themeColor="text1"/>
                <w:sz w:val="20"/>
              </w:rPr>
              <w:t>British Society for Heart Failure (BSHF)</w:t>
            </w:r>
          </w:p>
        </w:tc>
        <w:tc>
          <w:tcPr>
            <w:tcW w:w="279" w:type="pct"/>
          </w:tcPr>
          <w:p w14:paraId="0A2C5986" w14:textId="33D45747"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62730E65" w14:textId="74251B40" w:rsidR="00897293" w:rsidRPr="00CC6553" w:rsidRDefault="00897293" w:rsidP="005271BB">
            <w:pPr>
              <w:rPr>
                <w:rFonts w:cs="Arial"/>
                <w:color w:val="000000" w:themeColor="text1"/>
                <w:sz w:val="20"/>
              </w:rPr>
            </w:pPr>
            <w:r w:rsidRPr="00CC6553">
              <w:rPr>
                <w:rFonts w:cs="Arial"/>
                <w:color w:val="000000" w:themeColor="text1"/>
                <w:sz w:val="20"/>
              </w:rPr>
              <w:t>013</w:t>
            </w:r>
          </w:p>
        </w:tc>
        <w:tc>
          <w:tcPr>
            <w:tcW w:w="214" w:type="pct"/>
          </w:tcPr>
          <w:p w14:paraId="72FC12AD" w14:textId="4E936BFF" w:rsidR="00897293" w:rsidRPr="00CC6553" w:rsidRDefault="00897293" w:rsidP="005271BB">
            <w:pPr>
              <w:rPr>
                <w:rFonts w:cs="Arial"/>
                <w:color w:val="000000" w:themeColor="text1"/>
                <w:sz w:val="20"/>
              </w:rPr>
            </w:pPr>
            <w:r w:rsidRPr="00CC6553">
              <w:rPr>
                <w:rFonts w:cs="Arial"/>
                <w:color w:val="000000" w:themeColor="text1"/>
                <w:sz w:val="20"/>
              </w:rPr>
              <w:t>014</w:t>
            </w:r>
          </w:p>
        </w:tc>
        <w:tc>
          <w:tcPr>
            <w:tcW w:w="1521" w:type="pct"/>
          </w:tcPr>
          <w:p w14:paraId="4B657CD2" w14:textId="08A2F852" w:rsidR="00897293" w:rsidRPr="00CC6553" w:rsidRDefault="00897293" w:rsidP="005271BB">
            <w:pPr>
              <w:rPr>
                <w:rFonts w:cs="Arial"/>
                <w:color w:val="000000" w:themeColor="text1"/>
                <w:sz w:val="20"/>
              </w:rPr>
            </w:pPr>
            <w:r w:rsidRPr="00CC6553">
              <w:rPr>
                <w:rFonts w:cs="Arial"/>
                <w:color w:val="000000" w:themeColor="text1"/>
                <w:sz w:val="20"/>
              </w:rPr>
              <w:t>We welcome addition to include 4-pillar therapy in HFmrEF</w:t>
            </w:r>
          </w:p>
        </w:tc>
        <w:tc>
          <w:tcPr>
            <w:tcW w:w="2122" w:type="pct"/>
          </w:tcPr>
          <w:p w14:paraId="0F725571" w14:textId="53BA33CA"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w:t>
            </w:r>
          </w:p>
        </w:tc>
      </w:tr>
      <w:tr w:rsidR="00897293" w:rsidRPr="00CC6553" w14:paraId="7938E4A8" w14:textId="77777777" w:rsidTr="00897293">
        <w:trPr>
          <w:trHeight w:val="300"/>
        </w:trPr>
        <w:tc>
          <w:tcPr>
            <w:tcW w:w="109" w:type="pct"/>
          </w:tcPr>
          <w:p w14:paraId="4DD5D677" w14:textId="77777777" w:rsidR="00897293" w:rsidRPr="00CC6553" w:rsidRDefault="00897293" w:rsidP="005271BB">
            <w:pPr>
              <w:rPr>
                <w:rFonts w:cs="Arial"/>
                <w:color w:val="000000" w:themeColor="text1"/>
                <w:sz w:val="20"/>
              </w:rPr>
            </w:pPr>
            <w:r w:rsidRPr="00CC6553">
              <w:rPr>
                <w:rFonts w:cs="Arial"/>
                <w:color w:val="000000" w:themeColor="text1"/>
                <w:sz w:val="20"/>
              </w:rPr>
              <w:t>120</w:t>
            </w:r>
          </w:p>
        </w:tc>
        <w:tc>
          <w:tcPr>
            <w:tcW w:w="143" w:type="pct"/>
          </w:tcPr>
          <w:p w14:paraId="1F9182BA" w14:textId="6F1D1DBB"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2C50D7D6" w14:textId="4B0A74C3" w:rsidR="00897293" w:rsidRPr="00CC6553" w:rsidRDefault="00897293" w:rsidP="005271BB">
            <w:pPr>
              <w:rPr>
                <w:rFonts w:cs="Arial"/>
                <w:bCs/>
                <w:iCs/>
                <w:color w:val="000000" w:themeColor="text1"/>
                <w:sz w:val="20"/>
              </w:rPr>
            </w:pPr>
            <w:r w:rsidRPr="00CC6553">
              <w:rPr>
                <w:rFonts w:cs="Arial"/>
                <w:color w:val="000000" w:themeColor="text1"/>
                <w:sz w:val="20"/>
              </w:rPr>
              <w:t>Boehringer Ingelheim Ltd</w:t>
            </w:r>
          </w:p>
        </w:tc>
        <w:tc>
          <w:tcPr>
            <w:tcW w:w="279" w:type="pct"/>
          </w:tcPr>
          <w:p w14:paraId="34750469" w14:textId="6B2E30FB"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0836F78E" w14:textId="661A0CB6" w:rsidR="00897293" w:rsidRPr="00CC6553" w:rsidRDefault="00897293" w:rsidP="005271BB">
            <w:pPr>
              <w:rPr>
                <w:rFonts w:cs="Arial"/>
                <w:color w:val="000000" w:themeColor="text1"/>
                <w:sz w:val="20"/>
              </w:rPr>
            </w:pPr>
            <w:r w:rsidRPr="00CC6553">
              <w:rPr>
                <w:rFonts w:cs="Arial"/>
                <w:color w:val="000000" w:themeColor="text1"/>
                <w:sz w:val="20"/>
              </w:rPr>
              <w:t>013</w:t>
            </w:r>
          </w:p>
        </w:tc>
        <w:tc>
          <w:tcPr>
            <w:tcW w:w="214" w:type="pct"/>
          </w:tcPr>
          <w:p w14:paraId="3FC3BA09" w14:textId="106681F4" w:rsidR="00897293" w:rsidRPr="00CC6553" w:rsidRDefault="00897293" w:rsidP="005271BB">
            <w:pPr>
              <w:rPr>
                <w:rFonts w:cs="Arial"/>
                <w:color w:val="000000" w:themeColor="text1"/>
                <w:sz w:val="20"/>
              </w:rPr>
            </w:pPr>
            <w:r w:rsidRPr="00CC6553">
              <w:rPr>
                <w:rFonts w:cs="Arial"/>
                <w:color w:val="000000" w:themeColor="text1"/>
                <w:sz w:val="20"/>
              </w:rPr>
              <w:t>014</w:t>
            </w:r>
          </w:p>
        </w:tc>
        <w:tc>
          <w:tcPr>
            <w:tcW w:w="1521" w:type="pct"/>
          </w:tcPr>
          <w:p w14:paraId="52C4AEA1" w14:textId="47942D54" w:rsidR="00897293" w:rsidRPr="00CC6553" w:rsidRDefault="00897293" w:rsidP="005271BB">
            <w:pPr>
              <w:rPr>
                <w:rFonts w:cs="Arial"/>
                <w:color w:val="000000" w:themeColor="text1"/>
                <w:sz w:val="20"/>
              </w:rPr>
            </w:pPr>
            <w:r w:rsidRPr="00CC6553">
              <w:rPr>
                <w:rFonts w:cs="Arial"/>
                <w:color w:val="000000" w:themeColor="text1"/>
                <w:sz w:val="20"/>
              </w:rPr>
              <w:t>Treatment combinations, Sec 1.5.1: The clinical guideline does not provide practical advice on how to initiate and sequence the 4 HFmrEF foundational therapies. Without clear guidance, clinicians may be hesitant to start 4 new medications simultaneously, potentially resulting in "therapeutic inertia" and sub-optimal patient care.  Please involve clinicians at this stage of the draft clinical guideline development to ensure comprehensive guidance and practical applicability.</w:t>
            </w:r>
          </w:p>
        </w:tc>
        <w:tc>
          <w:tcPr>
            <w:tcW w:w="2122" w:type="pct"/>
          </w:tcPr>
          <w:p w14:paraId="5E6C3BA4" w14:textId="71DFE784"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  The committee discussed whether they should make recommendations on how to initiate and sequence the medicines.  However, they agreed that this would depend on individual patient factors such as symptoms, medical history and comorbidities.</w:t>
            </w:r>
            <w:r>
              <w:rPr>
                <w:rFonts w:cs="Arial"/>
                <w:b w:val="0"/>
                <w:bCs w:val="0"/>
                <w:color w:val="000000" w:themeColor="text1"/>
                <w:sz w:val="20"/>
              </w:rPr>
              <w:t xml:space="preserve"> This requirement for clinical judgement is expected for all NICE recommendations.</w:t>
            </w:r>
          </w:p>
        </w:tc>
      </w:tr>
      <w:tr w:rsidR="00897293" w:rsidRPr="00CC6553" w14:paraId="251F48EC" w14:textId="77777777" w:rsidTr="00897293">
        <w:trPr>
          <w:trHeight w:val="300"/>
        </w:trPr>
        <w:tc>
          <w:tcPr>
            <w:tcW w:w="109" w:type="pct"/>
          </w:tcPr>
          <w:p w14:paraId="16A8F852" w14:textId="77777777" w:rsidR="00897293" w:rsidRPr="00CC6553" w:rsidRDefault="00897293" w:rsidP="005271BB">
            <w:pPr>
              <w:rPr>
                <w:rFonts w:cs="Arial"/>
                <w:color w:val="000000" w:themeColor="text1"/>
                <w:sz w:val="20"/>
              </w:rPr>
            </w:pPr>
            <w:r w:rsidRPr="00CC6553">
              <w:rPr>
                <w:rFonts w:cs="Arial"/>
                <w:color w:val="000000" w:themeColor="text1"/>
                <w:sz w:val="20"/>
              </w:rPr>
              <w:t>121</w:t>
            </w:r>
          </w:p>
        </w:tc>
        <w:tc>
          <w:tcPr>
            <w:tcW w:w="143" w:type="pct"/>
          </w:tcPr>
          <w:p w14:paraId="6B4B1BDB" w14:textId="1A9BD87E"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3B7897FF" w14:textId="67CD1F9B" w:rsidR="00897293" w:rsidRPr="00CC6553" w:rsidRDefault="00897293" w:rsidP="005271BB">
            <w:pPr>
              <w:rPr>
                <w:rFonts w:cs="Arial"/>
                <w:bCs/>
                <w:iCs/>
                <w:color w:val="000000" w:themeColor="text1"/>
                <w:sz w:val="20"/>
              </w:rPr>
            </w:pPr>
            <w:r w:rsidRPr="00CC6553">
              <w:rPr>
                <w:rFonts w:cs="Arial"/>
                <w:color w:val="000000" w:themeColor="text1"/>
                <w:sz w:val="20"/>
              </w:rPr>
              <w:t>NHS Devon ICB</w:t>
            </w:r>
          </w:p>
        </w:tc>
        <w:tc>
          <w:tcPr>
            <w:tcW w:w="279" w:type="pct"/>
          </w:tcPr>
          <w:p w14:paraId="1C6BD9CC" w14:textId="4342623D"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708F1783" w14:textId="64BF8B56" w:rsidR="00897293" w:rsidRPr="00CC6553" w:rsidRDefault="00897293" w:rsidP="005271BB">
            <w:pPr>
              <w:rPr>
                <w:rFonts w:cs="Arial"/>
                <w:color w:val="000000" w:themeColor="text1"/>
                <w:sz w:val="20"/>
              </w:rPr>
            </w:pPr>
            <w:r w:rsidRPr="00CC6553">
              <w:rPr>
                <w:rFonts w:cs="Arial"/>
                <w:color w:val="000000" w:themeColor="text1"/>
                <w:sz w:val="20"/>
              </w:rPr>
              <w:t>013</w:t>
            </w:r>
          </w:p>
        </w:tc>
        <w:tc>
          <w:tcPr>
            <w:tcW w:w="214" w:type="pct"/>
          </w:tcPr>
          <w:p w14:paraId="3C85E378" w14:textId="23513F88" w:rsidR="00897293" w:rsidRPr="00CC6553" w:rsidRDefault="00897293" w:rsidP="005271BB">
            <w:pPr>
              <w:rPr>
                <w:rFonts w:cs="Arial"/>
                <w:color w:val="000000" w:themeColor="text1"/>
                <w:sz w:val="20"/>
              </w:rPr>
            </w:pPr>
            <w:r w:rsidRPr="00CC6553">
              <w:rPr>
                <w:rFonts w:cs="Arial"/>
                <w:color w:val="000000" w:themeColor="text1"/>
                <w:sz w:val="20"/>
              </w:rPr>
              <w:t>014</w:t>
            </w:r>
          </w:p>
        </w:tc>
        <w:tc>
          <w:tcPr>
            <w:tcW w:w="1521" w:type="pct"/>
          </w:tcPr>
          <w:p w14:paraId="77743534" w14:textId="6C13794B" w:rsidR="00897293" w:rsidRPr="00CC6553" w:rsidRDefault="00897293" w:rsidP="005271BB">
            <w:pPr>
              <w:rPr>
                <w:rFonts w:cs="Arial"/>
                <w:color w:val="000000" w:themeColor="text1"/>
                <w:sz w:val="20"/>
              </w:rPr>
            </w:pPr>
            <w:r w:rsidRPr="00CC6553">
              <w:rPr>
                <w:rFonts w:cs="Arial"/>
                <w:color w:val="000000" w:themeColor="text1"/>
                <w:sz w:val="20"/>
              </w:rPr>
              <w:t xml:space="preserve">Recommendation 1.5.1 states to ‘consider’ a SGLT2 inhibitor for the treatment of heart failure with mildly reduced ejection fraction, yet use of dapagliflozin and empagliflozin is supported by NICE technology appraisals for this condition. NICE uses ‘consider’ where the benefit is less certain, whereas TA929 and TA902 </w:t>
            </w:r>
            <w:r w:rsidRPr="00CC6553">
              <w:rPr>
                <w:rFonts w:cs="Arial"/>
                <w:color w:val="000000" w:themeColor="text1"/>
                <w:sz w:val="20"/>
              </w:rPr>
              <w:lastRenderedPageBreak/>
              <w:t>recommend the use of empagliflozin and dapagliflozin for heart failure with mildly reduced ejection fraction. The clinical evidence and cost effectiveness of SGLT2 inhibitors has not been considered in the evidence review for chronic heart failure with mildly reduced ejection fraction; the committee summary on page 32 (Evidence Review B) states ‘Although not considered as part of this evidence review, the SGLT2 inhibitors dapagliflozin and empagliflozin should be offered in accordance with the NICE technology appraisals (TA902 and TA929)’.</w:t>
            </w:r>
          </w:p>
        </w:tc>
        <w:tc>
          <w:tcPr>
            <w:tcW w:w="2122" w:type="pct"/>
          </w:tcPr>
          <w:p w14:paraId="323EF407" w14:textId="55B69591" w:rsidR="00897293" w:rsidRPr="00CC6553" w:rsidRDefault="00897293" w:rsidP="476BDDBF">
            <w:pPr>
              <w:pStyle w:val="Heading1"/>
              <w:rPr>
                <w:rFonts w:cs="Arial"/>
                <w:b w:val="0"/>
                <w:bCs w:val="0"/>
                <w:color w:val="000000" w:themeColor="text1"/>
                <w:sz w:val="20"/>
              </w:rPr>
            </w:pPr>
            <w:r w:rsidRPr="00CC6553">
              <w:rPr>
                <w:rFonts w:cs="Arial"/>
                <w:b w:val="0"/>
                <w:bCs w:val="0"/>
                <w:color w:val="000000" w:themeColor="text1"/>
                <w:sz w:val="20"/>
              </w:rPr>
              <w:lastRenderedPageBreak/>
              <w:t xml:space="preserve">Thank you for your comment.  The committee have removed reference to SGLT2 inhibitors from the </w:t>
            </w:r>
            <w:r w:rsidRPr="00CC6553">
              <w:rPr>
                <w:rFonts w:cs="Arial"/>
                <w:b w:val="0"/>
                <w:bCs w:val="0"/>
                <w:color w:val="000000" w:themeColor="text1"/>
                <w:sz w:val="20"/>
              </w:rPr>
              <w:lastRenderedPageBreak/>
              <w:t>recommendation but cross-refer to TA929 and TA902.</w:t>
            </w:r>
          </w:p>
          <w:p w14:paraId="4029F816" w14:textId="72E676D1" w:rsidR="00897293" w:rsidRPr="00CC6553" w:rsidRDefault="00897293" w:rsidP="476BDDBF">
            <w:pPr>
              <w:rPr>
                <w:color w:val="000000" w:themeColor="text1"/>
              </w:rPr>
            </w:pPr>
          </w:p>
        </w:tc>
      </w:tr>
      <w:tr w:rsidR="00897293" w:rsidRPr="00CC6553" w14:paraId="11A7D486" w14:textId="77777777" w:rsidTr="00897293">
        <w:trPr>
          <w:trHeight w:val="300"/>
        </w:trPr>
        <w:tc>
          <w:tcPr>
            <w:tcW w:w="109" w:type="pct"/>
          </w:tcPr>
          <w:p w14:paraId="3C3D52E9"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122</w:t>
            </w:r>
          </w:p>
        </w:tc>
        <w:tc>
          <w:tcPr>
            <w:tcW w:w="143" w:type="pct"/>
          </w:tcPr>
          <w:p w14:paraId="17A291EF" w14:textId="174A4156"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52C536C5" w14:textId="16B9396A" w:rsidR="00897293" w:rsidRPr="00CC6553" w:rsidRDefault="00897293" w:rsidP="005271BB">
            <w:pPr>
              <w:rPr>
                <w:rFonts w:cs="Arial"/>
                <w:bCs/>
                <w:iCs/>
                <w:color w:val="000000" w:themeColor="text1"/>
                <w:sz w:val="20"/>
              </w:rPr>
            </w:pPr>
            <w:r w:rsidRPr="00CC6553">
              <w:rPr>
                <w:rFonts w:cs="Arial"/>
                <w:color w:val="000000" w:themeColor="text1"/>
                <w:sz w:val="20"/>
              </w:rPr>
              <w:t>AstraZeneca UK Ltd</w:t>
            </w:r>
          </w:p>
        </w:tc>
        <w:tc>
          <w:tcPr>
            <w:tcW w:w="279" w:type="pct"/>
          </w:tcPr>
          <w:p w14:paraId="72D2FF33" w14:textId="5ADC61AF"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23954D5A" w14:textId="539C7008" w:rsidR="00897293" w:rsidRPr="00CC6553" w:rsidRDefault="00897293" w:rsidP="005271BB">
            <w:pPr>
              <w:rPr>
                <w:rFonts w:cs="Arial"/>
                <w:color w:val="000000" w:themeColor="text1"/>
                <w:sz w:val="20"/>
              </w:rPr>
            </w:pPr>
            <w:r w:rsidRPr="00CC6553">
              <w:rPr>
                <w:rFonts w:cs="Arial"/>
                <w:color w:val="000000" w:themeColor="text1"/>
                <w:sz w:val="20"/>
              </w:rPr>
              <w:t>013</w:t>
            </w:r>
          </w:p>
        </w:tc>
        <w:tc>
          <w:tcPr>
            <w:tcW w:w="214" w:type="pct"/>
          </w:tcPr>
          <w:p w14:paraId="31C5390F" w14:textId="3382CD9B" w:rsidR="00897293" w:rsidRPr="00CC6553" w:rsidRDefault="00897293" w:rsidP="005271BB">
            <w:pPr>
              <w:rPr>
                <w:rFonts w:cs="Arial"/>
                <w:color w:val="000000" w:themeColor="text1"/>
                <w:sz w:val="20"/>
              </w:rPr>
            </w:pPr>
            <w:r w:rsidRPr="00CC6553">
              <w:rPr>
                <w:rFonts w:cs="Arial"/>
                <w:color w:val="000000" w:themeColor="text1"/>
                <w:sz w:val="20"/>
              </w:rPr>
              <w:t>014 - 017</w:t>
            </w:r>
          </w:p>
        </w:tc>
        <w:tc>
          <w:tcPr>
            <w:tcW w:w="1521" w:type="pct"/>
          </w:tcPr>
          <w:p w14:paraId="762AB33C" w14:textId="3C167FF6" w:rsidR="00897293" w:rsidRPr="00CC6553" w:rsidRDefault="00897293" w:rsidP="005271BB">
            <w:pPr>
              <w:rPr>
                <w:rFonts w:cs="Arial"/>
                <w:color w:val="000000" w:themeColor="text1"/>
                <w:sz w:val="20"/>
              </w:rPr>
            </w:pPr>
            <w:r w:rsidRPr="00CC6553">
              <w:rPr>
                <w:rFonts w:cs="Arial"/>
                <w:color w:val="000000" w:themeColor="text1"/>
                <w:sz w:val="20"/>
              </w:rPr>
              <w:t>Recommendation 1.5.1 advises clinicians to ‘Consider an angiotensin-converting enzyme (ACE) inhibitor, a beta-blocker, a mineralocorticoid receptor antagonist (MRA) and a sodium-glucose cotransporter-2 (SGLT2) inhibitor for treating heart failure with mildly reduced ejection fraction’. AstraZeneca recommend that the wording in this recommendation be amended to ‘Offer an SGLT2 inhibitor and consider an ACE inhibitor, a beta-blocker, and an MRA’.</w:t>
            </w:r>
            <w:r w:rsidRPr="00CC6553">
              <w:rPr>
                <w:rFonts w:cs="Arial"/>
                <w:color w:val="000000" w:themeColor="text1"/>
                <w:sz w:val="20"/>
              </w:rPr>
              <w:br/>
            </w:r>
            <w:r w:rsidRPr="00CC6553">
              <w:rPr>
                <w:rFonts w:cs="Arial"/>
                <w:color w:val="000000" w:themeColor="text1"/>
                <w:sz w:val="20"/>
              </w:rPr>
              <w:br/>
              <w:t xml:space="preserve">NICE state on its ‘Making decisions using NICE guidelines’ page that ‘where there is clear and strong evidence of benefit, we will use the word ‘offer’. Where the benefit is less certain we use the word ‘consider’’ CITATION NIC1 \l 2057  [11]. </w:t>
            </w:r>
            <w:r w:rsidRPr="00CC6553">
              <w:rPr>
                <w:rFonts w:cs="Arial"/>
                <w:color w:val="000000" w:themeColor="text1"/>
                <w:sz w:val="20"/>
              </w:rPr>
              <w:br/>
            </w:r>
            <w:r w:rsidRPr="00CC6553">
              <w:rPr>
                <w:rFonts w:cs="Arial"/>
                <w:color w:val="000000" w:themeColor="text1"/>
                <w:sz w:val="20"/>
              </w:rPr>
              <w:br/>
              <w:t xml:space="preserve">As stated in Evidence Review B (page 32), NICE chose a ‘consider’ recommendation for ACE inhibitors, beta-blockers and MRAs because ‘there was uncertainty in these effects due to the evidence being derived from subgroups of larger trials and having limited power to show a clear benefit, as well as the ACE inhibitor data being in an indirect population’. NICE concluded that ‘the committee agreed to make a consider recommendation for these 4 classes of medicines so that clinicians can incorporate their use for people with chronic heart failure and mildly reduced ejection fraction when appropriate based on individual circumstances and preferences’. </w:t>
            </w:r>
            <w:r w:rsidRPr="00CC6553">
              <w:rPr>
                <w:rFonts w:cs="Arial"/>
                <w:color w:val="000000" w:themeColor="text1"/>
                <w:sz w:val="20"/>
              </w:rPr>
              <w:br/>
            </w:r>
            <w:r w:rsidRPr="00CC6553">
              <w:rPr>
                <w:rFonts w:cs="Arial"/>
                <w:color w:val="000000" w:themeColor="text1"/>
                <w:sz w:val="20"/>
              </w:rPr>
              <w:br/>
              <w:t>NICE has not included the SGTL2 evidence in its updated evidence review as it has been previously evaluated by NICE within its technology appraisals programme, nor prioritised this question for new cost-effectiveness analysis. However, in comparison, the evidence base for SGLT2 as a clinically and cost-</w:t>
            </w:r>
            <w:r w:rsidRPr="00CC6553">
              <w:rPr>
                <w:rFonts w:cs="Arial"/>
                <w:color w:val="000000" w:themeColor="text1"/>
                <w:sz w:val="20"/>
              </w:rPr>
              <w:lastRenderedPageBreak/>
              <w:t xml:space="preserve">effective treatment for patients with mildly reduced ejection fraction has been long established, underpinned by multiple international, multicentre, double-blind, randomised controlled studies including the DELIVER trial CITATION Sol22 \l 2057 [12] and EMPEROR-Preserved trials CITATION Ank21 \l 2057 [13]. As NICE acknowledge in Evidence Review B (page 32), ‘dapagliflozin and empagliflozin are the only treatment options recommended by NICE for this population (TA902 and TA929)’ and ‘the SGLT2 inhibitors dapagliflozin and empagliflozin should be offered in accordance with the NICE technology appraisals (TA902 and TA929)’. SGLT2 inhibitors are the only class of medicine (with the exception of spironolactone, which is indicated but has not been evaluated by NICE to treat congestive heart failure) that are specifically indicated for HFmrEF, have been evaluated by NICE and recommended as a clinically and cost-effective medicine for this population. </w:t>
            </w:r>
            <w:r w:rsidRPr="00CC6553">
              <w:rPr>
                <w:rFonts w:cs="Arial"/>
                <w:color w:val="000000" w:themeColor="text1"/>
                <w:sz w:val="20"/>
              </w:rPr>
              <w:br/>
            </w:r>
            <w:r w:rsidRPr="00CC6553">
              <w:rPr>
                <w:rFonts w:cs="Arial"/>
                <w:color w:val="000000" w:themeColor="text1"/>
                <w:sz w:val="20"/>
              </w:rPr>
              <w:br/>
              <w:t>A stronger recommendation for SGLT2 medicines also aligns with international clinical guidelines, including those of the ESC and AHA/ACC/HFSA, that which acknowledge the greater strength of evidence underpinning SGLT2 inhibitors than for the other classes of medicines CITATION Eur23 \l 2057  [14]  CITATION Ame22 \l 2057 [3].</w:t>
            </w:r>
            <w:r w:rsidRPr="00CC6553">
              <w:rPr>
                <w:rFonts w:cs="Arial"/>
                <w:color w:val="000000" w:themeColor="text1"/>
                <w:sz w:val="20"/>
              </w:rPr>
              <w:br/>
            </w:r>
            <w:r w:rsidRPr="00CC6553">
              <w:rPr>
                <w:rFonts w:cs="Arial"/>
                <w:color w:val="000000" w:themeColor="text1"/>
                <w:sz w:val="20"/>
              </w:rPr>
              <w:br/>
              <w:t>Given the clear and strong evidence of benefit for SGLT2 inhibitors compared to the other classes of medicines in HFmrEF, NICE should amend the recommendation for the SGLT2 inhibitor class to ‘offer’. Additionally, AstraZeneca suggest that the ‘Why the committee made the recommendations’ section explain the difference in the recommendation is due to the strength of evidence of clinical and cost-effectiveness benefit for SGLT2 inhibitors compared to other classes.</w:t>
            </w:r>
          </w:p>
        </w:tc>
        <w:tc>
          <w:tcPr>
            <w:tcW w:w="2122" w:type="pct"/>
          </w:tcPr>
          <w:p w14:paraId="5F2B0D3D" w14:textId="41A137F4" w:rsidR="00897293" w:rsidRPr="00CC6553" w:rsidRDefault="00897293" w:rsidP="476BDDBF">
            <w:pPr>
              <w:pStyle w:val="Heading1"/>
              <w:rPr>
                <w:rFonts w:cs="Arial"/>
                <w:b w:val="0"/>
                <w:bCs w:val="0"/>
                <w:color w:val="000000" w:themeColor="text1"/>
                <w:sz w:val="20"/>
              </w:rPr>
            </w:pPr>
            <w:r w:rsidRPr="00CC6553">
              <w:rPr>
                <w:rFonts w:cs="Arial"/>
                <w:b w:val="0"/>
                <w:bCs w:val="0"/>
                <w:color w:val="000000" w:themeColor="text1"/>
                <w:sz w:val="20"/>
              </w:rPr>
              <w:lastRenderedPageBreak/>
              <w:t>Thank you for your comment.  The committee have removed reference to SGLT2 inhibitors from the recommendation but cross-refer to TA929 and TA902.</w:t>
            </w:r>
          </w:p>
        </w:tc>
      </w:tr>
      <w:tr w:rsidR="00897293" w:rsidRPr="00CC6553" w14:paraId="2A082325" w14:textId="77777777" w:rsidTr="00897293">
        <w:trPr>
          <w:trHeight w:val="300"/>
        </w:trPr>
        <w:tc>
          <w:tcPr>
            <w:tcW w:w="109" w:type="pct"/>
          </w:tcPr>
          <w:p w14:paraId="6E90D9B7" w14:textId="77777777" w:rsidR="00897293" w:rsidRPr="00CC6553" w:rsidRDefault="00897293" w:rsidP="005271BB">
            <w:pPr>
              <w:rPr>
                <w:rFonts w:cs="Arial"/>
                <w:color w:val="000000" w:themeColor="text1"/>
                <w:sz w:val="20"/>
              </w:rPr>
            </w:pPr>
            <w:r w:rsidRPr="00CC6553">
              <w:rPr>
                <w:rFonts w:cs="Arial"/>
                <w:color w:val="000000" w:themeColor="text1"/>
                <w:sz w:val="20"/>
              </w:rPr>
              <w:t>123</w:t>
            </w:r>
          </w:p>
        </w:tc>
        <w:tc>
          <w:tcPr>
            <w:tcW w:w="143" w:type="pct"/>
          </w:tcPr>
          <w:p w14:paraId="45FD34CC" w14:textId="4637D33D"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1DDF3E91" w14:textId="66AFA0F3"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18700CF5" w14:textId="7ABE89A7"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1DADC309" w14:textId="7AB3C3C6" w:rsidR="00897293" w:rsidRPr="00CC6553" w:rsidRDefault="00897293" w:rsidP="005271BB">
            <w:pPr>
              <w:rPr>
                <w:rFonts w:cs="Arial"/>
                <w:color w:val="000000" w:themeColor="text1"/>
                <w:sz w:val="20"/>
              </w:rPr>
            </w:pPr>
            <w:r w:rsidRPr="00CC6553">
              <w:rPr>
                <w:rFonts w:cs="Arial"/>
                <w:color w:val="000000" w:themeColor="text1"/>
                <w:sz w:val="20"/>
              </w:rPr>
              <w:t>013</w:t>
            </w:r>
          </w:p>
        </w:tc>
        <w:tc>
          <w:tcPr>
            <w:tcW w:w="214" w:type="pct"/>
          </w:tcPr>
          <w:p w14:paraId="2E1FF44E" w14:textId="5D6A89B9" w:rsidR="00897293" w:rsidRPr="00CC6553" w:rsidRDefault="00897293" w:rsidP="005271BB">
            <w:pPr>
              <w:rPr>
                <w:rFonts w:cs="Arial"/>
                <w:color w:val="000000" w:themeColor="text1"/>
                <w:sz w:val="20"/>
              </w:rPr>
            </w:pPr>
            <w:r w:rsidRPr="00CC6553">
              <w:rPr>
                <w:rFonts w:cs="Arial"/>
                <w:color w:val="000000" w:themeColor="text1"/>
                <w:sz w:val="20"/>
              </w:rPr>
              <w:t xml:space="preserve">014 – 017 &amp; </w:t>
            </w:r>
            <w:r w:rsidRPr="00CC6553">
              <w:rPr>
                <w:rFonts w:cs="Arial"/>
                <w:color w:val="000000" w:themeColor="text1"/>
                <w:sz w:val="20"/>
              </w:rPr>
              <w:br/>
              <w:t>021 - 025</w:t>
            </w:r>
          </w:p>
        </w:tc>
        <w:tc>
          <w:tcPr>
            <w:tcW w:w="1521" w:type="pct"/>
          </w:tcPr>
          <w:p w14:paraId="1AEC2B7B" w14:textId="5B3275B7" w:rsidR="00897293" w:rsidRPr="00CC6553" w:rsidRDefault="00897293" w:rsidP="005271BB">
            <w:pPr>
              <w:rPr>
                <w:rFonts w:cs="Arial"/>
                <w:color w:val="000000" w:themeColor="text1"/>
                <w:sz w:val="20"/>
              </w:rPr>
            </w:pPr>
            <w:r w:rsidRPr="00CC6553">
              <w:rPr>
                <w:rFonts w:cs="Arial"/>
                <w:color w:val="000000" w:themeColor="text1"/>
                <w:sz w:val="20"/>
              </w:rPr>
              <w:t xml:space="preserve">Heart failure with mildly reduced or preserved ejection fraction     Section 1.5.1 </w:t>
            </w:r>
            <w:r w:rsidRPr="00CC6553">
              <w:rPr>
                <w:rFonts w:cs="Arial"/>
                <w:color w:val="000000" w:themeColor="text1"/>
                <w:sz w:val="20"/>
              </w:rPr>
              <w:br/>
              <w:t xml:space="preserve">The NICE TAs for dapagliflozin (TA902) and empagliflozin (TA929) ‘recommend’ these drugs for this indication. In addition, the European Society for Cardiology 2023 guideline update distinguishes between SGLT2 inhibitors (recommend) and the other drug classes listed (consider) based on the strength of trial evidence. </w:t>
            </w:r>
            <w:r w:rsidRPr="00CC6553">
              <w:rPr>
                <w:rFonts w:cs="Arial"/>
                <w:color w:val="000000" w:themeColor="text1"/>
                <w:sz w:val="20"/>
              </w:rPr>
              <w:br/>
              <w:t>For consistency, should SGLT2 inhibitors be offered to patients with HFmrEF?</w:t>
            </w:r>
          </w:p>
        </w:tc>
        <w:tc>
          <w:tcPr>
            <w:tcW w:w="2122" w:type="pct"/>
          </w:tcPr>
          <w:p w14:paraId="714CCAAC" w14:textId="60EC65B5" w:rsidR="00897293" w:rsidRPr="00CC6553" w:rsidRDefault="00897293" w:rsidP="476BDDBF">
            <w:pPr>
              <w:pStyle w:val="Heading1"/>
              <w:rPr>
                <w:rFonts w:cs="Arial"/>
                <w:b w:val="0"/>
                <w:bCs w:val="0"/>
                <w:color w:val="000000" w:themeColor="text1"/>
                <w:sz w:val="20"/>
              </w:rPr>
            </w:pPr>
            <w:r w:rsidRPr="00CC6553">
              <w:rPr>
                <w:rFonts w:cs="Arial"/>
                <w:b w:val="0"/>
                <w:bCs w:val="0"/>
                <w:color w:val="000000" w:themeColor="text1"/>
                <w:sz w:val="20"/>
              </w:rPr>
              <w:t>Thank you for your comment.  The committee have removed reference to SGLT2 inhibitors from the recommendation but cross-refer to TA929 and TA902.</w:t>
            </w:r>
          </w:p>
        </w:tc>
      </w:tr>
      <w:tr w:rsidR="00897293" w:rsidRPr="00CC6553" w14:paraId="3AA95D1A" w14:textId="77777777" w:rsidTr="00897293">
        <w:trPr>
          <w:trHeight w:val="300"/>
        </w:trPr>
        <w:tc>
          <w:tcPr>
            <w:tcW w:w="109" w:type="pct"/>
          </w:tcPr>
          <w:p w14:paraId="15390342"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124</w:t>
            </w:r>
          </w:p>
        </w:tc>
        <w:tc>
          <w:tcPr>
            <w:tcW w:w="143" w:type="pct"/>
          </w:tcPr>
          <w:p w14:paraId="473EB306" w14:textId="39DAE2D2"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4B66C1EC" w14:textId="42213333" w:rsidR="00897293" w:rsidRPr="00CC6553" w:rsidRDefault="00897293" w:rsidP="005271BB">
            <w:pPr>
              <w:rPr>
                <w:rFonts w:cs="Arial"/>
                <w:bCs/>
                <w:iCs/>
                <w:color w:val="000000" w:themeColor="text1"/>
                <w:sz w:val="20"/>
              </w:rPr>
            </w:pPr>
            <w:r w:rsidRPr="00CC6553">
              <w:rPr>
                <w:rFonts w:cs="Arial"/>
                <w:color w:val="000000" w:themeColor="text1"/>
                <w:sz w:val="20"/>
              </w:rPr>
              <w:t>Portsmouth Hospitals University NHS Trust</w:t>
            </w:r>
          </w:p>
        </w:tc>
        <w:tc>
          <w:tcPr>
            <w:tcW w:w="279" w:type="pct"/>
          </w:tcPr>
          <w:p w14:paraId="402A6548" w14:textId="2EE26422"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357C603C" w14:textId="3E282A9E" w:rsidR="00897293" w:rsidRPr="00CC6553" w:rsidRDefault="00897293" w:rsidP="005271BB">
            <w:pPr>
              <w:rPr>
                <w:rFonts w:cs="Arial"/>
                <w:color w:val="000000" w:themeColor="text1"/>
                <w:sz w:val="20"/>
              </w:rPr>
            </w:pPr>
            <w:r w:rsidRPr="00CC6553">
              <w:rPr>
                <w:rFonts w:cs="Arial"/>
                <w:color w:val="000000" w:themeColor="text1"/>
                <w:sz w:val="20"/>
              </w:rPr>
              <w:t>013</w:t>
            </w:r>
          </w:p>
        </w:tc>
        <w:tc>
          <w:tcPr>
            <w:tcW w:w="214" w:type="pct"/>
          </w:tcPr>
          <w:p w14:paraId="7F84B8E8" w14:textId="25F7C711" w:rsidR="00897293" w:rsidRPr="00CC6553" w:rsidRDefault="00897293" w:rsidP="005271BB">
            <w:pPr>
              <w:rPr>
                <w:rFonts w:cs="Arial"/>
                <w:color w:val="000000" w:themeColor="text1"/>
                <w:sz w:val="20"/>
              </w:rPr>
            </w:pPr>
            <w:r w:rsidRPr="00CC6553">
              <w:rPr>
                <w:rFonts w:cs="Arial"/>
                <w:color w:val="000000" w:themeColor="text1"/>
                <w:sz w:val="20"/>
              </w:rPr>
              <w:t xml:space="preserve">014 – 017 &amp; </w:t>
            </w:r>
            <w:r w:rsidRPr="00CC6553">
              <w:rPr>
                <w:rFonts w:cs="Arial"/>
                <w:color w:val="000000" w:themeColor="text1"/>
                <w:sz w:val="20"/>
              </w:rPr>
              <w:br/>
              <w:t>021 - 025</w:t>
            </w:r>
          </w:p>
        </w:tc>
        <w:tc>
          <w:tcPr>
            <w:tcW w:w="1521" w:type="pct"/>
          </w:tcPr>
          <w:p w14:paraId="21B697B1" w14:textId="2D9C9E95" w:rsidR="00897293" w:rsidRPr="00CC6553" w:rsidRDefault="00897293" w:rsidP="005271BB">
            <w:pPr>
              <w:rPr>
                <w:rFonts w:cs="Arial"/>
                <w:color w:val="000000" w:themeColor="text1"/>
                <w:sz w:val="20"/>
              </w:rPr>
            </w:pPr>
            <w:r w:rsidRPr="00CC6553">
              <w:rPr>
                <w:rFonts w:cs="Arial"/>
                <w:color w:val="000000" w:themeColor="text1"/>
                <w:sz w:val="20"/>
              </w:rPr>
              <w:t xml:space="preserve">Heart failure with mildly reduced or preserved ejection fraction     Section 1.5.1 </w:t>
            </w:r>
            <w:r w:rsidRPr="00CC6553">
              <w:rPr>
                <w:rFonts w:cs="Arial"/>
                <w:color w:val="000000" w:themeColor="text1"/>
                <w:sz w:val="20"/>
              </w:rPr>
              <w:br/>
              <w:t xml:space="preserve">The NICE TAs for dapagliflozin (TA902) and empagliflozin (TA929) ‘recommend’ these drugs for this indication. In addition, the European Society for Cardiology 2023 guideline update distinguishes between SGLT2 inhibitors (recommend) and the other drug classes listed (consider) based on the strength of trial evidence. </w:t>
            </w:r>
            <w:r w:rsidRPr="00CC6553">
              <w:rPr>
                <w:rFonts w:cs="Arial"/>
                <w:color w:val="000000" w:themeColor="text1"/>
                <w:sz w:val="20"/>
              </w:rPr>
              <w:br/>
              <w:t>For consistency, should SGLT2 inhibitors be offered to patients with HFmrEF?</w:t>
            </w:r>
          </w:p>
        </w:tc>
        <w:tc>
          <w:tcPr>
            <w:tcW w:w="2122" w:type="pct"/>
          </w:tcPr>
          <w:p w14:paraId="74E61B11" w14:textId="6806A7F8" w:rsidR="00897293" w:rsidRPr="00CC6553" w:rsidRDefault="00897293" w:rsidP="476BDDBF">
            <w:pPr>
              <w:pStyle w:val="Heading1"/>
              <w:rPr>
                <w:rFonts w:cs="Arial"/>
                <w:b w:val="0"/>
                <w:bCs w:val="0"/>
                <w:color w:val="000000" w:themeColor="text1"/>
                <w:sz w:val="20"/>
              </w:rPr>
            </w:pPr>
            <w:r w:rsidRPr="00CC6553">
              <w:rPr>
                <w:rFonts w:cs="Arial"/>
                <w:b w:val="0"/>
                <w:bCs w:val="0"/>
                <w:color w:val="000000" w:themeColor="text1"/>
                <w:sz w:val="20"/>
              </w:rPr>
              <w:t>Thank you for your comment.  The committee have removed reference to SGLT2 inhibitors from the recommendation but cross-refer to TA929 and TA902.</w:t>
            </w:r>
          </w:p>
        </w:tc>
      </w:tr>
      <w:tr w:rsidR="00897293" w:rsidRPr="00CC6553" w14:paraId="5CC205C5" w14:textId="77777777" w:rsidTr="00897293">
        <w:trPr>
          <w:trHeight w:val="300"/>
        </w:trPr>
        <w:tc>
          <w:tcPr>
            <w:tcW w:w="109" w:type="pct"/>
          </w:tcPr>
          <w:p w14:paraId="0E658717" w14:textId="77777777" w:rsidR="00897293" w:rsidRPr="00CC6553" w:rsidRDefault="00897293" w:rsidP="005271BB">
            <w:pPr>
              <w:rPr>
                <w:rFonts w:cs="Arial"/>
                <w:color w:val="000000" w:themeColor="text1"/>
                <w:sz w:val="20"/>
              </w:rPr>
            </w:pPr>
            <w:r w:rsidRPr="00CC6553">
              <w:rPr>
                <w:rFonts w:cs="Arial"/>
                <w:color w:val="000000" w:themeColor="text1"/>
                <w:sz w:val="20"/>
              </w:rPr>
              <w:t>125</w:t>
            </w:r>
          </w:p>
        </w:tc>
        <w:tc>
          <w:tcPr>
            <w:tcW w:w="143" w:type="pct"/>
          </w:tcPr>
          <w:p w14:paraId="67FC2C42" w14:textId="6C7C97F0"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503AD4F0" w14:textId="02DDBBEA" w:rsidR="00897293" w:rsidRPr="00CC6553" w:rsidRDefault="00897293" w:rsidP="005271BB">
            <w:pPr>
              <w:rPr>
                <w:rFonts w:cs="Arial"/>
                <w:bCs/>
                <w:iCs/>
                <w:color w:val="000000" w:themeColor="text1"/>
                <w:sz w:val="20"/>
              </w:rPr>
            </w:pPr>
            <w:r w:rsidRPr="00CC6553">
              <w:rPr>
                <w:rFonts w:cs="Arial"/>
                <w:color w:val="000000" w:themeColor="text1"/>
                <w:sz w:val="20"/>
              </w:rPr>
              <w:t>Primary Care Cardiovascular Society (PCCS)</w:t>
            </w:r>
          </w:p>
        </w:tc>
        <w:tc>
          <w:tcPr>
            <w:tcW w:w="279" w:type="pct"/>
          </w:tcPr>
          <w:p w14:paraId="7C07E9C7" w14:textId="0F7EBEE0"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56A07B64" w14:textId="0C6D5A11" w:rsidR="00897293" w:rsidRPr="00CC6553" w:rsidRDefault="00897293" w:rsidP="005271BB">
            <w:pPr>
              <w:rPr>
                <w:rFonts w:cs="Arial"/>
                <w:color w:val="000000" w:themeColor="text1"/>
                <w:sz w:val="20"/>
              </w:rPr>
            </w:pPr>
            <w:r w:rsidRPr="00CC6553">
              <w:rPr>
                <w:rFonts w:cs="Arial"/>
                <w:color w:val="000000" w:themeColor="text1"/>
                <w:sz w:val="20"/>
              </w:rPr>
              <w:t>013</w:t>
            </w:r>
          </w:p>
        </w:tc>
        <w:tc>
          <w:tcPr>
            <w:tcW w:w="214" w:type="pct"/>
          </w:tcPr>
          <w:p w14:paraId="65AA8E28" w14:textId="5A24FB9E" w:rsidR="00897293" w:rsidRPr="00CC6553" w:rsidRDefault="00897293" w:rsidP="005271BB">
            <w:pPr>
              <w:rPr>
                <w:rFonts w:cs="Arial"/>
                <w:color w:val="000000" w:themeColor="text1"/>
                <w:sz w:val="20"/>
              </w:rPr>
            </w:pPr>
            <w:r w:rsidRPr="00CC6553">
              <w:rPr>
                <w:rFonts w:cs="Arial"/>
                <w:color w:val="000000" w:themeColor="text1"/>
                <w:sz w:val="20"/>
              </w:rPr>
              <w:t>015</w:t>
            </w:r>
          </w:p>
        </w:tc>
        <w:tc>
          <w:tcPr>
            <w:tcW w:w="1521" w:type="pct"/>
          </w:tcPr>
          <w:p w14:paraId="5B1C84C6" w14:textId="57D5B423" w:rsidR="00897293" w:rsidRPr="00CC6553" w:rsidRDefault="00897293" w:rsidP="005271BB">
            <w:pPr>
              <w:rPr>
                <w:rFonts w:cs="Arial"/>
                <w:color w:val="000000" w:themeColor="text1"/>
                <w:sz w:val="20"/>
              </w:rPr>
            </w:pPr>
            <w:r w:rsidRPr="00CC6553">
              <w:rPr>
                <w:rFonts w:cs="Arial"/>
                <w:color w:val="000000" w:themeColor="text1"/>
                <w:sz w:val="20"/>
              </w:rPr>
              <w:t>There are differences between the medicines in the MRA class with respect to trial evidence and licencing.  Eplerenone is off licence for HFmrEF.  Spironolactone licence is for congestive heart failure which presumably predates any specific heart failure trials (e.g RALES,TOPCAT) so maybe should be specified here. TOPCAT only included people with EF&gt;45% and had a neutral outcome.Finerenone does not yet have a UK licence in heart failure, but FINEARTS did include patients with HFmrEF and HFpEF and was a statistically positive outcome trial and would appear to have the potential to be an evidence-based option</w:t>
            </w:r>
          </w:p>
        </w:tc>
        <w:tc>
          <w:tcPr>
            <w:tcW w:w="2122" w:type="pct"/>
          </w:tcPr>
          <w:p w14:paraId="509B5DBB" w14:textId="41A8EBCD" w:rsidR="00897293" w:rsidRDefault="00897293" w:rsidP="00ED5869">
            <w:pPr>
              <w:pStyle w:val="Heading1"/>
              <w:rPr>
                <w:rFonts w:cs="Arial"/>
                <w:b w:val="0"/>
                <w:color w:val="000000" w:themeColor="text1"/>
                <w:sz w:val="20"/>
              </w:rPr>
            </w:pPr>
            <w:r w:rsidRPr="00CC6553">
              <w:rPr>
                <w:rFonts w:cs="Arial"/>
                <w:b w:val="0"/>
                <w:color w:val="000000" w:themeColor="text1"/>
                <w:sz w:val="20"/>
              </w:rPr>
              <w:t xml:space="preserve">Thank you for your comment.  </w:t>
            </w:r>
            <w:r w:rsidRPr="009B3C47">
              <w:rPr>
                <w:rFonts w:cs="Arial"/>
                <w:b w:val="0"/>
                <w:bCs w:val="0"/>
                <w:color w:val="000000" w:themeColor="text1"/>
                <w:sz w:val="20"/>
              </w:rPr>
              <w:t>As eplerenone is licensed for CHF with reduced ejection fraction, we have reconsidered the inclusion of trials investigating eplerenone in evidence review D. Accordingly, the evidence review has been amended to remove RCTs investigating eplerenone</w:t>
            </w:r>
          </w:p>
          <w:p w14:paraId="494F469F" w14:textId="77777777" w:rsidR="00897293" w:rsidRPr="00CC6553" w:rsidRDefault="00897293" w:rsidP="00A34660">
            <w:pPr>
              <w:rPr>
                <w:rFonts w:cs="Arial"/>
                <w:color w:val="000000" w:themeColor="text1"/>
                <w:sz w:val="20"/>
              </w:rPr>
            </w:pPr>
            <w:r w:rsidRPr="00CC6553">
              <w:rPr>
                <w:rFonts w:cs="Arial"/>
                <w:color w:val="000000" w:themeColor="text1"/>
                <w:sz w:val="20"/>
              </w:rPr>
              <w:t>The committee was comfortable with licensing for ‘congestive heart failure’ for spironolactone and this has been included as a relevant MRA intervention in evidence reviews B and D.</w:t>
            </w:r>
          </w:p>
          <w:p w14:paraId="1711228C" w14:textId="77777777" w:rsidR="00897293" w:rsidRDefault="00897293" w:rsidP="00ED5869">
            <w:pPr>
              <w:pStyle w:val="Heading1"/>
              <w:rPr>
                <w:rFonts w:cs="Arial"/>
                <w:b w:val="0"/>
                <w:color w:val="000000" w:themeColor="text1"/>
                <w:sz w:val="20"/>
              </w:rPr>
            </w:pPr>
          </w:p>
          <w:p w14:paraId="701E7D83" w14:textId="27698B48"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 xml:space="preserve">A technology appraisal is in development for Finerenone </w:t>
            </w:r>
            <w:hyperlink r:id="rId22" w:history="1">
              <w:r w:rsidRPr="00CC6553">
                <w:rPr>
                  <w:rStyle w:val="Hyperlink"/>
                  <w:rFonts w:cs="Arial"/>
                  <w:b w:val="0"/>
                  <w:color w:val="000000" w:themeColor="text1"/>
                  <w:sz w:val="20"/>
                </w:rPr>
                <w:t>Project information | Finerenone for treating heart failure with preserved or mildly reduced ejection fraction ID6514 | Guidance | NICE</w:t>
              </w:r>
            </w:hyperlink>
            <w:r w:rsidRPr="00CC6553">
              <w:rPr>
                <w:rFonts w:cs="Arial"/>
                <w:b w:val="0"/>
                <w:color w:val="000000" w:themeColor="text1"/>
                <w:sz w:val="20"/>
              </w:rPr>
              <w:t xml:space="preserve"> and it was therefore included in the evidence review.</w:t>
            </w:r>
          </w:p>
        </w:tc>
      </w:tr>
      <w:tr w:rsidR="00897293" w:rsidRPr="00CC6553" w14:paraId="1204EE26" w14:textId="77777777" w:rsidTr="00897293">
        <w:trPr>
          <w:trHeight w:val="300"/>
        </w:trPr>
        <w:tc>
          <w:tcPr>
            <w:tcW w:w="109" w:type="pct"/>
          </w:tcPr>
          <w:p w14:paraId="1A644816" w14:textId="77777777" w:rsidR="00897293" w:rsidRPr="00CC6553" w:rsidRDefault="00897293" w:rsidP="005271BB">
            <w:pPr>
              <w:rPr>
                <w:rFonts w:cs="Arial"/>
                <w:color w:val="000000" w:themeColor="text1"/>
                <w:sz w:val="20"/>
              </w:rPr>
            </w:pPr>
            <w:r w:rsidRPr="00CC6553">
              <w:rPr>
                <w:rFonts w:cs="Arial"/>
                <w:color w:val="000000" w:themeColor="text1"/>
                <w:sz w:val="20"/>
              </w:rPr>
              <w:t>126</w:t>
            </w:r>
          </w:p>
        </w:tc>
        <w:tc>
          <w:tcPr>
            <w:tcW w:w="143" w:type="pct"/>
          </w:tcPr>
          <w:p w14:paraId="142E2E97" w14:textId="3C6C9774"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4ABE0BFB" w14:textId="2CFB16D5" w:rsidR="00897293" w:rsidRPr="00CC6553" w:rsidRDefault="00897293" w:rsidP="005271BB">
            <w:pPr>
              <w:rPr>
                <w:rFonts w:cs="Arial"/>
                <w:bCs/>
                <w:iCs/>
                <w:color w:val="000000" w:themeColor="text1"/>
                <w:sz w:val="20"/>
              </w:rPr>
            </w:pPr>
            <w:r w:rsidRPr="00CC6553">
              <w:rPr>
                <w:rFonts w:cs="Arial"/>
                <w:color w:val="000000" w:themeColor="text1"/>
                <w:sz w:val="20"/>
              </w:rPr>
              <w:t xml:space="preserve">UK Clinical Pharmacy </w:t>
            </w:r>
            <w:r w:rsidRPr="00CC6553">
              <w:rPr>
                <w:rFonts w:cs="Arial"/>
                <w:color w:val="000000" w:themeColor="text1"/>
                <w:sz w:val="20"/>
              </w:rPr>
              <w:lastRenderedPageBreak/>
              <w:t>Association (UKCPA) – heart failure committee</w:t>
            </w:r>
          </w:p>
        </w:tc>
        <w:tc>
          <w:tcPr>
            <w:tcW w:w="279" w:type="pct"/>
          </w:tcPr>
          <w:p w14:paraId="77DE6DB4" w14:textId="37A7AD1D" w:rsidR="00897293" w:rsidRPr="00CC6553" w:rsidRDefault="00897293" w:rsidP="005271BB">
            <w:pPr>
              <w:rPr>
                <w:rFonts w:cs="Arial"/>
                <w:color w:val="000000" w:themeColor="text1"/>
                <w:sz w:val="20"/>
              </w:rPr>
            </w:pPr>
            <w:r w:rsidRPr="00CC6553">
              <w:rPr>
                <w:rFonts w:cs="Arial"/>
                <w:color w:val="000000" w:themeColor="text1"/>
                <w:sz w:val="20"/>
              </w:rPr>
              <w:lastRenderedPageBreak/>
              <w:t>Guideline</w:t>
            </w:r>
          </w:p>
        </w:tc>
        <w:tc>
          <w:tcPr>
            <w:tcW w:w="214" w:type="pct"/>
          </w:tcPr>
          <w:p w14:paraId="2B238435" w14:textId="36A9132B" w:rsidR="00897293" w:rsidRPr="00CC6553" w:rsidRDefault="00897293" w:rsidP="005271BB">
            <w:pPr>
              <w:rPr>
                <w:rFonts w:cs="Arial"/>
                <w:color w:val="000000" w:themeColor="text1"/>
                <w:sz w:val="20"/>
              </w:rPr>
            </w:pPr>
            <w:r w:rsidRPr="00CC6553">
              <w:rPr>
                <w:rFonts w:cs="Arial"/>
                <w:color w:val="000000" w:themeColor="text1"/>
                <w:sz w:val="20"/>
              </w:rPr>
              <w:t>013</w:t>
            </w:r>
          </w:p>
        </w:tc>
        <w:tc>
          <w:tcPr>
            <w:tcW w:w="214" w:type="pct"/>
          </w:tcPr>
          <w:p w14:paraId="0C93BBCD" w14:textId="0F51261A" w:rsidR="00897293" w:rsidRPr="00CC6553" w:rsidRDefault="00897293" w:rsidP="005271BB">
            <w:pPr>
              <w:rPr>
                <w:rFonts w:cs="Arial"/>
                <w:color w:val="000000" w:themeColor="text1"/>
                <w:sz w:val="20"/>
              </w:rPr>
            </w:pPr>
            <w:r w:rsidRPr="00CC6553">
              <w:rPr>
                <w:rFonts w:cs="Arial"/>
                <w:color w:val="000000" w:themeColor="text1"/>
                <w:sz w:val="20"/>
              </w:rPr>
              <w:t>018</w:t>
            </w:r>
          </w:p>
        </w:tc>
        <w:tc>
          <w:tcPr>
            <w:tcW w:w="1521" w:type="pct"/>
          </w:tcPr>
          <w:p w14:paraId="1A985315" w14:textId="372F5FE1" w:rsidR="00897293" w:rsidRPr="00CC6553" w:rsidRDefault="00897293" w:rsidP="005271BB">
            <w:pPr>
              <w:rPr>
                <w:rFonts w:cs="Arial"/>
                <w:color w:val="000000" w:themeColor="text1"/>
                <w:sz w:val="20"/>
              </w:rPr>
            </w:pPr>
            <w:r w:rsidRPr="00CC6553">
              <w:rPr>
                <w:rFonts w:cs="Arial"/>
                <w:color w:val="000000" w:themeColor="text1"/>
                <w:sz w:val="20"/>
              </w:rPr>
              <w:t>We support the recommendation</w:t>
            </w:r>
          </w:p>
        </w:tc>
        <w:tc>
          <w:tcPr>
            <w:tcW w:w="2122" w:type="pct"/>
          </w:tcPr>
          <w:p w14:paraId="60B81B87" w14:textId="63E4C0FE"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w:t>
            </w:r>
          </w:p>
        </w:tc>
      </w:tr>
      <w:tr w:rsidR="00897293" w:rsidRPr="00CC6553" w14:paraId="1BF2875D" w14:textId="77777777" w:rsidTr="00897293">
        <w:trPr>
          <w:trHeight w:val="300"/>
        </w:trPr>
        <w:tc>
          <w:tcPr>
            <w:tcW w:w="109" w:type="pct"/>
          </w:tcPr>
          <w:p w14:paraId="6230F50E" w14:textId="77777777" w:rsidR="00897293" w:rsidRPr="00CC6553" w:rsidRDefault="00897293" w:rsidP="005271BB">
            <w:pPr>
              <w:rPr>
                <w:rFonts w:cs="Arial"/>
                <w:color w:val="000000" w:themeColor="text1"/>
                <w:sz w:val="20"/>
              </w:rPr>
            </w:pPr>
            <w:r w:rsidRPr="00CC6553">
              <w:rPr>
                <w:rFonts w:cs="Arial"/>
                <w:color w:val="000000" w:themeColor="text1"/>
                <w:sz w:val="20"/>
              </w:rPr>
              <w:t>127</w:t>
            </w:r>
          </w:p>
        </w:tc>
        <w:tc>
          <w:tcPr>
            <w:tcW w:w="143" w:type="pct"/>
          </w:tcPr>
          <w:p w14:paraId="0B35FE58" w14:textId="2F7E0990"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316B2ACB" w14:textId="1141B674"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775589C1" w14:textId="21012B27"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2792B36A" w14:textId="44E134AF" w:rsidR="00897293" w:rsidRPr="00CC6553" w:rsidRDefault="00897293" w:rsidP="005271BB">
            <w:pPr>
              <w:rPr>
                <w:rFonts w:cs="Arial"/>
                <w:color w:val="000000" w:themeColor="text1"/>
                <w:sz w:val="20"/>
              </w:rPr>
            </w:pPr>
            <w:r w:rsidRPr="00CC6553">
              <w:rPr>
                <w:rFonts w:cs="Arial"/>
                <w:color w:val="000000" w:themeColor="text1"/>
                <w:sz w:val="20"/>
              </w:rPr>
              <w:t>013 &amp; 014</w:t>
            </w:r>
          </w:p>
        </w:tc>
        <w:tc>
          <w:tcPr>
            <w:tcW w:w="214" w:type="pct"/>
          </w:tcPr>
          <w:p w14:paraId="41F9BE8D" w14:textId="0EAEFC49" w:rsidR="00897293" w:rsidRPr="00CC6553" w:rsidRDefault="00897293" w:rsidP="005271BB">
            <w:pPr>
              <w:rPr>
                <w:rFonts w:cs="Arial"/>
                <w:color w:val="000000" w:themeColor="text1"/>
                <w:sz w:val="20"/>
              </w:rPr>
            </w:pPr>
            <w:r w:rsidRPr="00CC6553">
              <w:rPr>
                <w:rFonts w:cs="Arial"/>
                <w:color w:val="000000" w:themeColor="text1"/>
                <w:sz w:val="20"/>
              </w:rPr>
              <w:t>014 &amp; 005</w:t>
            </w:r>
          </w:p>
        </w:tc>
        <w:tc>
          <w:tcPr>
            <w:tcW w:w="1521" w:type="pct"/>
          </w:tcPr>
          <w:p w14:paraId="25100748" w14:textId="0EB5F63C" w:rsidR="00897293" w:rsidRPr="00CC6553" w:rsidRDefault="00897293" w:rsidP="476BDDBF">
            <w:pPr>
              <w:rPr>
                <w:rFonts w:cs="Arial"/>
                <w:color w:val="000000" w:themeColor="text1"/>
                <w:sz w:val="20"/>
              </w:rPr>
            </w:pPr>
            <w:r w:rsidRPr="00CC6553">
              <w:rPr>
                <w:rFonts w:cs="Arial"/>
                <w:color w:val="000000" w:themeColor="text1"/>
                <w:sz w:val="20"/>
              </w:rPr>
              <w:t>NICE have given a recommendation for all MRA to be considered in HFpEF and HFmrEF, although there is only one positive trial. The TOPCAT trial is a discredited trial and should not be used for analysis. One third of trial patients demonstrated normal diastolic function on echo. 49% of patients came from Russia/Georgia. In these patients, cardiovascular event rates were only 2.4/100 pt years compared to 8.1-14.7 events/100 patient years in the Americas. Although 70% of Russia/Georgia patients were documented as taking ¾ med dose at 8 months (compared to just 36% tolerating this in the Americas), there was no difference in hypo/hyperkalaemia, compared to 2.5x increase in hyperkalaemia and halving of hypokalaemia in the spironolactone arm of the Americas patients. Doubling of creatinine occurred in 0.6% in the treatment (and control) arm in Russia/Georgia compared to 6.8% of patients on spironolactone in the Americas.</w:t>
            </w:r>
            <w:r w:rsidRPr="00CC6553">
              <w:rPr>
                <w:color w:val="000000" w:themeColor="text1"/>
              </w:rPr>
              <w:br/>
            </w:r>
            <w:r w:rsidRPr="00CC6553">
              <w:rPr>
                <w:rFonts w:cs="Arial"/>
                <w:color w:val="000000" w:themeColor="text1"/>
                <w:sz w:val="20"/>
              </w:rPr>
              <w:t>Spiro and Eplerenone are not licensed for use in HFpEF</w:t>
            </w:r>
            <w:r w:rsidRPr="00CC6553">
              <w:rPr>
                <w:color w:val="000000" w:themeColor="text1"/>
              </w:rPr>
              <w:br/>
            </w:r>
            <w:r w:rsidRPr="00CC6553">
              <w:rPr>
                <w:rFonts w:cs="Arial"/>
                <w:color w:val="000000" w:themeColor="text1"/>
                <w:sz w:val="20"/>
              </w:rPr>
              <w:t xml:space="preserve">Eplerenone is only licensed for HF with EF &lt;40% with an SMPC based on EMPHASIS and EPHESUS. Spironolactone is licensed for ‘Congestive heart failure’ with an SMPC based on RALES, where EF was &lt;35%. Aldactone (Pfizer spiro) is licensed for EF &lt;40%. </w:t>
            </w:r>
            <w:r w:rsidRPr="00CC6553">
              <w:rPr>
                <w:color w:val="000000" w:themeColor="text1"/>
              </w:rPr>
              <w:br/>
            </w:r>
            <w:r w:rsidRPr="00CC6553">
              <w:rPr>
                <w:rFonts w:cs="Arial"/>
                <w:color w:val="000000" w:themeColor="text1"/>
                <w:sz w:val="20"/>
              </w:rPr>
              <w:t xml:space="preserve">Finerenone is a nonsteroidal MRA, not a steroidal MRA and is recognised for its benefits in renal disease and diabetes. These comorbidities are common in HFpEF and HFmrEF and such patients also have higher event rates. It is likely that these extracardiac benefits drove differential benefit in the FINEARTs trial. The same benefits have not been demonstrated for spironolactone. </w:t>
            </w:r>
            <w:r w:rsidRPr="00CC6553">
              <w:rPr>
                <w:color w:val="000000" w:themeColor="text1"/>
              </w:rPr>
              <w:br/>
            </w:r>
          </w:p>
        </w:tc>
        <w:tc>
          <w:tcPr>
            <w:tcW w:w="2122" w:type="pct"/>
          </w:tcPr>
          <w:p w14:paraId="1AAE8AA7" w14:textId="1145C350" w:rsidR="00897293" w:rsidRPr="00CC6553" w:rsidRDefault="00897293" w:rsidP="476BDDBF">
            <w:pPr>
              <w:rPr>
                <w:rFonts w:cs="Arial"/>
                <w:color w:val="000000" w:themeColor="text1"/>
                <w:sz w:val="20"/>
              </w:rPr>
            </w:pPr>
            <w:r w:rsidRPr="00CC6553">
              <w:rPr>
                <w:rFonts w:cs="Arial"/>
                <w:color w:val="000000" w:themeColor="text1"/>
                <w:sz w:val="20"/>
              </w:rPr>
              <w:t>Thank-you for your comments about the TOPCAT trial. The committee was aware of the criticisms of the trial. Limitations of this trial are discussed in evidence reviews B and D; these are reflected in the committee’s decision-making.</w:t>
            </w:r>
          </w:p>
          <w:p w14:paraId="43F93F8B" w14:textId="681D08F3" w:rsidR="00897293" w:rsidRPr="00CC6553" w:rsidRDefault="00897293" w:rsidP="476BDDBF">
            <w:pPr>
              <w:rPr>
                <w:rFonts w:cs="Arial"/>
                <w:color w:val="000000" w:themeColor="text1"/>
                <w:sz w:val="20"/>
              </w:rPr>
            </w:pPr>
          </w:p>
          <w:p w14:paraId="2C92E579" w14:textId="0FA2DF0D" w:rsidR="00897293" w:rsidRPr="00CC6553" w:rsidRDefault="00897293" w:rsidP="476BDDBF">
            <w:pPr>
              <w:rPr>
                <w:rFonts w:eastAsia="Arial" w:cs="Arial"/>
                <w:color w:val="000000" w:themeColor="text1"/>
                <w:szCs w:val="22"/>
              </w:rPr>
            </w:pPr>
            <w:r w:rsidRPr="00CC6553">
              <w:rPr>
                <w:rFonts w:cs="Arial"/>
                <w:color w:val="000000" w:themeColor="text1"/>
                <w:sz w:val="20"/>
              </w:rPr>
              <w:t>To address the limitations of the TOPCAT trials, separate analyses using TOPCAT data from the Americas region only were also presented to the committee to inform their discussions. The approach taken to the TOPCAT Americas data is summarised in p30 of evidence review B.</w:t>
            </w:r>
          </w:p>
          <w:p w14:paraId="310F85B6" w14:textId="1F07D7B4" w:rsidR="00897293" w:rsidRPr="00CC6553" w:rsidRDefault="00897293" w:rsidP="476BDDBF">
            <w:pPr>
              <w:rPr>
                <w:rFonts w:cs="Arial"/>
                <w:color w:val="000000" w:themeColor="text1"/>
                <w:sz w:val="20"/>
              </w:rPr>
            </w:pPr>
          </w:p>
          <w:p w14:paraId="0317CF14" w14:textId="2FDDF09C" w:rsidR="00897293" w:rsidRPr="00CC6553" w:rsidRDefault="00897293" w:rsidP="476BDDBF">
            <w:pPr>
              <w:rPr>
                <w:rFonts w:cs="Arial"/>
                <w:color w:val="000000" w:themeColor="text1"/>
                <w:sz w:val="20"/>
              </w:rPr>
            </w:pPr>
            <w:r w:rsidRPr="00CC6553">
              <w:rPr>
                <w:rFonts w:cs="Arial"/>
                <w:color w:val="000000" w:themeColor="text1"/>
                <w:sz w:val="20"/>
              </w:rPr>
              <w:t xml:space="preserve">As eplerenone is licensed for CHF with reduced ejection fraction, we have reconsidered the inclusion of trials investigating eplerenone in evidence review D. </w:t>
            </w:r>
            <w:r>
              <w:rPr>
                <w:rFonts w:cs="Arial"/>
                <w:color w:val="000000" w:themeColor="text1"/>
                <w:sz w:val="20"/>
              </w:rPr>
              <w:t>A</w:t>
            </w:r>
            <w:r w:rsidRPr="00CC6553">
              <w:rPr>
                <w:rFonts w:cs="Arial"/>
                <w:color w:val="000000" w:themeColor="text1"/>
                <w:sz w:val="20"/>
              </w:rPr>
              <w:t>ccordingly</w:t>
            </w:r>
            <w:r>
              <w:rPr>
                <w:rFonts w:cs="Arial"/>
                <w:color w:val="000000" w:themeColor="text1"/>
                <w:sz w:val="20"/>
              </w:rPr>
              <w:t>, t</w:t>
            </w:r>
            <w:r w:rsidRPr="00CC6553">
              <w:rPr>
                <w:rFonts w:cs="Arial"/>
                <w:color w:val="000000" w:themeColor="text1"/>
                <w:sz w:val="20"/>
              </w:rPr>
              <w:t>he evidence review has been amended to remove RCTs</w:t>
            </w:r>
            <w:r>
              <w:rPr>
                <w:rFonts w:cs="Arial"/>
                <w:color w:val="000000" w:themeColor="text1"/>
                <w:sz w:val="20"/>
              </w:rPr>
              <w:t xml:space="preserve"> investigating eplerenone</w:t>
            </w:r>
          </w:p>
          <w:p w14:paraId="30EF3BAB" w14:textId="5852CD75" w:rsidR="00897293" w:rsidRPr="00CC6553" w:rsidRDefault="00897293" w:rsidP="476BDDBF">
            <w:pPr>
              <w:rPr>
                <w:rFonts w:cs="Arial"/>
                <w:color w:val="000000" w:themeColor="text1"/>
                <w:sz w:val="20"/>
              </w:rPr>
            </w:pPr>
          </w:p>
          <w:p w14:paraId="0FEB59F7" w14:textId="3B85235B" w:rsidR="00897293" w:rsidRPr="00CC6553" w:rsidRDefault="00897293" w:rsidP="476BDDBF">
            <w:pPr>
              <w:rPr>
                <w:rFonts w:cs="Arial"/>
                <w:color w:val="000000" w:themeColor="text1"/>
                <w:sz w:val="20"/>
              </w:rPr>
            </w:pPr>
            <w:r w:rsidRPr="00CC6553">
              <w:rPr>
                <w:rFonts w:cs="Arial"/>
                <w:color w:val="000000" w:themeColor="text1"/>
                <w:sz w:val="20"/>
              </w:rPr>
              <w:lastRenderedPageBreak/>
              <w:t>The committee was comfortable with licensing for ‘congestive heart failure’ for spironolactone and this has been included as a relevant MRA intervention in evidence reviews B and D.</w:t>
            </w:r>
          </w:p>
          <w:p w14:paraId="5E224ED3" w14:textId="351FD594" w:rsidR="00897293" w:rsidRPr="00CC6553" w:rsidRDefault="00897293" w:rsidP="476BDDBF">
            <w:pPr>
              <w:rPr>
                <w:rFonts w:cs="Arial"/>
                <w:color w:val="000000" w:themeColor="text1"/>
                <w:sz w:val="20"/>
              </w:rPr>
            </w:pPr>
          </w:p>
          <w:p w14:paraId="72F429BF" w14:textId="361D632E" w:rsidR="00897293" w:rsidRPr="00CC6553" w:rsidRDefault="00897293" w:rsidP="476BDDBF">
            <w:pPr>
              <w:rPr>
                <w:rFonts w:cs="Arial"/>
                <w:color w:val="000000" w:themeColor="text1"/>
                <w:sz w:val="20"/>
              </w:rPr>
            </w:pPr>
            <w:r w:rsidRPr="00CC6553">
              <w:rPr>
                <w:rFonts w:cs="Arial"/>
                <w:color w:val="000000" w:themeColor="text1"/>
                <w:sz w:val="20"/>
              </w:rPr>
              <w:t>The committee agreed to make a medicine class-based recommendation for MRAs. This is in line with the approach taken across this CHF guideline update to consider evidence per class of medicines, rather than split the evidence per individual medicine. The committee is aware that individual circumstances will feature in clinician’s decisions on exactly which medicine to use. They were comfortable with clinicians using their judgement; a sentence has been added to the summary of the committee’s discussion (evidence reviews B and D) to reflect this: ‘Clinical judgement is also important when selecting individual medicines to use within a class of medicines, including consideration of differences in side effect profiles.’</w:t>
            </w:r>
            <w:r>
              <w:rPr>
                <w:rFonts w:cs="Arial"/>
                <w:b/>
                <w:bCs/>
                <w:color w:val="000000" w:themeColor="text1"/>
                <w:sz w:val="20"/>
              </w:rPr>
              <w:t xml:space="preserve"> </w:t>
            </w:r>
            <w:r w:rsidRPr="009B3C47">
              <w:rPr>
                <w:rFonts w:cs="Arial"/>
                <w:color w:val="000000" w:themeColor="text1"/>
                <w:sz w:val="20"/>
              </w:rPr>
              <w:t>This requirement for clinical judgement is expected for all NICE recommendations.</w:t>
            </w:r>
          </w:p>
        </w:tc>
      </w:tr>
      <w:tr w:rsidR="00897293" w:rsidRPr="00CC6553" w14:paraId="789692DF" w14:textId="77777777" w:rsidTr="00897293">
        <w:trPr>
          <w:trHeight w:val="300"/>
        </w:trPr>
        <w:tc>
          <w:tcPr>
            <w:tcW w:w="109" w:type="pct"/>
          </w:tcPr>
          <w:p w14:paraId="423FC1BE"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128</w:t>
            </w:r>
          </w:p>
        </w:tc>
        <w:tc>
          <w:tcPr>
            <w:tcW w:w="143" w:type="pct"/>
          </w:tcPr>
          <w:p w14:paraId="22F87064" w14:textId="33D4F3FF"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2FFC620E" w14:textId="75B412F1" w:rsidR="00897293" w:rsidRPr="00CC6553" w:rsidRDefault="00897293" w:rsidP="005271BB">
            <w:pPr>
              <w:rPr>
                <w:rFonts w:cs="Arial"/>
                <w:bCs/>
                <w:iCs/>
                <w:color w:val="000000" w:themeColor="text1"/>
                <w:sz w:val="20"/>
              </w:rPr>
            </w:pPr>
            <w:r w:rsidRPr="00CC6553">
              <w:rPr>
                <w:rFonts w:cs="Arial"/>
                <w:color w:val="000000" w:themeColor="text1"/>
                <w:sz w:val="20"/>
              </w:rPr>
              <w:t>British Geriatrics Society</w:t>
            </w:r>
          </w:p>
        </w:tc>
        <w:tc>
          <w:tcPr>
            <w:tcW w:w="279" w:type="pct"/>
          </w:tcPr>
          <w:p w14:paraId="004A6FA2" w14:textId="43CEA139"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42A94456" w14:textId="18479BC4" w:rsidR="00897293" w:rsidRPr="00CC6553" w:rsidRDefault="00897293" w:rsidP="005271BB">
            <w:pPr>
              <w:rPr>
                <w:rFonts w:cs="Arial"/>
                <w:color w:val="000000" w:themeColor="text1"/>
                <w:sz w:val="20"/>
              </w:rPr>
            </w:pPr>
            <w:r w:rsidRPr="00CC6553">
              <w:rPr>
                <w:rFonts w:cs="Arial"/>
                <w:color w:val="000000" w:themeColor="text1"/>
                <w:sz w:val="20"/>
              </w:rPr>
              <w:t>014</w:t>
            </w:r>
          </w:p>
        </w:tc>
        <w:tc>
          <w:tcPr>
            <w:tcW w:w="214" w:type="pct"/>
          </w:tcPr>
          <w:p w14:paraId="72AF70B5" w14:textId="06461BA4" w:rsidR="00897293" w:rsidRPr="00CC6553" w:rsidRDefault="00897293" w:rsidP="005271BB">
            <w:pPr>
              <w:rPr>
                <w:rFonts w:cs="Arial"/>
                <w:color w:val="000000" w:themeColor="text1"/>
                <w:sz w:val="20"/>
              </w:rPr>
            </w:pPr>
            <w:r w:rsidRPr="00CC6553">
              <w:rPr>
                <w:rFonts w:cs="Arial"/>
                <w:color w:val="000000" w:themeColor="text1"/>
                <w:sz w:val="20"/>
              </w:rPr>
              <w:t>001 - 006</w:t>
            </w:r>
          </w:p>
        </w:tc>
        <w:tc>
          <w:tcPr>
            <w:tcW w:w="1521" w:type="pct"/>
          </w:tcPr>
          <w:p w14:paraId="4F83B355" w14:textId="0E2F7D8E" w:rsidR="00897293" w:rsidRPr="00CC6553" w:rsidRDefault="00897293" w:rsidP="005271BB">
            <w:pPr>
              <w:rPr>
                <w:rFonts w:cs="Arial"/>
                <w:color w:val="000000" w:themeColor="text1"/>
                <w:sz w:val="20"/>
              </w:rPr>
            </w:pPr>
            <w:r w:rsidRPr="00CC6553">
              <w:rPr>
                <w:rFonts w:cs="Arial"/>
                <w:color w:val="000000" w:themeColor="text1"/>
                <w:sz w:val="20"/>
              </w:rPr>
              <w:t>Rec 1.5.3: HFpEF is usually associated with significant cardiovascular and non-cardiovascular comorbidities, including frailty, which accounts for a high morbidity burden. Moreover, cardiovascular comorbidities cause and worsen HFpEF and optimisation of comorbidities is central to managing HFpEF. Can these be referenced as part of the HFpEF management overall? (noting 1.8.2 which refers to monitoring in the context of comorbidity). Additionally, there is no mention of frailty assessment as part of HFpEF management, in particular using the widely adopted clinical frailty scale (CFS), which is highly valuable to management and prognostication.</w:t>
            </w:r>
          </w:p>
        </w:tc>
        <w:tc>
          <w:tcPr>
            <w:tcW w:w="2122" w:type="pct"/>
          </w:tcPr>
          <w:p w14:paraId="0A83AD28" w14:textId="0CFDF2AF"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 xml:space="preserve">Thank you for your </w:t>
            </w:r>
            <w:r w:rsidRPr="00CC6553">
              <w:rPr>
                <w:rFonts w:cs="Arial"/>
                <w:b w:val="0"/>
                <w:bCs w:val="0"/>
                <w:color w:val="000000" w:themeColor="text1"/>
                <w:sz w:val="20"/>
              </w:rPr>
              <w:t>comments.</w:t>
            </w:r>
            <w:r w:rsidRPr="00CC6553">
              <w:rPr>
                <w:rFonts w:cs="Arial"/>
                <w:b w:val="0"/>
                <w:color w:val="000000" w:themeColor="text1"/>
                <w:sz w:val="20"/>
              </w:rPr>
              <w:t xml:space="preserve">  The committee agree that comorbidities should be managed for everyone with chronic heart failure but as this is not specific to this condition they decided not to make a recommendation on this.  However, this is highlighted in the committee’s discussion of the evidence in evidence review D.  A frailty assessment is also now mentioned here.</w:t>
            </w:r>
          </w:p>
        </w:tc>
      </w:tr>
      <w:tr w:rsidR="00897293" w:rsidRPr="00CC6553" w14:paraId="1EF5EF7F" w14:textId="77777777" w:rsidTr="00897293">
        <w:trPr>
          <w:trHeight w:val="300"/>
        </w:trPr>
        <w:tc>
          <w:tcPr>
            <w:tcW w:w="109" w:type="pct"/>
          </w:tcPr>
          <w:p w14:paraId="438D6FD2" w14:textId="77777777" w:rsidR="00897293" w:rsidRPr="00CC6553" w:rsidRDefault="00897293" w:rsidP="005271BB">
            <w:pPr>
              <w:rPr>
                <w:rFonts w:cs="Arial"/>
                <w:color w:val="000000" w:themeColor="text1"/>
                <w:sz w:val="20"/>
              </w:rPr>
            </w:pPr>
            <w:r w:rsidRPr="00CC6553">
              <w:rPr>
                <w:rFonts w:cs="Arial"/>
                <w:color w:val="000000" w:themeColor="text1"/>
                <w:sz w:val="20"/>
              </w:rPr>
              <w:t>129</w:t>
            </w:r>
          </w:p>
        </w:tc>
        <w:tc>
          <w:tcPr>
            <w:tcW w:w="143" w:type="pct"/>
          </w:tcPr>
          <w:p w14:paraId="24079A0A" w14:textId="544626F2"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52AD47CD" w14:textId="2250FE56"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5CA858F7" w14:textId="1839FCB7"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4169DF3C" w14:textId="03A0B94C" w:rsidR="00897293" w:rsidRPr="00CC6553" w:rsidRDefault="00897293" w:rsidP="005271BB">
            <w:pPr>
              <w:rPr>
                <w:rFonts w:cs="Arial"/>
                <w:color w:val="000000" w:themeColor="text1"/>
                <w:sz w:val="20"/>
              </w:rPr>
            </w:pPr>
            <w:r w:rsidRPr="00CC6553">
              <w:rPr>
                <w:rFonts w:cs="Arial"/>
                <w:color w:val="000000" w:themeColor="text1"/>
                <w:sz w:val="20"/>
              </w:rPr>
              <w:t>014</w:t>
            </w:r>
          </w:p>
        </w:tc>
        <w:tc>
          <w:tcPr>
            <w:tcW w:w="214" w:type="pct"/>
          </w:tcPr>
          <w:p w14:paraId="15A5E308" w14:textId="47F150A8" w:rsidR="00897293" w:rsidRPr="00CC6553" w:rsidRDefault="00897293" w:rsidP="005271BB">
            <w:pPr>
              <w:rPr>
                <w:rFonts w:cs="Arial"/>
                <w:color w:val="000000" w:themeColor="text1"/>
                <w:sz w:val="20"/>
              </w:rPr>
            </w:pPr>
            <w:r w:rsidRPr="00CC6553">
              <w:rPr>
                <w:rFonts w:cs="Arial"/>
                <w:color w:val="000000" w:themeColor="text1"/>
                <w:sz w:val="20"/>
              </w:rPr>
              <w:t>005</w:t>
            </w:r>
          </w:p>
        </w:tc>
        <w:tc>
          <w:tcPr>
            <w:tcW w:w="1521" w:type="pct"/>
          </w:tcPr>
          <w:p w14:paraId="18036268" w14:textId="0FB011C7" w:rsidR="00897293" w:rsidRPr="00CC6553" w:rsidRDefault="00897293" w:rsidP="005271BB">
            <w:pPr>
              <w:rPr>
                <w:rFonts w:cs="Arial"/>
                <w:color w:val="000000" w:themeColor="text1"/>
                <w:sz w:val="20"/>
              </w:rPr>
            </w:pPr>
            <w:r w:rsidRPr="00CC6553">
              <w:rPr>
                <w:rFonts w:cs="Arial"/>
                <w:color w:val="000000" w:themeColor="text1"/>
                <w:sz w:val="20"/>
              </w:rPr>
              <w:t>Should the MRA be restricted to Finerorone as per FINEARTS study, as there is no compelling evidence for Spironolactone or Eplerorone in HFmrEF or HFpEF.</w:t>
            </w:r>
          </w:p>
        </w:tc>
        <w:tc>
          <w:tcPr>
            <w:tcW w:w="2122" w:type="pct"/>
          </w:tcPr>
          <w:p w14:paraId="44242E9D" w14:textId="70646603" w:rsidR="00897293" w:rsidRPr="00CC6553" w:rsidRDefault="00897293" w:rsidP="7B767E2B">
            <w:pPr>
              <w:rPr>
                <w:rFonts w:cs="Arial"/>
                <w:color w:val="000000" w:themeColor="text1"/>
                <w:sz w:val="20"/>
              </w:rPr>
            </w:pPr>
            <w:r w:rsidRPr="00CC6553">
              <w:rPr>
                <w:rFonts w:cs="Arial"/>
                <w:color w:val="000000" w:themeColor="text1"/>
                <w:sz w:val="20"/>
              </w:rPr>
              <w:t>Thank-you for your comments. As eplerenone is licensed for CHF with reduced ejection fraction, we have reconsidered the inclusion of trials investigating eplerenone in evidence review D..</w:t>
            </w:r>
            <w:r>
              <w:rPr>
                <w:rFonts w:cs="Arial"/>
                <w:color w:val="000000" w:themeColor="text1"/>
                <w:sz w:val="20"/>
              </w:rPr>
              <w:t xml:space="preserve"> A</w:t>
            </w:r>
            <w:r w:rsidRPr="00CC6553">
              <w:rPr>
                <w:rFonts w:cs="Arial"/>
                <w:color w:val="000000" w:themeColor="text1"/>
                <w:sz w:val="20"/>
              </w:rPr>
              <w:t>ccordingly</w:t>
            </w:r>
            <w:r>
              <w:rPr>
                <w:rFonts w:cs="Arial"/>
                <w:color w:val="000000" w:themeColor="text1"/>
                <w:sz w:val="20"/>
              </w:rPr>
              <w:t>, t</w:t>
            </w:r>
            <w:r w:rsidRPr="00CC6553">
              <w:rPr>
                <w:rFonts w:cs="Arial"/>
                <w:color w:val="000000" w:themeColor="text1"/>
                <w:sz w:val="20"/>
              </w:rPr>
              <w:t>he evidence review has been amended to remove RCTs</w:t>
            </w:r>
            <w:r>
              <w:rPr>
                <w:rFonts w:cs="Arial"/>
                <w:color w:val="000000" w:themeColor="text1"/>
                <w:sz w:val="20"/>
              </w:rPr>
              <w:t xml:space="preserve"> investigating eplerenone</w:t>
            </w:r>
          </w:p>
          <w:p w14:paraId="17FF059C" w14:textId="16A0EFBB" w:rsidR="00897293" w:rsidRPr="00CC6553" w:rsidRDefault="00897293" w:rsidP="7B767E2B">
            <w:pPr>
              <w:rPr>
                <w:rFonts w:cs="Arial"/>
                <w:color w:val="000000" w:themeColor="text1"/>
                <w:sz w:val="20"/>
              </w:rPr>
            </w:pPr>
          </w:p>
          <w:p w14:paraId="187E3EB2" w14:textId="4F0A4F1E" w:rsidR="00897293" w:rsidRPr="00CC6553" w:rsidRDefault="00897293" w:rsidP="4A679350">
            <w:pPr>
              <w:rPr>
                <w:rFonts w:cs="Arial"/>
                <w:color w:val="000000" w:themeColor="text1"/>
                <w:sz w:val="20"/>
              </w:rPr>
            </w:pPr>
            <w:r w:rsidRPr="00CC6553">
              <w:rPr>
                <w:rFonts w:cs="Arial"/>
                <w:color w:val="000000" w:themeColor="text1"/>
                <w:sz w:val="20"/>
              </w:rPr>
              <w:t xml:space="preserve">The committee agreed to make a medicine class-based recommendation for MRAs. This is in line with the approach taken across this CHF guideline update to consider evidence per class of medicines, rather than split the evidence per individual medicine. The committee is aware that individual circumstances will feature </w:t>
            </w:r>
            <w:r w:rsidRPr="00CC6553">
              <w:rPr>
                <w:rFonts w:cs="Arial"/>
                <w:color w:val="000000" w:themeColor="text1"/>
                <w:sz w:val="20"/>
              </w:rPr>
              <w:lastRenderedPageBreak/>
              <w:t>in clinician’s decisions on exactly which medicine to use. They were comfortable with clinicians using their judgement; a sentence has been added to the summary of the committee’s discussion (evidence reviews B and D) to reflect this: ‘Clinical judgement is also important when selecting individual medicines to use within a class of medicines, including consideration of differences in side effect profiles.’</w:t>
            </w:r>
          </w:p>
          <w:p w14:paraId="54E2E19C" w14:textId="34579586" w:rsidR="00897293" w:rsidRPr="00CC6553" w:rsidRDefault="00897293" w:rsidP="3E20DC9A">
            <w:pPr>
              <w:rPr>
                <w:rFonts w:cs="Arial"/>
                <w:color w:val="000000" w:themeColor="text1"/>
                <w:sz w:val="20"/>
              </w:rPr>
            </w:pPr>
          </w:p>
        </w:tc>
      </w:tr>
      <w:tr w:rsidR="00897293" w:rsidRPr="00CC6553" w14:paraId="4A3080C5" w14:textId="77777777" w:rsidTr="00897293">
        <w:trPr>
          <w:trHeight w:val="300"/>
        </w:trPr>
        <w:tc>
          <w:tcPr>
            <w:tcW w:w="109" w:type="pct"/>
          </w:tcPr>
          <w:p w14:paraId="5BF19C19"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130</w:t>
            </w:r>
          </w:p>
        </w:tc>
        <w:tc>
          <w:tcPr>
            <w:tcW w:w="143" w:type="pct"/>
          </w:tcPr>
          <w:p w14:paraId="5EFE576D" w14:textId="70A6C37A"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5E6CE376" w14:textId="48A60466"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125F112B" w14:textId="2403983F"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6422564A" w14:textId="38F45E89" w:rsidR="00897293" w:rsidRPr="00CC6553" w:rsidRDefault="00897293" w:rsidP="005271BB">
            <w:pPr>
              <w:rPr>
                <w:rFonts w:cs="Arial"/>
                <w:color w:val="000000" w:themeColor="text1"/>
                <w:sz w:val="20"/>
              </w:rPr>
            </w:pPr>
            <w:r w:rsidRPr="00CC6553">
              <w:rPr>
                <w:rFonts w:cs="Arial"/>
                <w:color w:val="000000" w:themeColor="text1"/>
                <w:sz w:val="20"/>
              </w:rPr>
              <w:t>014</w:t>
            </w:r>
          </w:p>
        </w:tc>
        <w:tc>
          <w:tcPr>
            <w:tcW w:w="214" w:type="pct"/>
          </w:tcPr>
          <w:p w14:paraId="14555384" w14:textId="11DB89B6" w:rsidR="00897293" w:rsidRPr="00CC6553" w:rsidRDefault="00897293" w:rsidP="005271BB">
            <w:pPr>
              <w:rPr>
                <w:rFonts w:cs="Arial"/>
                <w:color w:val="000000" w:themeColor="text1"/>
                <w:sz w:val="20"/>
              </w:rPr>
            </w:pPr>
            <w:r w:rsidRPr="00CC6553">
              <w:rPr>
                <w:rFonts w:cs="Arial"/>
                <w:color w:val="000000" w:themeColor="text1"/>
                <w:sz w:val="20"/>
              </w:rPr>
              <w:t>005</w:t>
            </w:r>
          </w:p>
        </w:tc>
        <w:tc>
          <w:tcPr>
            <w:tcW w:w="1521" w:type="pct"/>
          </w:tcPr>
          <w:p w14:paraId="2871A162" w14:textId="2E3EB9B9" w:rsidR="00897293" w:rsidRPr="00CC6553" w:rsidRDefault="00897293" w:rsidP="005271BB">
            <w:pPr>
              <w:rPr>
                <w:rFonts w:cs="Arial"/>
                <w:color w:val="000000" w:themeColor="text1"/>
                <w:sz w:val="20"/>
              </w:rPr>
            </w:pPr>
            <w:r w:rsidRPr="00CC6553">
              <w:rPr>
                <w:rFonts w:cs="Arial"/>
                <w:color w:val="000000" w:themeColor="text1"/>
                <w:sz w:val="20"/>
              </w:rPr>
              <w:t>1.5.3 Consider an MRA and an SGLT2 inhibitor for treating heart failure with preserved ejection fraction. [2025] This wording should be changed to ‘offer an sglt2-‘ and consider an MRA for treating heart failure with preserved ejection fraction, in order to align with the NICE TA for sglt2- in HFmrEF and HFpEF.</w:t>
            </w:r>
          </w:p>
        </w:tc>
        <w:tc>
          <w:tcPr>
            <w:tcW w:w="2122" w:type="pct"/>
          </w:tcPr>
          <w:p w14:paraId="2BB0C00E" w14:textId="60EC65B5" w:rsidR="00897293" w:rsidRPr="00CC6553" w:rsidRDefault="00897293" w:rsidP="476BDDBF">
            <w:pPr>
              <w:pStyle w:val="Heading1"/>
              <w:rPr>
                <w:rFonts w:cs="Arial"/>
                <w:b w:val="0"/>
                <w:bCs w:val="0"/>
                <w:color w:val="000000" w:themeColor="text1"/>
                <w:sz w:val="20"/>
              </w:rPr>
            </w:pPr>
            <w:r w:rsidRPr="00CC6553">
              <w:rPr>
                <w:rFonts w:cs="Arial"/>
                <w:b w:val="0"/>
                <w:bCs w:val="0"/>
                <w:color w:val="000000" w:themeColor="text1"/>
                <w:sz w:val="20"/>
              </w:rPr>
              <w:t>Thank you for your comment.  The committee have removed reference to SGLT2 inhibitors from the recommendation but cross-refer to TA929 and TA902.</w:t>
            </w:r>
          </w:p>
          <w:p w14:paraId="2A48E972" w14:textId="2051C85C" w:rsidR="00897293" w:rsidRPr="00CC6553" w:rsidRDefault="00897293" w:rsidP="476BDDBF">
            <w:pPr>
              <w:rPr>
                <w:color w:val="000000" w:themeColor="text1"/>
              </w:rPr>
            </w:pPr>
          </w:p>
        </w:tc>
      </w:tr>
      <w:tr w:rsidR="00897293" w:rsidRPr="00CC6553" w14:paraId="4B730EB3" w14:textId="77777777" w:rsidTr="00897293">
        <w:trPr>
          <w:trHeight w:val="300"/>
        </w:trPr>
        <w:tc>
          <w:tcPr>
            <w:tcW w:w="109" w:type="pct"/>
          </w:tcPr>
          <w:p w14:paraId="41C8F4E9" w14:textId="77777777" w:rsidR="00897293" w:rsidRPr="00CC6553" w:rsidRDefault="00897293" w:rsidP="005271BB">
            <w:pPr>
              <w:rPr>
                <w:rFonts w:cs="Arial"/>
                <w:color w:val="000000" w:themeColor="text1"/>
                <w:sz w:val="20"/>
              </w:rPr>
            </w:pPr>
            <w:r w:rsidRPr="00CC6553">
              <w:rPr>
                <w:rFonts w:cs="Arial"/>
                <w:color w:val="000000" w:themeColor="text1"/>
                <w:sz w:val="20"/>
              </w:rPr>
              <w:t>131</w:t>
            </w:r>
          </w:p>
        </w:tc>
        <w:tc>
          <w:tcPr>
            <w:tcW w:w="143" w:type="pct"/>
          </w:tcPr>
          <w:p w14:paraId="55686556" w14:textId="3767C74C"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21047427" w14:textId="23558754"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42E8C2D3" w14:textId="23355764"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7686FD81" w14:textId="506661CE" w:rsidR="00897293" w:rsidRPr="00CC6553" w:rsidRDefault="00897293" w:rsidP="005271BB">
            <w:pPr>
              <w:rPr>
                <w:rFonts w:cs="Arial"/>
                <w:color w:val="000000" w:themeColor="text1"/>
                <w:sz w:val="20"/>
              </w:rPr>
            </w:pPr>
            <w:r w:rsidRPr="00CC6553">
              <w:rPr>
                <w:rFonts w:cs="Arial"/>
                <w:color w:val="000000" w:themeColor="text1"/>
                <w:sz w:val="20"/>
              </w:rPr>
              <w:t>014</w:t>
            </w:r>
          </w:p>
        </w:tc>
        <w:tc>
          <w:tcPr>
            <w:tcW w:w="214" w:type="pct"/>
          </w:tcPr>
          <w:p w14:paraId="33B82A6F" w14:textId="02C30ACF" w:rsidR="00897293" w:rsidRPr="00CC6553" w:rsidRDefault="00897293" w:rsidP="005271BB">
            <w:pPr>
              <w:rPr>
                <w:rFonts w:cs="Arial"/>
                <w:color w:val="000000" w:themeColor="text1"/>
                <w:sz w:val="20"/>
              </w:rPr>
            </w:pPr>
            <w:r w:rsidRPr="00CC6553">
              <w:rPr>
                <w:rFonts w:cs="Arial"/>
                <w:color w:val="000000" w:themeColor="text1"/>
                <w:sz w:val="20"/>
              </w:rPr>
              <w:t>005</w:t>
            </w:r>
          </w:p>
        </w:tc>
        <w:tc>
          <w:tcPr>
            <w:tcW w:w="1521" w:type="pct"/>
          </w:tcPr>
          <w:p w14:paraId="3B40C5CE" w14:textId="0F825B0E" w:rsidR="00897293" w:rsidRPr="00CC6553" w:rsidRDefault="00897293" w:rsidP="005271BB">
            <w:pPr>
              <w:rPr>
                <w:rFonts w:cs="Arial"/>
                <w:color w:val="000000" w:themeColor="text1"/>
                <w:sz w:val="20"/>
              </w:rPr>
            </w:pPr>
            <w:r w:rsidRPr="00CC6553">
              <w:rPr>
                <w:rFonts w:cs="Arial"/>
                <w:color w:val="000000" w:themeColor="text1"/>
                <w:sz w:val="20"/>
              </w:rPr>
              <w:t>Should the MRA be restricted to Finerorone as per the FINEARTS study as there is no compelling evidence for the use of Spironolactone or Eplerenone</w:t>
            </w:r>
          </w:p>
        </w:tc>
        <w:tc>
          <w:tcPr>
            <w:tcW w:w="2122" w:type="pct"/>
          </w:tcPr>
          <w:p w14:paraId="2CC64268" w14:textId="56AA7D05" w:rsidR="00897293" w:rsidRPr="00CC6553" w:rsidRDefault="00897293" w:rsidP="30E73A32">
            <w:pPr>
              <w:rPr>
                <w:rFonts w:cs="Arial"/>
                <w:color w:val="000000" w:themeColor="text1"/>
                <w:sz w:val="20"/>
              </w:rPr>
            </w:pPr>
            <w:r w:rsidRPr="00CC6553">
              <w:rPr>
                <w:rFonts w:cs="Arial"/>
                <w:color w:val="000000" w:themeColor="text1"/>
                <w:sz w:val="20"/>
              </w:rPr>
              <w:t xml:space="preserve">Thank-you for your comments. As eplerenone is licensed for CHF with reduced ejection fraction, we have reconsidered the inclusion of trials investigating eplerenone in evidence review D. </w:t>
            </w:r>
            <w:r>
              <w:rPr>
                <w:rFonts w:cs="Arial"/>
                <w:color w:val="000000" w:themeColor="text1"/>
                <w:sz w:val="20"/>
              </w:rPr>
              <w:t>A</w:t>
            </w:r>
            <w:r w:rsidRPr="00CC6553">
              <w:rPr>
                <w:rFonts w:cs="Arial"/>
                <w:color w:val="000000" w:themeColor="text1"/>
                <w:sz w:val="20"/>
              </w:rPr>
              <w:t>ccordingly</w:t>
            </w:r>
            <w:r>
              <w:rPr>
                <w:rFonts w:cs="Arial"/>
                <w:color w:val="000000" w:themeColor="text1"/>
                <w:sz w:val="20"/>
              </w:rPr>
              <w:t>, t</w:t>
            </w:r>
            <w:r w:rsidRPr="00CC6553">
              <w:rPr>
                <w:rFonts w:cs="Arial"/>
                <w:color w:val="000000" w:themeColor="text1"/>
                <w:sz w:val="20"/>
              </w:rPr>
              <w:t>he evidence review has been amended to remove RCTs</w:t>
            </w:r>
            <w:r>
              <w:rPr>
                <w:rFonts w:cs="Arial"/>
                <w:color w:val="000000" w:themeColor="text1"/>
                <w:sz w:val="20"/>
              </w:rPr>
              <w:t xml:space="preserve"> investigating eplerenone</w:t>
            </w:r>
          </w:p>
          <w:p w14:paraId="43A1C774" w14:textId="16A0EFBB" w:rsidR="00897293" w:rsidRPr="00CC6553" w:rsidRDefault="00897293" w:rsidP="30E73A32">
            <w:pPr>
              <w:rPr>
                <w:rFonts w:cs="Arial"/>
                <w:color w:val="000000" w:themeColor="text1"/>
                <w:sz w:val="20"/>
              </w:rPr>
            </w:pPr>
          </w:p>
          <w:p w14:paraId="3EF155BD" w14:textId="0DC6FFB3" w:rsidR="00897293" w:rsidRPr="00CC6553" w:rsidRDefault="00897293" w:rsidP="30E73A32">
            <w:pPr>
              <w:rPr>
                <w:rFonts w:cs="Arial"/>
                <w:color w:val="000000" w:themeColor="text1"/>
                <w:sz w:val="20"/>
              </w:rPr>
            </w:pPr>
            <w:r w:rsidRPr="00CC6553">
              <w:rPr>
                <w:rFonts w:cs="Arial"/>
                <w:color w:val="000000" w:themeColor="text1"/>
                <w:sz w:val="20"/>
              </w:rPr>
              <w:t xml:space="preserve">The committee agreed to make a medicine class-based </w:t>
            </w:r>
            <w:r w:rsidRPr="00CC6553">
              <w:rPr>
                <w:rFonts w:cs="Arial"/>
                <w:color w:val="000000" w:themeColor="text1"/>
                <w:sz w:val="20"/>
              </w:rPr>
              <w:lastRenderedPageBreak/>
              <w:t>recommendation for MRAs. This is in line with the approach taken across this CHF guideline update to consider evidence per class of medicines, rather than split the evidence per individual medicine. The committee is aware that individual circumstances will feature in clinician’s decisions on exactly which medicine to use. They were comfortable with clinicians using their judgement; a sentence has been added to the summary of the committee’s discussion (evidence reviews B and D) to reflect this: ‘Clinical judgement is also important when selecting individual medicines to use within a class of medicines, including consideration of differences in side effect profiles’.</w:t>
            </w:r>
          </w:p>
        </w:tc>
      </w:tr>
      <w:tr w:rsidR="00897293" w:rsidRPr="00CC6553" w14:paraId="478CB3DB" w14:textId="77777777" w:rsidTr="00897293">
        <w:trPr>
          <w:trHeight w:val="300"/>
        </w:trPr>
        <w:tc>
          <w:tcPr>
            <w:tcW w:w="109" w:type="pct"/>
          </w:tcPr>
          <w:p w14:paraId="1807B71B"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132</w:t>
            </w:r>
          </w:p>
        </w:tc>
        <w:tc>
          <w:tcPr>
            <w:tcW w:w="143" w:type="pct"/>
          </w:tcPr>
          <w:p w14:paraId="7B08449F" w14:textId="16EBCFE1"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073D8259" w14:textId="6F92A029" w:rsidR="00897293" w:rsidRPr="00CC6553" w:rsidRDefault="00897293" w:rsidP="005271BB">
            <w:pPr>
              <w:rPr>
                <w:rFonts w:cs="Arial"/>
                <w:bCs/>
                <w:iCs/>
                <w:color w:val="000000" w:themeColor="text1"/>
                <w:sz w:val="20"/>
              </w:rPr>
            </w:pPr>
            <w:r w:rsidRPr="00CC6553">
              <w:rPr>
                <w:rFonts w:cs="Arial"/>
                <w:color w:val="000000" w:themeColor="text1"/>
                <w:sz w:val="20"/>
              </w:rPr>
              <w:t>NHS England</w:t>
            </w:r>
          </w:p>
        </w:tc>
        <w:tc>
          <w:tcPr>
            <w:tcW w:w="279" w:type="pct"/>
          </w:tcPr>
          <w:p w14:paraId="5DBE4A1A" w14:textId="6717324A"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682DA301" w14:textId="7FF12236" w:rsidR="00897293" w:rsidRPr="00CC6553" w:rsidRDefault="00897293" w:rsidP="005271BB">
            <w:pPr>
              <w:rPr>
                <w:rFonts w:cs="Arial"/>
                <w:color w:val="000000" w:themeColor="text1"/>
                <w:sz w:val="20"/>
              </w:rPr>
            </w:pPr>
            <w:r w:rsidRPr="00CC6553">
              <w:rPr>
                <w:rFonts w:cs="Arial"/>
                <w:color w:val="000000" w:themeColor="text1"/>
                <w:sz w:val="20"/>
              </w:rPr>
              <w:t>014</w:t>
            </w:r>
          </w:p>
        </w:tc>
        <w:tc>
          <w:tcPr>
            <w:tcW w:w="214" w:type="pct"/>
          </w:tcPr>
          <w:p w14:paraId="39D35C38" w14:textId="60BA6FF2" w:rsidR="00897293" w:rsidRPr="00CC6553" w:rsidRDefault="00897293" w:rsidP="005271BB">
            <w:pPr>
              <w:rPr>
                <w:rFonts w:cs="Arial"/>
                <w:color w:val="000000" w:themeColor="text1"/>
                <w:sz w:val="20"/>
              </w:rPr>
            </w:pPr>
            <w:r w:rsidRPr="00CC6553">
              <w:rPr>
                <w:rFonts w:cs="Arial"/>
                <w:color w:val="000000" w:themeColor="text1"/>
                <w:sz w:val="20"/>
              </w:rPr>
              <w:t>005</w:t>
            </w:r>
          </w:p>
        </w:tc>
        <w:tc>
          <w:tcPr>
            <w:tcW w:w="1521" w:type="pct"/>
          </w:tcPr>
          <w:p w14:paraId="7C8597AC" w14:textId="6B657A57" w:rsidR="00897293" w:rsidRPr="00CC6553" w:rsidRDefault="00897293" w:rsidP="005271BB">
            <w:pPr>
              <w:rPr>
                <w:rFonts w:cs="Arial"/>
                <w:color w:val="000000" w:themeColor="text1"/>
                <w:sz w:val="20"/>
              </w:rPr>
            </w:pPr>
            <w:r w:rsidRPr="00CC6553">
              <w:rPr>
                <w:rFonts w:cs="Arial"/>
                <w:color w:val="000000" w:themeColor="text1"/>
                <w:sz w:val="20"/>
              </w:rPr>
              <w:t>Wording not strong enough for these prognostically beneficial therapies to treat a condition which does not have any other treatments and in the absence of which these patients suffer from poor quality of life, frequent hospitalisations and increased mortality. Please consider rewording to “Offer SGLT2i and MRA…..</w:t>
            </w:r>
            <w:r w:rsidRPr="00CC6553">
              <w:rPr>
                <w:rFonts w:cs="Arial"/>
                <w:color w:val="000000" w:themeColor="text1"/>
                <w:sz w:val="20"/>
              </w:rPr>
              <w:br/>
              <w:t>People with HFpEF also frequently have other long term health conditions such as type 2 diabetes, chronic kidney disease and obesity. Consider GLP1 receptor agonists for the management of these conditions (in line with existing NICE guidance) and also improved outcomes of HFpEF.</w:t>
            </w:r>
          </w:p>
        </w:tc>
        <w:tc>
          <w:tcPr>
            <w:tcW w:w="2122" w:type="pct"/>
          </w:tcPr>
          <w:p w14:paraId="5E19B8CE" w14:textId="5A127686" w:rsidR="00897293" w:rsidRPr="00CC6553" w:rsidRDefault="00897293" w:rsidP="66D6C127">
            <w:pPr>
              <w:pStyle w:val="Heading1"/>
              <w:rPr>
                <w:rFonts w:cs="Arial"/>
                <w:color w:val="000000" w:themeColor="text1"/>
                <w:sz w:val="20"/>
              </w:rPr>
            </w:pPr>
            <w:r w:rsidRPr="00CC6553">
              <w:rPr>
                <w:rFonts w:cs="Arial"/>
                <w:b w:val="0"/>
                <w:bCs w:val="0"/>
                <w:color w:val="000000" w:themeColor="text1"/>
                <w:sz w:val="20"/>
              </w:rPr>
              <w:t>Thank you for your comment.  The committee have removed reference to SGLT2 inhibitors from the recommendation but cross-refer to TA929 and TA902.</w:t>
            </w:r>
          </w:p>
          <w:p w14:paraId="48F3674A" w14:textId="5EA72480" w:rsidR="00897293" w:rsidRPr="00CC6553" w:rsidRDefault="00897293" w:rsidP="66D6C127">
            <w:pPr>
              <w:rPr>
                <w:rFonts w:cs="Arial"/>
                <w:color w:val="000000" w:themeColor="text1"/>
                <w:sz w:val="20"/>
              </w:rPr>
            </w:pPr>
          </w:p>
          <w:p w14:paraId="037F808E" w14:textId="081813EC" w:rsidR="00897293" w:rsidRPr="00CC6553" w:rsidRDefault="00897293" w:rsidP="66D6C127">
            <w:pPr>
              <w:rPr>
                <w:rFonts w:eastAsia="Arial" w:cs="Arial"/>
                <w:color w:val="000000" w:themeColor="text1"/>
                <w:sz w:val="20"/>
              </w:rPr>
            </w:pPr>
            <w:r w:rsidRPr="00CC6553">
              <w:rPr>
                <w:rFonts w:cs="Arial"/>
                <w:color w:val="000000" w:themeColor="text1"/>
                <w:sz w:val="20"/>
              </w:rPr>
              <w:t xml:space="preserve">The recommendation for MRAs for patients with CHF and preserved rejection fraction is a ’consider' recommendation rather than an ‘offer' recommendation </w:t>
            </w:r>
            <w:r w:rsidRPr="00CC6553">
              <w:rPr>
                <w:rFonts w:eastAsia="Arial" w:cs="Arial"/>
                <w:color w:val="000000" w:themeColor="text1"/>
                <w:sz w:val="20"/>
              </w:rPr>
              <w:t xml:space="preserve">due to the limited size of the evidence base. </w:t>
            </w:r>
            <w:r w:rsidRPr="00CC6553">
              <w:rPr>
                <w:rFonts w:eastAsia="Arial" w:cs="Arial"/>
                <w:color w:val="000000" w:themeColor="text1"/>
                <w:sz w:val="20"/>
              </w:rPr>
              <w:lastRenderedPageBreak/>
              <w:t xml:space="preserve">This is summarised in p20 of evidence report D. </w:t>
            </w:r>
          </w:p>
          <w:p w14:paraId="5AA142A5" w14:textId="77777777" w:rsidR="00897293" w:rsidRPr="00CC6553" w:rsidRDefault="00897293" w:rsidP="66D6C127">
            <w:pPr>
              <w:rPr>
                <w:rFonts w:eastAsia="Arial" w:cs="Arial"/>
                <w:color w:val="000000" w:themeColor="text1"/>
                <w:sz w:val="20"/>
              </w:rPr>
            </w:pPr>
          </w:p>
          <w:p w14:paraId="104588E8" w14:textId="77777777" w:rsidR="00897293" w:rsidRPr="00CC6553" w:rsidRDefault="00897293" w:rsidP="002F3157">
            <w:pPr>
              <w:rPr>
                <w:rFonts w:eastAsia="Arial" w:cs="Arial"/>
                <w:color w:val="000000" w:themeColor="text1"/>
                <w:sz w:val="20"/>
              </w:rPr>
            </w:pPr>
          </w:p>
          <w:p w14:paraId="2C189EB1" w14:textId="56A1D81D" w:rsidR="00897293" w:rsidRPr="00CC6553" w:rsidRDefault="00897293" w:rsidP="002F3157">
            <w:pPr>
              <w:rPr>
                <w:rFonts w:cs="Arial"/>
                <w:color w:val="000000" w:themeColor="text1"/>
                <w:sz w:val="20"/>
              </w:rPr>
            </w:pPr>
            <w:r w:rsidRPr="00CC6553">
              <w:rPr>
                <w:rFonts w:eastAsia="Arial" w:cs="Arial"/>
                <w:color w:val="000000" w:themeColor="text1"/>
                <w:sz w:val="20"/>
              </w:rPr>
              <w:t xml:space="preserve">GLP1i are outside the scope of this guideline update so </w:t>
            </w:r>
            <w:r w:rsidRPr="00CC6553">
              <w:rPr>
                <w:rFonts w:cs="Arial"/>
                <w:color w:val="000000" w:themeColor="text1"/>
                <w:sz w:val="20"/>
              </w:rPr>
              <w:t>the committee were therefore unable to make recommendations on the use of GLP1i</w:t>
            </w:r>
            <w:r w:rsidRPr="00CC6553">
              <w:rPr>
                <w:rFonts w:cs="Arial"/>
                <w:b/>
                <w:color w:val="000000" w:themeColor="text1"/>
                <w:sz w:val="20"/>
              </w:rPr>
              <w:t>.</w:t>
            </w:r>
          </w:p>
        </w:tc>
      </w:tr>
      <w:tr w:rsidR="00897293" w:rsidRPr="00CC6553" w14:paraId="23A25069" w14:textId="77777777" w:rsidTr="00897293">
        <w:trPr>
          <w:trHeight w:val="300"/>
        </w:trPr>
        <w:tc>
          <w:tcPr>
            <w:tcW w:w="109" w:type="pct"/>
          </w:tcPr>
          <w:p w14:paraId="7BDCC44D"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133</w:t>
            </w:r>
          </w:p>
        </w:tc>
        <w:tc>
          <w:tcPr>
            <w:tcW w:w="143" w:type="pct"/>
          </w:tcPr>
          <w:p w14:paraId="5F63C5D1" w14:textId="2F135D3C"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11A8C8E8" w14:textId="14EC8391" w:rsidR="00897293" w:rsidRPr="00CC6553" w:rsidRDefault="00897293" w:rsidP="005271BB">
            <w:pPr>
              <w:rPr>
                <w:rFonts w:cs="Arial"/>
                <w:bCs/>
                <w:iCs/>
                <w:color w:val="000000" w:themeColor="text1"/>
                <w:sz w:val="20"/>
              </w:rPr>
            </w:pPr>
            <w:r w:rsidRPr="00CC6553">
              <w:rPr>
                <w:rFonts w:cs="Arial"/>
                <w:color w:val="000000" w:themeColor="text1"/>
                <w:sz w:val="20"/>
              </w:rPr>
              <w:t>Primary Care Cardiovascular Society (PCCS)</w:t>
            </w:r>
          </w:p>
        </w:tc>
        <w:tc>
          <w:tcPr>
            <w:tcW w:w="279" w:type="pct"/>
          </w:tcPr>
          <w:p w14:paraId="133027ED" w14:textId="50801110"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3978790D" w14:textId="5C1B8647" w:rsidR="00897293" w:rsidRPr="00CC6553" w:rsidRDefault="00897293" w:rsidP="005271BB">
            <w:pPr>
              <w:rPr>
                <w:rFonts w:cs="Arial"/>
                <w:color w:val="000000" w:themeColor="text1"/>
                <w:sz w:val="20"/>
              </w:rPr>
            </w:pPr>
            <w:r w:rsidRPr="00CC6553">
              <w:rPr>
                <w:rFonts w:cs="Arial"/>
                <w:color w:val="000000" w:themeColor="text1"/>
                <w:sz w:val="20"/>
              </w:rPr>
              <w:t>014</w:t>
            </w:r>
          </w:p>
        </w:tc>
        <w:tc>
          <w:tcPr>
            <w:tcW w:w="214" w:type="pct"/>
          </w:tcPr>
          <w:p w14:paraId="5DC8CC46" w14:textId="26FB281D" w:rsidR="00897293" w:rsidRPr="00CC6553" w:rsidRDefault="00897293" w:rsidP="005271BB">
            <w:pPr>
              <w:rPr>
                <w:rFonts w:cs="Arial"/>
                <w:color w:val="000000" w:themeColor="text1"/>
                <w:sz w:val="20"/>
              </w:rPr>
            </w:pPr>
            <w:r w:rsidRPr="00CC6553">
              <w:rPr>
                <w:rFonts w:cs="Arial"/>
                <w:color w:val="000000" w:themeColor="text1"/>
                <w:sz w:val="20"/>
              </w:rPr>
              <w:t>005</w:t>
            </w:r>
          </w:p>
        </w:tc>
        <w:tc>
          <w:tcPr>
            <w:tcW w:w="1521" w:type="pct"/>
          </w:tcPr>
          <w:p w14:paraId="7B51907D" w14:textId="4EF071C6" w:rsidR="00897293" w:rsidRPr="00CC6553" w:rsidRDefault="00897293" w:rsidP="005271BB">
            <w:pPr>
              <w:rPr>
                <w:rFonts w:cs="Arial"/>
                <w:color w:val="000000" w:themeColor="text1"/>
                <w:sz w:val="20"/>
              </w:rPr>
            </w:pPr>
            <w:r w:rsidRPr="00CC6553">
              <w:rPr>
                <w:rFonts w:cs="Arial"/>
                <w:color w:val="000000" w:themeColor="text1"/>
                <w:sz w:val="20"/>
              </w:rPr>
              <w:t>There are differences between the medicines in the MRA class with respect to trial evidence and licencing.  Eplerenone is off licence for HFpEF.  Spironolactone licence is for congestive heart failure which presumably predates any specific heart failure trials (e.g RALES,TOPCAT) so maybe should be specified here. TOPCAT was published at the time of the previous update and yet spironolactone was not recommended in HFpEF. What new evidence is there to change this?  Finerenone does not yet have a UK licence, but FINEARTS did include patients with HFmrEF and HFpEF and was a statistically positive outcome trial and would appear to have the potential to be an evidence-based option.</w:t>
            </w:r>
          </w:p>
        </w:tc>
        <w:tc>
          <w:tcPr>
            <w:tcW w:w="2122" w:type="pct"/>
          </w:tcPr>
          <w:p w14:paraId="25C917CE" w14:textId="658B1370" w:rsidR="00897293" w:rsidRPr="00CC6553" w:rsidRDefault="00897293" w:rsidP="43DFEDB7">
            <w:pPr>
              <w:rPr>
                <w:rFonts w:cs="Arial"/>
                <w:color w:val="000000" w:themeColor="text1"/>
                <w:sz w:val="20"/>
              </w:rPr>
            </w:pPr>
            <w:r w:rsidRPr="00CC6553">
              <w:rPr>
                <w:rFonts w:cs="Arial"/>
                <w:color w:val="000000" w:themeColor="text1"/>
                <w:sz w:val="20"/>
              </w:rPr>
              <w:t xml:space="preserve">Thank-you for your comments. As eplerenone is licensed for CHF with reduced ejection fraction, we have reconsidered the inclusion of trials investigating eplerenone in evidence review D. </w:t>
            </w:r>
            <w:r>
              <w:rPr>
                <w:rFonts w:cs="Arial"/>
                <w:color w:val="000000" w:themeColor="text1"/>
                <w:sz w:val="20"/>
              </w:rPr>
              <w:t>A</w:t>
            </w:r>
            <w:r w:rsidRPr="00CC6553">
              <w:rPr>
                <w:rFonts w:cs="Arial"/>
                <w:color w:val="000000" w:themeColor="text1"/>
                <w:sz w:val="20"/>
              </w:rPr>
              <w:t>ccordingly</w:t>
            </w:r>
            <w:r>
              <w:rPr>
                <w:rFonts w:cs="Arial"/>
                <w:color w:val="000000" w:themeColor="text1"/>
                <w:sz w:val="20"/>
              </w:rPr>
              <w:t>, t</w:t>
            </w:r>
            <w:r w:rsidRPr="00CC6553">
              <w:rPr>
                <w:rFonts w:cs="Arial"/>
                <w:color w:val="000000" w:themeColor="text1"/>
                <w:sz w:val="20"/>
              </w:rPr>
              <w:t>he evidence review has been amended to remove RCTs</w:t>
            </w:r>
            <w:r>
              <w:rPr>
                <w:rFonts w:cs="Arial"/>
                <w:color w:val="000000" w:themeColor="text1"/>
                <w:sz w:val="20"/>
              </w:rPr>
              <w:t xml:space="preserve"> investigating eplerenone</w:t>
            </w:r>
          </w:p>
          <w:p w14:paraId="5007930E" w14:textId="09A64B3B" w:rsidR="00897293" w:rsidRPr="00CC6553" w:rsidRDefault="00897293" w:rsidP="35E2F4F7">
            <w:pPr>
              <w:rPr>
                <w:rFonts w:cs="Arial"/>
                <w:color w:val="000000" w:themeColor="text1"/>
                <w:sz w:val="20"/>
              </w:rPr>
            </w:pPr>
          </w:p>
          <w:p w14:paraId="090774FC" w14:textId="3B85235B" w:rsidR="00897293" w:rsidRPr="00CC6553" w:rsidRDefault="00897293" w:rsidP="56B6938A">
            <w:pPr>
              <w:rPr>
                <w:rFonts w:cs="Arial"/>
                <w:color w:val="000000" w:themeColor="text1"/>
                <w:sz w:val="20"/>
              </w:rPr>
            </w:pPr>
            <w:r w:rsidRPr="00CC6553">
              <w:rPr>
                <w:rFonts w:cs="Arial"/>
                <w:color w:val="000000" w:themeColor="text1"/>
                <w:sz w:val="20"/>
              </w:rPr>
              <w:t>The committee was comfortable with licensing for ‘congestive heart failure’ for spironolactone and this has been included as a relevant MRA intervention in evidence reviews B and D.</w:t>
            </w:r>
          </w:p>
          <w:p w14:paraId="2D4B4A4F" w14:textId="45EA5837" w:rsidR="00897293" w:rsidRPr="00CC6553" w:rsidRDefault="00897293" w:rsidP="3263CF72">
            <w:pPr>
              <w:rPr>
                <w:rFonts w:cs="Arial"/>
                <w:color w:val="000000" w:themeColor="text1"/>
                <w:sz w:val="20"/>
              </w:rPr>
            </w:pPr>
          </w:p>
          <w:p w14:paraId="3A5CB6AA" w14:textId="5994DBEB" w:rsidR="00897293" w:rsidRPr="00CC6553" w:rsidRDefault="00897293" w:rsidP="3263CF72">
            <w:pPr>
              <w:rPr>
                <w:rFonts w:cs="Arial"/>
                <w:color w:val="000000" w:themeColor="text1"/>
                <w:sz w:val="20"/>
              </w:rPr>
            </w:pPr>
            <w:r w:rsidRPr="00CC6553">
              <w:rPr>
                <w:rFonts w:cs="Arial"/>
                <w:color w:val="000000" w:themeColor="text1"/>
                <w:sz w:val="20"/>
              </w:rPr>
              <w:t xml:space="preserve">Therefore, the evidence presented in evidence reviews B and D includes interventions using spironolactone and finerenone. Although finerenone does not have a licence yet, we are aware that finerenone is already in </w:t>
            </w:r>
            <w:r w:rsidRPr="00CC6553">
              <w:rPr>
                <w:rFonts w:cs="Arial"/>
                <w:color w:val="000000" w:themeColor="text1"/>
                <w:sz w:val="20"/>
              </w:rPr>
              <w:lastRenderedPageBreak/>
              <w:t>the regulatory pipeline. The committee therefore agreed to include evidence from the recently published FINEARTS-HF study.</w:t>
            </w:r>
          </w:p>
          <w:p w14:paraId="089563F0" w14:textId="2B1FB4C1" w:rsidR="00897293" w:rsidRPr="00CC6553" w:rsidRDefault="00897293" w:rsidP="56B6938A">
            <w:pPr>
              <w:rPr>
                <w:rFonts w:cs="Arial"/>
                <w:color w:val="000000" w:themeColor="text1"/>
                <w:sz w:val="20"/>
              </w:rPr>
            </w:pPr>
          </w:p>
          <w:p w14:paraId="0320FD4E" w14:textId="38B424C1" w:rsidR="00897293" w:rsidRPr="00CC6553" w:rsidRDefault="00897293" w:rsidP="476BDDBF">
            <w:pPr>
              <w:rPr>
                <w:rFonts w:cs="Arial"/>
                <w:color w:val="000000" w:themeColor="text1"/>
                <w:sz w:val="20"/>
              </w:rPr>
            </w:pPr>
            <w:r w:rsidRPr="00CC6553">
              <w:rPr>
                <w:rFonts w:cs="Arial"/>
                <w:color w:val="000000" w:themeColor="text1"/>
                <w:sz w:val="20"/>
              </w:rPr>
              <w:t>The committee agreed to make a medicine class-based recommendation for MRAs. This is in line with the approach taken across this CHF guideline update to consider evidence per class of medicines, rather than split the evidence per individual medicine. The committee is aware that individual circumstances will feature in clinician’s decisions on exactly which medicine to use. They agreed that clinicians can use their judgement; a sentence has been added to the summary of the committee’s discussion (evidence reviews B and D) to reflect this: ‘Clinical judgement is also important when selecting individual medicines to use within a class of medicines, including consideration of differences in side effect profiles’.</w:t>
            </w:r>
            <w:r>
              <w:rPr>
                <w:rFonts w:cs="Arial"/>
                <w:b/>
                <w:bCs/>
                <w:color w:val="000000" w:themeColor="text1"/>
                <w:sz w:val="20"/>
              </w:rPr>
              <w:t xml:space="preserve"> </w:t>
            </w:r>
            <w:r w:rsidRPr="009B3C47">
              <w:rPr>
                <w:rFonts w:cs="Arial"/>
                <w:color w:val="000000" w:themeColor="text1"/>
                <w:sz w:val="20"/>
              </w:rPr>
              <w:t>This requirement for clinical judgement is expected for all NICE recommendations.</w:t>
            </w:r>
          </w:p>
        </w:tc>
      </w:tr>
      <w:tr w:rsidR="00897293" w:rsidRPr="00CC6553" w14:paraId="67EC0C99" w14:textId="77777777" w:rsidTr="00897293">
        <w:trPr>
          <w:trHeight w:val="300"/>
        </w:trPr>
        <w:tc>
          <w:tcPr>
            <w:tcW w:w="109" w:type="pct"/>
          </w:tcPr>
          <w:p w14:paraId="24F39308"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134</w:t>
            </w:r>
          </w:p>
        </w:tc>
        <w:tc>
          <w:tcPr>
            <w:tcW w:w="143" w:type="pct"/>
          </w:tcPr>
          <w:p w14:paraId="2F5C5DF1" w14:textId="5930F835"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058CBDB2" w14:textId="46AEEC3C" w:rsidR="00897293" w:rsidRPr="00CC6553" w:rsidRDefault="00897293" w:rsidP="005271BB">
            <w:pPr>
              <w:rPr>
                <w:rFonts w:cs="Arial"/>
                <w:bCs/>
                <w:iCs/>
                <w:color w:val="000000" w:themeColor="text1"/>
                <w:sz w:val="20"/>
              </w:rPr>
            </w:pPr>
            <w:r w:rsidRPr="00CC6553">
              <w:rPr>
                <w:rFonts w:cs="Arial"/>
                <w:color w:val="000000" w:themeColor="text1"/>
                <w:sz w:val="20"/>
              </w:rPr>
              <w:t>Primary Care Cardiovascular Society (PCCS)</w:t>
            </w:r>
          </w:p>
        </w:tc>
        <w:tc>
          <w:tcPr>
            <w:tcW w:w="279" w:type="pct"/>
          </w:tcPr>
          <w:p w14:paraId="035612A9" w14:textId="3FA9919D"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18168B54" w14:textId="67440960" w:rsidR="00897293" w:rsidRPr="00CC6553" w:rsidRDefault="00897293" w:rsidP="005271BB">
            <w:pPr>
              <w:rPr>
                <w:rFonts w:cs="Arial"/>
                <w:color w:val="000000" w:themeColor="text1"/>
                <w:sz w:val="20"/>
              </w:rPr>
            </w:pPr>
            <w:r w:rsidRPr="00CC6553">
              <w:rPr>
                <w:rFonts w:cs="Arial"/>
                <w:color w:val="000000" w:themeColor="text1"/>
                <w:sz w:val="20"/>
              </w:rPr>
              <w:t>014</w:t>
            </w:r>
          </w:p>
        </w:tc>
        <w:tc>
          <w:tcPr>
            <w:tcW w:w="214" w:type="pct"/>
          </w:tcPr>
          <w:p w14:paraId="33EBD641" w14:textId="3828A3CF" w:rsidR="00897293" w:rsidRPr="00CC6553" w:rsidRDefault="00897293" w:rsidP="005271BB">
            <w:pPr>
              <w:rPr>
                <w:rFonts w:cs="Arial"/>
                <w:color w:val="000000" w:themeColor="text1"/>
                <w:sz w:val="20"/>
              </w:rPr>
            </w:pPr>
            <w:r w:rsidRPr="00CC6553">
              <w:rPr>
                <w:rFonts w:cs="Arial"/>
                <w:color w:val="000000" w:themeColor="text1"/>
                <w:sz w:val="20"/>
              </w:rPr>
              <w:t>005</w:t>
            </w:r>
          </w:p>
        </w:tc>
        <w:tc>
          <w:tcPr>
            <w:tcW w:w="1521" w:type="pct"/>
          </w:tcPr>
          <w:p w14:paraId="7987530D" w14:textId="0A210050" w:rsidR="00897293" w:rsidRPr="00CC6553" w:rsidRDefault="00897293" w:rsidP="005271BB">
            <w:pPr>
              <w:rPr>
                <w:rFonts w:cs="Arial"/>
                <w:color w:val="000000" w:themeColor="text1"/>
                <w:sz w:val="20"/>
              </w:rPr>
            </w:pPr>
            <w:r w:rsidRPr="00CC6553">
              <w:rPr>
                <w:rFonts w:cs="Arial"/>
                <w:color w:val="000000" w:themeColor="text1"/>
                <w:sz w:val="20"/>
              </w:rPr>
              <w:t>ESC guidelines for HF 2023 – Other than diuretics for congestion SGLT2I in HFpEF are the only class of medicine with class 1a classification.  Instead of consider should this be offer</w:t>
            </w:r>
          </w:p>
        </w:tc>
        <w:tc>
          <w:tcPr>
            <w:tcW w:w="2122" w:type="pct"/>
          </w:tcPr>
          <w:p w14:paraId="578A18F3" w14:textId="048826A1" w:rsidR="00897293" w:rsidRPr="00CC6553" w:rsidRDefault="00897293" w:rsidP="476BDDBF">
            <w:pPr>
              <w:pStyle w:val="Heading1"/>
              <w:rPr>
                <w:rFonts w:cs="Arial"/>
                <w:b w:val="0"/>
                <w:bCs w:val="0"/>
                <w:color w:val="000000" w:themeColor="text1"/>
                <w:sz w:val="20"/>
              </w:rPr>
            </w:pPr>
            <w:r w:rsidRPr="00CC6553">
              <w:rPr>
                <w:rFonts w:cs="Arial"/>
                <w:b w:val="0"/>
                <w:bCs w:val="0"/>
                <w:color w:val="000000" w:themeColor="text1"/>
                <w:sz w:val="20"/>
              </w:rPr>
              <w:t>Thank you for your comment.  The committee have removed reference to SGLT2 inhibitors from the recommendation but cross-refer to TA929 and TA902.</w:t>
            </w:r>
          </w:p>
        </w:tc>
      </w:tr>
      <w:tr w:rsidR="00897293" w:rsidRPr="00CC6553" w14:paraId="7B509851" w14:textId="77777777" w:rsidTr="00897293">
        <w:trPr>
          <w:trHeight w:val="300"/>
        </w:trPr>
        <w:tc>
          <w:tcPr>
            <w:tcW w:w="109" w:type="pct"/>
          </w:tcPr>
          <w:p w14:paraId="65AC401E" w14:textId="77777777" w:rsidR="00897293" w:rsidRPr="00CC6553" w:rsidRDefault="00897293" w:rsidP="005271BB">
            <w:pPr>
              <w:rPr>
                <w:rFonts w:cs="Arial"/>
                <w:color w:val="000000" w:themeColor="text1"/>
                <w:sz w:val="20"/>
              </w:rPr>
            </w:pPr>
            <w:r w:rsidRPr="00CC6553">
              <w:rPr>
                <w:rFonts w:cs="Arial"/>
                <w:color w:val="000000" w:themeColor="text1"/>
                <w:sz w:val="20"/>
              </w:rPr>
              <w:t>135</w:t>
            </w:r>
          </w:p>
        </w:tc>
        <w:tc>
          <w:tcPr>
            <w:tcW w:w="143" w:type="pct"/>
          </w:tcPr>
          <w:p w14:paraId="1C24A660" w14:textId="2F15B4CF"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450F84CB" w14:textId="6EC6486E" w:rsidR="00897293" w:rsidRPr="00CC6553" w:rsidRDefault="00897293" w:rsidP="005271BB">
            <w:pPr>
              <w:rPr>
                <w:rFonts w:cs="Arial"/>
                <w:bCs/>
                <w:iCs/>
                <w:color w:val="000000" w:themeColor="text1"/>
                <w:sz w:val="20"/>
              </w:rPr>
            </w:pPr>
            <w:r w:rsidRPr="00CC6553">
              <w:rPr>
                <w:rFonts w:cs="Arial"/>
                <w:color w:val="000000" w:themeColor="text1"/>
                <w:sz w:val="20"/>
              </w:rPr>
              <w:t>British Association for Nursing in Cardiovascular Care (BANCC)</w:t>
            </w:r>
          </w:p>
        </w:tc>
        <w:tc>
          <w:tcPr>
            <w:tcW w:w="279" w:type="pct"/>
          </w:tcPr>
          <w:p w14:paraId="7F664A5E" w14:textId="47D59EFE"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123FE433" w14:textId="69415A00" w:rsidR="00897293" w:rsidRPr="00CC6553" w:rsidRDefault="00897293" w:rsidP="005271BB">
            <w:pPr>
              <w:rPr>
                <w:rFonts w:cs="Arial"/>
                <w:color w:val="000000" w:themeColor="text1"/>
                <w:sz w:val="20"/>
              </w:rPr>
            </w:pPr>
            <w:r w:rsidRPr="00CC6553">
              <w:rPr>
                <w:rFonts w:cs="Arial"/>
                <w:color w:val="000000" w:themeColor="text1"/>
                <w:sz w:val="20"/>
              </w:rPr>
              <w:t>014</w:t>
            </w:r>
          </w:p>
        </w:tc>
        <w:tc>
          <w:tcPr>
            <w:tcW w:w="214" w:type="pct"/>
          </w:tcPr>
          <w:p w14:paraId="3822294E" w14:textId="0B26A924" w:rsidR="00897293" w:rsidRPr="00CC6553" w:rsidRDefault="00897293" w:rsidP="005271BB">
            <w:pPr>
              <w:rPr>
                <w:rFonts w:cs="Arial"/>
                <w:color w:val="000000" w:themeColor="text1"/>
                <w:sz w:val="20"/>
              </w:rPr>
            </w:pPr>
            <w:r w:rsidRPr="00CC6553">
              <w:rPr>
                <w:rFonts w:cs="Arial"/>
                <w:color w:val="000000" w:themeColor="text1"/>
                <w:sz w:val="20"/>
              </w:rPr>
              <w:t>005</w:t>
            </w:r>
          </w:p>
        </w:tc>
        <w:tc>
          <w:tcPr>
            <w:tcW w:w="1521" w:type="pct"/>
          </w:tcPr>
          <w:p w14:paraId="119778B2" w14:textId="794993D1" w:rsidR="00897293" w:rsidRPr="00CC6553" w:rsidRDefault="00897293" w:rsidP="005271BB">
            <w:pPr>
              <w:rPr>
                <w:rFonts w:cs="Arial"/>
                <w:color w:val="000000" w:themeColor="text1"/>
                <w:sz w:val="20"/>
              </w:rPr>
            </w:pPr>
            <w:r w:rsidRPr="00CC6553">
              <w:rPr>
                <w:rFonts w:cs="Arial"/>
                <w:color w:val="000000" w:themeColor="text1"/>
                <w:sz w:val="20"/>
              </w:rPr>
              <w:t>Wording not strong enough for these prognostically beneficial therapies to treat a condition which does not have any other treatments and in the absence of which these patients suffer from poor quality of life, frequent hospitalisations and increased mortality.  Please consider rewording to “Offer SGLT2i and MRA.”</w:t>
            </w:r>
            <w:r w:rsidRPr="00CC6553">
              <w:rPr>
                <w:rFonts w:cs="Arial"/>
                <w:color w:val="000000" w:themeColor="text1"/>
                <w:sz w:val="20"/>
              </w:rPr>
              <w:br/>
              <w:t>People with HFpEF frequently have other long term health conditions such as type 2 diabetes, chronic kidney disease and obesity. Consider GLP1i in the management of these comorbidities as per existing NICE guideline.</w:t>
            </w:r>
          </w:p>
        </w:tc>
        <w:tc>
          <w:tcPr>
            <w:tcW w:w="2122" w:type="pct"/>
          </w:tcPr>
          <w:p w14:paraId="5A54541F" w14:textId="77777777" w:rsidR="00897293" w:rsidRPr="00CC6553" w:rsidRDefault="00897293" w:rsidP="476BDDBF">
            <w:pPr>
              <w:pStyle w:val="Heading1"/>
              <w:rPr>
                <w:rFonts w:cs="Arial"/>
                <w:color w:val="000000" w:themeColor="text1"/>
                <w:sz w:val="20"/>
              </w:rPr>
            </w:pPr>
            <w:r w:rsidRPr="00CC6553">
              <w:rPr>
                <w:rFonts w:cs="Arial"/>
                <w:b w:val="0"/>
                <w:bCs w:val="0"/>
                <w:color w:val="000000" w:themeColor="text1"/>
                <w:sz w:val="20"/>
              </w:rPr>
              <w:t>Thank you for your comment.  The committee have removed reference to SGLT2 inhibitors from the recommendation but cross-refer to TA929 and TA902.</w:t>
            </w:r>
          </w:p>
          <w:p w14:paraId="702C12AF" w14:textId="77777777" w:rsidR="00897293" w:rsidRPr="00CC6553" w:rsidRDefault="00897293" w:rsidP="00635190">
            <w:pPr>
              <w:rPr>
                <w:rFonts w:cs="Arial"/>
                <w:color w:val="000000" w:themeColor="text1"/>
                <w:sz w:val="20"/>
              </w:rPr>
            </w:pPr>
          </w:p>
          <w:p w14:paraId="3FBE0C2E" w14:textId="1EC0EE3F" w:rsidR="00897293" w:rsidRPr="00CC6553" w:rsidRDefault="00897293" w:rsidP="007B5C3D">
            <w:pPr>
              <w:rPr>
                <w:rFonts w:eastAsia="Arial" w:cs="Arial"/>
                <w:color w:val="000000" w:themeColor="text1"/>
                <w:sz w:val="20"/>
              </w:rPr>
            </w:pPr>
            <w:r w:rsidRPr="00CC6553">
              <w:rPr>
                <w:rFonts w:cs="Arial"/>
                <w:color w:val="000000" w:themeColor="text1"/>
                <w:sz w:val="20"/>
              </w:rPr>
              <w:t xml:space="preserve">The recommendation for MRAs for patients with CHF and preserved rejection fraction is a ’consider' recommendation rather than an ‘offer' recommendation </w:t>
            </w:r>
            <w:r w:rsidRPr="00CC6553">
              <w:rPr>
                <w:rFonts w:eastAsia="Arial" w:cs="Arial"/>
                <w:color w:val="000000" w:themeColor="text1"/>
                <w:sz w:val="20"/>
              </w:rPr>
              <w:t>due to the limited size of the evidence base. This is summarised in p20 of evidence report D.</w:t>
            </w:r>
          </w:p>
          <w:p w14:paraId="2D78D1B3" w14:textId="77777777" w:rsidR="00897293" w:rsidRPr="00CC6553" w:rsidRDefault="00897293" w:rsidP="008F543C">
            <w:pPr>
              <w:rPr>
                <w:rFonts w:eastAsia="Arial" w:cs="Arial"/>
                <w:color w:val="000000" w:themeColor="text1"/>
                <w:sz w:val="20"/>
              </w:rPr>
            </w:pPr>
          </w:p>
          <w:p w14:paraId="7AFDF298" w14:textId="19EC5AE9" w:rsidR="00897293" w:rsidRPr="00CC6553" w:rsidRDefault="00897293" w:rsidP="008F543C">
            <w:pPr>
              <w:rPr>
                <w:color w:val="000000" w:themeColor="text1"/>
              </w:rPr>
            </w:pPr>
            <w:r w:rsidRPr="00CC6553">
              <w:rPr>
                <w:rFonts w:eastAsia="Arial" w:cs="Arial"/>
                <w:color w:val="000000" w:themeColor="text1"/>
                <w:sz w:val="20"/>
              </w:rPr>
              <w:t xml:space="preserve">GLP1i are outside the scope of this guideline update so </w:t>
            </w:r>
            <w:r w:rsidRPr="00CC6553">
              <w:rPr>
                <w:rFonts w:cs="Arial"/>
                <w:color w:val="000000" w:themeColor="text1"/>
                <w:sz w:val="20"/>
              </w:rPr>
              <w:t>the committee were therefore unable to make recommendations on the use of GLP1i</w:t>
            </w:r>
            <w:r w:rsidRPr="00CC6553">
              <w:rPr>
                <w:rFonts w:cs="Arial"/>
                <w:b/>
                <w:color w:val="000000" w:themeColor="text1"/>
                <w:sz w:val="20"/>
              </w:rPr>
              <w:t>.</w:t>
            </w:r>
          </w:p>
        </w:tc>
      </w:tr>
      <w:tr w:rsidR="00897293" w:rsidRPr="00CC6553" w14:paraId="68F5EFE3" w14:textId="77777777" w:rsidTr="00897293">
        <w:trPr>
          <w:trHeight w:val="300"/>
        </w:trPr>
        <w:tc>
          <w:tcPr>
            <w:tcW w:w="109" w:type="pct"/>
          </w:tcPr>
          <w:p w14:paraId="5DF0593B" w14:textId="77777777" w:rsidR="00897293" w:rsidRPr="00CC6553" w:rsidRDefault="00897293" w:rsidP="005271BB">
            <w:pPr>
              <w:rPr>
                <w:rFonts w:cs="Arial"/>
                <w:color w:val="000000" w:themeColor="text1"/>
                <w:sz w:val="20"/>
              </w:rPr>
            </w:pPr>
            <w:r w:rsidRPr="00CC6553">
              <w:rPr>
                <w:rFonts w:cs="Arial"/>
                <w:color w:val="000000" w:themeColor="text1"/>
                <w:sz w:val="20"/>
              </w:rPr>
              <w:t>136</w:t>
            </w:r>
          </w:p>
        </w:tc>
        <w:tc>
          <w:tcPr>
            <w:tcW w:w="143" w:type="pct"/>
          </w:tcPr>
          <w:p w14:paraId="689C055F" w14:textId="024ACEF0"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4486FEA7" w14:textId="0AF16E16" w:rsidR="00897293" w:rsidRPr="00CC6553" w:rsidRDefault="00897293" w:rsidP="005271BB">
            <w:pPr>
              <w:rPr>
                <w:rFonts w:cs="Arial"/>
                <w:bCs/>
                <w:iCs/>
                <w:color w:val="000000" w:themeColor="text1"/>
                <w:sz w:val="20"/>
              </w:rPr>
            </w:pPr>
            <w:r w:rsidRPr="00CC6553">
              <w:rPr>
                <w:rFonts w:cs="Arial"/>
                <w:color w:val="000000" w:themeColor="text1"/>
                <w:sz w:val="20"/>
              </w:rPr>
              <w:t>British Association for Nursing in Cardiovascular Care (BANCC)</w:t>
            </w:r>
          </w:p>
        </w:tc>
        <w:tc>
          <w:tcPr>
            <w:tcW w:w="279" w:type="pct"/>
          </w:tcPr>
          <w:p w14:paraId="09E43127" w14:textId="6B18EB81"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123E488A" w14:textId="360F9676" w:rsidR="00897293" w:rsidRPr="00CC6553" w:rsidRDefault="00897293" w:rsidP="005271BB">
            <w:pPr>
              <w:rPr>
                <w:rFonts w:cs="Arial"/>
                <w:color w:val="000000" w:themeColor="text1"/>
                <w:sz w:val="20"/>
              </w:rPr>
            </w:pPr>
            <w:r w:rsidRPr="00CC6553">
              <w:rPr>
                <w:rFonts w:cs="Arial"/>
                <w:color w:val="000000" w:themeColor="text1"/>
                <w:sz w:val="20"/>
              </w:rPr>
              <w:t>014</w:t>
            </w:r>
          </w:p>
        </w:tc>
        <w:tc>
          <w:tcPr>
            <w:tcW w:w="214" w:type="pct"/>
          </w:tcPr>
          <w:p w14:paraId="7A717F6A" w14:textId="0F0BF913" w:rsidR="00897293" w:rsidRPr="00CC6553" w:rsidRDefault="00897293" w:rsidP="005271BB">
            <w:pPr>
              <w:rPr>
                <w:rFonts w:cs="Arial"/>
                <w:color w:val="000000" w:themeColor="text1"/>
                <w:sz w:val="20"/>
              </w:rPr>
            </w:pPr>
            <w:r w:rsidRPr="00CC6553">
              <w:rPr>
                <w:rFonts w:cs="Arial"/>
                <w:color w:val="000000" w:themeColor="text1"/>
                <w:sz w:val="20"/>
              </w:rPr>
              <w:t>005</w:t>
            </w:r>
          </w:p>
        </w:tc>
        <w:tc>
          <w:tcPr>
            <w:tcW w:w="1521" w:type="pct"/>
          </w:tcPr>
          <w:p w14:paraId="6F3208EE" w14:textId="595EF6F6" w:rsidR="00897293" w:rsidRPr="00CC6553" w:rsidRDefault="00897293" w:rsidP="005271BB">
            <w:pPr>
              <w:rPr>
                <w:rFonts w:cs="Arial"/>
                <w:color w:val="000000" w:themeColor="text1"/>
                <w:sz w:val="20"/>
              </w:rPr>
            </w:pPr>
            <w:r w:rsidRPr="00CC6553">
              <w:rPr>
                <w:rFonts w:cs="Arial"/>
                <w:color w:val="000000" w:themeColor="text1"/>
                <w:sz w:val="20"/>
              </w:rPr>
              <w:t>The wording for the NICE SGLT2i TA is to ‘offer’ not consider, this recommendation contradicts existing guidance and must be rewritten.</w:t>
            </w:r>
            <w:r w:rsidRPr="00CC6553">
              <w:rPr>
                <w:rFonts w:cs="Arial"/>
                <w:color w:val="000000" w:themeColor="text1"/>
                <w:sz w:val="20"/>
              </w:rPr>
              <w:br/>
              <w:t xml:space="preserve">The weak ‘consider’ recommendation for MRA is due to the inclusion of the TOPCAT trial, where the diagnosis of HF has been questioned in a significant proportion of patients. What is the justification for trusting any data from this trial – given that trial management is centralised (even though the discrepancy arose in particular geographical areas)? TOPCAT was a poorly governed and executed </w:t>
            </w:r>
            <w:r w:rsidRPr="00CC6553">
              <w:rPr>
                <w:rFonts w:cs="Arial"/>
                <w:color w:val="000000" w:themeColor="text1"/>
                <w:sz w:val="20"/>
              </w:rPr>
              <w:lastRenderedPageBreak/>
              <w:t>trial and its inclusion in any analysis must be questioned. One third of trial patients demonstrated normal diastolic function on echo. 49% of patients came from Russia/Georgia. In these patients cardiovascular event rates were only 2.4/100 pt years compared to 8.1-14.7 events/100 patient years in the Americas. Although 70% of Russia/Georgia patients were documented as taking ¾ med dose at 8 months (compared to just 36% tolerating this in the Americas), there was no difference in hypo/hyperkalaemia, compared to 2.5x increase in hyperkalaemia and halving of hypokalaemia in the spironolactone arm of the Americas patients. Doubling of creatinine occurred in 0.6% in the treatment (and control) arm in Russia/Georgia compared to 6.8% of patients on spironolactone in the Americas.- Pfeffer MA, et al. Regional variation in patients and outcomes in the treatment of preserved cardiac function heart failure with an aldosterone antagonist (TOPCAT) trial. Circulation 2015;131(1):34–42.</w:t>
            </w:r>
            <w:r w:rsidRPr="00CC6553">
              <w:rPr>
                <w:rFonts w:cs="Arial"/>
                <w:color w:val="000000" w:themeColor="text1"/>
                <w:sz w:val="20"/>
              </w:rPr>
              <w:br/>
              <w:t>Elguindy AM. TOPCAT misses its primary endpoint: Should spironolactone be abandoned in HFpEF? Glob Cardiol Sci Pract. 2013 Dec 30;2013(4):357-60. doi: 10.5339/gcsp.2013.42. PMID: 24749108; PMCID: PMC3991207.</w:t>
            </w:r>
          </w:p>
        </w:tc>
        <w:tc>
          <w:tcPr>
            <w:tcW w:w="2122" w:type="pct"/>
          </w:tcPr>
          <w:p w14:paraId="57AA3407" w14:textId="77777777" w:rsidR="00897293" w:rsidRPr="00CC6553" w:rsidRDefault="00897293" w:rsidP="476BDDBF">
            <w:pPr>
              <w:pStyle w:val="Heading1"/>
              <w:rPr>
                <w:rFonts w:cs="Arial"/>
                <w:color w:val="000000" w:themeColor="text1"/>
                <w:sz w:val="20"/>
              </w:rPr>
            </w:pPr>
            <w:r w:rsidRPr="00CC6553">
              <w:rPr>
                <w:rFonts w:cs="Arial"/>
                <w:b w:val="0"/>
                <w:bCs w:val="0"/>
                <w:color w:val="000000" w:themeColor="text1"/>
                <w:sz w:val="20"/>
              </w:rPr>
              <w:lastRenderedPageBreak/>
              <w:t xml:space="preserve">Thank you for your comment.  The committee have removed reference to SGLT2 inhibitors from the </w:t>
            </w:r>
            <w:r w:rsidRPr="00CC6553">
              <w:rPr>
                <w:rFonts w:cs="Arial"/>
                <w:b w:val="0"/>
                <w:bCs w:val="0"/>
                <w:color w:val="000000" w:themeColor="text1"/>
                <w:sz w:val="20"/>
              </w:rPr>
              <w:lastRenderedPageBreak/>
              <w:t>recommendation but cross-refer to TA929 and TA902.</w:t>
            </w:r>
          </w:p>
          <w:p w14:paraId="4CF3A8FE" w14:textId="77777777" w:rsidR="00897293" w:rsidRPr="00CC6553" w:rsidRDefault="00897293" w:rsidP="005271BB">
            <w:pPr>
              <w:pStyle w:val="Heading1"/>
              <w:rPr>
                <w:rFonts w:cs="Arial"/>
                <w:b w:val="0"/>
                <w:color w:val="000000" w:themeColor="text1"/>
                <w:sz w:val="20"/>
              </w:rPr>
            </w:pPr>
          </w:p>
          <w:p w14:paraId="34EECC1E" w14:textId="77777777" w:rsidR="00897293" w:rsidRPr="00CC6553" w:rsidRDefault="00897293" w:rsidP="476BDDBF">
            <w:pPr>
              <w:rPr>
                <w:rFonts w:cs="Arial"/>
                <w:color w:val="000000" w:themeColor="text1"/>
                <w:sz w:val="20"/>
              </w:rPr>
            </w:pPr>
            <w:r w:rsidRPr="00CC6553">
              <w:rPr>
                <w:rFonts w:cs="Arial"/>
                <w:color w:val="000000" w:themeColor="text1"/>
                <w:sz w:val="20"/>
              </w:rPr>
              <w:t>Thank-you for your comments about the TOPCAT trial. The committee was aware of the criticisms of the trial. Limitations of this trial are discussed in evidence reviews Band D; these are reflected in the committee’s decision-making.</w:t>
            </w:r>
          </w:p>
          <w:p w14:paraId="3C0AF76C" w14:textId="0D7E50D1" w:rsidR="00897293" w:rsidRPr="00CC6553" w:rsidRDefault="00897293" w:rsidP="476BDDBF">
            <w:pPr>
              <w:rPr>
                <w:rFonts w:cs="Arial"/>
                <w:color w:val="000000" w:themeColor="text1"/>
                <w:sz w:val="20"/>
              </w:rPr>
            </w:pPr>
          </w:p>
          <w:p w14:paraId="0B23F0C0" w14:textId="072D763B" w:rsidR="00897293" w:rsidRPr="00CC6553" w:rsidRDefault="00897293" w:rsidP="476BDDBF">
            <w:pPr>
              <w:rPr>
                <w:rFonts w:eastAsia="Arial" w:cs="Arial"/>
                <w:color w:val="000000" w:themeColor="text1"/>
                <w:szCs w:val="22"/>
              </w:rPr>
            </w:pPr>
            <w:r w:rsidRPr="00CC6553">
              <w:rPr>
                <w:rFonts w:cs="Arial"/>
                <w:color w:val="000000" w:themeColor="text1"/>
                <w:sz w:val="20"/>
              </w:rPr>
              <w:t>To address the limitations of the TOPCAT trials, separate analyses using TOPCAT data from the Americas region only were also presented to the committee to inform their discussions. The approach taken to the TOPCAT Americas data is summarised in p30 of evidence review B.</w:t>
            </w:r>
          </w:p>
          <w:p w14:paraId="4DC11465" w14:textId="77777777" w:rsidR="00897293" w:rsidRPr="00CC6553" w:rsidRDefault="00897293" w:rsidP="001C3AF0">
            <w:pPr>
              <w:rPr>
                <w:rFonts w:cs="Arial"/>
                <w:color w:val="000000" w:themeColor="text1"/>
                <w:sz w:val="20"/>
              </w:rPr>
            </w:pPr>
          </w:p>
          <w:p w14:paraId="3352E31F" w14:textId="6A80B27D" w:rsidR="00897293" w:rsidRPr="00CC6553" w:rsidRDefault="00897293" w:rsidP="00264FBF">
            <w:pPr>
              <w:rPr>
                <w:rFonts w:eastAsia="Arial" w:cs="Arial"/>
                <w:color w:val="000000" w:themeColor="text1"/>
                <w:sz w:val="20"/>
              </w:rPr>
            </w:pPr>
            <w:r w:rsidRPr="00CC6553">
              <w:rPr>
                <w:rFonts w:cs="Arial"/>
                <w:color w:val="000000" w:themeColor="text1"/>
                <w:sz w:val="20"/>
              </w:rPr>
              <w:t xml:space="preserve">The recommendation for MRAs for patients with CHF and preserved rejection fraction is a ’consider' recommendation rather than an ‘offer' recommendation </w:t>
            </w:r>
            <w:r w:rsidRPr="00CC6553">
              <w:rPr>
                <w:rFonts w:eastAsia="Arial" w:cs="Arial"/>
                <w:color w:val="000000" w:themeColor="text1"/>
                <w:sz w:val="20"/>
              </w:rPr>
              <w:t>due to the limited size of the evidence base. This is summarised in p20 of evidence report D.</w:t>
            </w:r>
          </w:p>
          <w:p w14:paraId="6D8D8360" w14:textId="034A7123" w:rsidR="00897293" w:rsidRPr="00CC6553" w:rsidRDefault="00897293" w:rsidP="00456305">
            <w:pPr>
              <w:rPr>
                <w:color w:val="000000" w:themeColor="text1"/>
              </w:rPr>
            </w:pPr>
          </w:p>
        </w:tc>
      </w:tr>
      <w:tr w:rsidR="00897293" w:rsidRPr="00CC6553" w14:paraId="4B75E5C9" w14:textId="77777777" w:rsidTr="00897293">
        <w:trPr>
          <w:trHeight w:val="300"/>
        </w:trPr>
        <w:tc>
          <w:tcPr>
            <w:tcW w:w="109" w:type="pct"/>
          </w:tcPr>
          <w:p w14:paraId="3E00B49A"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137</w:t>
            </w:r>
          </w:p>
        </w:tc>
        <w:tc>
          <w:tcPr>
            <w:tcW w:w="143" w:type="pct"/>
          </w:tcPr>
          <w:p w14:paraId="3C1D4951" w14:textId="2B3529E3"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4A928C4E" w14:textId="3194C03C" w:rsidR="00897293" w:rsidRPr="00CC6553" w:rsidRDefault="00897293" w:rsidP="005271BB">
            <w:pPr>
              <w:rPr>
                <w:rFonts w:cs="Arial"/>
                <w:bCs/>
                <w:iCs/>
                <w:color w:val="000000" w:themeColor="text1"/>
                <w:sz w:val="20"/>
              </w:rPr>
            </w:pPr>
            <w:r w:rsidRPr="00CC6553">
              <w:rPr>
                <w:rFonts w:cs="Arial"/>
                <w:color w:val="000000" w:themeColor="text1"/>
                <w:sz w:val="20"/>
              </w:rPr>
              <w:t xml:space="preserve">British Association </w:t>
            </w:r>
            <w:r w:rsidRPr="00CC6553">
              <w:rPr>
                <w:rFonts w:cs="Arial"/>
                <w:color w:val="000000" w:themeColor="text1"/>
                <w:sz w:val="20"/>
              </w:rPr>
              <w:lastRenderedPageBreak/>
              <w:t>for Nursing in Cardiovascular Care (BANCC)</w:t>
            </w:r>
          </w:p>
        </w:tc>
        <w:tc>
          <w:tcPr>
            <w:tcW w:w="279" w:type="pct"/>
          </w:tcPr>
          <w:p w14:paraId="731D6B0B" w14:textId="329F7E50" w:rsidR="00897293" w:rsidRPr="00CC6553" w:rsidRDefault="00897293" w:rsidP="005271BB">
            <w:pPr>
              <w:rPr>
                <w:rFonts w:cs="Arial"/>
                <w:color w:val="000000" w:themeColor="text1"/>
                <w:sz w:val="20"/>
              </w:rPr>
            </w:pPr>
            <w:r w:rsidRPr="00CC6553">
              <w:rPr>
                <w:rFonts w:cs="Arial"/>
                <w:color w:val="000000" w:themeColor="text1"/>
                <w:sz w:val="20"/>
              </w:rPr>
              <w:lastRenderedPageBreak/>
              <w:t>Guideline</w:t>
            </w:r>
          </w:p>
        </w:tc>
        <w:tc>
          <w:tcPr>
            <w:tcW w:w="214" w:type="pct"/>
          </w:tcPr>
          <w:p w14:paraId="4AA0759D" w14:textId="2BBD859A" w:rsidR="00897293" w:rsidRPr="00CC6553" w:rsidRDefault="00897293" w:rsidP="005271BB">
            <w:pPr>
              <w:rPr>
                <w:rFonts w:cs="Arial"/>
                <w:color w:val="000000" w:themeColor="text1"/>
                <w:sz w:val="20"/>
              </w:rPr>
            </w:pPr>
            <w:r w:rsidRPr="00CC6553">
              <w:rPr>
                <w:rFonts w:cs="Arial"/>
                <w:color w:val="000000" w:themeColor="text1"/>
                <w:sz w:val="20"/>
              </w:rPr>
              <w:t>014</w:t>
            </w:r>
          </w:p>
        </w:tc>
        <w:tc>
          <w:tcPr>
            <w:tcW w:w="214" w:type="pct"/>
          </w:tcPr>
          <w:p w14:paraId="08CCE22D" w14:textId="20BB23D0" w:rsidR="00897293" w:rsidRPr="00CC6553" w:rsidRDefault="00897293" w:rsidP="005271BB">
            <w:pPr>
              <w:rPr>
                <w:rFonts w:cs="Arial"/>
                <w:color w:val="000000" w:themeColor="text1"/>
                <w:sz w:val="20"/>
              </w:rPr>
            </w:pPr>
            <w:r w:rsidRPr="00CC6553">
              <w:rPr>
                <w:rFonts w:cs="Arial"/>
                <w:color w:val="000000" w:themeColor="text1"/>
                <w:sz w:val="20"/>
              </w:rPr>
              <w:t>005</w:t>
            </w:r>
          </w:p>
        </w:tc>
        <w:tc>
          <w:tcPr>
            <w:tcW w:w="1521" w:type="pct"/>
          </w:tcPr>
          <w:p w14:paraId="370D9F88" w14:textId="4659A540" w:rsidR="00897293" w:rsidRPr="00CC6553" w:rsidRDefault="00897293" w:rsidP="005271BB">
            <w:pPr>
              <w:rPr>
                <w:rFonts w:cs="Arial"/>
                <w:color w:val="000000" w:themeColor="text1"/>
                <w:sz w:val="20"/>
              </w:rPr>
            </w:pPr>
            <w:r w:rsidRPr="00CC6553">
              <w:rPr>
                <w:rFonts w:cs="Arial"/>
                <w:color w:val="000000" w:themeColor="text1"/>
                <w:sz w:val="20"/>
              </w:rPr>
              <w:t>Recommendation for MRAs and SGLT2i in HFpEF should be clearer given the evidence for improved outcomes</w:t>
            </w:r>
          </w:p>
        </w:tc>
        <w:tc>
          <w:tcPr>
            <w:tcW w:w="2122" w:type="pct"/>
          </w:tcPr>
          <w:p w14:paraId="143D7B6F" w14:textId="77777777" w:rsidR="00897293" w:rsidRPr="00CC6553" w:rsidRDefault="00897293" w:rsidP="476BDDBF">
            <w:pPr>
              <w:pStyle w:val="Heading1"/>
              <w:rPr>
                <w:rFonts w:cs="Arial"/>
                <w:color w:val="000000" w:themeColor="text1"/>
                <w:sz w:val="20"/>
              </w:rPr>
            </w:pPr>
            <w:r w:rsidRPr="00CC6553">
              <w:rPr>
                <w:rFonts w:cs="Arial"/>
                <w:b w:val="0"/>
                <w:bCs w:val="0"/>
                <w:color w:val="000000" w:themeColor="text1"/>
                <w:sz w:val="20"/>
              </w:rPr>
              <w:t xml:space="preserve">Thank you for your comment.  The committee have removed reference </w:t>
            </w:r>
            <w:r w:rsidRPr="00CC6553">
              <w:rPr>
                <w:rFonts w:cs="Arial"/>
                <w:b w:val="0"/>
                <w:bCs w:val="0"/>
                <w:color w:val="000000" w:themeColor="text1"/>
                <w:sz w:val="20"/>
              </w:rPr>
              <w:lastRenderedPageBreak/>
              <w:t>to SGLT2 inhibitors from the recommendation but cross-refer to TA929 and TA902.</w:t>
            </w:r>
          </w:p>
          <w:p w14:paraId="2BF5564D" w14:textId="02B0E762" w:rsidR="00897293" w:rsidRPr="00CC6553" w:rsidRDefault="00897293" w:rsidP="005F278B">
            <w:pPr>
              <w:rPr>
                <w:rFonts w:cs="Arial"/>
                <w:color w:val="000000" w:themeColor="text1"/>
                <w:sz w:val="20"/>
              </w:rPr>
            </w:pPr>
            <w:r w:rsidRPr="00CC6553">
              <w:rPr>
                <w:rFonts w:cs="Arial"/>
                <w:color w:val="000000" w:themeColor="text1"/>
                <w:sz w:val="20"/>
              </w:rPr>
              <w:t xml:space="preserve">  </w:t>
            </w:r>
          </w:p>
          <w:p w14:paraId="27D7BFA6" w14:textId="664C49D0" w:rsidR="00897293" w:rsidRPr="00CC6553" w:rsidRDefault="00897293" w:rsidP="001C3AF0">
            <w:pPr>
              <w:rPr>
                <w:rFonts w:eastAsia="Arial" w:cs="Arial"/>
                <w:color w:val="000000" w:themeColor="text1"/>
                <w:sz w:val="20"/>
              </w:rPr>
            </w:pPr>
            <w:r w:rsidRPr="00CC6553">
              <w:rPr>
                <w:rFonts w:cs="Arial"/>
                <w:color w:val="000000" w:themeColor="text1"/>
                <w:sz w:val="20"/>
              </w:rPr>
              <w:t xml:space="preserve">The recommendation for MRAs for patients with CHF and preserved rejection fraction is a ’consider' recommendation rather than an ‘offer' recommendation </w:t>
            </w:r>
            <w:r w:rsidRPr="00CC6553">
              <w:rPr>
                <w:rFonts w:eastAsia="Arial" w:cs="Arial"/>
                <w:color w:val="000000" w:themeColor="text1"/>
                <w:sz w:val="20"/>
              </w:rPr>
              <w:t>due to the limited size of the evidence base. This is summarised in p20 of evidence report D.</w:t>
            </w:r>
          </w:p>
          <w:p w14:paraId="20ADED50" w14:textId="77777777" w:rsidR="00897293" w:rsidRPr="00CC6553" w:rsidRDefault="00897293" w:rsidP="005271BB">
            <w:pPr>
              <w:pStyle w:val="Heading1"/>
              <w:rPr>
                <w:rFonts w:cs="Arial"/>
                <w:b w:val="0"/>
                <w:color w:val="000000" w:themeColor="text1"/>
                <w:sz w:val="20"/>
              </w:rPr>
            </w:pPr>
          </w:p>
        </w:tc>
      </w:tr>
      <w:tr w:rsidR="00897293" w:rsidRPr="00CC6553" w14:paraId="458A83BF" w14:textId="77777777" w:rsidTr="00897293">
        <w:trPr>
          <w:trHeight w:val="300"/>
        </w:trPr>
        <w:tc>
          <w:tcPr>
            <w:tcW w:w="109" w:type="pct"/>
          </w:tcPr>
          <w:p w14:paraId="04FD340D"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138</w:t>
            </w:r>
          </w:p>
        </w:tc>
        <w:tc>
          <w:tcPr>
            <w:tcW w:w="143" w:type="pct"/>
          </w:tcPr>
          <w:p w14:paraId="00C29D02" w14:textId="7825550C"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450E17BD" w14:textId="4B3CB488" w:rsidR="00897293" w:rsidRPr="00CC6553" w:rsidRDefault="00897293" w:rsidP="005271BB">
            <w:pPr>
              <w:rPr>
                <w:rFonts w:cs="Arial"/>
                <w:bCs/>
                <w:iCs/>
                <w:color w:val="000000" w:themeColor="text1"/>
                <w:sz w:val="20"/>
              </w:rPr>
            </w:pPr>
            <w:r w:rsidRPr="00CC6553">
              <w:rPr>
                <w:rFonts w:cs="Arial"/>
                <w:color w:val="000000" w:themeColor="text1"/>
                <w:sz w:val="20"/>
              </w:rPr>
              <w:t>British Association for Nursing in Cardiovascular Care (BANCC)</w:t>
            </w:r>
          </w:p>
        </w:tc>
        <w:tc>
          <w:tcPr>
            <w:tcW w:w="279" w:type="pct"/>
          </w:tcPr>
          <w:p w14:paraId="48B18879" w14:textId="72E692F4"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5DCD74F4" w14:textId="12A09AC5" w:rsidR="00897293" w:rsidRPr="00CC6553" w:rsidRDefault="00897293" w:rsidP="005271BB">
            <w:pPr>
              <w:rPr>
                <w:rFonts w:cs="Arial"/>
                <w:color w:val="000000" w:themeColor="text1"/>
                <w:sz w:val="20"/>
              </w:rPr>
            </w:pPr>
            <w:r w:rsidRPr="00CC6553">
              <w:rPr>
                <w:rFonts w:cs="Arial"/>
                <w:color w:val="000000" w:themeColor="text1"/>
                <w:sz w:val="20"/>
              </w:rPr>
              <w:t>014</w:t>
            </w:r>
          </w:p>
        </w:tc>
        <w:tc>
          <w:tcPr>
            <w:tcW w:w="214" w:type="pct"/>
          </w:tcPr>
          <w:p w14:paraId="2E0C9D2B" w14:textId="365E426C" w:rsidR="00897293" w:rsidRPr="00CC6553" w:rsidRDefault="00897293" w:rsidP="005271BB">
            <w:pPr>
              <w:rPr>
                <w:rFonts w:cs="Arial"/>
                <w:color w:val="000000" w:themeColor="text1"/>
                <w:sz w:val="20"/>
              </w:rPr>
            </w:pPr>
            <w:r w:rsidRPr="00CC6553">
              <w:rPr>
                <w:rFonts w:cs="Arial"/>
                <w:color w:val="000000" w:themeColor="text1"/>
                <w:sz w:val="20"/>
              </w:rPr>
              <w:t>005</w:t>
            </w:r>
          </w:p>
        </w:tc>
        <w:tc>
          <w:tcPr>
            <w:tcW w:w="1521" w:type="pct"/>
          </w:tcPr>
          <w:p w14:paraId="34F63D02" w14:textId="16B89F6E" w:rsidR="00897293" w:rsidRPr="00CC6553" w:rsidRDefault="00897293" w:rsidP="005271BB">
            <w:pPr>
              <w:rPr>
                <w:rFonts w:cs="Arial"/>
                <w:color w:val="000000" w:themeColor="text1"/>
                <w:sz w:val="20"/>
              </w:rPr>
            </w:pPr>
            <w:r w:rsidRPr="00CC6553">
              <w:rPr>
                <w:rFonts w:cs="Arial"/>
                <w:color w:val="000000" w:themeColor="text1"/>
                <w:sz w:val="20"/>
              </w:rPr>
              <w:t xml:space="preserve">We know that many specialist heart failure teams still do not have provision for HFpEF. A welcome addition would have been to highlight the diagnostic criteria for HFpEF and some of the complexities around this. </w:t>
            </w:r>
            <w:r w:rsidRPr="00CC6553">
              <w:rPr>
                <w:rFonts w:cs="Arial"/>
                <w:color w:val="000000" w:themeColor="text1"/>
                <w:sz w:val="20"/>
              </w:rPr>
              <w:br/>
            </w:r>
            <w:r w:rsidRPr="00CC6553">
              <w:rPr>
                <w:rFonts w:cs="Arial"/>
                <w:color w:val="000000" w:themeColor="text1"/>
                <w:sz w:val="20"/>
              </w:rPr>
              <w:br/>
              <w:t>It would be beneficial for the guideline to advise that where there is no commissioning for HFpEF the ICB/ health boards are expected to address/ review. There is significant inequity on provision of services for HFpEF</w:t>
            </w:r>
          </w:p>
        </w:tc>
        <w:tc>
          <w:tcPr>
            <w:tcW w:w="2122" w:type="pct"/>
          </w:tcPr>
          <w:p w14:paraId="658F4D04" w14:textId="14469A2D"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 xml:space="preserve">Thank you for your comment.  Thank you for your comment.  The scope of this update was the pharmacological management of chronic heart failure </w:t>
            </w:r>
            <w:hyperlink r:id="rId23" w:history="1">
              <w:r w:rsidRPr="00CC6553">
                <w:rPr>
                  <w:rStyle w:val="Hyperlink"/>
                  <w:rFonts w:cs="Arial"/>
                  <w:b w:val="0"/>
                  <w:color w:val="000000" w:themeColor="text1"/>
                  <w:sz w:val="20"/>
                </w:rPr>
                <w:t>https://www.nice.org.uk/guidance/gid-ng10405/documents/final-scope</w:t>
              </w:r>
            </w:hyperlink>
            <w:r w:rsidRPr="00CC6553">
              <w:rPr>
                <w:rFonts w:cs="Arial"/>
                <w:b w:val="0"/>
                <w:color w:val="000000" w:themeColor="text1"/>
                <w:sz w:val="20"/>
              </w:rPr>
              <w:t xml:space="preserve"> and the committee were therefore unable to make recommendations on the diagnosis of HFpEF or the commissioning of services.</w:t>
            </w:r>
          </w:p>
        </w:tc>
      </w:tr>
      <w:tr w:rsidR="00897293" w:rsidRPr="00CC6553" w14:paraId="33641E48" w14:textId="77777777" w:rsidTr="00897293">
        <w:trPr>
          <w:trHeight w:val="300"/>
        </w:trPr>
        <w:tc>
          <w:tcPr>
            <w:tcW w:w="109" w:type="pct"/>
          </w:tcPr>
          <w:p w14:paraId="6DED0270" w14:textId="77777777" w:rsidR="00897293" w:rsidRPr="00CC6553" w:rsidRDefault="00897293" w:rsidP="005271BB">
            <w:pPr>
              <w:rPr>
                <w:rFonts w:cs="Arial"/>
                <w:color w:val="000000" w:themeColor="text1"/>
                <w:sz w:val="20"/>
              </w:rPr>
            </w:pPr>
            <w:r w:rsidRPr="00CC6553">
              <w:rPr>
                <w:rFonts w:cs="Arial"/>
                <w:color w:val="000000" w:themeColor="text1"/>
                <w:sz w:val="20"/>
              </w:rPr>
              <w:t>139</w:t>
            </w:r>
          </w:p>
        </w:tc>
        <w:tc>
          <w:tcPr>
            <w:tcW w:w="143" w:type="pct"/>
          </w:tcPr>
          <w:p w14:paraId="38836A8A" w14:textId="45918566"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249B00AF" w14:textId="7AB76A13" w:rsidR="00897293" w:rsidRPr="00CC6553" w:rsidRDefault="00897293" w:rsidP="005271BB">
            <w:pPr>
              <w:rPr>
                <w:rFonts w:cs="Arial"/>
                <w:bCs/>
                <w:iCs/>
                <w:color w:val="000000" w:themeColor="text1"/>
                <w:sz w:val="20"/>
              </w:rPr>
            </w:pPr>
            <w:r w:rsidRPr="00CC6553">
              <w:rPr>
                <w:rFonts w:cs="Arial"/>
                <w:color w:val="000000" w:themeColor="text1"/>
                <w:sz w:val="20"/>
              </w:rPr>
              <w:t>British Association for Nursing in Cardiovascular Care (BANCC)</w:t>
            </w:r>
          </w:p>
        </w:tc>
        <w:tc>
          <w:tcPr>
            <w:tcW w:w="279" w:type="pct"/>
          </w:tcPr>
          <w:p w14:paraId="6975F72A" w14:textId="696D5ACE"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6D97EBEF" w14:textId="23416D13" w:rsidR="00897293" w:rsidRPr="00CC6553" w:rsidRDefault="00897293" w:rsidP="005271BB">
            <w:pPr>
              <w:rPr>
                <w:rFonts w:cs="Arial"/>
                <w:color w:val="000000" w:themeColor="text1"/>
                <w:sz w:val="20"/>
              </w:rPr>
            </w:pPr>
            <w:r w:rsidRPr="00CC6553">
              <w:rPr>
                <w:rFonts w:cs="Arial"/>
                <w:color w:val="000000" w:themeColor="text1"/>
                <w:sz w:val="20"/>
              </w:rPr>
              <w:t>014</w:t>
            </w:r>
          </w:p>
        </w:tc>
        <w:tc>
          <w:tcPr>
            <w:tcW w:w="214" w:type="pct"/>
          </w:tcPr>
          <w:p w14:paraId="78431C51" w14:textId="20023C62" w:rsidR="00897293" w:rsidRPr="00CC6553" w:rsidRDefault="00897293" w:rsidP="005271BB">
            <w:pPr>
              <w:rPr>
                <w:rFonts w:cs="Arial"/>
                <w:color w:val="000000" w:themeColor="text1"/>
                <w:sz w:val="20"/>
              </w:rPr>
            </w:pPr>
            <w:r w:rsidRPr="00CC6553">
              <w:rPr>
                <w:rFonts w:cs="Arial"/>
                <w:color w:val="000000" w:themeColor="text1"/>
                <w:sz w:val="20"/>
              </w:rPr>
              <w:t>005</w:t>
            </w:r>
          </w:p>
        </w:tc>
        <w:tc>
          <w:tcPr>
            <w:tcW w:w="1521" w:type="pct"/>
          </w:tcPr>
          <w:p w14:paraId="41A2503A" w14:textId="10D34436" w:rsidR="00897293" w:rsidRPr="00CC6553" w:rsidRDefault="00897293" w:rsidP="005271BB">
            <w:pPr>
              <w:rPr>
                <w:rFonts w:cs="Arial"/>
                <w:color w:val="000000" w:themeColor="text1"/>
                <w:sz w:val="20"/>
              </w:rPr>
            </w:pPr>
            <w:r w:rsidRPr="00CC6553">
              <w:rPr>
                <w:rFonts w:cs="Arial"/>
                <w:color w:val="000000" w:themeColor="text1"/>
                <w:sz w:val="20"/>
              </w:rPr>
              <w:t>We should avoid grouping all MRA together for HFpEF:</w:t>
            </w:r>
            <w:r w:rsidRPr="00CC6553">
              <w:rPr>
                <w:rFonts w:cs="Arial"/>
                <w:color w:val="000000" w:themeColor="text1"/>
                <w:sz w:val="20"/>
              </w:rPr>
              <w:br/>
            </w:r>
            <w:r w:rsidRPr="00CC6553">
              <w:rPr>
                <w:rFonts w:cs="Arial"/>
                <w:color w:val="000000" w:themeColor="text1"/>
                <w:sz w:val="20"/>
              </w:rPr>
              <w:br/>
              <w:t>Spironolactone and Eplerenone are not licensed for use in HFpEF</w:t>
            </w:r>
            <w:r w:rsidRPr="00CC6553">
              <w:rPr>
                <w:rFonts w:cs="Arial"/>
                <w:color w:val="000000" w:themeColor="text1"/>
                <w:sz w:val="20"/>
              </w:rPr>
              <w:br/>
              <w:t xml:space="preserve">Eplerenone is only licensed for HF with EF &lt;40% with an SMPC based on EMPHASIS and EPHESUS. Spironolactone is licensed for ‘Congestive heart failure’ with an SMPC based on RALES, where EF was &lt;35%. Aldactone (Pfizer spiro) is licensed for EF &lt;40%. </w:t>
            </w:r>
            <w:r w:rsidRPr="00CC6553">
              <w:rPr>
                <w:rFonts w:cs="Arial"/>
                <w:color w:val="000000" w:themeColor="text1"/>
                <w:sz w:val="20"/>
              </w:rPr>
              <w:br/>
            </w:r>
            <w:r w:rsidRPr="00CC6553">
              <w:rPr>
                <w:rFonts w:cs="Arial"/>
                <w:color w:val="000000" w:themeColor="text1"/>
                <w:sz w:val="20"/>
              </w:rPr>
              <w:br/>
              <w:t xml:space="preserve">There is now evidence for the cardiorenalmetabolic benefit exhibited by </w:t>
            </w:r>
            <w:r w:rsidRPr="00CC6553">
              <w:rPr>
                <w:rFonts w:cs="Arial"/>
                <w:color w:val="000000" w:themeColor="text1"/>
                <w:sz w:val="20"/>
              </w:rPr>
              <w:lastRenderedPageBreak/>
              <w:t>Finerenone (which is a likely driver for improved outcomes).</w:t>
            </w:r>
            <w:r w:rsidRPr="00CC6553">
              <w:rPr>
                <w:rFonts w:cs="Arial"/>
                <w:color w:val="000000" w:themeColor="text1"/>
                <w:sz w:val="20"/>
              </w:rPr>
              <w:br/>
              <w:t>In FINEARTS, finerenone reduced new onset DM by 24%, whereas spironolactone worsens glycaemic control and increases HbA1c. This is important as DM doubles CV mortality/HF hospitalisation – (CHARM).</w:t>
            </w:r>
            <w:r w:rsidRPr="00CC6553">
              <w:rPr>
                <w:rFonts w:cs="Arial"/>
                <w:color w:val="000000" w:themeColor="text1"/>
                <w:sz w:val="20"/>
              </w:rPr>
              <w:br/>
              <w:t>FIDELIO showed that finerenone reduced kidney failure/kidney death in pts with CKD and DM, and FIGARO showed improved CV outcomes in DKD, but the BARACK-D trial showed no benefit on CV outcomes for spironolactone in an elderly community population with CKD3b and 2/3 stopped spironolactone by 6 months due to adverse events (1/3 due to worsening renal function).</w:t>
            </w:r>
          </w:p>
        </w:tc>
        <w:tc>
          <w:tcPr>
            <w:tcW w:w="2122" w:type="pct"/>
          </w:tcPr>
          <w:p w14:paraId="30DD1880" w14:textId="4FECF54D" w:rsidR="00897293" w:rsidRPr="00CC6553" w:rsidRDefault="00897293" w:rsidP="476BDDBF">
            <w:pPr>
              <w:pStyle w:val="Heading1"/>
              <w:rPr>
                <w:rFonts w:cs="Arial"/>
                <w:b w:val="0"/>
                <w:bCs w:val="0"/>
                <w:color w:val="000000" w:themeColor="text1"/>
                <w:sz w:val="20"/>
              </w:rPr>
            </w:pPr>
            <w:r w:rsidRPr="00CC6553">
              <w:rPr>
                <w:rFonts w:cs="Arial"/>
                <w:b w:val="0"/>
                <w:bCs w:val="0"/>
                <w:color w:val="000000" w:themeColor="text1"/>
                <w:sz w:val="20"/>
              </w:rPr>
              <w:lastRenderedPageBreak/>
              <w:t>Thank-you for your comments.</w:t>
            </w:r>
            <w:r w:rsidRPr="00CC6553">
              <w:rPr>
                <w:rFonts w:cs="Arial"/>
                <w:color w:val="000000" w:themeColor="text1"/>
                <w:sz w:val="20"/>
              </w:rPr>
              <w:t xml:space="preserve"> </w:t>
            </w:r>
            <w:r w:rsidRPr="00CC6553">
              <w:rPr>
                <w:rFonts w:cs="Arial"/>
                <w:b w:val="0"/>
                <w:bCs w:val="0"/>
                <w:color w:val="000000" w:themeColor="text1"/>
                <w:sz w:val="20"/>
              </w:rPr>
              <w:t xml:space="preserve">The committee agreed to make a medicine class-based recommendation for MRAs. This is in line with the approach taken across this CHF guideline update to consider evidence per class of medicines, rather than split the evidence per individual medicine. </w:t>
            </w:r>
            <w:r w:rsidRPr="00CC6553">
              <w:rPr>
                <w:rFonts w:cs="Arial"/>
                <w:b w:val="0"/>
                <w:bCs w:val="0"/>
                <w:color w:val="000000" w:themeColor="text1"/>
                <w:sz w:val="20"/>
              </w:rPr>
              <w:lastRenderedPageBreak/>
              <w:t>The committee is aware that individual circumstances will feature in clinician’s decisions on exactly which medicine to use. They agreed that clinicians can use their judgement; a sentence has been added to the summary of the committee’s discussion (evidence review D) to reflect this: ‘Clinical judgement is also important when selecting individual medicines to use within a class of medicines, including consideration of differences in side effect profiles’.</w:t>
            </w:r>
          </w:p>
          <w:p w14:paraId="115F8288" w14:textId="77777777" w:rsidR="00897293" w:rsidRPr="00CC6553" w:rsidRDefault="00897293" w:rsidP="00333229">
            <w:pPr>
              <w:rPr>
                <w:color w:val="000000" w:themeColor="text1"/>
              </w:rPr>
            </w:pPr>
          </w:p>
          <w:p w14:paraId="0AAC3401" w14:textId="23759BBC" w:rsidR="00897293" w:rsidRPr="00CC6553" w:rsidRDefault="00897293" w:rsidP="00333229">
            <w:pPr>
              <w:rPr>
                <w:rFonts w:cs="Arial"/>
                <w:color w:val="000000" w:themeColor="text1"/>
                <w:sz w:val="20"/>
              </w:rPr>
            </w:pPr>
            <w:r w:rsidRPr="00CC6553">
              <w:rPr>
                <w:rFonts w:cs="Arial"/>
                <w:color w:val="000000" w:themeColor="text1"/>
                <w:sz w:val="20"/>
              </w:rPr>
              <w:t xml:space="preserve">As eplerenone is licensed for CHF with reduced ejection fraction, we have reconsidered the inclusion of trials investigating eplerenone in evidence review D. </w:t>
            </w:r>
            <w:r>
              <w:rPr>
                <w:rFonts w:cs="Arial"/>
                <w:color w:val="000000" w:themeColor="text1"/>
                <w:sz w:val="20"/>
              </w:rPr>
              <w:t>A</w:t>
            </w:r>
            <w:r w:rsidRPr="00CC6553">
              <w:rPr>
                <w:rFonts w:cs="Arial"/>
                <w:color w:val="000000" w:themeColor="text1"/>
                <w:sz w:val="20"/>
              </w:rPr>
              <w:t>ccordingly</w:t>
            </w:r>
            <w:r>
              <w:rPr>
                <w:rFonts w:cs="Arial"/>
                <w:color w:val="000000" w:themeColor="text1"/>
                <w:sz w:val="20"/>
              </w:rPr>
              <w:t>, t</w:t>
            </w:r>
            <w:r w:rsidRPr="00CC6553">
              <w:rPr>
                <w:rFonts w:cs="Arial"/>
                <w:color w:val="000000" w:themeColor="text1"/>
                <w:sz w:val="20"/>
              </w:rPr>
              <w:t>he evidence review has been amended to remove RCTs</w:t>
            </w:r>
            <w:r>
              <w:rPr>
                <w:rFonts w:cs="Arial"/>
                <w:color w:val="000000" w:themeColor="text1"/>
                <w:sz w:val="20"/>
              </w:rPr>
              <w:t xml:space="preserve"> investigating eplerenone.</w:t>
            </w:r>
          </w:p>
          <w:p w14:paraId="0B53B05B" w14:textId="77777777" w:rsidR="00897293" w:rsidRPr="00CC6553" w:rsidRDefault="00897293" w:rsidP="00333229">
            <w:pPr>
              <w:rPr>
                <w:rFonts w:cs="Arial"/>
                <w:color w:val="000000" w:themeColor="text1"/>
                <w:sz w:val="20"/>
              </w:rPr>
            </w:pPr>
          </w:p>
          <w:p w14:paraId="24A14A0F" w14:textId="77777777" w:rsidR="00897293" w:rsidRPr="00CC6553" w:rsidRDefault="00897293" w:rsidP="00333229">
            <w:pPr>
              <w:rPr>
                <w:rFonts w:cs="Arial"/>
                <w:color w:val="000000" w:themeColor="text1"/>
                <w:sz w:val="20"/>
              </w:rPr>
            </w:pPr>
            <w:r w:rsidRPr="00CC6553">
              <w:rPr>
                <w:rFonts w:cs="Arial"/>
                <w:color w:val="000000" w:themeColor="text1"/>
                <w:sz w:val="20"/>
              </w:rPr>
              <w:t>The committee was comfortable with licensing for ‘congestive heart failure’ for spironolactone and this has been included as a relevant MRA intervention in evidence reviews B and D.</w:t>
            </w:r>
          </w:p>
          <w:p w14:paraId="3D48775A" w14:textId="77777777" w:rsidR="00897293" w:rsidRPr="00CC6553" w:rsidRDefault="00897293" w:rsidP="00333229">
            <w:pPr>
              <w:rPr>
                <w:rFonts w:cs="Arial"/>
                <w:color w:val="000000" w:themeColor="text1"/>
                <w:sz w:val="20"/>
              </w:rPr>
            </w:pPr>
          </w:p>
          <w:p w14:paraId="4339E650" w14:textId="2B8B6B11" w:rsidR="00897293" w:rsidRPr="00CC6553" w:rsidRDefault="00897293" w:rsidP="00333229">
            <w:pPr>
              <w:rPr>
                <w:rFonts w:cs="Arial"/>
                <w:color w:val="000000" w:themeColor="text1"/>
                <w:sz w:val="20"/>
              </w:rPr>
            </w:pPr>
            <w:r w:rsidRPr="00CC6553">
              <w:rPr>
                <w:rFonts w:cs="Arial"/>
                <w:color w:val="000000" w:themeColor="text1"/>
                <w:sz w:val="20"/>
              </w:rPr>
              <w:lastRenderedPageBreak/>
              <w:t>Thank-you for highlighting the cardiorenalmetabolic evidence related to finerenone. These outcomes were not in the see appendix A evidence review D.</w:t>
            </w:r>
          </w:p>
          <w:p w14:paraId="0AECA434" w14:textId="48941E52" w:rsidR="00897293" w:rsidRPr="00CC6553" w:rsidRDefault="00897293" w:rsidP="00333229">
            <w:pPr>
              <w:rPr>
                <w:color w:val="000000" w:themeColor="text1"/>
              </w:rPr>
            </w:pPr>
          </w:p>
        </w:tc>
      </w:tr>
      <w:tr w:rsidR="00897293" w:rsidRPr="00CC6553" w14:paraId="74F11C29" w14:textId="77777777" w:rsidTr="00897293">
        <w:trPr>
          <w:trHeight w:val="300"/>
        </w:trPr>
        <w:tc>
          <w:tcPr>
            <w:tcW w:w="109" w:type="pct"/>
          </w:tcPr>
          <w:p w14:paraId="22EA7D42"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140</w:t>
            </w:r>
          </w:p>
        </w:tc>
        <w:tc>
          <w:tcPr>
            <w:tcW w:w="143" w:type="pct"/>
          </w:tcPr>
          <w:p w14:paraId="18D4234C" w14:textId="13EC7F78"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1D5AD7AE" w14:textId="72E2ECBE" w:rsidR="00897293" w:rsidRPr="00CC6553" w:rsidRDefault="00897293" w:rsidP="005271BB">
            <w:pPr>
              <w:rPr>
                <w:rFonts w:cs="Arial"/>
                <w:bCs/>
                <w:iCs/>
                <w:color w:val="000000" w:themeColor="text1"/>
                <w:sz w:val="20"/>
              </w:rPr>
            </w:pPr>
            <w:r w:rsidRPr="00CC6553">
              <w:rPr>
                <w:rFonts w:cs="Arial"/>
                <w:color w:val="000000" w:themeColor="text1"/>
                <w:sz w:val="20"/>
              </w:rPr>
              <w:t>British Society for Heart Failure (BSHF)</w:t>
            </w:r>
          </w:p>
        </w:tc>
        <w:tc>
          <w:tcPr>
            <w:tcW w:w="279" w:type="pct"/>
          </w:tcPr>
          <w:p w14:paraId="4110E31C" w14:textId="06A1202D"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3FE58C27" w14:textId="6E5C083B" w:rsidR="00897293" w:rsidRPr="00CC6553" w:rsidRDefault="00897293" w:rsidP="005271BB">
            <w:pPr>
              <w:rPr>
                <w:rFonts w:cs="Arial"/>
                <w:color w:val="000000" w:themeColor="text1"/>
                <w:sz w:val="20"/>
              </w:rPr>
            </w:pPr>
            <w:r w:rsidRPr="00CC6553">
              <w:rPr>
                <w:rFonts w:cs="Arial"/>
                <w:color w:val="000000" w:themeColor="text1"/>
                <w:sz w:val="20"/>
              </w:rPr>
              <w:t>014</w:t>
            </w:r>
          </w:p>
        </w:tc>
        <w:tc>
          <w:tcPr>
            <w:tcW w:w="214" w:type="pct"/>
          </w:tcPr>
          <w:p w14:paraId="643E8BFB" w14:textId="5BB4ADE0" w:rsidR="00897293" w:rsidRPr="00CC6553" w:rsidRDefault="00897293" w:rsidP="005271BB">
            <w:pPr>
              <w:rPr>
                <w:rFonts w:cs="Arial"/>
                <w:color w:val="000000" w:themeColor="text1"/>
                <w:sz w:val="20"/>
              </w:rPr>
            </w:pPr>
            <w:r w:rsidRPr="00CC6553">
              <w:rPr>
                <w:rFonts w:cs="Arial"/>
                <w:color w:val="000000" w:themeColor="text1"/>
                <w:sz w:val="20"/>
              </w:rPr>
              <w:t>005</w:t>
            </w:r>
          </w:p>
        </w:tc>
        <w:tc>
          <w:tcPr>
            <w:tcW w:w="1521" w:type="pct"/>
          </w:tcPr>
          <w:p w14:paraId="4E8D17E4" w14:textId="3D7F60B0" w:rsidR="00897293" w:rsidRPr="00CC6553" w:rsidRDefault="00897293" w:rsidP="005271BB">
            <w:pPr>
              <w:rPr>
                <w:rFonts w:cs="Arial"/>
                <w:color w:val="000000" w:themeColor="text1"/>
                <w:sz w:val="20"/>
              </w:rPr>
            </w:pPr>
            <w:r w:rsidRPr="00CC6553">
              <w:rPr>
                <w:rFonts w:cs="Arial"/>
                <w:color w:val="000000" w:themeColor="text1"/>
                <w:sz w:val="20"/>
              </w:rPr>
              <w:t>Wording not strong enough for these prognostically beneficial therapies to treat a condition which does not have any other treatments and in the absence of which these patients suffer from poor quality of life, frequent hospitalisations and increased mortality.  Please consider rewording to “Offer SGLT2i and MRA.”</w:t>
            </w:r>
            <w:r w:rsidRPr="00CC6553">
              <w:rPr>
                <w:rFonts w:cs="Arial"/>
                <w:color w:val="000000" w:themeColor="text1"/>
                <w:sz w:val="20"/>
              </w:rPr>
              <w:br/>
              <w:t>People with HFpEF also frequently have other long term health conditions such as type 2 diabetes, chronic kidney disease and obesity. Consider GLP1 receptor agonists for the management of these conditions (in line with existing NICE guidance) and also improved outcomes of HFpEF.</w:t>
            </w:r>
          </w:p>
        </w:tc>
        <w:tc>
          <w:tcPr>
            <w:tcW w:w="2122" w:type="pct"/>
          </w:tcPr>
          <w:p w14:paraId="0164945F" w14:textId="77777777" w:rsidR="00897293" w:rsidRPr="00CC6553" w:rsidRDefault="00897293" w:rsidP="476BDDBF">
            <w:pPr>
              <w:pStyle w:val="Heading1"/>
              <w:rPr>
                <w:rFonts w:cs="Arial"/>
                <w:color w:val="000000" w:themeColor="text1"/>
                <w:sz w:val="20"/>
              </w:rPr>
            </w:pPr>
            <w:r w:rsidRPr="00CC6553">
              <w:rPr>
                <w:rFonts w:cs="Arial"/>
                <w:b w:val="0"/>
                <w:bCs w:val="0"/>
                <w:color w:val="000000" w:themeColor="text1"/>
                <w:sz w:val="20"/>
              </w:rPr>
              <w:t>Thank you for your comment.  The committee have removed reference to SGLT2 inhibitors from the recommendation but cross-refer to TA929 and TA902.</w:t>
            </w:r>
          </w:p>
          <w:p w14:paraId="0A9CBEDB" w14:textId="77777777" w:rsidR="00897293" w:rsidRPr="00CC6553" w:rsidRDefault="00897293" w:rsidP="00DA3E5D">
            <w:pPr>
              <w:rPr>
                <w:rFonts w:cs="Arial"/>
                <w:color w:val="000000" w:themeColor="text1"/>
                <w:sz w:val="20"/>
              </w:rPr>
            </w:pPr>
          </w:p>
          <w:p w14:paraId="3A528FD5" w14:textId="17B899B1" w:rsidR="00897293" w:rsidRPr="00CC6553" w:rsidRDefault="00897293" w:rsidP="00DA3E5D">
            <w:pPr>
              <w:rPr>
                <w:rFonts w:eastAsia="Arial" w:cs="Arial"/>
                <w:color w:val="000000" w:themeColor="text1"/>
                <w:sz w:val="20"/>
              </w:rPr>
            </w:pPr>
            <w:r w:rsidRPr="00CC6553">
              <w:rPr>
                <w:rFonts w:cs="Arial"/>
                <w:color w:val="000000" w:themeColor="text1"/>
                <w:sz w:val="20"/>
              </w:rPr>
              <w:t xml:space="preserve">The recommendation for MRAs for patients with CHF and preserved rejection fraction is a ’consider' recommendation rather than an ‘offer' recommendation </w:t>
            </w:r>
            <w:r w:rsidRPr="00CC6553">
              <w:rPr>
                <w:rFonts w:eastAsia="Arial" w:cs="Arial"/>
                <w:color w:val="000000" w:themeColor="text1"/>
                <w:sz w:val="20"/>
              </w:rPr>
              <w:t>due to the limited size of the evidence base. This is summarised in p20 of evidence report D.</w:t>
            </w:r>
          </w:p>
          <w:p w14:paraId="0C64AD2B" w14:textId="77777777" w:rsidR="00897293" w:rsidRPr="00CC6553" w:rsidRDefault="00897293" w:rsidP="00DA3E5D">
            <w:pPr>
              <w:rPr>
                <w:rFonts w:eastAsia="Arial" w:cs="Arial"/>
                <w:color w:val="000000" w:themeColor="text1"/>
                <w:sz w:val="20"/>
              </w:rPr>
            </w:pPr>
          </w:p>
          <w:p w14:paraId="15DA5B66" w14:textId="0D54110F" w:rsidR="00897293" w:rsidRPr="00CC6553" w:rsidRDefault="00897293" w:rsidP="00DA3E5D">
            <w:pPr>
              <w:pStyle w:val="Heading1"/>
              <w:rPr>
                <w:rFonts w:cs="Arial"/>
                <w:b w:val="0"/>
                <w:bCs w:val="0"/>
                <w:color w:val="000000" w:themeColor="text1"/>
                <w:sz w:val="20"/>
              </w:rPr>
            </w:pPr>
            <w:r w:rsidRPr="00CC6553">
              <w:rPr>
                <w:rFonts w:eastAsia="Arial" w:cs="Arial"/>
                <w:b w:val="0"/>
                <w:bCs w:val="0"/>
                <w:color w:val="000000" w:themeColor="text1"/>
                <w:sz w:val="20"/>
              </w:rPr>
              <w:t xml:space="preserve">GLP1i are outside the scope of this guideline update so </w:t>
            </w:r>
            <w:r w:rsidRPr="00CC6553">
              <w:rPr>
                <w:rFonts w:cs="Arial"/>
                <w:b w:val="0"/>
                <w:bCs w:val="0"/>
                <w:color w:val="000000" w:themeColor="text1"/>
                <w:sz w:val="20"/>
              </w:rPr>
              <w:t>the committee were therefore unable to make recommendations on the use of GLP1i</w:t>
            </w:r>
          </w:p>
        </w:tc>
      </w:tr>
      <w:tr w:rsidR="00897293" w:rsidRPr="00CC6553" w14:paraId="64BE8E78" w14:textId="77777777" w:rsidTr="00897293">
        <w:trPr>
          <w:trHeight w:val="300"/>
        </w:trPr>
        <w:tc>
          <w:tcPr>
            <w:tcW w:w="109" w:type="pct"/>
          </w:tcPr>
          <w:p w14:paraId="60D2555E" w14:textId="77777777" w:rsidR="00897293" w:rsidRPr="00CC6553" w:rsidRDefault="00897293" w:rsidP="005271BB">
            <w:pPr>
              <w:rPr>
                <w:rFonts w:cs="Arial"/>
                <w:color w:val="000000" w:themeColor="text1"/>
                <w:sz w:val="20"/>
              </w:rPr>
            </w:pPr>
            <w:r w:rsidRPr="00CC6553">
              <w:rPr>
                <w:rFonts w:cs="Arial"/>
                <w:color w:val="000000" w:themeColor="text1"/>
                <w:sz w:val="20"/>
              </w:rPr>
              <w:t>141</w:t>
            </w:r>
          </w:p>
        </w:tc>
        <w:tc>
          <w:tcPr>
            <w:tcW w:w="143" w:type="pct"/>
          </w:tcPr>
          <w:p w14:paraId="0021D663" w14:textId="5AAD1282"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2D2A4246" w14:textId="3CABE583" w:rsidR="00897293" w:rsidRPr="00CC6553" w:rsidRDefault="00897293" w:rsidP="005271BB">
            <w:pPr>
              <w:rPr>
                <w:rFonts w:cs="Arial"/>
                <w:bCs/>
                <w:iCs/>
                <w:color w:val="000000" w:themeColor="text1"/>
                <w:sz w:val="20"/>
              </w:rPr>
            </w:pPr>
            <w:r w:rsidRPr="00CC6553">
              <w:rPr>
                <w:rFonts w:cs="Arial"/>
                <w:color w:val="000000" w:themeColor="text1"/>
                <w:sz w:val="20"/>
              </w:rPr>
              <w:t>British Society for Heart Failure (BSHF)</w:t>
            </w:r>
          </w:p>
        </w:tc>
        <w:tc>
          <w:tcPr>
            <w:tcW w:w="279" w:type="pct"/>
          </w:tcPr>
          <w:p w14:paraId="493D34A6" w14:textId="299095BA"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4C199587" w14:textId="2ACCD0D2" w:rsidR="00897293" w:rsidRPr="00CC6553" w:rsidRDefault="00897293" w:rsidP="005271BB">
            <w:pPr>
              <w:rPr>
                <w:rFonts w:cs="Arial"/>
                <w:color w:val="000000" w:themeColor="text1"/>
                <w:sz w:val="20"/>
              </w:rPr>
            </w:pPr>
            <w:r w:rsidRPr="00CC6553">
              <w:rPr>
                <w:rFonts w:cs="Arial"/>
                <w:color w:val="000000" w:themeColor="text1"/>
                <w:sz w:val="20"/>
              </w:rPr>
              <w:t>014</w:t>
            </w:r>
          </w:p>
        </w:tc>
        <w:tc>
          <w:tcPr>
            <w:tcW w:w="214" w:type="pct"/>
          </w:tcPr>
          <w:p w14:paraId="0C8A31FD" w14:textId="0E73D060" w:rsidR="00897293" w:rsidRPr="00CC6553" w:rsidRDefault="00897293" w:rsidP="005271BB">
            <w:pPr>
              <w:rPr>
                <w:rFonts w:cs="Arial"/>
                <w:color w:val="000000" w:themeColor="text1"/>
                <w:sz w:val="20"/>
              </w:rPr>
            </w:pPr>
            <w:r w:rsidRPr="00CC6553">
              <w:rPr>
                <w:rFonts w:cs="Arial"/>
                <w:color w:val="000000" w:themeColor="text1"/>
                <w:sz w:val="20"/>
              </w:rPr>
              <w:t>005</w:t>
            </w:r>
          </w:p>
        </w:tc>
        <w:tc>
          <w:tcPr>
            <w:tcW w:w="1521" w:type="pct"/>
          </w:tcPr>
          <w:p w14:paraId="2CAC7780" w14:textId="0C0D9C50" w:rsidR="00897293" w:rsidRPr="00CC6553" w:rsidRDefault="00897293" w:rsidP="005271BB">
            <w:pPr>
              <w:rPr>
                <w:rFonts w:cs="Arial"/>
                <w:color w:val="000000" w:themeColor="text1"/>
                <w:sz w:val="20"/>
              </w:rPr>
            </w:pPr>
            <w:r w:rsidRPr="00CC6553">
              <w:rPr>
                <w:rFonts w:cs="Arial"/>
                <w:color w:val="000000" w:themeColor="text1"/>
                <w:sz w:val="20"/>
              </w:rPr>
              <w:t>The wording for the NICE sglt2i- TA is to ‘offer’ not consider, so this recommendation contradicts existing guidance and must be rewritten.</w:t>
            </w:r>
            <w:r w:rsidRPr="00CC6553">
              <w:rPr>
                <w:rFonts w:cs="Arial"/>
                <w:color w:val="000000" w:themeColor="text1"/>
                <w:sz w:val="20"/>
              </w:rPr>
              <w:br/>
              <w:t xml:space="preserve">The weak ‘consider’ recommendation for MRA is due to the inclusion of the TOPCAT trial, where the diagnosis of HF has been questioned in a significant proportion of patients. What is the justification for trusting any data from this trial – </w:t>
            </w:r>
            <w:r w:rsidRPr="00CC6553">
              <w:rPr>
                <w:rFonts w:cs="Arial"/>
                <w:color w:val="000000" w:themeColor="text1"/>
                <w:sz w:val="20"/>
              </w:rPr>
              <w:lastRenderedPageBreak/>
              <w:t>given that trial management is centralised (even though the discrepancy arose in particular geographical areas)? TOPCAT was a poorly governed and executed trial and its inclusion in any analysis must be questioned. One third of trial patients demonstrated normal diastolic function on echo. 49% of patients came from Russia/Georgia. In these patients cardiovascular event rates were only 2.4/100 pt years compared to 8.1-14.7 events/100 patient years in the Americas. Although 70% of Russia/Georgia patients were documented as taking ¾ med dose at 8 months (compared to just 36% tolerating this in the Americas), there was no difference in hypo/hyperkalaemia, compared to 2.5x increase in hyperkalaemia and halving of hypokalaemia in the spironolactone arm of the Americas patients. Doubling of creatinine occurred in 0.6% in the treatment (and control) arm in Russia/Georgia compared to 6.8% of patients on spironolactone in the Americas.</w:t>
            </w:r>
          </w:p>
        </w:tc>
        <w:tc>
          <w:tcPr>
            <w:tcW w:w="2122" w:type="pct"/>
          </w:tcPr>
          <w:p w14:paraId="1BEA4015" w14:textId="77777777" w:rsidR="00897293" w:rsidRPr="00CC6553" w:rsidRDefault="00897293" w:rsidP="00103885">
            <w:pPr>
              <w:pStyle w:val="Heading1"/>
              <w:rPr>
                <w:rFonts w:cs="Arial"/>
                <w:b w:val="0"/>
                <w:bCs w:val="0"/>
                <w:color w:val="000000" w:themeColor="text1"/>
                <w:sz w:val="20"/>
              </w:rPr>
            </w:pPr>
            <w:r w:rsidRPr="00CC6553">
              <w:rPr>
                <w:rFonts w:cs="Arial"/>
                <w:b w:val="0"/>
                <w:bCs w:val="0"/>
                <w:color w:val="000000" w:themeColor="text1"/>
                <w:sz w:val="20"/>
              </w:rPr>
              <w:lastRenderedPageBreak/>
              <w:t xml:space="preserve">Thank you for your comment.  The committee have removed reference to SGLT2 inhibitors from the </w:t>
            </w:r>
            <w:r w:rsidRPr="00CC6553">
              <w:rPr>
                <w:rFonts w:cs="Arial"/>
                <w:b w:val="0"/>
                <w:bCs w:val="0"/>
                <w:color w:val="000000" w:themeColor="text1"/>
                <w:sz w:val="20"/>
              </w:rPr>
              <w:lastRenderedPageBreak/>
              <w:t>recommendation but cross-refer to TA929 and TA902.</w:t>
            </w:r>
          </w:p>
          <w:p w14:paraId="20410E7E" w14:textId="77777777" w:rsidR="00897293" w:rsidRPr="00CC6553" w:rsidRDefault="00897293" w:rsidP="00CF38BC">
            <w:pPr>
              <w:rPr>
                <w:color w:val="000000" w:themeColor="text1"/>
              </w:rPr>
            </w:pPr>
          </w:p>
          <w:p w14:paraId="05749BB0" w14:textId="77777777" w:rsidR="00897293" w:rsidRPr="00CC6553" w:rsidRDefault="00897293" w:rsidP="00CF38BC">
            <w:pPr>
              <w:rPr>
                <w:color w:val="000000" w:themeColor="text1"/>
              </w:rPr>
            </w:pPr>
          </w:p>
          <w:p w14:paraId="721E39B0" w14:textId="77777777" w:rsidR="00897293" w:rsidRPr="00CC6553" w:rsidRDefault="00897293" w:rsidP="00CF38BC">
            <w:pPr>
              <w:rPr>
                <w:rFonts w:cs="Arial"/>
                <w:bCs/>
                <w:color w:val="000000" w:themeColor="text1"/>
                <w:sz w:val="20"/>
              </w:rPr>
            </w:pPr>
            <w:r w:rsidRPr="00CC6553">
              <w:rPr>
                <w:rFonts w:cs="Arial"/>
                <w:color w:val="000000" w:themeColor="text1"/>
                <w:sz w:val="20"/>
              </w:rPr>
              <w:t>Thank-you for your comments about the TOPCAT trial. The committee was aware of the criticisms of the trial. Limitations of this trial are discussed in evidence reviews Band D; these are reflected in the committee’s decision-making.</w:t>
            </w:r>
          </w:p>
          <w:p w14:paraId="5C183853" w14:textId="2643CDA0" w:rsidR="00897293" w:rsidRPr="00CC6553" w:rsidRDefault="00897293" w:rsidP="476BDDBF">
            <w:pPr>
              <w:rPr>
                <w:rFonts w:cs="Arial"/>
                <w:color w:val="000000" w:themeColor="text1"/>
                <w:sz w:val="20"/>
              </w:rPr>
            </w:pPr>
          </w:p>
          <w:p w14:paraId="0715B78B" w14:textId="0FA2DF0D" w:rsidR="00897293" w:rsidRPr="00CC6553" w:rsidRDefault="00897293" w:rsidP="476BDDBF">
            <w:pPr>
              <w:rPr>
                <w:rFonts w:eastAsia="Arial" w:cs="Arial"/>
                <w:color w:val="000000" w:themeColor="text1"/>
                <w:szCs w:val="22"/>
              </w:rPr>
            </w:pPr>
            <w:r w:rsidRPr="00CC6553">
              <w:rPr>
                <w:rFonts w:cs="Arial"/>
                <w:color w:val="000000" w:themeColor="text1"/>
                <w:sz w:val="20"/>
              </w:rPr>
              <w:t>To address the limitations of the TOPCAT trials, separate analyses using TOPCAT data from the Americas region only were also presented to the committee to inform their discussions. The approach taken to the TOPCAT Americas data is summarised in p30 of evidence review B.</w:t>
            </w:r>
          </w:p>
          <w:p w14:paraId="66285262" w14:textId="00764E35" w:rsidR="00897293" w:rsidRPr="00CC6553" w:rsidRDefault="00897293" w:rsidP="476BDDBF">
            <w:pPr>
              <w:rPr>
                <w:rFonts w:cs="Arial"/>
                <w:color w:val="000000" w:themeColor="text1"/>
                <w:sz w:val="20"/>
              </w:rPr>
            </w:pPr>
          </w:p>
          <w:p w14:paraId="6F713301" w14:textId="77777777" w:rsidR="00897293" w:rsidRPr="00CC6553" w:rsidRDefault="00897293" w:rsidP="005271BB">
            <w:pPr>
              <w:pStyle w:val="Heading1"/>
              <w:rPr>
                <w:rFonts w:cs="Arial"/>
                <w:b w:val="0"/>
                <w:color w:val="000000" w:themeColor="text1"/>
                <w:sz w:val="20"/>
              </w:rPr>
            </w:pPr>
          </w:p>
        </w:tc>
      </w:tr>
      <w:tr w:rsidR="00897293" w:rsidRPr="00CC6553" w14:paraId="47ADED95" w14:textId="77777777" w:rsidTr="00897293">
        <w:trPr>
          <w:trHeight w:val="300"/>
        </w:trPr>
        <w:tc>
          <w:tcPr>
            <w:tcW w:w="109" w:type="pct"/>
          </w:tcPr>
          <w:p w14:paraId="7D6C7B04"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142</w:t>
            </w:r>
          </w:p>
        </w:tc>
        <w:tc>
          <w:tcPr>
            <w:tcW w:w="143" w:type="pct"/>
          </w:tcPr>
          <w:p w14:paraId="45B83819" w14:textId="01326DB3"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474CE36F" w14:textId="06A72E31" w:rsidR="00897293" w:rsidRPr="00CC6553" w:rsidRDefault="00897293" w:rsidP="005271BB">
            <w:pPr>
              <w:rPr>
                <w:rFonts w:cs="Arial"/>
                <w:bCs/>
                <w:iCs/>
                <w:color w:val="000000" w:themeColor="text1"/>
                <w:sz w:val="20"/>
              </w:rPr>
            </w:pPr>
            <w:r w:rsidRPr="00CC6553">
              <w:rPr>
                <w:rFonts w:cs="Arial"/>
                <w:color w:val="000000" w:themeColor="text1"/>
                <w:sz w:val="20"/>
              </w:rPr>
              <w:t>British Society for Heart Failure (BSHF)</w:t>
            </w:r>
          </w:p>
        </w:tc>
        <w:tc>
          <w:tcPr>
            <w:tcW w:w="279" w:type="pct"/>
          </w:tcPr>
          <w:p w14:paraId="6BBDF6AF" w14:textId="56A3D030"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71AD7DD9" w14:textId="6576A439" w:rsidR="00897293" w:rsidRPr="00CC6553" w:rsidRDefault="00897293" w:rsidP="005271BB">
            <w:pPr>
              <w:rPr>
                <w:rFonts w:cs="Arial"/>
                <w:color w:val="000000" w:themeColor="text1"/>
                <w:sz w:val="20"/>
              </w:rPr>
            </w:pPr>
            <w:r w:rsidRPr="00CC6553">
              <w:rPr>
                <w:rFonts w:cs="Arial"/>
                <w:color w:val="000000" w:themeColor="text1"/>
                <w:sz w:val="20"/>
              </w:rPr>
              <w:t>014</w:t>
            </w:r>
          </w:p>
        </w:tc>
        <w:tc>
          <w:tcPr>
            <w:tcW w:w="214" w:type="pct"/>
          </w:tcPr>
          <w:p w14:paraId="27C1EBCA" w14:textId="1387170B" w:rsidR="00897293" w:rsidRPr="00CC6553" w:rsidRDefault="00897293" w:rsidP="005271BB">
            <w:pPr>
              <w:rPr>
                <w:rFonts w:cs="Arial"/>
                <w:color w:val="000000" w:themeColor="text1"/>
                <w:sz w:val="20"/>
              </w:rPr>
            </w:pPr>
            <w:r w:rsidRPr="00CC6553">
              <w:rPr>
                <w:rFonts w:cs="Arial"/>
                <w:color w:val="000000" w:themeColor="text1"/>
                <w:sz w:val="20"/>
              </w:rPr>
              <w:t>005</w:t>
            </w:r>
          </w:p>
        </w:tc>
        <w:tc>
          <w:tcPr>
            <w:tcW w:w="1521" w:type="pct"/>
          </w:tcPr>
          <w:p w14:paraId="557F64E5" w14:textId="408BCFE5" w:rsidR="00897293" w:rsidRPr="00CC6553" w:rsidRDefault="00897293" w:rsidP="005271BB">
            <w:pPr>
              <w:rPr>
                <w:rFonts w:cs="Arial"/>
                <w:color w:val="000000" w:themeColor="text1"/>
                <w:sz w:val="20"/>
              </w:rPr>
            </w:pPr>
            <w:r w:rsidRPr="00CC6553">
              <w:rPr>
                <w:rFonts w:cs="Arial"/>
                <w:color w:val="000000" w:themeColor="text1"/>
                <w:sz w:val="20"/>
              </w:rPr>
              <w:t>Recommendation for MRAs and SGLT2i in HFpEF should be clearer given the evidence for improved outcomes</w:t>
            </w:r>
          </w:p>
        </w:tc>
        <w:tc>
          <w:tcPr>
            <w:tcW w:w="2122" w:type="pct"/>
          </w:tcPr>
          <w:p w14:paraId="68309C57" w14:textId="77777777" w:rsidR="00897293" w:rsidRPr="00CC6553" w:rsidRDefault="00897293" w:rsidP="476BDDBF">
            <w:pPr>
              <w:pStyle w:val="Heading1"/>
              <w:rPr>
                <w:rFonts w:cs="Arial"/>
                <w:color w:val="000000" w:themeColor="text1"/>
                <w:sz w:val="20"/>
              </w:rPr>
            </w:pPr>
            <w:r w:rsidRPr="00CC6553">
              <w:rPr>
                <w:rFonts w:cs="Arial"/>
                <w:b w:val="0"/>
                <w:bCs w:val="0"/>
                <w:color w:val="000000" w:themeColor="text1"/>
                <w:sz w:val="20"/>
              </w:rPr>
              <w:t>Thank you for your comment.  The committee have removed reference to SGLT2 inhibitors from the recommendation but cross-refer to TA929 and TA902.</w:t>
            </w:r>
          </w:p>
          <w:p w14:paraId="2BEA9238" w14:textId="77777777" w:rsidR="00897293" w:rsidRPr="00CC6553" w:rsidRDefault="00897293" w:rsidP="00092C82">
            <w:pPr>
              <w:rPr>
                <w:rFonts w:cs="Arial"/>
                <w:color w:val="000000" w:themeColor="text1"/>
                <w:sz w:val="20"/>
              </w:rPr>
            </w:pPr>
            <w:r w:rsidRPr="00CC6553">
              <w:rPr>
                <w:rFonts w:cs="Arial"/>
                <w:color w:val="000000" w:themeColor="text1"/>
                <w:sz w:val="20"/>
              </w:rPr>
              <w:t xml:space="preserve">  </w:t>
            </w:r>
          </w:p>
          <w:p w14:paraId="60F8354D" w14:textId="1FECC8B6" w:rsidR="00897293" w:rsidRPr="00CC6553" w:rsidRDefault="00897293" w:rsidP="00092C82">
            <w:pPr>
              <w:rPr>
                <w:rFonts w:eastAsia="Arial" w:cs="Arial"/>
                <w:color w:val="000000" w:themeColor="text1"/>
                <w:sz w:val="20"/>
              </w:rPr>
            </w:pPr>
            <w:r w:rsidRPr="00CC6553">
              <w:rPr>
                <w:rFonts w:cs="Arial"/>
                <w:color w:val="000000" w:themeColor="text1"/>
                <w:sz w:val="20"/>
              </w:rPr>
              <w:t xml:space="preserve">The recommendation for MRAs for patients with CHF and preserved </w:t>
            </w:r>
            <w:r w:rsidRPr="00CC6553">
              <w:rPr>
                <w:rFonts w:cs="Arial"/>
                <w:color w:val="000000" w:themeColor="text1"/>
                <w:sz w:val="20"/>
              </w:rPr>
              <w:lastRenderedPageBreak/>
              <w:t xml:space="preserve">rejection fraction is a ’consider' recommendation rather than an ‘offer' recommendation </w:t>
            </w:r>
            <w:r w:rsidRPr="00CC6553">
              <w:rPr>
                <w:rFonts w:eastAsia="Arial" w:cs="Arial"/>
                <w:color w:val="000000" w:themeColor="text1"/>
                <w:sz w:val="20"/>
              </w:rPr>
              <w:t>due to the limited size of the evidence base. This is summarised in p20 of evidence report D.</w:t>
            </w:r>
          </w:p>
          <w:p w14:paraId="134E8E18" w14:textId="77777777" w:rsidR="00897293" w:rsidRPr="00CC6553" w:rsidRDefault="00897293" w:rsidP="005271BB">
            <w:pPr>
              <w:pStyle w:val="Heading1"/>
              <w:rPr>
                <w:rFonts w:cs="Arial"/>
                <w:b w:val="0"/>
                <w:color w:val="000000" w:themeColor="text1"/>
                <w:sz w:val="20"/>
              </w:rPr>
            </w:pPr>
          </w:p>
        </w:tc>
      </w:tr>
      <w:tr w:rsidR="00897293" w:rsidRPr="00CC6553" w14:paraId="318F9F82" w14:textId="77777777" w:rsidTr="00897293">
        <w:trPr>
          <w:trHeight w:val="300"/>
        </w:trPr>
        <w:tc>
          <w:tcPr>
            <w:tcW w:w="109" w:type="pct"/>
          </w:tcPr>
          <w:p w14:paraId="7680562D" w14:textId="77777777" w:rsidR="00897293" w:rsidRPr="00CC6553" w:rsidRDefault="00897293" w:rsidP="005271BB">
            <w:pPr>
              <w:rPr>
                <w:rFonts w:cs="Arial"/>
                <w:color w:val="000000" w:themeColor="text1"/>
                <w:sz w:val="20"/>
              </w:rPr>
            </w:pPr>
            <w:r w:rsidRPr="00CC6553">
              <w:rPr>
                <w:rFonts w:cs="Arial"/>
                <w:color w:val="000000" w:themeColor="text1"/>
                <w:sz w:val="20"/>
              </w:rPr>
              <w:lastRenderedPageBreak/>
              <w:t>143</w:t>
            </w:r>
          </w:p>
        </w:tc>
        <w:tc>
          <w:tcPr>
            <w:tcW w:w="143" w:type="pct"/>
          </w:tcPr>
          <w:p w14:paraId="3476EF83" w14:textId="4EB3684C" w:rsidR="00897293" w:rsidRPr="00CC6553" w:rsidRDefault="00897293" w:rsidP="005271BB">
            <w:pPr>
              <w:rPr>
                <w:rFonts w:cs="Arial"/>
                <w:color w:val="000000" w:themeColor="text1"/>
                <w:sz w:val="20"/>
              </w:rPr>
            </w:pPr>
            <w:r w:rsidRPr="00CC6553">
              <w:rPr>
                <w:rFonts w:cs="Arial"/>
                <w:color w:val="000000" w:themeColor="text1"/>
                <w:sz w:val="20"/>
              </w:rPr>
              <w:t>SH</w:t>
            </w:r>
          </w:p>
        </w:tc>
        <w:tc>
          <w:tcPr>
            <w:tcW w:w="396" w:type="pct"/>
          </w:tcPr>
          <w:p w14:paraId="51CF5579" w14:textId="53B4F8DC" w:rsidR="00897293" w:rsidRPr="00CC6553" w:rsidRDefault="00897293" w:rsidP="005271BB">
            <w:pPr>
              <w:rPr>
                <w:rFonts w:cs="Arial"/>
                <w:bCs/>
                <w:iCs/>
                <w:color w:val="000000" w:themeColor="text1"/>
                <w:sz w:val="20"/>
              </w:rPr>
            </w:pPr>
            <w:r w:rsidRPr="00CC6553">
              <w:rPr>
                <w:rFonts w:cs="Arial"/>
                <w:color w:val="000000" w:themeColor="text1"/>
                <w:sz w:val="20"/>
              </w:rPr>
              <w:t>British Society for Heart Failure (BSHF)</w:t>
            </w:r>
          </w:p>
        </w:tc>
        <w:tc>
          <w:tcPr>
            <w:tcW w:w="279" w:type="pct"/>
          </w:tcPr>
          <w:p w14:paraId="1A0ED77B" w14:textId="60BBF42D" w:rsidR="00897293" w:rsidRPr="00CC6553" w:rsidRDefault="00897293" w:rsidP="005271BB">
            <w:pPr>
              <w:rPr>
                <w:rFonts w:cs="Arial"/>
                <w:color w:val="000000" w:themeColor="text1"/>
                <w:sz w:val="20"/>
              </w:rPr>
            </w:pPr>
            <w:r w:rsidRPr="00CC6553">
              <w:rPr>
                <w:rFonts w:cs="Arial"/>
                <w:color w:val="000000" w:themeColor="text1"/>
                <w:sz w:val="20"/>
              </w:rPr>
              <w:t>Guideline</w:t>
            </w:r>
          </w:p>
        </w:tc>
        <w:tc>
          <w:tcPr>
            <w:tcW w:w="214" w:type="pct"/>
          </w:tcPr>
          <w:p w14:paraId="466D38F7" w14:textId="25933D8A" w:rsidR="00897293" w:rsidRPr="00CC6553" w:rsidRDefault="00897293" w:rsidP="005271BB">
            <w:pPr>
              <w:rPr>
                <w:rFonts w:cs="Arial"/>
                <w:color w:val="000000" w:themeColor="text1"/>
                <w:sz w:val="20"/>
              </w:rPr>
            </w:pPr>
            <w:r w:rsidRPr="00CC6553">
              <w:rPr>
                <w:rFonts w:cs="Arial"/>
                <w:color w:val="000000" w:themeColor="text1"/>
                <w:sz w:val="20"/>
              </w:rPr>
              <w:t>014</w:t>
            </w:r>
          </w:p>
        </w:tc>
        <w:tc>
          <w:tcPr>
            <w:tcW w:w="214" w:type="pct"/>
          </w:tcPr>
          <w:p w14:paraId="672F26CE" w14:textId="1CAC8CC9" w:rsidR="00897293" w:rsidRPr="00CC6553" w:rsidRDefault="00897293" w:rsidP="005271BB">
            <w:pPr>
              <w:rPr>
                <w:rFonts w:cs="Arial"/>
                <w:color w:val="000000" w:themeColor="text1"/>
                <w:sz w:val="20"/>
              </w:rPr>
            </w:pPr>
            <w:r w:rsidRPr="00CC6553">
              <w:rPr>
                <w:rFonts w:cs="Arial"/>
                <w:color w:val="000000" w:themeColor="text1"/>
                <w:sz w:val="20"/>
              </w:rPr>
              <w:t>005</w:t>
            </w:r>
          </w:p>
        </w:tc>
        <w:tc>
          <w:tcPr>
            <w:tcW w:w="1521" w:type="pct"/>
          </w:tcPr>
          <w:p w14:paraId="16F0AD31" w14:textId="43C90505" w:rsidR="00897293" w:rsidRPr="00CC6553" w:rsidRDefault="00897293" w:rsidP="005271BB">
            <w:pPr>
              <w:rPr>
                <w:rFonts w:cs="Arial"/>
                <w:color w:val="000000" w:themeColor="text1"/>
                <w:sz w:val="20"/>
              </w:rPr>
            </w:pPr>
            <w:r w:rsidRPr="00CC6553">
              <w:rPr>
                <w:rFonts w:cs="Arial"/>
                <w:color w:val="000000" w:themeColor="text1"/>
                <w:sz w:val="20"/>
              </w:rPr>
              <w:t>We know that many specialist heart failure teams still do not have provision for HFpEF. A welcome addition would have been to highlight the diagnostic criteria for HFpEF and some of the complexities around this. Would it also be within the scope of the guideline to advise that where there is no commissioning for HFpEF the ICB/ health boards are expected to address/ review?</w:t>
            </w:r>
          </w:p>
        </w:tc>
        <w:tc>
          <w:tcPr>
            <w:tcW w:w="2122" w:type="pct"/>
          </w:tcPr>
          <w:p w14:paraId="2A30EA0C" w14:textId="5BFE3791" w:rsidR="00897293" w:rsidRPr="00CC6553" w:rsidRDefault="00897293" w:rsidP="005271BB">
            <w:pPr>
              <w:pStyle w:val="Heading1"/>
              <w:rPr>
                <w:rFonts w:cs="Arial"/>
                <w:b w:val="0"/>
                <w:color w:val="000000" w:themeColor="text1"/>
                <w:sz w:val="20"/>
              </w:rPr>
            </w:pPr>
            <w:r w:rsidRPr="00CC6553">
              <w:rPr>
                <w:rFonts w:cs="Arial"/>
                <w:b w:val="0"/>
                <w:color w:val="000000" w:themeColor="text1"/>
                <w:sz w:val="20"/>
              </w:rPr>
              <w:t>Thank you for your comment.  How services are commissioned is outside of the scope of this update.</w:t>
            </w:r>
          </w:p>
        </w:tc>
      </w:tr>
      <w:tr w:rsidR="00897293" w:rsidRPr="00CC6553" w14:paraId="2411B675" w14:textId="77777777" w:rsidTr="00897293">
        <w:trPr>
          <w:trHeight w:val="300"/>
        </w:trPr>
        <w:tc>
          <w:tcPr>
            <w:tcW w:w="109" w:type="pct"/>
          </w:tcPr>
          <w:p w14:paraId="6DE70D33" w14:textId="77777777" w:rsidR="00897293" w:rsidRPr="00CC6553" w:rsidRDefault="00897293" w:rsidP="002366A3">
            <w:pPr>
              <w:rPr>
                <w:rFonts w:cs="Arial"/>
                <w:color w:val="000000" w:themeColor="text1"/>
                <w:sz w:val="20"/>
              </w:rPr>
            </w:pPr>
            <w:r w:rsidRPr="00CC6553">
              <w:rPr>
                <w:rFonts w:cs="Arial"/>
                <w:color w:val="000000" w:themeColor="text1"/>
                <w:sz w:val="20"/>
              </w:rPr>
              <w:t>144</w:t>
            </w:r>
          </w:p>
        </w:tc>
        <w:tc>
          <w:tcPr>
            <w:tcW w:w="143" w:type="pct"/>
          </w:tcPr>
          <w:p w14:paraId="53F24899" w14:textId="30008C30" w:rsidR="00897293" w:rsidRPr="00CC6553" w:rsidRDefault="00897293" w:rsidP="002366A3">
            <w:pPr>
              <w:rPr>
                <w:rFonts w:cs="Arial"/>
                <w:color w:val="000000" w:themeColor="text1"/>
                <w:sz w:val="20"/>
              </w:rPr>
            </w:pPr>
            <w:r w:rsidRPr="00CC6553">
              <w:rPr>
                <w:rFonts w:cs="Arial"/>
                <w:color w:val="000000" w:themeColor="text1"/>
                <w:sz w:val="20"/>
              </w:rPr>
              <w:t>SH</w:t>
            </w:r>
          </w:p>
        </w:tc>
        <w:tc>
          <w:tcPr>
            <w:tcW w:w="396" w:type="pct"/>
          </w:tcPr>
          <w:p w14:paraId="10D80527" w14:textId="200EE688" w:rsidR="00897293" w:rsidRPr="00CC6553" w:rsidRDefault="00897293" w:rsidP="002366A3">
            <w:pPr>
              <w:rPr>
                <w:rFonts w:cs="Arial"/>
                <w:bCs/>
                <w:iCs/>
                <w:color w:val="000000" w:themeColor="text1"/>
                <w:sz w:val="20"/>
              </w:rPr>
            </w:pPr>
            <w:r w:rsidRPr="00CC6553">
              <w:rPr>
                <w:rFonts w:cs="Arial"/>
                <w:color w:val="000000" w:themeColor="text1"/>
                <w:sz w:val="20"/>
              </w:rPr>
              <w:t>British Society for Heart Failure (BSHF)</w:t>
            </w:r>
          </w:p>
        </w:tc>
        <w:tc>
          <w:tcPr>
            <w:tcW w:w="279" w:type="pct"/>
          </w:tcPr>
          <w:p w14:paraId="4A4A6E67" w14:textId="76AEA1C1" w:rsidR="00897293" w:rsidRPr="00CC6553" w:rsidRDefault="00897293" w:rsidP="002366A3">
            <w:pPr>
              <w:rPr>
                <w:rFonts w:cs="Arial"/>
                <w:color w:val="000000" w:themeColor="text1"/>
                <w:sz w:val="20"/>
              </w:rPr>
            </w:pPr>
            <w:r w:rsidRPr="00CC6553">
              <w:rPr>
                <w:rFonts w:cs="Arial"/>
                <w:color w:val="000000" w:themeColor="text1"/>
                <w:sz w:val="20"/>
              </w:rPr>
              <w:t>Guideline</w:t>
            </w:r>
          </w:p>
        </w:tc>
        <w:tc>
          <w:tcPr>
            <w:tcW w:w="214" w:type="pct"/>
          </w:tcPr>
          <w:p w14:paraId="247A38F7" w14:textId="24806BB7" w:rsidR="00897293" w:rsidRPr="00CC6553" w:rsidRDefault="00897293" w:rsidP="002366A3">
            <w:pPr>
              <w:rPr>
                <w:rFonts w:cs="Arial"/>
                <w:color w:val="000000" w:themeColor="text1"/>
                <w:sz w:val="20"/>
              </w:rPr>
            </w:pPr>
            <w:r w:rsidRPr="00CC6553">
              <w:rPr>
                <w:rFonts w:cs="Arial"/>
                <w:color w:val="000000" w:themeColor="text1"/>
                <w:sz w:val="20"/>
              </w:rPr>
              <w:t>014</w:t>
            </w:r>
          </w:p>
        </w:tc>
        <w:tc>
          <w:tcPr>
            <w:tcW w:w="214" w:type="pct"/>
          </w:tcPr>
          <w:p w14:paraId="7FE82382" w14:textId="6DB11608" w:rsidR="00897293" w:rsidRPr="00CC6553" w:rsidRDefault="00897293" w:rsidP="002366A3">
            <w:pPr>
              <w:rPr>
                <w:rFonts w:cs="Arial"/>
                <w:color w:val="000000" w:themeColor="text1"/>
                <w:sz w:val="20"/>
              </w:rPr>
            </w:pPr>
            <w:r w:rsidRPr="00CC6553">
              <w:rPr>
                <w:rFonts w:cs="Arial"/>
                <w:color w:val="000000" w:themeColor="text1"/>
                <w:sz w:val="20"/>
              </w:rPr>
              <w:t>005</w:t>
            </w:r>
          </w:p>
        </w:tc>
        <w:tc>
          <w:tcPr>
            <w:tcW w:w="1521" w:type="pct"/>
          </w:tcPr>
          <w:p w14:paraId="07A732E2" w14:textId="3DA726D8" w:rsidR="00897293" w:rsidRPr="00CC6553" w:rsidRDefault="00897293" w:rsidP="002366A3">
            <w:pPr>
              <w:rPr>
                <w:rFonts w:cs="Arial"/>
                <w:color w:val="000000" w:themeColor="text1"/>
                <w:sz w:val="20"/>
              </w:rPr>
            </w:pPr>
            <w:r w:rsidRPr="00CC6553">
              <w:rPr>
                <w:rFonts w:cs="Arial"/>
                <w:color w:val="000000" w:themeColor="text1"/>
                <w:sz w:val="20"/>
              </w:rPr>
              <w:t>We should avoid grouping all MRA together for HFpEF:</w:t>
            </w:r>
            <w:r w:rsidRPr="00CC6553">
              <w:rPr>
                <w:rFonts w:cs="Arial"/>
                <w:color w:val="000000" w:themeColor="text1"/>
                <w:sz w:val="20"/>
              </w:rPr>
              <w:br/>
            </w:r>
            <w:r w:rsidRPr="00CC6553">
              <w:rPr>
                <w:rFonts w:cs="Arial"/>
                <w:color w:val="000000" w:themeColor="text1"/>
                <w:sz w:val="20"/>
              </w:rPr>
              <w:br/>
              <w:t>Spironolactone and Eplerenone are not licensed for use in HFpEF</w:t>
            </w:r>
            <w:r w:rsidRPr="00CC6553">
              <w:rPr>
                <w:rFonts w:cs="Arial"/>
                <w:color w:val="000000" w:themeColor="text1"/>
                <w:sz w:val="20"/>
              </w:rPr>
              <w:br/>
              <w:t xml:space="preserve">Eplerenone is only licensed for HF with EF &lt;40% with an SMPC based on EMPHASIS and EPHESUS. Spironolactone is licensed for ‘Congestive heart failure’ with an SMPC based on RALES, where EF was &lt;35%. Aldactone (Pfizer spiro) is licensed for EF &lt;40%. </w:t>
            </w:r>
            <w:r w:rsidRPr="00CC6553">
              <w:rPr>
                <w:rFonts w:cs="Arial"/>
                <w:color w:val="000000" w:themeColor="text1"/>
                <w:sz w:val="20"/>
              </w:rPr>
              <w:br/>
            </w:r>
            <w:r w:rsidRPr="00CC6553">
              <w:rPr>
                <w:rFonts w:cs="Arial"/>
                <w:color w:val="000000" w:themeColor="text1"/>
                <w:sz w:val="20"/>
              </w:rPr>
              <w:br/>
              <w:t>There is now evidence for the cardiorenalmetabolic benefit exhibited by Finerenone (which is a likely driver for improved outcomes).</w:t>
            </w:r>
            <w:r w:rsidRPr="00CC6553">
              <w:rPr>
                <w:rFonts w:cs="Arial"/>
                <w:color w:val="000000" w:themeColor="text1"/>
                <w:sz w:val="20"/>
              </w:rPr>
              <w:br/>
              <w:t>In FINEARTS, finerenone reduced new onset DM by 24%, whereas spironolactone worsens glycaemic control and increases HbA1c. This is important as DM doubles CV mortality/HF hospitalisation – (CHARM).</w:t>
            </w:r>
            <w:r w:rsidRPr="00CC6553">
              <w:rPr>
                <w:rFonts w:cs="Arial"/>
                <w:color w:val="000000" w:themeColor="text1"/>
                <w:sz w:val="20"/>
              </w:rPr>
              <w:br/>
              <w:t>FIDELIO showed that finerenone reduced kidney failure/kidney death in pts with CKD and DM, and FIGARO showed improved CV outcomes in DKD, but the BARACK-D trial showed no benefit on CV outcomes for spironolactone in an elderly community population with CKD3b and 2/3 stopped spironolactone by 6 months due to adverse events (1/3 due to worsening renal function).</w:t>
            </w:r>
          </w:p>
        </w:tc>
        <w:tc>
          <w:tcPr>
            <w:tcW w:w="2122" w:type="pct"/>
          </w:tcPr>
          <w:p w14:paraId="2BCED0DE" w14:textId="7CC69814" w:rsidR="00897293" w:rsidRPr="00CC6553" w:rsidRDefault="00897293" w:rsidP="002366A3">
            <w:pPr>
              <w:pStyle w:val="Heading1"/>
              <w:rPr>
                <w:rFonts w:cs="Arial"/>
                <w:b w:val="0"/>
                <w:bCs w:val="0"/>
                <w:color w:val="000000" w:themeColor="text1"/>
                <w:sz w:val="20"/>
              </w:rPr>
            </w:pPr>
            <w:r w:rsidRPr="00CC6553">
              <w:rPr>
                <w:rFonts w:cs="Arial"/>
                <w:b w:val="0"/>
                <w:bCs w:val="0"/>
                <w:color w:val="000000" w:themeColor="text1"/>
                <w:sz w:val="20"/>
              </w:rPr>
              <w:t xml:space="preserve">Thank-you for your comments. The committee agreed to make a medicine class-based recommendation for MRAs. This is in line with the approach taken across this CHF guideline update to consider evidence per class of medicines, rather than split the evidence per individual medicine. The committee is aware that individual circumstances will feature in clinician’s decisions on exactly which medicine to use. They were comfortable with clinicians using their judgement; a sentence has been added to the summary of the committee’s discussion (evidence review D) to reflect this: ‘Clinical judgement is also important when selecting individual medicines to use </w:t>
            </w:r>
            <w:r w:rsidRPr="00CC6553">
              <w:rPr>
                <w:rFonts w:cs="Arial"/>
                <w:b w:val="0"/>
                <w:bCs w:val="0"/>
                <w:color w:val="000000" w:themeColor="text1"/>
                <w:sz w:val="20"/>
              </w:rPr>
              <w:lastRenderedPageBreak/>
              <w:t>within a class of medicines, including consideration of differences in side effect profiles’.</w:t>
            </w:r>
          </w:p>
          <w:p w14:paraId="382FB049" w14:textId="77777777" w:rsidR="00897293" w:rsidRPr="00CC6553" w:rsidRDefault="00897293" w:rsidP="002366A3">
            <w:pPr>
              <w:rPr>
                <w:rFonts w:cs="Arial"/>
                <w:color w:val="000000" w:themeColor="text1"/>
                <w:sz w:val="20"/>
              </w:rPr>
            </w:pPr>
          </w:p>
          <w:p w14:paraId="1DF3C366" w14:textId="44AB5594" w:rsidR="00897293" w:rsidRPr="00CC6553" w:rsidRDefault="00897293" w:rsidP="002366A3">
            <w:pPr>
              <w:rPr>
                <w:rFonts w:cs="Arial"/>
                <w:color w:val="000000" w:themeColor="text1"/>
                <w:sz w:val="20"/>
              </w:rPr>
            </w:pPr>
            <w:r w:rsidRPr="00CC6553">
              <w:rPr>
                <w:rFonts w:cs="Arial"/>
                <w:color w:val="000000" w:themeColor="text1"/>
                <w:sz w:val="20"/>
              </w:rPr>
              <w:t xml:space="preserve">As eplerenone is licensed for CHF with reduced ejection fraction, we have reconsidered the inclusion of trials investigating eplerenone in evidence review D. </w:t>
            </w:r>
            <w:r>
              <w:rPr>
                <w:rFonts w:cs="Arial"/>
                <w:color w:val="000000" w:themeColor="text1"/>
                <w:sz w:val="20"/>
              </w:rPr>
              <w:t>A</w:t>
            </w:r>
            <w:r w:rsidRPr="00CC6553">
              <w:rPr>
                <w:rFonts w:cs="Arial"/>
                <w:color w:val="000000" w:themeColor="text1"/>
                <w:sz w:val="20"/>
              </w:rPr>
              <w:t>ccordingly</w:t>
            </w:r>
            <w:r>
              <w:rPr>
                <w:rFonts w:cs="Arial"/>
                <w:color w:val="000000" w:themeColor="text1"/>
                <w:sz w:val="20"/>
              </w:rPr>
              <w:t>, t</w:t>
            </w:r>
            <w:r w:rsidRPr="00CC6553">
              <w:rPr>
                <w:rFonts w:cs="Arial"/>
                <w:color w:val="000000" w:themeColor="text1"/>
                <w:sz w:val="20"/>
              </w:rPr>
              <w:t>he evidence review has been amended to remove RCTs</w:t>
            </w:r>
            <w:r>
              <w:rPr>
                <w:rFonts w:cs="Arial"/>
                <w:color w:val="000000" w:themeColor="text1"/>
                <w:sz w:val="20"/>
              </w:rPr>
              <w:t xml:space="preserve"> investigating eplerenone.</w:t>
            </w:r>
          </w:p>
          <w:p w14:paraId="2B9BD0E9" w14:textId="77777777" w:rsidR="00897293" w:rsidRPr="00CC6553" w:rsidRDefault="00897293" w:rsidP="002366A3">
            <w:pPr>
              <w:rPr>
                <w:rFonts w:cs="Arial"/>
                <w:color w:val="000000" w:themeColor="text1"/>
                <w:sz w:val="20"/>
              </w:rPr>
            </w:pPr>
            <w:r w:rsidRPr="00CC6553">
              <w:rPr>
                <w:rFonts w:cs="Arial"/>
                <w:color w:val="000000" w:themeColor="text1"/>
                <w:sz w:val="20"/>
              </w:rPr>
              <w:t>The committee was comfortable with licensing for ‘congestive heart failure’ for spironolactone and this has been included as a relevant MRA intervention in evidence reviews B and D.</w:t>
            </w:r>
          </w:p>
          <w:p w14:paraId="13AA3E9C" w14:textId="77777777" w:rsidR="00897293" w:rsidRPr="00CC6553" w:rsidRDefault="00897293" w:rsidP="002366A3">
            <w:pPr>
              <w:rPr>
                <w:rFonts w:cs="Arial"/>
                <w:color w:val="000000" w:themeColor="text1"/>
                <w:sz w:val="20"/>
              </w:rPr>
            </w:pPr>
          </w:p>
          <w:p w14:paraId="0530907C" w14:textId="37086572" w:rsidR="00897293" w:rsidRPr="00CC6553" w:rsidRDefault="00897293" w:rsidP="002366A3">
            <w:pPr>
              <w:rPr>
                <w:rFonts w:cs="Arial"/>
                <w:color w:val="000000" w:themeColor="text1"/>
                <w:sz w:val="20"/>
              </w:rPr>
            </w:pPr>
            <w:r w:rsidRPr="00CC6553">
              <w:rPr>
                <w:rFonts w:cs="Arial"/>
                <w:color w:val="000000" w:themeColor="text1"/>
                <w:sz w:val="20"/>
              </w:rPr>
              <w:t>Thank-you for highlighting the cardiorenalmetabolic evidence related to finerenone. These outcomes were not in the protocol (see appendix A in evidence review D).</w:t>
            </w:r>
          </w:p>
          <w:p w14:paraId="3457B6EF" w14:textId="77777777" w:rsidR="00897293" w:rsidRPr="00CC6553" w:rsidRDefault="00897293" w:rsidP="002366A3">
            <w:pPr>
              <w:pStyle w:val="Heading1"/>
              <w:rPr>
                <w:rFonts w:cs="Arial"/>
                <w:b w:val="0"/>
                <w:bCs w:val="0"/>
                <w:color w:val="000000" w:themeColor="text1"/>
                <w:sz w:val="20"/>
              </w:rPr>
            </w:pPr>
          </w:p>
        </w:tc>
      </w:tr>
      <w:tr w:rsidR="00897293" w:rsidRPr="00CC6553" w14:paraId="491D2829" w14:textId="77777777" w:rsidTr="00897293">
        <w:trPr>
          <w:trHeight w:val="300"/>
        </w:trPr>
        <w:tc>
          <w:tcPr>
            <w:tcW w:w="109" w:type="pct"/>
          </w:tcPr>
          <w:p w14:paraId="569172DB" w14:textId="77777777" w:rsidR="00897293" w:rsidRPr="00CC6553" w:rsidRDefault="00897293" w:rsidP="00704983">
            <w:pPr>
              <w:rPr>
                <w:rFonts w:cs="Arial"/>
                <w:color w:val="000000" w:themeColor="text1"/>
                <w:sz w:val="20"/>
              </w:rPr>
            </w:pPr>
            <w:r w:rsidRPr="00CC6553">
              <w:rPr>
                <w:rFonts w:cs="Arial"/>
                <w:color w:val="000000" w:themeColor="text1"/>
                <w:sz w:val="20"/>
              </w:rPr>
              <w:lastRenderedPageBreak/>
              <w:t>145</w:t>
            </w:r>
          </w:p>
        </w:tc>
        <w:tc>
          <w:tcPr>
            <w:tcW w:w="143" w:type="pct"/>
          </w:tcPr>
          <w:p w14:paraId="24F018EC" w14:textId="508A02B6" w:rsidR="00897293" w:rsidRPr="00CC6553" w:rsidRDefault="00897293" w:rsidP="00704983">
            <w:pPr>
              <w:rPr>
                <w:rFonts w:cs="Arial"/>
                <w:color w:val="000000" w:themeColor="text1"/>
                <w:sz w:val="20"/>
              </w:rPr>
            </w:pPr>
            <w:r w:rsidRPr="00CC6553">
              <w:rPr>
                <w:rFonts w:cs="Arial"/>
                <w:color w:val="000000" w:themeColor="text1"/>
                <w:sz w:val="20"/>
              </w:rPr>
              <w:t>SH</w:t>
            </w:r>
          </w:p>
        </w:tc>
        <w:tc>
          <w:tcPr>
            <w:tcW w:w="396" w:type="pct"/>
          </w:tcPr>
          <w:p w14:paraId="29F8D5A6" w14:textId="5996DC94" w:rsidR="00897293" w:rsidRPr="00CC6553" w:rsidRDefault="00897293" w:rsidP="00704983">
            <w:pPr>
              <w:rPr>
                <w:rFonts w:cs="Arial"/>
                <w:bCs/>
                <w:iCs/>
                <w:color w:val="000000" w:themeColor="text1"/>
                <w:sz w:val="20"/>
              </w:rPr>
            </w:pPr>
            <w:r w:rsidRPr="00CC6553">
              <w:rPr>
                <w:rFonts w:cs="Arial"/>
                <w:color w:val="000000" w:themeColor="text1"/>
                <w:sz w:val="20"/>
              </w:rPr>
              <w:t>Pumping Marvellous Foundation</w:t>
            </w:r>
          </w:p>
        </w:tc>
        <w:tc>
          <w:tcPr>
            <w:tcW w:w="279" w:type="pct"/>
          </w:tcPr>
          <w:p w14:paraId="4A2918D2" w14:textId="0B98F927" w:rsidR="00897293" w:rsidRPr="00CC6553" w:rsidRDefault="00897293" w:rsidP="00704983">
            <w:pPr>
              <w:rPr>
                <w:rFonts w:cs="Arial"/>
                <w:color w:val="000000" w:themeColor="text1"/>
                <w:sz w:val="20"/>
              </w:rPr>
            </w:pPr>
            <w:r w:rsidRPr="00CC6553">
              <w:rPr>
                <w:rFonts w:cs="Arial"/>
                <w:color w:val="000000" w:themeColor="text1"/>
                <w:sz w:val="20"/>
              </w:rPr>
              <w:t>Guideline</w:t>
            </w:r>
          </w:p>
        </w:tc>
        <w:tc>
          <w:tcPr>
            <w:tcW w:w="214" w:type="pct"/>
          </w:tcPr>
          <w:p w14:paraId="25AA1020" w14:textId="069B096A" w:rsidR="00897293" w:rsidRPr="00CC6553" w:rsidRDefault="00897293" w:rsidP="00704983">
            <w:pPr>
              <w:rPr>
                <w:rFonts w:cs="Arial"/>
                <w:color w:val="000000" w:themeColor="text1"/>
                <w:sz w:val="20"/>
              </w:rPr>
            </w:pPr>
            <w:r w:rsidRPr="00CC6553">
              <w:rPr>
                <w:rFonts w:cs="Arial"/>
                <w:color w:val="000000" w:themeColor="text1"/>
                <w:sz w:val="20"/>
              </w:rPr>
              <w:t>014</w:t>
            </w:r>
          </w:p>
        </w:tc>
        <w:tc>
          <w:tcPr>
            <w:tcW w:w="214" w:type="pct"/>
          </w:tcPr>
          <w:p w14:paraId="08395B51" w14:textId="04C4DC7C" w:rsidR="00897293" w:rsidRPr="00CC6553" w:rsidRDefault="00897293" w:rsidP="00704983">
            <w:pPr>
              <w:rPr>
                <w:rFonts w:cs="Arial"/>
                <w:color w:val="000000" w:themeColor="text1"/>
                <w:sz w:val="20"/>
              </w:rPr>
            </w:pPr>
            <w:r w:rsidRPr="00CC6553">
              <w:rPr>
                <w:rFonts w:cs="Arial"/>
                <w:color w:val="000000" w:themeColor="text1"/>
                <w:sz w:val="20"/>
              </w:rPr>
              <w:t>005</w:t>
            </w:r>
          </w:p>
        </w:tc>
        <w:tc>
          <w:tcPr>
            <w:tcW w:w="1521" w:type="pct"/>
          </w:tcPr>
          <w:p w14:paraId="1B70F50A" w14:textId="0F4B44A3" w:rsidR="00897293" w:rsidRPr="00CC6553" w:rsidRDefault="00897293" w:rsidP="00704983">
            <w:pPr>
              <w:rPr>
                <w:rFonts w:cs="Arial"/>
                <w:color w:val="000000" w:themeColor="text1"/>
                <w:sz w:val="20"/>
              </w:rPr>
            </w:pPr>
            <w:r w:rsidRPr="00CC6553">
              <w:rPr>
                <w:rFonts w:cs="Arial"/>
                <w:color w:val="000000" w:themeColor="text1"/>
                <w:sz w:val="20"/>
              </w:rPr>
              <w:t>Should the MRA be restricted to Finerorone as per the FINEARTS study as there is no compelling evidence for the use of Spironolactone or Eplerenone</w:t>
            </w:r>
          </w:p>
        </w:tc>
        <w:tc>
          <w:tcPr>
            <w:tcW w:w="2122" w:type="pct"/>
          </w:tcPr>
          <w:p w14:paraId="2E8ACB5D" w14:textId="7BFEED3F" w:rsidR="00897293" w:rsidRPr="00CC6553" w:rsidRDefault="00897293" w:rsidP="00704983">
            <w:pPr>
              <w:rPr>
                <w:rFonts w:cs="Arial"/>
                <w:color w:val="000000" w:themeColor="text1"/>
                <w:sz w:val="20"/>
              </w:rPr>
            </w:pPr>
            <w:r w:rsidRPr="00CC6553">
              <w:rPr>
                <w:rFonts w:cs="Arial"/>
                <w:color w:val="000000" w:themeColor="text1"/>
                <w:sz w:val="20"/>
              </w:rPr>
              <w:t xml:space="preserve">Thank-you for your comments. As eplerenone is licensed for CHF with reduced ejection fraction, we have reconsidered the inclusion of trials investigating eplerenone in evidence review D. </w:t>
            </w:r>
            <w:r>
              <w:rPr>
                <w:rFonts w:cs="Arial"/>
                <w:color w:val="000000" w:themeColor="text1"/>
                <w:sz w:val="20"/>
              </w:rPr>
              <w:t>A</w:t>
            </w:r>
            <w:r w:rsidRPr="00CC6553">
              <w:rPr>
                <w:rFonts w:cs="Arial"/>
                <w:color w:val="000000" w:themeColor="text1"/>
                <w:sz w:val="20"/>
              </w:rPr>
              <w:t>ccordingly</w:t>
            </w:r>
            <w:r>
              <w:rPr>
                <w:rFonts w:cs="Arial"/>
                <w:color w:val="000000" w:themeColor="text1"/>
                <w:sz w:val="20"/>
              </w:rPr>
              <w:t>, t</w:t>
            </w:r>
            <w:r w:rsidRPr="00CC6553">
              <w:rPr>
                <w:rFonts w:cs="Arial"/>
                <w:color w:val="000000" w:themeColor="text1"/>
                <w:sz w:val="20"/>
              </w:rPr>
              <w:t xml:space="preserve">he evidence </w:t>
            </w:r>
            <w:r w:rsidRPr="00CC6553">
              <w:rPr>
                <w:rFonts w:cs="Arial"/>
                <w:color w:val="000000" w:themeColor="text1"/>
                <w:sz w:val="20"/>
              </w:rPr>
              <w:lastRenderedPageBreak/>
              <w:t>review has been amended to remove RCTs</w:t>
            </w:r>
            <w:r>
              <w:rPr>
                <w:rFonts w:cs="Arial"/>
                <w:color w:val="000000" w:themeColor="text1"/>
                <w:sz w:val="20"/>
              </w:rPr>
              <w:t xml:space="preserve"> investigating eplerenone</w:t>
            </w:r>
          </w:p>
          <w:p w14:paraId="1DA879A4" w14:textId="77777777" w:rsidR="00897293" w:rsidRPr="00CC6553" w:rsidRDefault="00897293" w:rsidP="00704983">
            <w:pPr>
              <w:rPr>
                <w:rFonts w:cs="Arial"/>
                <w:color w:val="000000" w:themeColor="text1"/>
                <w:sz w:val="20"/>
              </w:rPr>
            </w:pPr>
          </w:p>
          <w:p w14:paraId="57754677" w14:textId="5890BDDB" w:rsidR="00897293" w:rsidRPr="00CC6553" w:rsidRDefault="00897293" w:rsidP="476BDDBF">
            <w:pPr>
              <w:pStyle w:val="Heading1"/>
              <w:rPr>
                <w:rFonts w:cs="Arial"/>
                <w:b w:val="0"/>
                <w:bCs w:val="0"/>
                <w:color w:val="000000" w:themeColor="text1"/>
                <w:sz w:val="20"/>
              </w:rPr>
            </w:pPr>
            <w:r w:rsidRPr="00CC6553">
              <w:rPr>
                <w:rFonts w:cs="Arial"/>
                <w:b w:val="0"/>
                <w:bCs w:val="0"/>
                <w:color w:val="000000" w:themeColor="text1"/>
                <w:sz w:val="20"/>
              </w:rPr>
              <w:t>The committee agreed to make a medicine class-based recommendation for MRAs. This is in line with the approach taken across this CHF guideline update to consider evidence per class of medicines, rather than split the evidence per individual medicine. The committee is aware that individual circumstances will feature in clinician’s decisions on exactly which medicine to use. They agreed that clinicians can use their judgement; a sentence has been added to the summary of the committee’s discussion (evidence reviews B and D) to reflect this: ‘Clinical judgement is also important when selecting individual medicines to use within a class of medicines, including consideration of differences in side effect profiles’.</w:t>
            </w:r>
            <w:r>
              <w:rPr>
                <w:rFonts w:cs="Arial"/>
                <w:b w:val="0"/>
                <w:bCs w:val="0"/>
                <w:color w:val="000000" w:themeColor="text1"/>
                <w:sz w:val="20"/>
              </w:rPr>
              <w:t xml:space="preserve"> This requirement for clinical judgement is expected for all NICE recommendations.</w:t>
            </w:r>
          </w:p>
        </w:tc>
      </w:tr>
      <w:tr w:rsidR="00897293" w:rsidRPr="00CC6553" w14:paraId="70052CFA" w14:textId="77777777" w:rsidTr="00897293">
        <w:trPr>
          <w:trHeight w:val="300"/>
        </w:trPr>
        <w:tc>
          <w:tcPr>
            <w:tcW w:w="109" w:type="pct"/>
          </w:tcPr>
          <w:p w14:paraId="7E9A7A11" w14:textId="77777777" w:rsidR="00897293" w:rsidRPr="00CC6553" w:rsidRDefault="00897293" w:rsidP="00704983">
            <w:pPr>
              <w:rPr>
                <w:rFonts w:cs="Arial"/>
                <w:color w:val="000000" w:themeColor="text1"/>
                <w:sz w:val="20"/>
              </w:rPr>
            </w:pPr>
            <w:r w:rsidRPr="00CC6553">
              <w:rPr>
                <w:rFonts w:cs="Arial"/>
                <w:color w:val="000000" w:themeColor="text1"/>
                <w:sz w:val="20"/>
              </w:rPr>
              <w:lastRenderedPageBreak/>
              <w:t>146</w:t>
            </w:r>
          </w:p>
        </w:tc>
        <w:tc>
          <w:tcPr>
            <w:tcW w:w="143" w:type="pct"/>
          </w:tcPr>
          <w:p w14:paraId="0749E1D4" w14:textId="5594CE8C" w:rsidR="00897293" w:rsidRPr="00CC6553" w:rsidRDefault="00897293" w:rsidP="00704983">
            <w:pPr>
              <w:rPr>
                <w:rFonts w:cs="Arial"/>
                <w:color w:val="000000" w:themeColor="text1"/>
                <w:sz w:val="20"/>
              </w:rPr>
            </w:pPr>
            <w:r w:rsidRPr="00CC6553">
              <w:rPr>
                <w:rFonts w:cs="Arial"/>
                <w:color w:val="000000" w:themeColor="text1"/>
                <w:sz w:val="20"/>
              </w:rPr>
              <w:t>SH</w:t>
            </w:r>
          </w:p>
        </w:tc>
        <w:tc>
          <w:tcPr>
            <w:tcW w:w="396" w:type="pct"/>
          </w:tcPr>
          <w:p w14:paraId="38693B09" w14:textId="48C4A694" w:rsidR="00897293" w:rsidRPr="00CC6553" w:rsidRDefault="00897293" w:rsidP="00704983">
            <w:pPr>
              <w:rPr>
                <w:rFonts w:cs="Arial"/>
                <w:bCs/>
                <w:iCs/>
                <w:color w:val="000000" w:themeColor="text1"/>
                <w:sz w:val="20"/>
              </w:rPr>
            </w:pPr>
            <w:r w:rsidRPr="00CC6553">
              <w:rPr>
                <w:rFonts w:cs="Arial"/>
                <w:color w:val="000000" w:themeColor="text1"/>
                <w:sz w:val="20"/>
              </w:rPr>
              <w:t>Pumping Marvellous Foundation</w:t>
            </w:r>
          </w:p>
        </w:tc>
        <w:tc>
          <w:tcPr>
            <w:tcW w:w="279" w:type="pct"/>
          </w:tcPr>
          <w:p w14:paraId="380AAAE0" w14:textId="3B374DD0" w:rsidR="00897293" w:rsidRPr="00CC6553" w:rsidRDefault="00897293" w:rsidP="00704983">
            <w:pPr>
              <w:rPr>
                <w:rFonts w:cs="Arial"/>
                <w:color w:val="000000" w:themeColor="text1"/>
                <w:sz w:val="20"/>
              </w:rPr>
            </w:pPr>
            <w:r w:rsidRPr="00CC6553">
              <w:rPr>
                <w:rFonts w:cs="Arial"/>
                <w:color w:val="000000" w:themeColor="text1"/>
                <w:sz w:val="20"/>
              </w:rPr>
              <w:t>Guideline</w:t>
            </w:r>
          </w:p>
        </w:tc>
        <w:tc>
          <w:tcPr>
            <w:tcW w:w="214" w:type="pct"/>
          </w:tcPr>
          <w:p w14:paraId="0C4A2EB7" w14:textId="53B0FA6E" w:rsidR="00897293" w:rsidRPr="00CC6553" w:rsidRDefault="00897293" w:rsidP="00704983">
            <w:pPr>
              <w:rPr>
                <w:rFonts w:cs="Arial"/>
                <w:color w:val="000000" w:themeColor="text1"/>
                <w:sz w:val="20"/>
              </w:rPr>
            </w:pPr>
            <w:r w:rsidRPr="00CC6553">
              <w:rPr>
                <w:rFonts w:cs="Arial"/>
                <w:color w:val="000000" w:themeColor="text1"/>
                <w:sz w:val="20"/>
              </w:rPr>
              <w:t>014</w:t>
            </w:r>
          </w:p>
        </w:tc>
        <w:tc>
          <w:tcPr>
            <w:tcW w:w="214" w:type="pct"/>
          </w:tcPr>
          <w:p w14:paraId="14EEE612" w14:textId="47842DF2" w:rsidR="00897293" w:rsidRPr="00CC6553" w:rsidRDefault="00897293" w:rsidP="00704983">
            <w:pPr>
              <w:rPr>
                <w:rFonts w:cs="Arial"/>
                <w:color w:val="000000" w:themeColor="text1"/>
                <w:sz w:val="20"/>
              </w:rPr>
            </w:pPr>
            <w:r w:rsidRPr="00CC6553">
              <w:rPr>
                <w:rFonts w:cs="Arial"/>
                <w:color w:val="000000" w:themeColor="text1"/>
                <w:sz w:val="20"/>
              </w:rPr>
              <w:t>005</w:t>
            </w:r>
          </w:p>
        </w:tc>
        <w:tc>
          <w:tcPr>
            <w:tcW w:w="1521" w:type="pct"/>
          </w:tcPr>
          <w:p w14:paraId="2BFCEDDF" w14:textId="34E36A8A" w:rsidR="00897293" w:rsidRPr="00CC6553" w:rsidRDefault="00897293" w:rsidP="00704983">
            <w:pPr>
              <w:rPr>
                <w:rFonts w:cs="Arial"/>
                <w:color w:val="000000" w:themeColor="text1"/>
                <w:sz w:val="20"/>
              </w:rPr>
            </w:pPr>
            <w:r w:rsidRPr="00CC6553">
              <w:rPr>
                <w:rFonts w:cs="Arial"/>
                <w:color w:val="000000" w:themeColor="text1"/>
                <w:sz w:val="20"/>
              </w:rPr>
              <w:t xml:space="preserve">Wording not strong enough for these prognostically beneficial therapies to treat a condition which does not have any other treatments and in the absence of which these patients suffer from poor quality of life, frequent hospitalisations and </w:t>
            </w:r>
            <w:r w:rsidRPr="00CC6553">
              <w:rPr>
                <w:rFonts w:cs="Arial"/>
                <w:color w:val="000000" w:themeColor="text1"/>
                <w:sz w:val="20"/>
              </w:rPr>
              <w:lastRenderedPageBreak/>
              <w:t>increased mortality. Please consider rewording to “Offer SGLT2i and MRA…..</w:t>
            </w:r>
            <w:r w:rsidRPr="00CC6553">
              <w:rPr>
                <w:rFonts w:cs="Arial"/>
                <w:color w:val="000000" w:themeColor="text1"/>
                <w:sz w:val="20"/>
              </w:rPr>
              <w:br/>
              <w:t>People with HFpEF also frequently have other long term health conditions such as type 2 diabetes, chronic kidney disease and obesity. Consider GLP1 receptor agonists for the management of these conditions (in line with existing NICE guidance) and also improved outcomes of HFpEF.</w:t>
            </w:r>
          </w:p>
        </w:tc>
        <w:tc>
          <w:tcPr>
            <w:tcW w:w="2122" w:type="pct"/>
          </w:tcPr>
          <w:p w14:paraId="575F27E2" w14:textId="77777777" w:rsidR="00897293" w:rsidRPr="00CC6553" w:rsidRDefault="00897293" w:rsidP="005C0D2C">
            <w:pPr>
              <w:pStyle w:val="Heading1"/>
              <w:rPr>
                <w:rFonts w:cs="Arial"/>
                <w:color w:val="000000" w:themeColor="text1"/>
                <w:sz w:val="20"/>
              </w:rPr>
            </w:pPr>
            <w:r w:rsidRPr="00CC6553">
              <w:rPr>
                <w:rFonts w:cs="Arial"/>
                <w:b w:val="0"/>
                <w:bCs w:val="0"/>
                <w:color w:val="000000" w:themeColor="text1"/>
                <w:sz w:val="20"/>
              </w:rPr>
              <w:lastRenderedPageBreak/>
              <w:t xml:space="preserve">Thank you for your comment.  The committee have removed reference to SGLT2 inhibitors from the </w:t>
            </w:r>
            <w:r w:rsidRPr="00CC6553">
              <w:rPr>
                <w:rFonts w:cs="Arial"/>
                <w:b w:val="0"/>
                <w:bCs w:val="0"/>
                <w:color w:val="000000" w:themeColor="text1"/>
                <w:sz w:val="20"/>
              </w:rPr>
              <w:lastRenderedPageBreak/>
              <w:t>recommendation but cross-refer to TA929 and TA902.</w:t>
            </w:r>
          </w:p>
          <w:p w14:paraId="7889F96A" w14:textId="77777777" w:rsidR="00897293" w:rsidRPr="00CC6553" w:rsidRDefault="00897293" w:rsidP="005C0D2C">
            <w:pPr>
              <w:rPr>
                <w:rFonts w:cs="Arial"/>
                <w:color w:val="000000" w:themeColor="text1"/>
                <w:sz w:val="20"/>
              </w:rPr>
            </w:pPr>
          </w:p>
          <w:p w14:paraId="6032626C" w14:textId="59DCA470" w:rsidR="00897293" w:rsidRPr="00CC6553" w:rsidRDefault="00897293" w:rsidP="005C0D2C">
            <w:pPr>
              <w:rPr>
                <w:rFonts w:eastAsia="Arial" w:cs="Arial"/>
                <w:color w:val="000000" w:themeColor="text1"/>
                <w:sz w:val="20"/>
              </w:rPr>
            </w:pPr>
            <w:r w:rsidRPr="00CC6553">
              <w:rPr>
                <w:rFonts w:cs="Arial"/>
                <w:color w:val="000000" w:themeColor="text1"/>
                <w:sz w:val="20"/>
              </w:rPr>
              <w:t xml:space="preserve">The recommendation for MRAs for patients with CHF and preserved rejection fraction is a ’consider' recommendation rather than an ‘offer' recommendation </w:t>
            </w:r>
            <w:r w:rsidRPr="00CC6553">
              <w:rPr>
                <w:rFonts w:eastAsia="Arial" w:cs="Arial"/>
                <w:color w:val="000000" w:themeColor="text1"/>
                <w:sz w:val="20"/>
              </w:rPr>
              <w:t>due to the limited size of the evidence base. This is summarised in p20 of evidence report D.</w:t>
            </w:r>
          </w:p>
          <w:p w14:paraId="07F6C073" w14:textId="77777777" w:rsidR="00897293" w:rsidRPr="00CC6553" w:rsidRDefault="00897293" w:rsidP="005C0D2C">
            <w:pPr>
              <w:rPr>
                <w:rFonts w:eastAsia="Arial" w:cs="Arial"/>
                <w:color w:val="000000" w:themeColor="text1"/>
                <w:sz w:val="20"/>
              </w:rPr>
            </w:pPr>
          </w:p>
          <w:p w14:paraId="213E59BB" w14:textId="2041AEE1" w:rsidR="00897293" w:rsidRPr="00CC6553" w:rsidRDefault="00897293" w:rsidP="005C0D2C">
            <w:pPr>
              <w:pStyle w:val="Heading1"/>
              <w:rPr>
                <w:rFonts w:cs="Arial"/>
                <w:b w:val="0"/>
                <w:color w:val="000000" w:themeColor="text1"/>
                <w:sz w:val="20"/>
              </w:rPr>
            </w:pPr>
            <w:r w:rsidRPr="00CC6553">
              <w:rPr>
                <w:rFonts w:eastAsia="Arial" w:cs="Arial"/>
                <w:b w:val="0"/>
                <w:bCs w:val="0"/>
                <w:color w:val="000000" w:themeColor="text1"/>
                <w:sz w:val="20"/>
              </w:rPr>
              <w:t xml:space="preserve">GLP1i are outside the scope of this guideline update so </w:t>
            </w:r>
            <w:r w:rsidRPr="00CC6553">
              <w:rPr>
                <w:rFonts w:cs="Arial"/>
                <w:b w:val="0"/>
                <w:bCs w:val="0"/>
                <w:color w:val="000000" w:themeColor="text1"/>
                <w:sz w:val="20"/>
              </w:rPr>
              <w:t>the committee were therefore unable to make recommendations on the use of GLP1i</w:t>
            </w:r>
          </w:p>
        </w:tc>
      </w:tr>
      <w:tr w:rsidR="00897293" w:rsidRPr="00CC6553" w14:paraId="6BD4F1C2" w14:textId="77777777" w:rsidTr="00897293">
        <w:trPr>
          <w:trHeight w:val="300"/>
        </w:trPr>
        <w:tc>
          <w:tcPr>
            <w:tcW w:w="109" w:type="pct"/>
          </w:tcPr>
          <w:p w14:paraId="119B6F0E" w14:textId="77777777" w:rsidR="00897293" w:rsidRPr="00CC6553" w:rsidRDefault="00897293" w:rsidP="00704983">
            <w:pPr>
              <w:rPr>
                <w:rFonts w:cs="Arial"/>
                <w:color w:val="000000" w:themeColor="text1"/>
                <w:sz w:val="20"/>
              </w:rPr>
            </w:pPr>
            <w:r w:rsidRPr="00CC6553">
              <w:rPr>
                <w:rFonts w:cs="Arial"/>
                <w:color w:val="000000" w:themeColor="text1"/>
                <w:sz w:val="20"/>
              </w:rPr>
              <w:lastRenderedPageBreak/>
              <w:t>147</w:t>
            </w:r>
          </w:p>
        </w:tc>
        <w:tc>
          <w:tcPr>
            <w:tcW w:w="143" w:type="pct"/>
          </w:tcPr>
          <w:p w14:paraId="130025DC" w14:textId="137B10DE" w:rsidR="00897293" w:rsidRPr="00CC6553" w:rsidRDefault="00897293" w:rsidP="00704983">
            <w:pPr>
              <w:rPr>
                <w:rFonts w:cs="Arial"/>
                <w:color w:val="000000" w:themeColor="text1"/>
                <w:sz w:val="20"/>
              </w:rPr>
            </w:pPr>
            <w:r w:rsidRPr="00CC6553">
              <w:rPr>
                <w:rFonts w:cs="Arial"/>
                <w:color w:val="000000" w:themeColor="text1"/>
                <w:sz w:val="20"/>
              </w:rPr>
              <w:t>SH</w:t>
            </w:r>
          </w:p>
        </w:tc>
        <w:tc>
          <w:tcPr>
            <w:tcW w:w="396" w:type="pct"/>
          </w:tcPr>
          <w:p w14:paraId="07B91E20" w14:textId="7342DB3A" w:rsidR="00897293" w:rsidRPr="00CC6553" w:rsidRDefault="00897293" w:rsidP="00704983">
            <w:pPr>
              <w:rPr>
                <w:rFonts w:cs="Arial"/>
                <w:bCs/>
                <w:iCs/>
                <w:color w:val="000000" w:themeColor="text1"/>
                <w:sz w:val="20"/>
              </w:rPr>
            </w:pPr>
            <w:r w:rsidRPr="00CC6553">
              <w:rPr>
                <w:rFonts w:cs="Arial"/>
                <w:color w:val="000000" w:themeColor="text1"/>
                <w:sz w:val="20"/>
              </w:rPr>
              <w:t>UK Clinical Pharmacy Association (UKCPA) – heart failure committee</w:t>
            </w:r>
          </w:p>
        </w:tc>
        <w:tc>
          <w:tcPr>
            <w:tcW w:w="279" w:type="pct"/>
          </w:tcPr>
          <w:p w14:paraId="63C563C0" w14:textId="66E14451" w:rsidR="00897293" w:rsidRPr="00CC6553" w:rsidRDefault="00897293" w:rsidP="00704983">
            <w:pPr>
              <w:rPr>
                <w:rFonts w:cs="Arial"/>
                <w:color w:val="000000" w:themeColor="text1"/>
                <w:sz w:val="20"/>
              </w:rPr>
            </w:pPr>
            <w:r w:rsidRPr="00CC6553">
              <w:rPr>
                <w:rFonts w:cs="Arial"/>
                <w:color w:val="000000" w:themeColor="text1"/>
                <w:sz w:val="20"/>
              </w:rPr>
              <w:t>Guideline</w:t>
            </w:r>
          </w:p>
        </w:tc>
        <w:tc>
          <w:tcPr>
            <w:tcW w:w="214" w:type="pct"/>
          </w:tcPr>
          <w:p w14:paraId="2690AA72" w14:textId="6B06C831" w:rsidR="00897293" w:rsidRPr="00CC6553" w:rsidRDefault="00897293" w:rsidP="00704983">
            <w:pPr>
              <w:rPr>
                <w:rFonts w:cs="Arial"/>
                <w:color w:val="000000" w:themeColor="text1"/>
                <w:sz w:val="20"/>
              </w:rPr>
            </w:pPr>
            <w:r w:rsidRPr="00CC6553">
              <w:rPr>
                <w:rFonts w:cs="Arial"/>
                <w:color w:val="000000" w:themeColor="text1"/>
                <w:sz w:val="20"/>
              </w:rPr>
              <w:t>014</w:t>
            </w:r>
          </w:p>
        </w:tc>
        <w:tc>
          <w:tcPr>
            <w:tcW w:w="214" w:type="pct"/>
          </w:tcPr>
          <w:p w14:paraId="16E7AE42" w14:textId="7E3AE7CC" w:rsidR="00897293" w:rsidRPr="00CC6553" w:rsidRDefault="00897293" w:rsidP="00704983">
            <w:pPr>
              <w:rPr>
                <w:rFonts w:cs="Arial"/>
                <w:color w:val="000000" w:themeColor="text1"/>
                <w:sz w:val="20"/>
              </w:rPr>
            </w:pPr>
            <w:r w:rsidRPr="00CC6553">
              <w:rPr>
                <w:rFonts w:cs="Arial"/>
                <w:color w:val="000000" w:themeColor="text1"/>
                <w:sz w:val="20"/>
              </w:rPr>
              <w:t>005</w:t>
            </w:r>
          </w:p>
        </w:tc>
        <w:tc>
          <w:tcPr>
            <w:tcW w:w="1521" w:type="pct"/>
          </w:tcPr>
          <w:p w14:paraId="5114E175" w14:textId="11D2644A" w:rsidR="00897293" w:rsidRPr="00CC6553" w:rsidRDefault="00897293" w:rsidP="00704983">
            <w:pPr>
              <w:rPr>
                <w:rFonts w:cs="Arial"/>
                <w:color w:val="000000" w:themeColor="text1"/>
                <w:sz w:val="20"/>
              </w:rPr>
            </w:pPr>
            <w:r w:rsidRPr="00CC6553">
              <w:rPr>
                <w:rFonts w:cs="Arial"/>
                <w:color w:val="000000" w:themeColor="text1"/>
                <w:sz w:val="20"/>
              </w:rPr>
              <w:t>Consider rewording to ‘Offer’ SGLT2 for patients with HFpEF given evidence base (DELIVER and EMPEROR) and in line with ESC 2021 (Class 1). We support the wording ‘consider’ for MRA as only modest benefit in the TOPCAT trial and may need to be reviewed following NICE documentation around finerenone.</w:t>
            </w:r>
          </w:p>
        </w:tc>
        <w:tc>
          <w:tcPr>
            <w:tcW w:w="2122" w:type="pct"/>
          </w:tcPr>
          <w:p w14:paraId="5BE005BC" w14:textId="77777777" w:rsidR="00897293" w:rsidRPr="00CC6553" w:rsidRDefault="00897293" w:rsidP="476BDDBF">
            <w:pPr>
              <w:pStyle w:val="Heading1"/>
              <w:rPr>
                <w:rFonts w:cs="Arial"/>
                <w:b w:val="0"/>
                <w:bCs w:val="0"/>
                <w:color w:val="000000" w:themeColor="text1"/>
                <w:sz w:val="20"/>
              </w:rPr>
            </w:pPr>
            <w:r w:rsidRPr="00CC6553">
              <w:rPr>
                <w:rFonts w:cs="Arial"/>
                <w:b w:val="0"/>
                <w:bCs w:val="0"/>
                <w:color w:val="000000" w:themeColor="text1"/>
                <w:sz w:val="20"/>
              </w:rPr>
              <w:t>Thank you for your comment.  The committee have removed reference to SGLT2 inhibitors from the recommendation but cross-refer to TA929 and TA902.</w:t>
            </w:r>
          </w:p>
          <w:p w14:paraId="5B917BF2" w14:textId="77777777" w:rsidR="00897293" w:rsidRPr="00CC6553" w:rsidRDefault="00897293" w:rsidP="00954687">
            <w:pPr>
              <w:rPr>
                <w:color w:val="000000" w:themeColor="text1"/>
              </w:rPr>
            </w:pPr>
          </w:p>
          <w:p w14:paraId="3EAAF912" w14:textId="009D50FB" w:rsidR="00897293" w:rsidRPr="00CC6553" w:rsidRDefault="00897293" w:rsidP="00954687">
            <w:pPr>
              <w:rPr>
                <w:rFonts w:eastAsia="Arial" w:cs="Arial"/>
                <w:color w:val="000000" w:themeColor="text1"/>
                <w:sz w:val="20"/>
              </w:rPr>
            </w:pPr>
            <w:r w:rsidRPr="00CC6553">
              <w:rPr>
                <w:rFonts w:cs="Arial"/>
                <w:color w:val="000000" w:themeColor="text1"/>
                <w:sz w:val="20"/>
              </w:rPr>
              <w:t xml:space="preserve">Thank-you for supporting the recommendation for MRAs for patients with CHF and preserved rejection fraction as a ’consider' recommendation; this is </w:t>
            </w:r>
            <w:r w:rsidRPr="00CC6553">
              <w:rPr>
                <w:rFonts w:eastAsia="Arial" w:cs="Arial"/>
                <w:color w:val="000000" w:themeColor="text1"/>
                <w:sz w:val="20"/>
              </w:rPr>
              <w:t>due to the limited size of the evidence base. This is summarised in p20 of evidence report D.</w:t>
            </w:r>
          </w:p>
          <w:p w14:paraId="07F01BB8" w14:textId="77777777" w:rsidR="00897293" w:rsidRPr="00CC6553" w:rsidRDefault="00897293" w:rsidP="00954687">
            <w:pPr>
              <w:rPr>
                <w:color w:val="000000" w:themeColor="text1"/>
              </w:rPr>
            </w:pPr>
          </w:p>
          <w:p w14:paraId="291A2A49" w14:textId="77777777" w:rsidR="00897293" w:rsidRPr="00CC6553" w:rsidRDefault="00897293" w:rsidP="00704983">
            <w:pPr>
              <w:pStyle w:val="Heading1"/>
              <w:rPr>
                <w:rFonts w:cs="Arial"/>
                <w:b w:val="0"/>
                <w:color w:val="000000" w:themeColor="text1"/>
                <w:sz w:val="20"/>
              </w:rPr>
            </w:pPr>
          </w:p>
        </w:tc>
      </w:tr>
      <w:tr w:rsidR="00897293" w:rsidRPr="00CC6553" w14:paraId="2EB31DC0" w14:textId="77777777" w:rsidTr="00897293">
        <w:trPr>
          <w:trHeight w:val="300"/>
        </w:trPr>
        <w:tc>
          <w:tcPr>
            <w:tcW w:w="109" w:type="pct"/>
          </w:tcPr>
          <w:p w14:paraId="634B8501" w14:textId="77777777" w:rsidR="00897293" w:rsidRPr="00CC6553" w:rsidRDefault="00897293" w:rsidP="00704983">
            <w:pPr>
              <w:rPr>
                <w:rFonts w:cs="Arial"/>
                <w:color w:val="000000" w:themeColor="text1"/>
                <w:sz w:val="20"/>
              </w:rPr>
            </w:pPr>
            <w:r w:rsidRPr="00CC6553">
              <w:rPr>
                <w:rFonts w:cs="Arial"/>
                <w:color w:val="000000" w:themeColor="text1"/>
                <w:sz w:val="20"/>
              </w:rPr>
              <w:lastRenderedPageBreak/>
              <w:t>148</w:t>
            </w:r>
          </w:p>
        </w:tc>
        <w:tc>
          <w:tcPr>
            <w:tcW w:w="143" w:type="pct"/>
          </w:tcPr>
          <w:p w14:paraId="633A55FF" w14:textId="640FB00C" w:rsidR="00897293" w:rsidRPr="00CC6553" w:rsidRDefault="00897293" w:rsidP="00704983">
            <w:pPr>
              <w:rPr>
                <w:rFonts w:cs="Arial"/>
                <w:color w:val="000000" w:themeColor="text1"/>
                <w:sz w:val="20"/>
              </w:rPr>
            </w:pPr>
            <w:r w:rsidRPr="00CC6553">
              <w:rPr>
                <w:rFonts w:cs="Arial"/>
                <w:color w:val="000000" w:themeColor="text1"/>
                <w:sz w:val="20"/>
              </w:rPr>
              <w:t>SH</w:t>
            </w:r>
          </w:p>
        </w:tc>
        <w:tc>
          <w:tcPr>
            <w:tcW w:w="396" w:type="pct"/>
          </w:tcPr>
          <w:p w14:paraId="50020149" w14:textId="4F5E2BB2" w:rsidR="00897293" w:rsidRPr="00CC6553" w:rsidRDefault="00897293" w:rsidP="00704983">
            <w:pPr>
              <w:rPr>
                <w:rFonts w:cs="Arial"/>
                <w:bCs/>
                <w:iCs/>
                <w:color w:val="000000" w:themeColor="text1"/>
                <w:sz w:val="20"/>
              </w:rPr>
            </w:pPr>
            <w:r w:rsidRPr="00CC6553">
              <w:rPr>
                <w:rFonts w:cs="Arial"/>
                <w:color w:val="000000" w:themeColor="text1"/>
                <w:sz w:val="20"/>
              </w:rPr>
              <w:t>British Geriatrics Society</w:t>
            </w:r>
          </w:p>
        </w:tc>
        <w:tc>
          <w:tcPr>
            <w:tcW w:w="279" w:type="pct"/>
          </w:tcPr>
          <w:p w14:paraId="77F82BB4" w14:textId="15766439" w:rsidR="00897293" w:rsidRPr="00CC6553" w:rsidRDefault="00897293" w:rsidP="00704983">
            <w:pPr>
              <w:rPr>
                <w:rFonts w:cs="Arial"/>
                <w:color w:val="000000" w:themeColor="text1"/>
                <w:sz w:val="20"/>
              </w:rPr>
            </w:pPr>
            <w:r w:rsidRPr="00CC6553">
              <w:rPr>
                <w:rFonts w:cs="Arial"/>
                <w:color w:val="000000" w:themeColor="text1"/>
                <w:sz w:val="20"/>
              </w:rPr>
              <w:t>Guideline</w:t>
            </w:r>
          </w:p>
        </w:tc>
        <w:tc>
          <w:tcPr>
            <w:tcW w:w="214" w:type="pct"/>
          </w:tcPr>
          <w:p w14:paraId="06B17E99" w14:textId="79EF975A" w:rsidR="00897293" w:rsidRPr="00CC6553" w:rsidRDefault="00897293" w:rsidP="00704983">
            <w:pPr>
              <w:rPr>
                <w:rFonts w:cs="Arial"/>
                <w:color w:val="000000" w:themeColor="text1"/>
                <w:sz w:val="20"/>
              </w:rPr>
            </w:pPr>
            <w:r w:rsidRPr="00CC6553">
              <w:rPr>
                <w:rFonts w:cs="Arial"/>
                <w:color w:val="000000" w:themeColor="text1"/>
                <w:sz w:val="20"/>
              </w:rPr>
              <w:t>014</w:t>
            </w:r>
          </w:p>
        </w:tc>
        <w:tc>
          <w:tcPr>
            <w:tcW w:w="214" w:type="pct"/>
          </w:tcPr>
          <w:p w14:paraId="62525DC4" w14:textId="778E3DD2" w:rsidR="00897293" w:rsidRPr="00CC6553" w:rsidRDefault="00897293" w:rsidP="00704983">
            <w:pPr>
              <w:rPr>
                <w:rFonts w:cs="Arial"/>
                <w:color w:val="000000" w:themeColor="text1"/>
                <w:sz w:val="20"/>
              </w:rPr>
            </w:pPr>
            <w:r w:rsidRPr="00CC6553">
              <w:rPr>
                <w:rFonts w:cs="Arial"/>
                <w:color w:val="000000" w:themeColor="text1"/>
                <w:sz w:val="20"/>
              </w:rPr>
              <w:t>005</w:t>
            </w:r>
          </w:p>
        </w:tc>
        <w:tc>
          <w:tcPr>
            <w:tcW w:w="1521" w:type="pct"/>
          </w:tcPr>
          <w:p w14:paraId="0CE40C29" w14:textId="26E6914F" w:rsidR="00897293" w:rsidRPr="00CC6553" w:rsidRDefault="00897293" w:rsidP="00704983">
            <w:pPr>
              <w:rPr>
                <w:rFonts w:cs="Arial"/>
                <w:color w:val="000000" w:themeColor="text1"/>
                <w:sz w:val="20"/>
              </w:rPr>
            </w:pPr>
            <w:r w:rsidRPr="00CC6553">
              <w:rPr>
                <w:rFonts w:cs="Arial"/>
                <w:color w:val="000000" w:themeColor="text1"/>
                <w:sz w:val="20"/>
              </w:rPr>
              <w:t>Rec 1.5.3: SGLT2 inhibitors are well evidenced and well tolerated in HFpEF. Moreover, existing NICE TAs for SGLT2 inhibitors in HFpEF have recommended their use. Therefore the wording of “consider” seems weak compared to the potential benefit for patients who have hitherto had few evidence based treatment options.</w:t>
            </w:r>
            <w:r w:rsidRPr="00CC6553">
              <w:rPr>
                <w:rFonts w:cs="Arial"/>
                <w:color w:val="000000" w:themeColor="text1"/>
                <w:sz w:val="20"/>
              </w:rPr>
              <w:br/>
            </w:r>
            <w:r w:rsidRPr="00CC6553">
              <w:rPr>
                <w:rFonts w:cs="Arial"/>
                <w:color w:val="000000" w:themeColor="text1"/>
                <w:sz w:val="20"/>
              </w:rPr>
              <w:br/>
              <w:t>On the other hand, based on available evidence, “consider” seems appropriate for the use of MRAs</w:t>
            </w:r>
          </w:p>
        </w:tc>
        <w:tc>
          <w:tcPr>
            <w:tcW w:w="2122" w:type="pct"/>
          </w:tcPr>
          <w:p w14:paraId="17FED961" w14:textId="77777777" w:rsidR="00897293" w:rsidRPr="00CC6553" w:rsidRDefault="00897293" w:rsidP="476BDDBF">
            <w:pPr>
              <w:pStyle w:val="Heading1"/>
              <w:rPr>
                <w:rFonts w:cs="Arial"/>
                <w:b w:val="0"/>
                <w:bCs w:val="0"/>
                <w:color w:val="000000" w:themeColor="text1"/>
                <w:sz w:val="20"/>
              </w:rPr>
            </w:pPr>
            <w:r w:rsidRPr="00CC6553">
              <w:rPr>
                <w:rFonts w:cs="Arial"/>
                <w:b w:val="0"/>
                <w:bCs w:val="0"/>
                <w:color w:val="000000" w:themeColor="text1"/>
                <w:sz w:val="20"/>
              </w:rPr>
              <w:t>Thank you for your comment.  The committee have removed reference to SGLT2 inhibitors from the recommendation but cross-refer to TA929 and TA902.</w:t>
            </w:r>
          </w:p>
          <w:p w14:paraId="288AF203" w14:textId="77777777" w:rsidR="00897293" w:rsidRPr="00CC6553" w:rsidRDefault="00897293" w:rsidP="00507044">
            <w:pPr>
              <w:rPr>
                <w:color w:val="000000" w:themeColor="text1"/>
              </w:rPr>
            </w:pPr>
          </w:p>
          <w:p w14:paraId="7261F62D" w14:textId="2E385D10" w:rsidR="00897293" w:rsidRPr="00CC6553" w:rsidRDefault="00897293" w:rsidP="00507044">
            <w:pPr>
              <w:rPr>
                <w:rFonts w:eastAsia="Arial" w:cs="Arial"/>
                <w:color w:val="000000" w:themeColor="text1"/>
                <w:sz w:val="20"/>
              </w:rPr>
            </w:pPr>
            <w:r w:rsidRPr="00CC6553">
              <w:rPr>
                <w:rFonts w:cs="Arial"/>
                <w:color w:val="000000" w:themeColor="text1"/>
                <w:sz w:val="20"/>
              </w:rPr>
              <w:t xml:space="preserve">Thank-you for supporting the recommendation for MRAs for patients with CHF and preserved rejection fraction as a ’consider' recommendation; this is </w:t>
            </w:r>
            <w:r w:rsidRPr="00CC6553">
              <w:rPr>
                <w:rFonts w:eastAsia="Arial" w:cs="Arial"/>
                <w:color w:val="000000" w:themeColor="text1"/>
                <w:sz w:val="20"/>
              </w:rPr>
              <w:t>due to the limited size of the evidence base. This is summarised in p20 of evidence report D.</w:t>
            </w:r>
          </w:p>
          <w:p w14:paraId="427B2687" w14:textId="77777777" w:rsidR="00897293" w:rsidRPr="00CC6553" w:rsidRDefault="00897293" w:rsidP="00507044">
            <w:pPr>
              <w:rPr>
                <w:color w:val="000000" w:themeColor="text1"/>
              </w:rPr>
            </w:pPr>
          </w:p>
          <w:p w14:paraId="23B34036" w14:textId="77777777" w:rsidR="00897293" w:rsidRPr="00CC6553" w:rsidRDefault="00897293" w:rsidP="00CC6553">
            <w:pPr>
              <w:rPr>
                <w:b/>
                <w:color w:val="000000" w:themeColor="text1"/>
              </w:rPr>
            </w:pPr>
          </w:p>
        </w:tc>
      </w:tr>
      <w:tr w:rsidR="00897293" w:rsidRPr="00CC6553" w14:paraId="523F31F9" w14:textId="77777777" w:rsidTr="00897293">
        <w:trPr>
          <w:trHeight w:val="300"/>
        </w:trPr>
        <w:tc>
          <w:tcPr>
            <w:tcW w:w="109" w:type="pct"/>
          </w:tcPr>
          <w:p w14:paraId="28892931" w14:textId="77777777" w:rsidR="00897293" w:rsidRPr="00CC6553" w:rsidRDefault="00897293" w:rsidP="00704983">
            <w:pPr>
              <w:rPr>
                <w:rFonts w:cs="Arial"/>
                <w:color w:val="000000" w:themeColor="text1"/>
                <w:sz w:val="20"/>
              </w:rPr>
            </w:pPr>
            <w:r w:rsidRPr="00CC6553">
              <w:rPr>
                <w:rFonts w:cs="Arial"/>
                <w:color w:val="000000" w:themeColor="text1"/>
                <w:sz w:val="20"/>
              </w:rPr>
              <w:t>149</w:t>
            </w:r>
          </w:p>
        </w:tc>
        <w:tc>
          <w:tcPr>
            <w:tcW w:w="143" w:type="pct"/>
          </w:tcPr>
          <w:p w14:paraId="30FDF97E" w14:textId="76614C74" w:rsidR="00897293" w:rsidRPr="00CC6553" w:rsidRDefault="00897293" w:rsidP="00704983">
            <w:pPr>
              <w:rPr>
                <w:rFonts w:cs="Arial"/>
                <w:color w:val="000000" w:themeColor="text1"/>
                <w:sz w:val="20"/>
              </w:rPr>
            </w:pPr>
            <w:r w:rsidRPr="00CC6553">
              <w:rPr>
                <w:rFonts w:cs="Arial"/>
                <w:color w:val="000000" w:themeColor="text1"/>
                <w:sz w:val="20"/>
              </w:rPr>
              <w:t>SH</w:t>
            </w:r>
          </w:p>
        </w:tc>
        <w:tc>
          <w:tcPr>
            <w:tcW w:w="396" w:type="pct"/>
          </w:tcPr>
          <w:p w14:paraId="1A59358F" w14:textId="0DBEE64B" w:rsidR="00897293" w:rsidRPr="00CC6553" w:rsidRDefault="00897293" w:rsidP="00704983">
            <w:pPr>
              <w:rPr>
                <w:rFonts w:cs="Arial"/>
                <w:bCs/>
                <w:iCs/>
                <w:color w:val="000000" w:themeColor="text1"/>
                <w:sz w:val="20"/>
              </w:rPr>
            </w:pPr>
            <w:r w:rsidRPr="00CC6553">
              <w:rPr>
                <w:rFonts w:cs="Arial"/>
                <w:color w:val="000000" w:themeColor="text1"/>
                <w:sz w:val="20"/>
              </w:rPr>
              <w:t>Pfizer Ltd</w:t>
            </w:r>
          </w:p>
        </w:tc>
        <w:tc>
          <w:tcPr>
            <w:tcW w:w="279" w:type="pct"/>
          </w:tcPr>
          <w:p w14:paraId="6B68802B" w14:textId="6F95914D" w:rsidR="00897293" w:rsidRPr="00CC6553" w:rsidRDefault="00897293" w:rsidP="00704983">
            <w:pPr>
              <w:rPr>
                <w:rFonts w:cs="Arial"/>
                <w:color w:val="000000" w:themeColor="text1"/>
                <w:sz w:val="20"/>
              </w:rPr>
            </w:pPr>
            <w:r w:rsidRPr="00CC6553">
              <w:rPr>
                <w:rFonts w:cs="Arial"/>
                <w:color w:val="000000" w:themeColor="text1"/>
                <w:sz w:val="20"/>
              </w:rPr>
              <w:t>Guideline</w:t>
            </w:r>
          </w:p>
        </w:tc>
        <w:tc>
          <w:tcPr>
            <w:tcW w:w="214" w:type="pct"/>
          </w:tcPr>
          <w:p w14:paraId="2309EDEE" w14:textId="57F430CE" w:rsidR="00897293" w:rsidRPr="00CC6553" w:rsidRDefault="00897293" w:rsidP="00704983">
            <w:pPr>
              <w:rPr>
                <w:rFonts w:cs="Arial"/>
                <w:color w:val="000000" w:themeColor="text1"/>
                <w:sz w:val="20"/>
              </w:rPr>
            </w:pPr>
            <w:r w:rsidRPr="00CC6553">
              <w:rPr>
                <w:rFonts w:cs="Arial"/>
                <w:color w:val="000000" w:themeColor="text1"/>
                <w:sz w:val="20"/>
              </w:rPr>
              <w:t>014</w:t>
            </w:r>
          </w:p>
        </w:tc>
        <w:tc>
          <w:tcPr>
            <w:tcW w:w="214" w:type="pct"/>
          </w:tcPr>
          <w:p w14:paraId="4EF98420" w14:textId="4E013629" w:rsidR="00897293" w:rsidRPr="00CC6553" w:rsidRDefault="00897293" w:rsidP="00704983">
            <w:pPr>
              <w:rPr>
                <w:rFonts w:cs="Arial"/>
                <w:color w:val="000000" w:themeColor="text1"/>
                <w:sz w:val="20"/>
              </w:rPr>
            </w:pPr>
            <w:r w:rsidRPr="00CC6553">
              <w:rPr>
                <w:rFonts w:cs="Arial"/>
                <w:color w:val="000000" w:themeColor="text1"/>
                <w:sz w:val="20"/>
              </w:rPr>
              <w:t>005</w:t>
            </w:r>
          </w:p>
        </w:tc>
        <w:tc>
          <w:tcPr>
            <w:tcW w:w="1521" w:type="pct"/>
          </w:tcPr>
          <w:p w14:paraId="554E9019" w14:textId="6ABF2A12" w:rsidR="00897293" w:rsidRPr="00CC6553" w:rsidRDefault="00897293" w:rsidP="00704983">
            <w:pPr>
              <w:rPr>
                <w:rFonts w:cs="Arial"/>
                <w:color w:val="000000" w:themeColor="text1"/>
                <w:sz w:val="20"/>
              </w:rPr>
            </w:pPr>
            <w:r w:rsidRPr="00CC6553">
              <w:rPr>
                <w:rFonts w:cs="Arial"/>
                <w:color w:val="000000" w:themeColor="text1"/>
                <w:sz w:val="20"/>
              </w:rPr>
              <w:t>Rec 1.5.3 – We support the recommendation to consider an MRA and an SGLT2 inhibitor for treating heart failure with preserved ejection fraction (HFpEF). Additionally, we recommend that the guideline emphasises the importance of investigating the underlying causes of HFpEF prior to initiating pharmacological treatment.1 HFpEF is a heterogeneous syndrome with multiple potential aetiologies, including hypertensive heart disease, obesity-related cardiomyopathy, atrial fibrillation, and infiltrative diseases such as transthyretin amyloid cardiomyopathy (ATTR-CM).1</w:t>
            </w:r>
            <w:r w:rsidRPr="00CC6553">
              <w:rPr>
                <w:rFonts w:cs="Arial"/>
                <w:color w:val="000000" w:themeColor="text1"/>
                <w:sz w:val="20"/>
              </w:rPr>
              <w:br/>
              <w:t>Identifying the underlying cause is critical because it can directly influence treatment decisions and prognosis.2 For example, a specific disease-modifying therapy has been recommended by NICE for ATTR-CM:</w:t>
            </w:r>
            <w:r w:rsidRPr="00CC6553">
              <w:rPr>
                <w:rFonts w:cs="Arial"/>
                <w:color w:val="000000" w:themeColor="text1"/>
                <w:sz w:val="20"/>
              </w:rPr>
              <w:br/>
              <w:t>Tafamidis, (TA984, 2023).</w:t>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lastRenderedPageBreak/>
              <w:t>A non-invasive diagnosis of ATTR-CM requires a specified clinical approach to patients with suspected cardiac amyloidosis, as outlined in the ESC best practice guidance ‘Cardiac amyloidosis: epidemiology, diagnosis and therapy’.3 Without this structured diagnostic workup, cases may be missed, leading to suboptimal patient management. This is particularly relevant in populations with overlapping cardiac conditions for example, recent UK data indicate that up to 8-16% of patients undergoing transcatheter aortic valve implantation (TAVI) have coexisting ATTR-CM.4 This underscores the importance of systematic screening and early identification in older adults with heart failure symptoms and structural heart disease.</w:t>
            </w:r>
            <w:r w:rsidRPr="00CC6553">
              <w:rPr>
                <w:rFonts w:cs="Arial"/>
                <w:color w:val="000000" w:themeColor="text1"/>
                <w:sz w:val="20"/>
              </w:rPr>
              <w:br/>
              <w:t>Furthermore, the NICE guideline could benefit from highlighting that HFpEF accounts for approximately 50% of all heart failure diagnoses.5 Encouraging structured diagnostic pathways will help clinicians distinguish between phenotypes and tailor therapy.6 Notably, the overall prevalence of cardiac amyloidosis in patients with HFpEF has been reported at 15.1%7, underscoring the importance of systematic evaluation for underlying causes.</w:t>
            </w:r>
            <w:r w:rsidRPr="00CC6553">
              <w:rPr>
                <w:rFonts w:cs="Arial"/>
                <w:color w:val="000000" w:themeColor="text1"/>
                <w:sz w:val="20"/>
              </w:rPr>
              <w:br/>
              <w:t>We suggest adding a recommendation or rationale note under section 1.5.3 to reinforce the need for diagnostic clarity before initiating treatment, particularly in older adults or those with clinical features suggestive of alternative diagnoses. Early identification is critical, as it enables timely and appropriate therapy and is associated with the highest likelihood of treatment success.8 Conditions that are highly suggestive of cardiac amyloidosis and warrant further confirmation include bilateral carpal tunnel syndrome (with biopsy during surgery), unexplained sensorimotor peripheral neuropathy, autonomic dysfunction with orthostatic hypotension, and gastrointestinal symptoms such as unintentional weight loss, early satiety, nausea, diarrhoea, and constipation, which may indicate multisystem involvement. These red flag symptoms and physical findings may be present individually or in combination and should prompt further investigation for cardiac amyloidosis.8</w:t>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lastRenderedPageBreak/>
              <w:br/>
              <w:t>References:</w:t>
            </w:r>
            <w:r w:rsidRPr="00CC6553">
              <w:rPr>
                <w:rFonts w:cs="Arial"/>
                <w:color w:val="000000" w:themeColor="text1"/>
                <w:sz w:val="20"/>
              </w:rPr>
              <w:br/>
            </w:r>
            <w:r w:rsidRPr="00CC6553">
              <w:rPr>
                <w:rFonts w:cs="Arial"/>
                <w:color w:val="000000" w:themeColor="text1"/>
                <w:sz w:val="20"/>
              </w:rPr>
              <w:br/>
              <w:t xml:space="preserve">Golla MSG, Shams P. Heart Failure With Preserved Ejection Fraction (HFpEF) [Updated 2024 Mar 19]. In: StatPearls [Internet]. Treasure Island (FL): StatPearls Publishing; 2025 Jan–. Available from: https://www.ncbi.nlm.nih.gov/books/NBK599960/ </w:t>
            </w:r>
            <w:r w:rsidRPr="00CC6553">
              <w:rPr>
                <w:rFonts w:cs="Arial"/>
                <w:color w:val="000000" w:themeColor="text1"/>
                <w:sz w:val="20"/>
              </w:rPr>
              <w:br/>
            </w:r>
            <w:r w:rsidRPr="00CC6553">
              <w:rPr>
                <w:rFonts w:cs="Arial"/>
                <w:color w:val="000000" w:themeColor="text1"/>
                <w:sz w:val="20"/>
              </w:rPr>
              <w:br/>
              <w:t>Gazewood JD, Turner PL. Heart Failure with Preserved Ejection Fraction: Diagnosis and Management. Am Fam Physician. 2017;96(9):582–8. Available from: Heart Failure with Preserved &lt;FEFF&gt;Ejection Fraction: Diagnosis and Management</w:t>
            </w:r>
            <w:r w:rsidRPr="00CC6553">
              <w:rPr>
                <w:rFonts w:cs="Arial"/>
                <w:color w:val="000000" w:themeColor="text1"/>
                <w:sz w:val="20"/>
              </w:rPr>
              <w:br/>
            </w:r>
            <w:r w:rsidRPr="00CC6553">
              <w:rPr>
                <w:rFonts w:cs="Arial"/>
                <w:color w:val="000000" w:themeColor="text1"/>
                <w:sz w:val="20"/>
              </w:rPr>
              <w:br/>
              <w:t xml:space="preserve">European Society of Cardiology (ESC). Cardiac amyloidosis: epidemiology, diagnosis and therapy. E-Journal of Cardiology Practice. 2021 Apr 21;19(19). Available from: https://www.escardio.org/Journals/E-Journal-of-Cardiology-Practice/Volume-19/cardiac-amyloidosis-epidemiology-diagnosis-and-therapy </w:t>
            </w:r>
            <w:r w:rsidRPr="00CC6553">
              <w:rPr>
                <w:rFonts w:cs="Arial"/>
                <w:color w:val="000000" w:themeColor="text1"/>
                <w:sz w:val="20"/>
              </w:rPr>
              <w:br/>
            </w:r>
            <w:r w:rsidRPr="00CC6553">
              <w:rPr>
                <w:rFonts w:cs="Arial"/>
                <w:color w:val="000000" w:themeColor="text1"/>
                <w:sz w:val="20"/>
              </w:rPr>
              <w:br/>
              <w:t xml:space="preserve">Nishikawa R, Yano T, Kokubu N, Muranaka A, Murakami N, Ido Y, et al. Unmasking Transthyretin Cardiac Amyloidosis Following Transcatheter Aortic Valve Implantation. Circ Heart Fail. 2023. Available from: https://www.ahajournals.org/doi/pdf/10.1161/CIRCHEARTFAILURE.123.010603?download=true </w:t>
            </w:r>
            <w:r w:rsidRPr="00CC6553">
              <w:rPr>
                <w:rFonts w:cs="Arial"/>
                <w:color w:val="000000" w:themeColor="text1"/>
                <w:sz w:val="20"/>
              </w:rPr>
              <w:br/>
            </w:r>
            <w:r w:rsidRPr="00CC6553">
              <w:rPr>
                <w:rFonts w:cs="Arial"/>
                <w:color w:val="000000" w:themeColor="text1"/>
                <w:sz w:val="20"/>
              </w:rPr>
              <w:br/>
              <w:t xml:space="preserve">Yoon M, Oh J, Lee CJ, Kang SM. Comparison of the 2021 ESC guideline with the HFA-PEFF and H2FPEF scores in diagnosing heart failure with preserved ejection fraction. Sci Rep. 2025;15:Article 1537. Available from: https://www.nature.com/articles/s41598-025-01537-7 </w:t>
            </w:r>
            <w:r w:rsidRPr="00CC6553">
              <w:rPr>
                <w:rFonts w:cs="Arial"/>
                <w:color w:val="000000" w:themeColor="text1"/>
                <w:sz w:val="20"/>
              </w:rPr>
              <w:br/>
            </w:r>
            <w:r w:rsidRPr="00CC6553">
              <w:rPr>
                <w:rFonts w:cs="Arial"/>
                <w:color w:val="000000" w:themeColor="text1"/>
                <w:sz w:val="20"/>
              </w:rPr>
              <w:br/>
              <w:t xml:space="preserve">Shah SJ, Kitzman DW, Borlaug BA, van Heerebeek L, Zile MR, Kass DA, et al. Phenotype-Specific Treatment of Heart Failure With Preserved Ejection Fraction: A Multiorgan Roadmap. Circulation. 2016;134(1). Available from: </w:t>
            </w:r>
            <w:r w:rsidRPr="00CC6553">
              <w:rPr>
                <w:rFonts w:cs="Arial"/>
                <w:color w:val="000000" w:themeColor="text1"/>
                <w:sz w:val="20"/>
              </w:rPr>
              <w:lastRenderedPageBreak/>
              <w:t xml:space="preserve">https://www.ahajournals.org/doi/pdf/10.1161/circulationaha.116.021884 </w:t>
            </w:r>
            <w:r w:rsidRPr="00CC6553">
              <w:rPr>
                <w:rFonts w:cs="Arial"/>
                <w:color w:val="000000" w:themeColor="text1"/>
                <w:sz w:val="20"/>
              </w:rPr>
              <w:br/>
            </w:r>
            <w:r w:rsidRPr="00CC6553">
              <w:rPr>
                <w:rFonts w:cs="Arial"/>
                <w:color w:val="000000" w:themeColor="text1"/>
                <w:sz w:val="20"/>
              </w:rPr>
              <w:br/>
              <w:t xml:space="preserve">See ASY, Ho JSY, Chan MY, Lim YC, Yeo TC, Chai P, et al. Prevalence and Risk Factors of Cardiac Amyloidosis in Heart Failure: A Systematic Review and Meta-Analysis. Heart Lung Circ. 2022;31(11):1450–62. Available from: https://doi.org/10.1016/j.hlc.2022.08.002 </w:t>
            </w:r>
            <w:r w:rsidRPr="00CC6553">
              <w:rPr>
                <w:rFonts w:cs="Arial"/>
                <w:color w:val="000000" w:themeColor="text1"/>
                <w:sz w:val="20"/>
              </w:rPr>
              <w:br/>
            </w:r>
            <w:r w:rsidRPr="00CC6553">
              <w:rPr>
                <w:rFonts w:cs="Arial"/>
                <w:color w:val="000000" w:themeColor="text1"/>
                <w:sz w:val="20"/>
              </w:rPr>
              <w:br/>
              <w:t>European Society of Cardiology (ESC). Cardiac hypertrophy on imaging: when should you suspect cardiac amyloidosis? ESC. 2024. Available from: https://www.escardio.org/Councils/Council-for-Cardiology-Practice-%28CCP%29/Cardiopractice/cardiac-hypertrophy-on-imaging-when-should-you-suspect-cardiac-amyloidosis</w:t>
            </w:r>
          </w:p>
        </w:tc>
        <w:tc>
          <w:tcPr>
            <w:tcW w:w="2122" w:type="pct"/>
          </w:tcPr>
          <w:p w14:paraId="41FAEC11" w14:textId="7555CF8D" w:rsidR="00897293" w:rsidRPr="00CC6553" w:rsidRDefault="00897293" w:rsidP="00704983">
            <w:pPr>
              <w:pStyle w:val="Heading1"/>
              <w:rPr>
                <w:rFonts w:cs="Arial"/>
                <w:b w:val="0"/>
                <w:bCs w:val="0"/>
                <w:color w:val="000000" w:themeColor="text1"/>
                <w:sz w:val="20"/>
              </w:rPr>
            </w:pPr>
            <w:r w:rsidRPr="00CC6553">
              <w:rPr>
                <w:rFonts w:cs="Arial"/>
                <w:b w:val="0"/>
                <w:bCs w:val="0"/>
                <w:color w:val="000000" w:themeColor="text1"/>
                <w:sz w:val="20"/>
              </w:rPr>
              <w:lastRenderedPageBreak/>
              <w:t xml:space="preserve">Thank you for your comment.  The scope of this update was the pharmacological management of chronic heart failure </w:t>
            </w:r>
            <w:hyperlink r:id="rId24" w:history="1">
              <w:r w:rsidRPr="009B3C47">
                <w:rPr>
                  <w:rStyle w:val="Hyperlink"/>
                  <w:b w:val="0"/>
                  <w:color w:val="000000" w:themeColor="text1"/>
                  <w:sz w:val="20"/>
                </w:rPr>
                <w:t>https://www.nice.org.uk/guidance/gid-ng10405/documents/final-scope</w:t>
              </w:r>
            </w:hyperlink>
            <w:r w:rsidRPr="009B3C47">
              <w:rPr>
                <w:b w:val="0"/>
                <w:color w:val="000000" w:themeColor="text1"/>
                <w:sz w:val="20"/>
              </w:rPr>
              <w:t xml:space="preserve"> </w:t>
            </w:r>
            <w:r w:rsidRPr="00CC6553">
              <w:rPr>
                <w:rFonts w:cs="Arial"/>
                <w:b w:val="0"/>
                <w:bCs w:val="0"/>
                <w:color w:val="000000" w:themeColor="text1"/>
                <w:sz w:val="20"/>
              </w:rPr>
              <w:t>and the committee is therefore unable to make recommendation on investigating the causes of HFpEF.</w:t>
            </w:r>
          </w:p>
        </w:tc>
      </w:tr>
      <w:tr w:rsidR="00897293" w:rsidRPr="00CC6553" w14:paraId="063171E5" w14:textId="77777777" w:rsidTr="00897293">
        <w:trPr>
          <w:trHeight w:val="300"/>
        </w:trPr>
        <w:tc>
          <w:tcPr>
            <w:tcW w:w="109" w:type="pct"/>
          </w:tcPr>
          <w:p w14:paraId="5D6D0994" w14:textId="77777777" w:rsidR="00897293" w:rsidRPr="00CC6553" w:rsidRDefault="00897293" w:rsidP="00704983">
            <w:pPr>
              <w:rPr>
                <w:rFonts w:cs="Arial"/>
                <w:color w:val="000000" w:themeColor="text1"/>
                <w:sz w:val="20"/>
              </w:rPr>
            </w:pPr>
            <w:r w:rsidRPr="00CC6553">
              <w:rPr>
                <w:rFonts w:cs="Arial"/>
                <w:color w:val="000000" w:themeColor="text1"/>
                <w:sz w:val="20"/>
              </w:rPr>
              <w:lastRenderedPageBreak/>
              <w:t>150</w:t>
            </w:r>
          </w:p>
        </w:tc>
        <w:tc>
          <w:tcPr>
            <w:tcW w:w="143" w:type="pct"/>
          </w:tcPr>
          <w:p w14:paraId="3B1550BA" w14:textId="335AAA07" w:rsidR="00897293" w:rsidRPr="00CC6553" w:rsidRDefault="00897293" w:rsidP="00704983">
            <w:pPr>
              <w:rPr>
                <w:rFonts w:cs="Arial"/>
                <w:color w:val="000000" w:themeColor="text1"/>
                <w:sz w:val="20"/>
              </w:rPr>
            </w:pPr>
            <w:r w:rsidRPr="00CC6553">
              <w:rPr>
                <w:rFonts w:cs="Arial"/>
                <w:color w:val="000000" w:themeColor="text1"/>
                <w:sz w:val="20"/>
              </w:rPr>
              <w:t>SH</w:t>
            </w:r>
          </w:p>
        </w:tc>
        <w:tc>
          <w:tcPr>
            <w:tcW w:w="396" w:type="pct"/>
          </w:tcPr>
          <w:p w14:paraId="3BC6C0DE" w14:textId="3839937A" w:rsidR="00897293" w:rsidRPr="00CC6553" w:rsidRDefault="00897293" w:rsidP="00704983">
            <w:pPr>
              <w:rPr>
                <w:rFonts w:cs="Arial"/>
                <w:bCs/>
                <w:iCs/>
                <w:color w:val="000000" w:themeColor="text1"/>
                <w:sz w:val="20"/>
              </w:rPr>
            </w:pPr>
            <w:r w:rsidRPr="00CC6553">
              <w:rPr>
                <w:rFonts w:cs="Arial"/>
                <w:color w:val="000000" w:themeColor="text1"/>
                <w:sz w:val="20"/>
              </w:rPr>
              <w:t>NHS England</w:t>
            </w:r>
          </w:p>
        </w:tc>
        <w:tc>
          <w:tcPr>
            <w:tcW w:w="279" w:type="pct"/>
          </w:tcPr>
          <w:p w14:paraId="52E1E18F" w14:textId="13DB8D5C" w:rsidR="00897293" w:rsidRPr="00CC6553" w:rsidRDefault="00897293" w:rsidP="00704983">
            <w:pPr>
              <w:rPr>
                <w:rFonts w:cs="Arial"/>
                <w:color w:val="000000" w:themeColor="text1"/>
                <w:sz w:val="20"/>
              </w:rPr>
            </w:pPr>
            <w:r w:rsidRPr="00CC6553">
              <w:rPr>
                <w:rFonts w:cs="Arial"/>
                <w:color w:val="000000" w:themeColor="text1"/>
                <w:sz w:val="20"/>
              </w:rPr>
              <w:t>Guideline</w:t>
            </w:r>
          </w:p>
        </w:tc>
        <w:tc>
          <w:tcPr>
            <w:tcW w:w="214" w:type="pct"/>
          </w:tcPr>
          <w:p w14:paraId="3E970DC8" w14:textId="68CAB452" w:rsidR="00897293" w:rsidRPr="00CC6553" w:rsidRDefault="00897293" w:rsidP="00704983">
            <w:pPr>
              <w:rPr>
                <w:rFonts w:cs="Arial"/>
                <w:color w:val="000000" w:themeColor="text1"/>
                <w:sz w:val="20"/>
              </w:rPr>
            </w:pPr>
            <w:r w:rsidRPr="00CC6553">
              <w:rPr>
                <w:rFonts w:cs="Arial"/>
                <w:color w:val="000000" w:themeColor="text1"/>
                <w:sz w:val="20"/>
              </w:rPr>
              <w:t>014</w:t>
            </w:r>
          </w:p>
        </w:tc>
        <w:tc>
          <w:tcPr>
            <w:tcW w:w="214" w:type="pct"/>
          </w:tcPr>
          <w:p w14:paraId="43F87B89" w14:textId="4374ACF1" w:rsidR="00897293" w:rsidRPr="00CC6553" w:rsidRDefault="00897293" w:rsidP="00704983">
            <w:pPr>
              <w:rPr>
                <w:rFonts w:cs="Arial"/>
                <w:color w:val="000000" w:themeColor="text1"/>
                <w:sz w:val="20"/>
              </w:rPr>
            </w:pPr>
            <w:r w:rsidRPr="00CC6553">
              <w:rPr>
                <w:rFonts w:cs="Arial"/>
                <w:color w:val="000000" w:themeColor="text1"/>
                <w:sz w:val="20"/>
              </w:rPr>
              <w:t>005</w:t>
            </w:r>
          </w:p>
        </w:tc>
        <w:tc>
          <w:tcPr>
            <w:tcW w:w="1521" w:type="pct"/>
          </w:tcPr>
          <w:p w14:paraId="2EA8145B" w14:textId="42BDEFA5" w:rsidR="00897293" w:rsidRPr="00CC6553" w:rsidRDefault="00897293" w:rsidP="00704983">
            <w:pPr>
              <w:rPr>
                <w:rFonts w:cs="Arial"/>
                <w:color w:val="000000" w:themeColor="text1"/>
                <w:sz w:val="20"/>
              </w:rPr>
            </w:pPr>
            <w:r w:rsidRPr="00CC6553">
              <w:rPr>
                <w:rFonts w:cs="Arial"/>
                <w:color w:val="000000" w:themeColor="text1"/>
                <w:sz w:val="20"/>
              </w:rPr>
              <w:t>Reference should be made to 1.7.9</w:t>
            </w:r>
          </w:p>
        </w:tc>
        <w:tc>
          <w:tcPr>
            <w:tcW w:w="2122" w:type="pct"/>
          </w:tcPr>
          <w:p w14:paraId="0121BBE2" w14:textId="5A92C25E" w:rsidR="00897293" w:rsidRPr="00CC6553" w:rsidRDefault="00897293" w:rsidP="00704983">
            <w:pPr>
              <w:pStyle w:val="Heading1"/>
              <w:rPr>
                <w:rFonts w:cs="Arial"/>
                <w:b w:val="0"/>
                <w:color w:val="000000" w:themeColor="text1"/>
                <w:sz w:val="20"/>
              </w:rPr>
            </w:pPr>
            <w:r w:rsidRPr="00CC6553">
              <w:rPr>
                <w:rFonts w:cs="Arial"/>
                <w:b w:val="0"/>
                <w:color w:val="000000" w:themeColor="text1"/>
                <w:sz w:val="20"/>
              </w:rPr>
              <w:t>Thank you for your comment.  The committee agree that measuring blood pressure is important but they did not want to single out this recommendation from the rest of the those on monitoring.</w:t>
            </w:r>
          </w:p>
        </w:tc>
      </w:tr>
      <w:tr w:rsidR="00897293" w:rsidRPr="00CC6553" w14:paraId="5A309885" w14:textId="77777777" w:rsidTr="00897293">
        <w:trPr>
          <w:trHeight w:val="300"/>
        </w:trPr>
        <w:tc>
          <w:tcPr>
            <w:tcW w:w="109" w:type="pct"/>
          </w:tcPr>
          <w:p w14:paraId="31EB18CA" w14:textId="77777777" w:rsidR="00897293" w:rsidRPr="00CC6553" w:rsidRDefault="00897293" w:rsidP="00704983">
            <w:pPr>
              <w:rPr>
                <w:rFonts w:cs="Arial"/>
                <w:color w:val="000000" w:themeColor="text1"/>
                <w:sz w:val="20"/>
              </w:rPr>
            </w:pPr>
            <w:r w:rsidRPr="00CC6553">
              <w:rPr>
                <w:rFonts w:cs="Arial"/>
                <w:color w:val="000000" w:themeColor="text1"/>
                <w:sz w:val="20"/>
              </w:rPr>
              <w:t>151</w:t>
            </w:r>
          </w:p>
        </w:tc>
        <w:tc>
          <w:tcPr>
            <w:tcW w:w="143" w:type="pct"/>
          </w:tcPr>
          <w:p w14:paraId="2322BE02" w14:textId="2F8DE4D6" w:rsidR="00897293" w:rsidRPr="00CC6553" w:rsidRDefault="00897293" w:rsidP="00704983">
            <w:pPr>
              <w:rPr>
                <w:rFonts w:cs="Arial"/>
                <w:color w:val="000000" w:themeColor="text1"/>
                <w:sz w:val="20"/>
              </w:rPr>
            </w:pPr>
            <w:r w:rsidRPr="00CC6553">
              <w:rPr>
                <w:rFonts w:cs="Arial"/>
                <w:color w:val="000000" w:themeColor="text1"/>
                <w:sz w:val="20"/>
              </w:rPr>
              <w:t>SH</w:t>
            </w:r>
          </w:p>
        </w:tc>
        <w:tc>
          <w:tcPr>
            <w:tcW w:w="396" w:type="pct"/>
          </w:tcPr>
          <w:p w14:paraId="06E004E5" w14:textId="7190AECB" w:rsidR="00897293" w:rsidRPr="00CC6553" w:rsidRDefault="00897293" w:rsidP="00704983">
            <w:pPr>
              <w:rPr>
                <w:rFonts w:cs="Arial"/>
                <w:bCs/>
                <w:iCs/>
                <w:color w:val="000000" w:themeColor="text1"/>
                <w:sz w:val="20"/>
              </w:rPr>
            </w:pPr>
            <w:r w:rsidRPr="00CC6553">
              <w:rPr>
                <w:rFonts w:cs="Arial"/>
                <w:color w:val="000000" w:themeColor="text1"/>
                <w:sz w:val="20"/>
              </w:rPr>
              <w:t>NHS Devon ICB</w:t>
            </w:r>
          </w:p>
        </w:tc>
        <w:tc>
          <w:tcPr>
            <w:tcW w:w="279" w:type="pct"/>
          </w:tcPr>
          <w:p w14:paraId="5B287CD3" w14:textId="568EA5C5" w:rsidR="00897293" w:rsidRPr="00CC6553" w:rsidRDefault="00897293" w:rsidP="00704983">
            <w:pPr>
              <w:rPr>
                <w:rFonts w:cs="Arial"/>
                <w:color w:val="000000" w:themeColor="text1"/>
                <w:sz w:val="20"/>
              </w:rPr>
            </w:pPr>
            <w:r w:rsidRPr="00CC6553">
              <w:rPr>
                <w:rFonts w:cs="Arial"/>
                <w:color w:val="000000" w:themeColor="text1"/>
                <w:sz w:val="20"/>
              </w:rPr>
              <w:t>Guideline</w:t>
            </w:r>
          </w:p>
        </w:tc>
        <w:tc>
          <w:tcPr>
            <w:tcW w:w="214" w:type="pct"/>
          </w:tcPr>
          <w:p w14:paraId="3B49929E" w14:textId="397A5281" w:rsidR="00897293" w:rsidRPr="00CC6553" w:rsidRDefault="00897293" w:rsidP="00704983">
            <w:pPr>
              <w:rPr>
                <w:rFonts w:cs="Arial"/>
                <w:color w:val="000000" w:themeColor="text1"/>
                <w:sz w:val="20"/>
              </w:rPr>
            </w:pPr>
            <w:r w:rsidRPr="00CC6553">
              <w:rPr>
                <w:rFonts w:cs="Arial"/>
                <w:color w:val="000000" w:themeColor="text1"/>
                <w:sz w:val="20"/>
              </w:rPr>
              <w:t>014</w:t>
            </w:r>
          </w:p>
        </w:tc>
        <w:tc>
          <w:tcPr>
            <w:tcW w:w="214" w:type="pct"/>
          </w:tcPr>
          <w:p w14:paraId="108A7F08" w14:textId="24BBF3D5" w:rsidR="00897293" w:rsidRPr="00CC6553" w:rsidRDefault="00897293" w:rsidP="00704983">
            <w:pPr>
              <w:rPr>
                <w:rFonts w:cs="Arial"/>
                <w:color w:val="000000" w:themeColor="text1"/>
                <w:sz w:val="20"/>
              </w:rPr>
            </w:pPr>
            <w:r w:rsidRPr="00CC6553">
              <w:rPr>
                <w:rFonts w:cs="Arial"/>
                <w:color w:val="000000" w:themeColor="text1"/>
                <w:sz w:val="20"/>
              </w:rPr>
              <w:t>005</w:t>
            </w:r>
          </w:p>
        </w:tc>
        <w:tc>
          <w:tcPr>
            <w:tcW w:w="1521" w:type="pct"/>
          </w:tcPr>
          <w:p w14:paraId="2C382242" w14:textId="0B9F777E" w:rsidR="00897293" w:rsidRPr="00CC6553" w:rsidRDefault="00897293" w:rsidP="00704983">
            <w:pPr>
              <w:rPr>
                <w:rFonts w:cs="Arial"/>
                <w:color w:val="000000" w:themeColor="text1"/>
                <w:sz w:val="20"/>
              </w:rPr>
            </w:pPr>
            <w:r w:rsidRPr="00CC6553">
              <w:rPr>
                <w:rFonts w:cs="Arial"/>
                <w:color w:val="000000" w:themeColor="text1"/>
                <w:sz w:val="20"/>
              </w:rPr>
              <w:t>Recommendation 1.5.3 states to ‘consider’ a SGLT2 inhibitor for the treatment of heart failure with preserved ejection fraction, yet use of dapagliflozin and empagliflozin is supported by NICE technology appraisals for this condition. NICE uses ‘consider’ where the benefit is less certain, whereas TA929 and TA902 recommend the use of empagliflozin and dapagliflozin for heart failure with preserved ejection fraction.</w:t>
            </w:r>
          </w:p>
        </w:tc>
        <w:tc>
          <w:tcPr>
            <w:tcW w:w="2122" w:type="pct"/>
          </w:tcPr>
          <w:p w14:paraId="00871B57" w14:textId="03EFA75F" w:rsidR="00897293" w:rsidRPr="00CC6553" w:rsidRDefault="00897293" w:rsidP="476BDDBF">
            <w:pPr>
              <w:pStyle w:val="Heading1"/>
              <w:rPr>
                <w:rFonts w:cs="Arial"/>
                <w:b w:val="0"/>
                <w:bCs w:val="0"/>
                <w:color w:val="000000" w:themeColor="text1"/>
                <w:sz w:val="20"/>
              </w:rPr>
            </w:pPr>
            <w:r w:rsidRPr="00CC6553">
              <w:rPr>
                <w:rFonts w:cs="Arial"/>
                <w:b w:val="0"/>
                <w:bCs w:val="0"/>
                <w:color w:val="000000" w:themeColor="text1"/>
                <w:sz w:val="20"/>
              </w:rPr>
              <w:t>Thank you for your comment.  The committee have removed reference to SGLT2 inhibitors from the recommendation but cross-refer to TA929 and TA902.</w:t>
            </w:r>
          </w:p>
        </w:tc>
      </w:tr>
      <w:tr w:rsidR="00897293" w:rsidRPr="00CC6553" w14:paraId="2037CFE2" w14:textId="77777777" w:rsidTr="00897293">
        <w:trPr>
          <w:trHeight w:val="300"/>
        </w:trPr>
        <w:tc>
          <w:tcPr>
            <w:tcW w:w="109" w:type="pct"/>
          </w:tcPr>
          <w:p w14:paraId="1557FDD6" w14:textId="77777777" w:rsidR="00897293" w:rsidRPr="00CC6553" w:rsidRDefault="00897293" w:rsidP="00B234F1">
            <w:pPr>
              <w:rPr>
                <w:rFonts w:cs="Arial"/>
                <w:color w:val="000000" w:themeColor="text1"/>
                <w:sz w:val="20"/>
              </w:rPr>
            </w:pPr>
            <w:r w:rsidRPr="00CC6553">
              <w:rPr>
                <w:rFonts w:cs="Arial"/>
                <w:color w:val="000000" w:themeColor="text1"/>
                <w:sz w:val="20"/>
              </w:rPr>
              <w:t>152</w:t>
            </w:r>
          </w:p>
        </w:tc>
        <w:tc>
          <w:tcPr>
            <w:tcW w:w="143" w:type="pct"/>
          </w:tcPr>
          <w:p w14:paraId="6BB1BFAD" w14:textId="0672D350"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D132DE3" w14:textId="7E2159EF" w:rsidR="00897293" w:rsidRPr="00CC6553" w:rsidRDefault="00897293" w:rsidP="00B234F1">
            <w:pPr>
              <w:rPr>
                <w:rFonts w:cs="Arial"/>
                <w:bCs/>
                <w:iCs/>
                <w:color w:val="000000" w:themeColor="text1"/>
                <w:sz w:val="20"/>
              </w:rPr>
            </w:pPr>
            <w:r w:rsidRPr="00CC6553">
              <w:rPr>
                <w:rFonts w:cs="Arial"/>
                <w:color w:val="000000" w:themeColor="text1"/>
                <w:sz w:val="20"/>
              </w:rPr>
              <w:t>Health Innovation Network</w:t>
            </w:r>
          </w:p>
        </w:tc>
        <w:tc>
          <w:tcPr>
            <w:tcW w:w="279" w:type="pct"/>
          </w:tcPr>
          <w:p w14:paraId="03D40F72" w14:textId="608416AA"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796141CE" w14:textId="466666E0" w:rsidR="00897293" w:rsidRPr="00CC6553" w:rsidRDefault="00897293" w:rsidP="00B234F1">
            <w:pPr>
              <w:rPr>
                <w:rFonts w:cs="Arial"/>
                <w:color w:val="000000" w:themeColor="text1"/>
                <w:sz w:val="20"/>
              </w:rPr>
            </w:pPr>
            <w:r w:rsidRPr="00CC6553">
              <w:rPr>
                <w:rFonts w:cs="Arial"/>
                <w:color w:val="000000" w:themeColor="text1"/>
                <w:sz w:val="20"/>
              </w:rPr>
              <w:t>014</w:t>
            </w:r>
          </w:p>
        </w:tc>
        <w:tc>
          <w:tcPr>
            <w:tcW w:w="214" w:type="pct"/>
          </w:tcPr>
          <w:p w14:paraId="23268149" w14:textId="61858786" w:rsidR="00897293" w:rsidRPr="00CC6553" w:rsidRDefault="00897293" w:rsidP="00B234F1">
            <w:pPr>
              <w:rPr>
                <w:rFonts w:cs="Arial"/>
                <w:color w:val="000000" w:themeColor="text1"/>
                <w:sz w:val="20"/>
              </w:rPr>
            </w:pPr>
            <w:r w:rsidRPr="00CC6553">
              <w:rPr>
                <w:rFonts w:cs="Arial"/>
                <w:color w:val="000000" w:themeColor="text1"/>
                <w:sz w:val="20"/>
              </w:rPr>
              <w:t>005 - 006</w:t>
            </w:r>
          </w:p>
        </w:tc>
        <w:tc>
          <w:tcPr>
            <w:tcW w:w="1521" w:type="pct"/>
          </w:tcPr>
          <w:p w14:paraId="173A9454" w14:textId="5AAD0BF3" w:rsidR="00897293" w:rsidRPr="00CC6553" w:rsidRDefault="00897293" w:rsidP="00B234F1">
            <w:pPr>
              <w:rPr>
                <w:rFonts w:cs="Arial"/>
                <w:color w:val="000000" w:themeColor="text1"/>
                <w:sz w:val="20"/>
              </w:rPr>
            </w:pPr>
            <w:r w:rsidRPr="00CC6553">
              <w:rPr>
                <w:rFonts w:cs="Arial"/>
                <w:color w:val="000000" w:themeColor="text1"/>
                <w:sz w:val="20"/>
              </w:rPr>
              <w:t>1.5.3 - Should the MRA be restricted to Finerorone as per FINEARTS study, as there is no compelling evidence for Spironolactone or Eplerorone in HFmrEF or HFpEF.</w:t>
            </w:r>
          </w:p>
        </w:tc>
        <w:tc>
          <w:tcPr>
            <w:tcW w:w="2122" w:type="pct"/>
          </w:tcPr>
          <w:p w14:paraId="6A5B70B7" w14:textId="7DE08BF5" w:rsidR="00897293" w:rsidRPr="00CC6553" w:rsidRDefault="00897293" w:rsidP="00B234F1">
            <w:pPr>
              <w:rPr>
                <w:rFonts w:cs="Arial"/>
                <w:color w:val="000000" w:themeColor="text1"/>
                <w:sz w:val="20"/>
              </w:rPr>
            </w:pPr>
            <w:r w:rsidRPr="00CC6553">
              <w:rPr>
                <w:rFonts w:cs="Arial"/>
                <w:color w:val="000000" w:themeColor="text1"/>
                <w:sz w:val="20"/>
              </w:rPr>
              <w:t xml:space="preserve">Thank-you for your comments. As eplerenone is licensed for CHF with reduced ejection fraction, we have reconsidered the inclusion of trials investigating eplerenone in evidence review D. </w:t>
            </w:r>
            <w:r>
              <w:rPr>
                <w:rFonts w:cs="Arial"/>
                <w:color w:val="000000" w:themeColor="text1"/>
                <w:sz w:val="20"/>
              </w:rPr>
              <w:t>A</w:t>
            </w:r>
            <w:r w:rsidRPr="00CC6553">
              <w:rPr>
                <w:rFonts w:cs="Arial"/>
                <w:color w:val="000000" w:themeColor="text1"/>
                <w:sz w:val="20"/>
              </w:rPr>
              <w:t>ccordingly</w:t>
            </w:r>
            <w:r>
              <w:rPr>
                <w:rFonts w:cs="Arial"/>
                <w:color w:val="000000" w:themeColor="text1"/>
                <w:sz w:val="20"/>
              </w:rPr>
              <w:t>, t</w:t>
            </w:r>
            <w:r w:rsidRPr="00CC6553">
              <w:rPr>
                <w:rFonts w:cs="Arial"/>
                <w:color w:val="000000" w:themeColor="text1"/>
                <w:sz w:val="20"/>
              </w:rPr>
              <w:t xml:space="preserve">he evidence review has been amended to </w:t>
            </w:r>
            <w:r w:rsidRPr="00CC6553">
              <w:rPr>
                <w:rFonts w:cs="Arial"/>
                <w:color w:val="000000" w:themeColor="text1"/>
                <w:sz w:val="20"/>
              </w:rPr>
              <w:lastRenderedPageBreak/>
              <w:t>remove RCTs</w:t>
            </w:r>
            <w:r>
              <w:rPr>
                <w:rFonts w:cs="Arial"/>
                <w:color w:val="000000" w:themeColor="text1"/>
                <w:sz w:val="20"/>
              </w:rPr>
              <w:t xml:space="preserve"> investigating eplerenone.</w:t>
            </w:r>
          </w:p>
          <w:p w14:paraId="51000C33" w14:textId="77777777" w:rsidR="00897293" w:rsidRPr="00CC6553" w:rsidRDefault="00897293" w:rsidP="00B234F1">
            <w:pPr>
              <w:rPr>
                <w:rFonts w:cs="Arial"/>
                <w:color w:val="000000" w:themeColor="text1"/>
                <w:sz w:val="20"/>
              </w:rPr>
            </w:pPr>
          </w:p>
          <w:p w14:paraId="3D5926F1" w14:textId="399A9B90" w:rsidR="00897293" w:rsidRPr="00CC6553" w:rsidRDefault="00897293" w:rsidP="00B234F1">
            <w:pPr>
              <w:pStyle w:val="Heading1"/>
              <w:rPr>
                <w:rFonts w:cs="Arial"/>
                <w:b w:val="0"/>
                <w:color w:val="000000" w:themeColor="text1"/>
                <w:sz w:val="20"/>
              </w:rPr>
            </w:pPr>
            <w:r w:rsidRPr="00CC6553">
              <w:rPr>
                <w:rFonts w:cs="Arial"/>
                <w:b w:val="0"/>
                <w:bCs w:val="0"/>
                <w:color w:val="000000" w:themeColor="text1"/>
                <w:sz w:val="20"/>
              </w:rPr>
              <w:t>The committee agreed to make a medicine class-based recommendation for MRAs. This is in line with the approach taken across this CHF guideline update to consider evidence per class of medicines, rather than split the evidence per individual medicine. The committee is aware that individual circumstances will feature in clinician’s decisions on exactly which medicine to use. They were comfortable with clinicians using their judgement; a sentence has been added to the summary of the committee’s discussion (evidence reviews B and D) to reflect this: ‘Clinical judgement is also important when selecting individual medicines to use within a class of medicines, including consideration of differences in side effect profiles’.</w:t>
            </w:r>
            <w:r>
              <w:rPr>
                <w:rFonts w:cs="Arial"/>
                <w:b w:val="0"/>
                <w:bCs w:val="0"/>
                <w:color w:val="000000" w:themeColor="text1"/>
                <w:sz w:val="20"/>
              </w:rPr>
              <w:t xml:space="preserve"> This requirement for clinical judgement is expected for all NICE recommendations.</w:t>
            </w:r>
          </w:p>
        </w:tc>
      </w:tr>
      <w:tr w:rsidR="00897293" w:rsidRPr="00CC6553" w14:paraId="6D0CE922" w14:textId="77777777" w:rsidTr="00897293">
        <w:trPr>
          <w:trHeight w:val="300"/>
        </w:trPr>
        <w:tc>
          <w:tcPr>
            <w:tcW w:w="109" w:type="pct"/>
          </w:tcPr>
          <w:p w14:paraId="182ECCE6"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153</w:t>
            </w:r>
          </w:p>
        </w:tc>
        <w:tc>
          <w:tcPr>
            <w:tcW w:w="143" w:type="pct"/>
          </w:tcPr>
          <w:p w14:paraId="56774515" w14:textId="3BB0552D"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38A212F1" w14:textId="76C06866" w:rsidR="00897293" w:rsidRPr="00CC6553" w:rsidRDefault="00897293" w:rsidP="00B234F1">
            <w:pPr>
              <w:rPr>
                <w:rFonts w:cs="Arial"/>
                <w:bCs/>
                <w:iCs/>
                <w:color w:val="000000" w:themeColor="text1"/>
                <w:sz w:val="20"/>
              </w:rPr>
            </w:pPr>
            <w:r w:rsidRPr="00CC6553">
              <w:rPr>
                <w:rFonts w:cs="Arial"/>
                <w:color w:val="000000" w:themeColor="text1"/>
                <w:sz w:val="20"/>
              </w:rPr>
              <w:t>AstraZeneca UK Ltd</w:t>
            </w:r>
          </w:p>
        </w:tc>
        <w:tc>
          <w:tcPr>
            <w:tcW w:w="279" w:type="pct"/>
          </w:tcPr>
          <w:p w14:paraId="3CBD7900" w14:textId="4E721514"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4BD7B97C" w14:textId="099F7C35" w:rsidR="00897293" w:rsidRPr="00CC6553" w:rsidRDefault="00897293" w:rsidP="00B234F1">
            <w:pPr>
              <w:rPr>
                <w:rFonts w:cs="Arial"/>
                <w:color w:val="000000" w:themeColor="text1"/>
                <w:sz w:val="20"/>
              </w:rPr>
            </w:pPr>
            <w:r w:rsidRPr="00CC6553">
              <w:rPr>
                <w:rFonts w:cs="Arial"/>
                <w:color w:val="000000" w:themeColor="text1"/>
                <w:sz w:val="20"/>
              </w:rPr>
              <w:t>014</w:t>
            </w:r>
          </w:p>
        </w:tc>
        <w:tc>
          <w:tcPr>
            <w:tcW w:w="214" w:type="pct"/>
          </w:tcPr>
          <w:p w14:paraId="2DF3A4A3" w14:textId="466CABDC" w:rsidR="00897293" w:rsidRPr="00CC6553" w:rsidRDefault="00897293" w:rsidP="00B234F1">
            <w:pPr>
              <w:rPr>
                <w:rFonts w:cs="Arial"/>
                <w:color w:val="000000" w:themeColor="text1"/>
                <w:sz w:val="20"/>
              </w:rPr>
            </w:pPr>
            <w:r w:rsidRPr="00CC6553">
              <w:rPr>
                <w:rFonts w:cs="Arial"/>
                <w:color w:val="000000" w:themeColor="text1"/>
                <w:sz w:val="20"/>
              </w:rPr>
              <w:t>005 - 006</w:t>
            </w:r>
          </w:p>
        </w:tc>
        <w:tc>
          <w:tcPr>
            <w:tcW w:w="1521" w:type="pct"/>
          </w:tcPr>
          <w:p w14:paraId="76FFCBD7" w14:textId="5209F003" w:rsidR="00897293" w:rsidRPr="00CC6553" w:rsidRDefault="00897293" w:rsidP="00B234F1">
            <w:pPr>
              <w:rPr>
                <w:rFonts w:cs="Arial"/>
                <w:color w:val="000000" w:themeColor="text1"/>
                <w:sz w:val="20"/>
              </w:rPr>
            </w:pPr>
            <w:r w:rsidRPr="00CC6553">
              <w:rPr>
                <w:rFonts w:cs="Arial"/>
                <w:color w:val="000000" w:themeColor="text1"/>
                <w:sz w:val="20"/>
              </w:rPr>
              <w:t xml:space="preserve">Recommendation 1.5.3 advises clinicians to ‘Consider an MRA and an SGLT2 inhibitor for treating heart failure with preserved ejection fraction’. Similar to the recommendation made for HFmrEF, AstraZeneca propose for the wording in this recommendation to be amended to ‘Offer an SGLT2 inhibitor and consider an </w:t>
            </w:r>
            <w:r w:rsidRPr="00CC6553">
              <w:rPr>
                <w:rFonts w:cs="Arial"/>
                <w:color w:val="000000" w:themeColor="text1"/>
                <w:sz w:val="20"/>
              </w:rPr>
              <w:lastRenderedPageBreak/>
              <w:t>MRA for treating heart failure with preserved ejection fraction’.</w:t>
            </w:r>
            <w:r w:rsidRPr="00CC6553">
              <w:rPr>
                <w:rFonts w:cs="Arial"/>
                <w:color w:val="000000" w:themeColor="text1"/>
                <w:sz w:val="20"/>
              </w:rPr>
              <w:br/>
            </w:r>
            <w:r w:rsidRPr="00CC6553">
              <w:rPr>
                <w:rFonts w:cs="Arial"/>
                <w:color w:val="000000" w:themeColor="text1"/>
                <w:sz w:val="20"/>
              </w:rPr>
              <w:br/>
              <w:t xml:space="preserve">NICE have stated that ‘where there is clear and strong evidence of benefit, we will use the word ‘offer’. Where the benefit is less certain we use the word ‘consider’ CITATION NIC1 \l 2057  [11]. </w:t>
            </w:r>
            <w:r w:rsidRPr="00CC6553">
              <w:rPr>
                <w:rFonts w:cs="Arial"/>
                <w:color w:val="000000" w:themeColor="text1"/>
                <w:sz w:val="20"/>
              </w:rPr>
              <w:br/>
            </w:r>
            <w:r w:rsidRPr="00CC6553">
              <w:rPr>
                <w:rFonts w:cs="Arial"/>
                <w:color w:val="000000" w:themeColor="text1"/>
                <w:sz w:val="20"/>
              </w:rPr>
              <w:br/>
              <w:t>When considering the use of MRAs in adults with HFpEF in Evidence Review D (page 20), NICE state that, ‘due to the limited size of the evidence base, this was deemed insufficient to support an ‘offer’ level recommendation and a ‘consider’ recommendation was agreed upon’.</w:t>
            </w:r>
            <w:r w:rsidRPr="00CC6553">
              <w:rPr>
                <w:rFonts w:cs="Arial"/>
                <w:color w:val="000000" w:themeColor="text1"/>
                <w:sz w:val="20"/>
              </w:rPr>
              <w:br/>
            </w:r>
            <w:r w:rsidRPr="00CC6553">
              <w:rPr>
                <w:rFonts w:cs="Arial"/>
                <w:color w:val="000000" w:themeColor="text1"/>
                <w:sz w:val="20"/>
              </w:rPr>
              <w:br/>
              <w:t>SGTL2 inhibitors are not included in the evidence review as only the addition of MRA therapy was in scope, nor was this area prioritised for new cost-effectiveness analysis. However, the evidence base for SGLT2 as a clinically and cost-effective treatment for patients with preserved ejection has been long established, underpinned by multiple international, multicentre, double-blind, randomised controlled studies including the DELIVER trial  CITATION Sol22 \l 2057 [12] and EMPEROR-Preserved trials  CITATION Ank21 \l 2057 [13]. Unlike MRAs, SGLT2 inhibitors have been evaluated by NICE and recommended as a clinically and cost-effective medicine for this population, and are reimbursed accordingly CITATION NIC232 \l 2057  [15] CITATION NIC233 \l 2057  [16]. Furthermore, SGLT2 inhibitors are the only class of medicine (with the exception of spironolactone which is indicated but not reimbursed to treat congestive heart failure) that are specifically indicated for HFpEF, have been evaluated by NICE and recommended as a clinically and cost-effective medicine for this population.</w:t>
            </w:r>
            <w:r w:rsidRPr="00CC6553">
              <w:rPr>
                <w:rFonts w:cs="Arial"/>
                <w:color w:val="000000" w:themeColor="text1"/>
                <w:sz w:val="20"/>
              </w:rPr>
              <w:br/>
              <w:t>A stronger recommendation for SGLT2 medicines also aligns with international clinical guidelines, including those of the ESC and AHA/ACC/HFSA, that which acknowledge the greater strength of evidence underpinning SGLT2 inhibitors than for MRAs CITATION Eur23 \l 2057  [14] CITATION Ame22 \l 2057  [3].</w:t>
            </w:r>
            <w:r w:rsidRPr="00CC6553">
              <w:rPr>
                <w:rFonts w:cs="Arial"/>
                <w:color w:val="000000" w:themeColor="text1"/>
                <w:sz w:val="20"/>
              </w:rPr>
              <w:br/>
            </w:r>
            <w:r w:rsidRPr="00CC6553">
              <w:rPr>
                <w:rFonts w:cs="Arial"/>
                <w:color w:val="000000" w:themeColor="text1"/>
                <w:sz w:val="20"/>
              </w:rPr>
              <w:br/>
              <w:t xml:space="preserve">Given the clear and strong evidence of benefit for SGLT2 inhibitors compared to MRAs in HFpEF NICE should amend the recommendation for the SGLT2 inhibitor </w:t>
            </w:r>
            <w:r w:rsidRPr="00CC6553">
              <w:rPr>
                <w:rFonts w:cs="Arial"/>
                <w:color w:val="000000" w:themeColor="text1"/>
                <w:sz w:val="20"/>
              </w:rPr>
              <w:lastRenderedPageBreak/>
              <w:t>class to ‘offer’. Additionally, AstraZeneca suggest that the ‘Why the committee made the recommendations’ section explain the difference in the recommendation is due to the strength of evidence of clinical and cost-effectiveness benefit for SGLT2 inhibitors compared to MRAs.</w:t>
            </w:r>
          </w:p>
        </w:tc>
        <w:tc>
          <w:tcPr>
            <w:tcW w:w="2122" w:type="pct"/>
          </w:tcPr>
          <w:p w14:paraId="4E3BF403" w14:textId="43464EC3" w:rsidR="00897293" w:rsidRPr="00CC6553" w:rsidRDefault="00897293" w:rsidP="476BDDBF">
            <w:pPr>
              <w:pStyle w:val="Heading1"/>
              <w:rPr>
                <w:rFonts w:cs="Arial"/>
                <w:b w:val="0"/>
                <w:bCs w:val="0"/>
                <w:color w:val="000000" w:themeColor="text1"/>
                <w:sz w:val="20"/>
              </w:rPr>
            </w:pPr>
            <w:r w:rsidRPr="00CC6553">
              <w:rPr>
                <w:rFonts w:cs="Arial"/>
                <w:b w:val="0"/>
                <w:bCs w:val="0"/>
                <w:color w:val="000000" w:themeColor="text1"/>
                <w:sz w:val="20"/>
              </w:rPr>
              <w:lastRenderedPageBreak/>
              <w:t xml:space="preserve">Thank you for your comment.  The committee have removed reference to SGLT2 inhibitors from the </w:t>
            </w:r>
            <w:r w:rsidRPr="00CC6553">
              <w:rPr>
                <w:rFonts w:cs="Arial"/>
                <w:b w:val="0"/>
                <w:bCs w:val="0"/>
                <w:color w:val="000000" w:themeColor="text1"/>
                <w:sz w:val="20"/>
              </w:rPr>
              <w:lastRenderedPageBreak/>
              <w:t>recommendation but cross-refer to TA929 and TA902.</w:t>
            </w:r>
          </w:p>
        </w:tc>
      </w:tr>
      <w:tr w:rsidR="00897293" w:rsidRPr="00CC6553" w14:paraId="35F8B8DD" w14:textId="77777777" w:rsidTr="00897293">
        <w:trPr>
          <w:trHeight w:val="300"/>
        </w:trPr>
        <w:tc>
          <w:tcPr>
            <w:tcW w:w="109" w:type="pct"/>
          </w:tcPr>
          <w:p w14:paraId="2358B996"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154</w:t>
            </w:r>
          </w:p>
        </w:tc>
        <w:tc>
          <w:tcPr>
            <w:tcW w:w="143" w:type="pct"/>
          </w:tcPr>
          <w:p w14:paraId="1DD46944" w14:textId="62497BCE"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78D70AE6" w14:textId="381F6A13" w:rsidR="00897293" w:rsidRPr="00CC6553" w:rsidRDefault="00897293" w:rsidP="00B234F1">
            <w:pPr>
              <w:rPr>
                <w:rFonts w:cs="Arial"/>
                <w:bCs/>
                <w:iCs/>
                <w:color w:val="000000" w:themeColor="text1"/>
                <w:sz w:val="20"/>
              </w:rPr>
            </w:pPr>
            <w:r w:rsidRPr="00CC6553">
              <w:rPr>
                <w:rFonts w:cs="Arial"/>
                <w:color w:val="000000" w:themeColor="text1"/>
                <w:sz w:val="20"/>
              </w:rPr>
              <w:t>University Hospital Southampton NHS Foundation Trust</w:t>
            </w:r>
          </w:p>
        </w:tc>
        <w:tc>
          <w:tcPr>
            <w:tcW w:w="279" w:type="pct"/>
          </w:tcPr>
          <w:p w14:paraId="6CCA1868" w14:textId="28352562"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20173B8E" w14:textId="19E7E936" w:rsidR="00897293" w:rsidRPr="00CC6553" w:rsidRDefault="00897293" w:rsidP="00B234F1">
            <w:pPr>
              <w:rPr>
                <w:rFonts w:cs="Arial"/>
                <w:color w:val="000000" w:themeColor="text1"/>
                <w:sz w:val="20"/>
              </w:rPr>
            </w:pPr>
            <w:r w:rsidRPr="00CC6553">
              <w:rPr>
                <w:rFonts w:cs="Arial"/>
                <w:color w:val="000000" w:themeColor="text1"/>
                <w:sz w:val="20"/>
              </w:rPr>
              <w:t>014</w:t>
            </w:r>
          </w:p>
        </w:tc>
        <w:tc>
          <w:tcPr>
            <w:tcW w:w="214" w:type="pct"/>
          </w:tcPr>
          <w:p w14:paraId="36546E1C" w14:textId="70EA7077" w:rsidR="00897293" w:rsidRPr="00CC6553" w:rsidRDefault="00897293" w:rsidP="00B234F1">
            <w:pPr>
              <w:rPr>
                <w:rFonts w:cs="Arial"/>
                <w:color w:val="000000" w:themeColor="text1"/>
                <w:sz w:val="20"/>
              </w:rPr>
            </w:pPr>
            <w:r w:rsidRPr="00CC6553">
              <w:rPr>
                <w:rFonts w:cs="Arial"/>
                <w:color w:val="000000" w:themeColor="text1"/>
                <w:sz w:val="20"/>
              </w:rPr>
              <w:t>005 - 006</w:t>
            </w:r>
          </w:p>
        </w:tc>
        <w:tc>
          <w:tcPr>
            <w:tcW w:w="1521" w:type="pct"/>
          </w:tcPr>
          <w:p w14:paraId="6010F280" w14:textId="7FB7DB7C" w:rsidR="00897293" w:rsidRPr="00CC6553" w:rsidRDefault="00897293" w:rsidP="00B234F1">
            <w:pPr>
              <w:rPr>
                <w:rFonts w:cs="Arial"/>
                <w:color w:val="000000" w:themeColor="text1"/>
                <w:sz w:val="20"/>
              </w:rPr>
            </w:pPr>
            <w:r w:rsidRPr="00CC6553">
              <w:rPr>
                <w:rFonts w:cs="Arial"/>
                <w:color w:val="000000" w:themeColor="text1"/>
                <w:sz w:val="20"/>
              </w:rPr>
              <w:t>We welcome the inclusion in the guidelines of the recommendation to consider an MRA and an SGLT2i for treating heart failure with preserved ejection fraction. We are, however, concerned regarding the specific wording here and feel that this area of the guideline could be significantly improved. The current available evidence, specifically for spironolactone and eplerenone is not strongly supportive of the recommendation as drafted and the lack of any specific cost-effectiveness analysis, particularly in the context of the available trial data relating to Finerenone, seems like a significant deficiency.</w:t>
            </w:r>
            <w:r w:rsidRPr="00CC6553">
              <w:rPr>
                <w:rFonts w:cs="Arial"/>
                <w:color w:val="000000" w:themeColor="text1"/>
                <w:sz w:val="20"/>
              </w:rPr>
              <w:br/>
              <w:t>We share the committee’s view that the reality of clinical practice in this area is challenging and requires careful assessment and regular review. We believe that if this statement is to form part of the guideline then it needs to be accompanied by a specific recommendation that these treatment decisions should be guided by a specialist and that specific services to monitor patients during the initiation of these therapies, with clear pathways for follow-up should be established.</w:t>
            </w:r>
          </w:p>
        </w:tc>
        <w:tc>
          <w:tcPr>
            <w:tcW w:w="2122" w:type="pct"/>
          </w:tcPr>
          <w:p w14:paraId="7BDDA376" w14:textId="77777777"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committee agreed that treatment decisions should be guided by a specialist but did not make a specific recommendation on this as it is part of good clinical practice.  How patients are monitored will depend on local service configurations and the committee were therefore unable to make a recommendation on this.</w:t>
            </w:r>
          </w:p>
          <w:p w14:paraId="0533F989" w14:textId="43570B46" w:rsidR="00897293" w:rsidRPr="00CC6553" w:rsidRDefault="00897293" w:rsidP="00B234F1">
            <w:pPr>
              <w:rPr>
                <w:color w:val="000000" w:themeColor="text1"/>
              </w:rPr>
            </w:pPr>
            <w:r w:rsidRPr="00CC6553">
              <w:rPr>
                <w:rFonts w:cs="Arial"/>
                <w:color w:val="000000" w:themeColor="text1"/>
                <w:sz w:val="20"/>
              </w:rPr>
              <w:t xml:space="preserve">Cost-effectiveness analysis was not undertaken for finerenone as part of this guideline because a </w:t>
            </w:r>
            <w:r w:rsidRPr="00CC6553">
              <w:rPr>
                <w:rFonts w:cs="Arial"/>
                <w:bCs/>
                <w:color w:val="000000" w:themeColor="text1"/>
                <w:sz w:val="20"/>
              </w:rPr>
              <w:t xml:space="preserve">technological </w:t>
            </w:r>
            <w:r w:rsidRPr="00CC6553">
              <w:rPr>
                <w:rFonts w:cs="Arial"/>
                <w:color w:val="000000" w:themeColor="text1"/>
                <w:sz w:val="20"/>
              </w:rPr>
              <w:t>appraisal is currently in development for this drug.</w:t>
            </w:r>
            <w:r w:rsidRPr="00CC6553">
              <w:rPr>
                <w:color w:val="000000" w:themeColor="text1"/>
              </w:rPr>
              <w:t xml:space="preserve"> </w:t>
            </w:r>
          </w:p>
        </w:tc>
      </w:tr>
      <w:tr w:rsidR="00897293" w:rsidRPr="00CC6553" w14:paraId="15E3A643" w14:textId="77777777" w:rsidTr="00897293">
        <w:trPr>
          <w:trHeight w:val="300"/>
        </w:trPr>
        <w:tc>
          <w:tcPr>
            <w:tcW w:w="109" w:type="pct"/>
          </w:tcPr>
          <w:p w14:paraId="21D8C3B0" w14:textId="77777777" w:rsidR="00897293" w:rsidRPr="00CC6553" w:rsidRDefault="00897293" w:rsidP="00B234F1">
            <w:pPr>
              <w:rPr>
                <w:rFonts w:cs="Arial"/>
                <w:color w:val="000000" w:themeColor="text1"/>
                <w:sz w:val="20"/>
              </w:rPr>
            </w:pPr>
            <w:r w:rsidRPr="00CC6553">
              <w:rPr>
                <w:rFonts w:cs="Arial"/>
                <w:color w:val="000000" w:themeColor="text1"/>
                <w:sz w:val="20"/>
              </w:rPr>
              <w:t>155</w:t>
            </w:r>
          </w:p>
        </w:tc>
        <w:tc>
          <w:tcPr>
            <w:tcW w:w="143" w:type="pct"/>
          </w:tcPr>
          <w:p w14:paraId="13D802C5" w14:textId="53F0593F"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0EEEC26" w14:textId="469C9D07"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48E64A91" w14:textId="0140F8E7"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45C77192" w14:textId="349963DA" w:rsidR="00897293" w:rsidRPr="00CC6553" w:rsidRDefault="00897293" w:rsidP="00B234F1">
            <w:pPr>
              <w:rPr>
                <w:rFonts w:cs="Arial"/>
                <w:color w:val="000000" w:themeColor="text1"/>
                <w:sz w:val="20"/>
              </w:rPr>
            </w:pPr>
            <w:r w:rsidRPr="00CC6553">
              <w:rPr>
                <w:rFonts w:cs="Arial"/>
                <w:color w:val="000000" w:themeColor="text1"/>
                <w:sz w:val="20"/>
              </w:rPr>
              <w:t>014</w:t>
            </w:r>
          </w:p>
        </w:tc>
        <w:tc>
          <w:tcPr>
            <w:tcW w:w="214" w:type="pct"/>
          </w:tcPr>
          <w:p w14:paraId="0F5CC02A" w14:textId="7B9862EE" w:rsidR="00897293" w:rsidRPr="00CC6553" w:rsidRDefault="00897293" w:rsidP="00B234F1">
            <w:pPr>
              <w:rPr>
                <w:rFonts w:cs="Arial"/>
                <w:color w:val="000000" w:themeColor="text1"/>
                <w:sz w:val="20"/>
              </w:rPr>
            </w:pPr>
            <w:r w:rsidRPr="00CC6553">
              <w:rPr>
                <w:rFonts w:cs="Arial"/>
                <w:color w:val="000000" w:themeColor="text1"/>
                <w:sz w:val="20"/>
              </w:rPr>
              <w:t>005 - 011</w:t>
            </w:r>
          </w:p>
        </w:tc>
        <w:tc>
          <w:tcPr>
            <w:tcW w:w="1521" w:type="pct"/>
          </w:tcPr>
          <w:p w14:paraId="7444C1BA" w14:textId="20184DC5" w:rsidR="00897293" w:rsidRPr="00CC6553" w:rsidRDefault="00897293" w:rsidP="476BDDBF">
            <w:pPr>
              <w:rPr>
                <w:rFonts w:cs="Arial"/>
                <w:color w:val="000000" w:themeColor="text1"/>
                <w:sz w:val="20"/>
              </w:rPr>
            </w:pPr>
            <w:r w:rsidRPr="00CC6553">
              <w:rPr>
                <w:rFonts w:cs="Arial"/>
                <w:color w:val="000000" w:themeColor="text1"/>
                <w:sz w:val="20"/>
              </w:rPr>
              <w:t>Section 1.5.3 HFpEF</w:t>
            </w:r>
            <w:r w:rsidRPr="00CC6553">
              <w:rPr>
                <w:color w:val="000000" w:themeColor="text1"/>
              </w:rPr>
              <w:br/>
            </w:r>
            <w:r w:rsidRPr="00CC6553">
              <w:rPr>
                <w:color w:val="000000" w:themeColor="text1"/>
              </w:rPr>
              <w:br/>
            </w:r>
            <w:r w:rsidRPr="00CC6553">
              <w:rPr>
                <w:rFonts w:cs="Arial"/>
                <w:color w:val="000000" w:themeColor="text1"/>
                <w:sz w:val="20"/>
              </w:rPr>
              <w:t>The NICE TAs for dapagliflozin (TA902) and empagliflozin (TA929) ‘recommend’ these drugs for this indication. In addition, the European Society for Cardiology 2023 guideline update recommends SGLT2 inhibitors based on the strength of trial evidence. For consistency, should SGLT2 inhibitors be offered to patients with HFpEF?</w:t>
            </w:r>
            <w:r w:rsidRPr="00CC6553">
              <w:rPr>
                <w:color w:val="000000" w:themeColor="text1"/>
              </w:rPr>
              <w:br/>
            </w:r>
            <w:r w:rsidRPr="00CC6553">
              <w:rPr>
                <w:rFonts w:cs="Arial"/>
                <w:color w:val="000000" w:themeColor="text1"/>
                <w:sz w:val="20"/>
              </w:rPr>
              <w:t>One might consider this to be the same for MRA given the data from FINEHEARTS.</w:t>
            </w:r>
          </w:p>
        </w:tc>
        <w:tc>
          <w:tcPr>
            <w:tcW w:w="2122" w:type="pct"/>
          </w:tcPr>
          <w:p w14:paraId="2098AE70" w14:textId="77777777"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committee have removed reference to SGLT2 inhibitors from the recommendation but cross-refer to TA929 and TA902.</w:t>
            </w:r>
          </w:p>
          <w:p w14:paraId="27524F9D" w14:textId="77777777" w:rsidR="00897293" w:rsidRPr="00CC6553" w:rsidRDefault="00897293" w:rsidP="00FC31E8">
            <w:pPr>
              <w:rPr>
                <w:color w:val="000000" w:themeColor="text1"/>
              </w:rPr>
            </w:pPr>
          </w:p>
          <w:p w14:paraId="7821B53B" w14:textId="7D586750" w:rsidR="00897293" w:rsidRPr="00CC6553" w:rsidRDefault="00897293" w:rsidP="00FC31E8">
            <w:pPr>
              <w:rPr>
                <w:rFonts w:eastAsia="Arial" w:cs="Arial"/>
                <w:color w:val="000000" w:themeColor="text1"/>
                <w:sz w:val="20"/>
              </w:rPr>
            </w:pPr>
            <w:r w:rsidRPr="00CC6553">
              <w:rPr>
                <w:rFonts w:cs="Arial"/>
                <w:color w:val="000000" w:themeColor="text1"/>
                <w:sz w:val="20"/>
              </w:rPr>
              <w:t xml:space="preserve">The recommendation for MRAs for patients with CHF and preserved rejection fraction is a ’consider' recommendation rather than an ‘offer' recommendation </w:t>
            </w:r>
            <w:r w:rsidRPr="00CC6553">
              <w:rPr>
                <w:rFonts w:eastAsia="Arial" w:cs="Arial"/>
                <w:color w:val="000000" w:themeColor="text1"/>
                <w:sz w:val="20"/>
              </w:rPr>
              <w:t xml:space="preserve">due to the limited size of the evidence base. </w:t>
            </w:r>
            <w:r w:rsidRPr="00CC6553">
              <w:rPr>
                <w:rFonts w:eastAsia="Arial" w:cs="Arial"/>
                <w:color w:val="000000" w:themeColor="text1"/>
                <w:sz w:val="20"/>
              </w:rPr>
              <w:lastRenderedPageBreak/>
              <w:t>This is summarised in p20 of evidence report D.</w:t>
            </w:r>
          </w:p>
          <w:p w14:paraId="0CC8FECD" w14:textId="37CDA0EE" w:rsidR="00897293" w:rsidRPr="00CC6553" w:rsidRDefault="00897293" w:rsidP="00FC31E8">
            <w:pPr>
              <w:rPr>
                <w:color w:val="000000" w:themeColor="text1"/>
              </w:rPr>
            </w:pPr>
          </w:p>
        </w:tc>
      </w:tr>
      <w:tr w:rsidR="00897293" w:rsidRPr="00CC6553" w14:paraId="6CB4E629" w14:textId="77777777" w:rsidTr="00897293">
        <w:trPr>
          <w:trHeight w:val="300"/>
        </w:trPr>
        <w:tc>
          <w:tcPr>
            <w:tcW w:w="109" w:type="pct"/>
          </w:tcPr>
          <w:p w14:paraId="596E1D1F"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156</w:t>
            </w:r>
          </w:p>
        </w:tc>
        <w:tc>
          <w:tcPr>
            <w:tcW w:w="143" w:type="pct"/>
          </w:tcPr>
          <w:p w14:paraId="706024B9" w14:textId="5F6C3FD4"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336DADB7" w14:textId="4B6C2586" w:rsidR="00897293" w:rsidRPr="00CC6553" w:rsidRDefault="00897293" w:rsidP="00B234F1">
            <w:pPr>
              <w:rPr>
                <w:rFonts w:cs="Arial"/>
                <w:bCs/>
                <w:iCs/>
                <w:color w:val="000000" w:themeColor="text1"/>
                <w:sz w:val="20"/>
              </w:rPr>
            </w:pPr>
            <w:r w:rsidRPr="00CC6553">
              <w:rPr>
                <w:rFonts w:cs="Arial"/>
                <w:color w:val="000000" w:themeColor="text1"/>
                <w:sz w:val="20"/>
              </w:rPr>
              <w:t>Portsmouth Hospitals University NHS Trust</w:t>
            </w:r>
          </w:p>
        </w:tc>
        <w:tc>
          <w:tcPr>
            <w:tcW w:w="279" w:type="pct"/>
          </w:tcPr>
          <w:p w14:paraId="11AE1D86" w14:textId="728B1264"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5FAF6190" w14:textId="5C4D731F" w:rsidR="00897293" w:rsidRPr="00CC6553" w:rsidRDefault="00897293" w:rsidP="00B234F1">
            <w:pPr>
              <w:rPr>
                <w:rFonts w:cs="Arial"/>
                <w:color w:val="000000" w:themeColor="text1"/>
                <w:sz w:val="20"/>
              </w:rPr>
            </w:pPr>
            <w:r w:rsidRPr="00CC6553">
              <w:rPr>
                <w:rFonts w:cs="Arial"/>
                <w:color w:val="000000" w:themeColor="text1"/>
                <w:sz w:val="20"/>
              </w:rPr>
              <w:t>014</w:t>
            </w:r>
          </w:p>
        </w:tc>
        <w:tc>
          <w:tcPr>
            <w:tcW w:w="214" w:type="pct"/>
          </w:tcPr>
          <w:p w14:paraId="663EC0E1" w14:textId="22466293" w:rsidR="00897293" w:rsidRPr="00CC6553" w:rsidRDefault="00897293" w:rsidP="00B234F1">
            <w:pPr>
              <w:rPr>
                <w:rFonts w:cs="Arial"/>
                <w:color w:val="000000" w:themeColor="text1"/>
                <w:sz w:val="20"/>
              </w:rPr>
            </w:pPr>
            <w:r w:rsidRPr="00CC6553">
              <w:rPr>
                <w:rFonts w:cs="Arial"/>
                <w:color w:val="000000" w:themeColor="text1"/>
                <w:sz w:val="20"/>
              </w:rPr>
              <w:t>005 - 011</w:t>
            </w:r>
          </w:p>
        </w:tc>
        <w:tc>
          <w:tcPr>
            <w:tcW w:w="1521" w:type="pct"/>
          </w:tcPr>
          <w:p w14:paraId="107A6357" w14:textId="014073FA" w:rsidR="00897293" w:rsidRPr="00CC6553" w:rsidRDefault="00897293" w:rsidP="476BDDBF">
            <w:pPr>
              <w:rPr>
                <w:rFonts w:cs="Arial"/>
                <w:color w:val="000000" w:themeColor="text1"/>
                <w:sz w:val="20"/>
              </w:rPr>
            </w:pPr>
            <w:r w:rsidRPr="00CC6553">
              <w:rPr>
                <w:rFonts w:cs="Arial"/>
                <w:color w:val="000000" w:themeColor="text1"/>
                <w:sz w:val="20"/>
              </w:rPr>
              <w:t>Section 1.5.3 HFpEF</w:t>
            </w:r>
            <w:r w:rsidRPr="00CC6553">
              <w:rPr>
                <w:color w:val="000000" w:themeColor="text1"/>
              </w:rPr>
              <w:br/>
            </w:r>
            <w:r w:rsidRPr="00CC6553">
              <w:rPr>
                <w:color w:val="000000" w:themeColor="text1"/>
              </w:rPr>
              <w:br/>
            </w:r>
            <w:r w:rsidRPr="00CC6553">
              <w:rPr>
                <w:rFonts w:cs="Arial"/>
                <w:color w:val="000000" w:themeColor="text1"/>
                <w:sz w:val="20"/>
              </w:rPr>
              <w:t>The NICE TAs for dapagliflozin (TA902) and empagliflozin (TA929) ‘recommend’ these drugs for this indication. In addition, the European Society for Cardiology 2023 guideline update recommends SGLT2 inhibitors based on the strength of trial evidence. For consistency, should SGLT2 inhibitors be offered to patients with HFpEF?</w:t>
            </w:r>
            <w:r w:rsidRPr="00CC6553">
              <w:rPr>
                <w:color w:val="000000" w:themeColor="text1"/>
              </w:rPr>
              <w:br/>
            </w:r>
            <w:r w:rsidRPr="00CC6553">
              <w:rPr>
                <w:rFonts w:cs="Arial"/>
                <w:color w:val="000000" w:themeColor="text1"/>
                <w:sz w:val="20"/>
              </w:rPr>
              <w:t>One might consider this to be the same for MRA given the data from FINEHEARTS.</w:t>
            </w:r>
          </w:p>
        </w:tc>
        <w:tc>
          <w:tcPr>
            <w:tcW w:w="2122" w:type="pct"/>
          </w:tcPr>
          <w:p w14:paraId="4F449080" w14:textId="77777777"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committee have removed reference to SGLT2 inhibitors from the recommendation but cross-refer to TA929 and TA902.</w:t>
            </w:r>
          </w:p>
          <w:p w14:paraId="17F64F55" w14:textId="77777777" w:rsidR="00897293" w:rsidRPr="00CC6553" w:rsidRDefault="00897293" w:rsidP="000E05FA">
            <w:pPr>
              <w:rPr>
                <w:color w:val="000000" w:themeColor="text1"/>
              </w:rPr>
            </w:pPr>
          </w:p>
          <w:p w14:paraId="5FFD195F" w14:textId="4380595B" w:rsidR="00897293" w:rsidRPr="00CC6553" w:rsidRDefault="00897293" w:rsidP="000E05FA">
            <w:pPr>
              <w:rPr>
                <w:rFonts w:eastAsia="Arial" w:cs="Arial"/>
                <w:color w:val="000000" w:themeColor="text1"/>
                <w:sz w:val="20"/>
              </w:rPr>
            </w:pPr>
            <w:r w:rsidRPr="00CC6553">
              <w:rPr>
                <w:rFonts w:cs="Arial"/>
                <w:color w:val="000000" w:themeColor="text1"/>
                <w:sz w:val="20"/>
              </w:rPr>
              <w:t xml:space="preserve">The recommendation for MRAs for patients with CHF and preserved rejection fraction is a ’consider' recommendation rather than an ‘offer' recommendation </w:t>
            </w:r>
            <w:r w:rsidRPr="00CC6553">
              <w:rPr>
                <w:rFonts w:eastAsia="Arial" w:cs="Arial"/>
                <w:color w:val="000000" w:themeColor="text1"/>
                <w:sz w:val="20"/>
              </w:rPr>
              <w:t>due to the limited size of the evidence base. This is summarised in p20 of evidence report D.</w:t>
            </w:r>
          </w:p>
          <w:p w14:paraId="4241ADCA" w14:textId="2DB5A8E1" w:rsidR="00897293" w:rsidRPr="00CC6553" w:rsidRDefault="00897293" w:rsidP="000E05FA">
            <w:pPr>
              <w:rPr>
                <w:color w:val="000000" w:themeColor="text1"/>
              </w:rPr>
            </w:pPr>
          </w:p>
        </w:tc>
      </w:tr>
      <w:tr w:rsidR="00897293" w:rsidRPr="00CC6553" w14:paraId="40494F03" w14:textId="77777777" w:rsidTr="00897293">
        <w:trPr>
          <w:trHeight w:val="300"/>
        </w:trPr>
        <w:tc>
          <w:tcPr>
            <w:tcW w:w="109" w:type="pct"/>
          </w:tcPr>
          <w:p w14:paraId="72EEB38B" w14:textId="77777777" w:rsidR="00897293" w:rsidRPr="00CC6553" w:rsidRDefault="00897293" w:rsidP="00B234F1">
            <w:pPr>
              <w:rPr>
                <w:rFonts w:cs="Arial"/>
                <w:color w:val="000000" w:themeColor="text1"/>
                <w:sz w:val="20"/>
              </w:rPr>
            </w:pPr>
            <w:r w:rsidRPr="00CC6553">
              <w:rPr>
                <w:rFonts w:cs="Arial"/>
                <w:color w:val="000000" w:themeColor="text1"/>
                <w:sz w:val="20"/>
              </w:rPr>
              <w:t>157</w:t>
            </w:r>
          </w:p>
        </w:tc>
        <w:tc>
          <w:tcPr>
            <w:tcW w:w="143" w:type="pct"/>
          </w:tcPr>
          <w:p w14:paraId="4A6AD70D" w14:textId="20ADF7BE"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7FC8FBCA" w14:textId="4D05F729" w:rsidR="00897293" w:rsidRPr="00CC6553" w:rsidRDefault="00897293" w:rsidP="00B234F1">
            <w:pPr>
              <w:rPr>
                <w:rFonts w:cs="Arial"/>
                <w:bCs/>
                <w:iCs/>
                <w:color w:val="000000" w:themeColor="text1"/>
                <w:sz w:val="20"/>
              </w:rPr>
            </w:pPr>
            <w:r w:rsidRPr="00CC6553">
              <w:rPr>
                <w:rFonts w:cs="Arial"/>
                <w:color w:val="000000" w:themeColor="text1"/>
                <w:sz w:val="20"/>
              </w:rPr>
              <w:t>Pumping Marvellous Foundation</w:t>
            </w:r>
          </w:p>
        </w:tc>
        <w:tc>
          <w:tcPr>
            <w:tcW w:w="279" w:type="pct"/>
          </w:tcPr>
          <w:p w14:paraId="5C706E11" w14:textId="78E7BBA4"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603B5B6A" w14:textId="6D167FB5" w:rsidR="00897293" w:rsidRPr="00CC6553" w:rsidRDefault="00897293" w:rsidP="00B234F1">
            <w:pPr>
              <w:rPr>
                <w:rFonts w:cs="Arial"/>
                <w:color w:val="000000" w:themeColor="text1"/>
                <w:sz w:val="20"/>
              </w:rPr>
            </w:pPr>
            <w:r w:rsidRPr="00CC6553">
              <w:rPr>
                <w:rFonts w:cs="Arial"/>
                <w:color w:val="000000" w:themeColor="text1"/>
                <w:sz w:val="20"/>
              </w:rPr>
              <w:t>014</w:t>
            </w:r>
          </w:p>
        </w:tc>
        <w:tc>
          <w:tcPr>
            <w:tcW w:w="214" w:type="pct"/>
          </w:tcPr>
          <w:p w14:paraId="602ED828" w14:textId="132E29C9" w:rsidR="00897293" w:rsidRPr="00CC6553" w:rsidRDefault="00897293" w:rsidP="00B234F1">
            <w:pPr>
              <w:rPr>
                <w:rFonts w:cs="Arial"/>
                <w:color w:val="000000" w:themeColor="text1"/>
                <w:sz w:val="20"/>
              </w:rPr>
            </w:pPr>
            <w:r w:rsidRPr="00CC6553">
              <w:rPr>
                <w:rFonts w:cs="Arial"/>
                <w:color w:val="000000" w:themeColor="text1"/>
                <w:sz w:val="20"/>
              </w:rPr>
              <w:t>012</w:t>
            </w:r>
          </w:p>
        </w:tc>
        <w:tc>
          <w:tcPr>
            <w:tcW w:w="1521" w:type="pct"/>
          </w:tcPr>
          <w:p w14:paraId="002770E5" w14:textId="6D05AE34" w:rsidR="00897293" w:rsidRPr="00CC6553" w:rsidRDefault="00897293" w:rsidP="00B234F1">
            <w:pPr>
              <w:rPr>
                <w:rFonts w:cs="Arial"/>
                <w:color w:val="000000" w:themeColor="text1"/>
                <w:sz w:val="20"/>
              </w:rPr>
            </w:pPr>
            <w:r w:rsidRPr="00CC6553">
              <w:rPr>
                <w:rFonts w:cs="Arial"/>
                <w:color w:val="000000" w:themeColor="text1"/>
                <w:sz w:val="20"/>
              </w:rPr>
              <w:t>This recommendation  is dangerous as it is not supported by evidence and will directly lead to lack of prescribing or under-prescribing of this prognostically beneficial classes of medication (such as ACE-/ARB and finerenone are now foundation guideline recommended therapy to retard progression of CKD with albuminuria. (The PARADIGM trial also showed the beneficial effect of ARNI in slowing CKD progression.)</w:t>
            </w:r>
          </w:p>
        </w:tc>
        <w:tc>
          <w:tcPr>
            <w:tcW w:w="2122" w:type="pct"/>
          </w:tcPr>
          <w:p w14:paraId="0422A60F" w14:textId="26576248"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Thank you for your comment.  The evidence for this recommendation can be found in section 6.2.6 </w:t>
            </w:r>
            <w:hyperlink r:id="rId25" w:history="1">
              <w:r w:rsidRPr="00CC6553">
                <w:rPr>
                  <w:rStyle w:val="Hyperlink"/>
                  <w:rFonts w:cs="Arial"/>
                  <w:b w:val="0"/>
                  <w:color w:val="000000" w:themeColor="text1"/>
                  <w:sz w:val="20"/>
                </w:rPr>
                <w:t>NG106 Full guideline</w:t>
              </w:r>
            </w:hyperlink>
            <w:r w:rsidRPr="00CC6553">
              <w:rPr>
                <w:rFonts w:cs="Arial"/>
                <w:b w:val="0"/>
                <w:color w:val="000000" w:themeColor="text1"/>
                <w:sz w:val="20"/>
              </w:rPr>
              <w:t>.  The scope of this update was the pharmacological management of chronic heart failure https://www.nice.org.uk/guidance/gid-ng10405/documents/final-scope and the committee is therefore only able to make editorial changes or minimal changes for consistency or clarification to recommendations on areas outside of this.</w:t>
            </w:r>
          </w:p>
        </w:tc>
      </w:tr>
      <w:tr w:rsidR="00897293" w:rsidRPr="00CC6553" w14:paraId="6FC1E4CD" w14:textId="77777777" w:rsidTr="00897293">
        <w:trPr>
          <w:trHeight w:val="300"/>
        </w:trPr>
        <w:tc>
          <w:tcPr>
            <w:tcW w:w="109" w:type="pct"/>
          </w:tcPr>
          <w:p w14:paraId="57690BD4"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158</w:t>
            </w:r>
          </w:p>
        </w:tc>
        <w:tc>
          <w:tcPr>
            <w:tcW w:w="143" w:type="pct"/>
          </w:tcPr>
          <w:p w14:paraId="73F7A0A0" w14:textId="0DF8E4D9"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7DDA0771" w14:textId="2070184C" w:rsidR="00897293" w:rsidRPr="00CC6553" w:rsidRDefault="00897293" w:rsidP="00B234F1">
            <w:pPr>
              <w:rPr>
                <w:rFonts w:cs="Arial"/>
                <w:bCs/>
                <w:iCs/>
                <w:color w:val="000000" w:themeColor="text1"/>
                <w:sz w:val="20"/>
              </w:rPr>
            </w:pPr>
            <w:r w:rsidRPr="00CC6553">
              <w:rPr>
                <w:rFonts w:cs="Arial"/>
                <w:color w:val="000000" w:themeColor="text1"/>
                <w:sz w:val="20"/>
              </w:rPr>
              <w:t>NHS South Yorkshire ICB</w:t>
            </w:r>
          </w:p>
        </w:tc>
        <w:tc>
          <w:tcPr>
            <w:tcW w:w="279" w:type="pct"/>
          </w:tcPr>
          <w:p w14:paraId="305C7ADB" w14:textId="0760EFAF"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66E1E053" w14:textId="2CD7B869" w:rsidR="00897293" w:rsidRPr="00CC6553" w:rsidRDefault="00897293" w:rsidP="00B234F1">
            <w:pPr>
              <w:rPr>
                <w:rFonts w:cs="Arial"/>
                <w:color w:val="000000" w:themeColor="text1"/>
                <w:sz w:val="20"/>
              </w:rPr>
            </w:pPr>
            <w:r w:rsidRPr="00CC6553">
              <w:rPr>
                <w:rFonts w:cs="Arial"/>
                <w:color w:val="000000" w:themeColor="text1"/>
                <w:sz w:val="20"/>
              </w:rPr>
              <w:t>014</w:t>
            </w:r>
          </w:p>
        </w:tc>
        <w:tc>
          <w:tcPr>
            <w:tcW w:w="214" w:type="pct"/>
          </w:tcPr>
          <w:p w14:paraId="0267B5E9" w14:textId="6ACA5195" w:rsidR="00897293" w:rsidRPr="00CC6553" w:rsidRDefault="00897293" w:rsidP="00B234F1">
            <w:pPr>
              <w:rPr>
                <w:rFonts w:cs="Arial"/>
                <w:color w:val="000000" w:themeColor="text1"/>
                <w:sz w:val="20"/>
              </w:rPr>
            </w:pPr>
            <w:r w:rsidRPr="00CC6553">
              <w:rPr>
                <w:rFonts w:cs="Arial"/>
                <w:color w:val="000000" w:themeColor="text1"/>
                <w:sz w:val="20"/>
              </w:rPr>
              <w:t>012</w:t>
            </w:r>
          </w:p>
        </w:tc>
        <w:tc>
          <w:tcPr>
            <w:tcW w:w="1521" w:type="pct"/>
          </w:tcPr>
          <w:p w14:paraId="5FBA5261" w14:textId="6EA8BF3B" w:rsidR="00897293" w:rsidRPr="00CC6553" w:rsidRDefault="00897293" w:rsidP="00B234F1">
            <w:pPr>
              <w:rPr>
                <w:rFonts w:cs="Arial"/>
                <w:color w:val="000000" w:themeColor="text1"/>
                <w:sz w:val="20"/>
              </w:rPr>
            </w:pPr>
            <w:r w:rsidRPr="00CC6553">
              <w:rPr>
                <w:rFonts w:cs="Arial"/>
                <w:color w:val="000000" w:themeColor="text1"/>
                <w:sz w:val="20"/>
              </w:rPr>
              <w:t>We welcome the inclusion of recommendations on heart failure treatment in people with chronic kidney disease. This represents a valuable and novel addition to the guidance, addressing a common and challenging area of primary care management.</w:t>
            </w:r>
          </w:p>
        </w:tc>
        <w:tc>
          <w:tcPr>
            <w:tcW w:w="2122" w:type="pct"/>
          </w:tcPr>
          <w:p w14:paraId="09F74FED" w14:textId="6A76FA11"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w:t>
            </w:r>
          </w:p>
        </w:tc>
      </w:tr>
      <w:tr w:rsidR="00897293" w:rsidRPr="00CC6553" w14:paraId="661455E7" w14:textId="77777777" w:rsidTr="00897293">
        <w:trPr>
          <w:trHeight w:val="300"/>
        </w:trPr>
        <w:tc>
          <w:tcPr>
            <w:tcW w:w="109" w:type="pct"/>
          </w:tcPr>
          <w:p w14:paraId="7C738507" w14:textId="77777777" w:rsidR="00897293" w:rsidRPr="00CC6553" w:rsidRDefault="00897293" w:rsidP="00B234F1">
            <w:pPr>
              <w:rPr>
                <w:rFonts w:cs="Arial"/>
                <w:color w:val="000000" w:themeColor="text1"/>
                <w:sz w:val="20"/>
              </w:rPr>
            </w:pPr>
            <w:r w:rsidRPr="00CC6553">
              <w:rPr>
                <w:rFonts w:cs="Arial"/>
                <w:color w:val="000000" w:themeColor="text1"/>
                <w:sz w:val="20"/>
              </w:rPr>
              <w:t>159</w:t>
            </w:r>
          </w:p>
        </w:tc>
        <w:tc>
          <w:tcPr>
            <w:tcW w:w="143" w:type="pct"/>
          </w:tcPr>
          <w:p w14:paraId="76C367C8" w14:textId="5ABD2F3F"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417168CE" w14:textId="26CA649F"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36CE7822" w14:textId="3D82EE58"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29E38D44" w14:textId="0EE85ABA" w:rsidR="00897293" w:rsidRPr="00CC6553" w:rsidRDefault="00897293" w:rsidP="00B234F1">
            <w:pPr>
              <w:rPr>
                <w:rFonts w:cs="Arial"/>
                <w:color w:val="000000" w:themeColor="text1"/>
                <w:sz w:val="20"/>
              </w:rPr>
            </w:pPr>
            <w:r w:rsidRPr="00CC6553">
              <w:rPr>
                <w:rFonts w:cs="Arial"/>
                <w:color w:val="000000" w:themeColor="text1"/>
                <w:sz w:val="20"/>
              </w:rPr>
              <w:t>014</w:t>
            </w:r>
          </w:p>
        </w:tc>
        <w:tc>
          <w:tcPr>
            <w:tcW w:w="214" w:type="pct"/>
          </w:tcPr>
          <w:p w14:paraId="19AF262C" w14:textId="591532E3" w:rsidR="00897293" w:rsidRPr="00CC6553" w:rsidRDefault="00897293" w:rsidP="00B234F1">
            <w:pPr>
              <w:rPr>
                <w:rFonts w:cs="Arial"/>
                <w:color w:val="000000" w:themeColor="text1"/>
                <w:sz w:val="20"/>
              </w:rPr>
            </w:pPr>
            <w:r w:rsidRPr="00CC6553">
              <w:rPr>
                <w:rFonts w:cs="Arial"/>
                <w:color w:val="000000" w:themeColor="text1"/>
                <w:sz w:val="20"/>
              </w:rPr>
              <w:t>012 - 016</w:t>
            </w:r>
          </w:p>
        </w:tc>
        <w:tc>
          <w:tcPr>
            <w:tcW w:w="1521" w:type="pct"/>
          </w:tcPr>
          <w:p w14:paraId="6F582FDC" w14:textId="1D4E0F80" w:rsidR="00897293" w:rsidRPr="00CC6553" w:rsidRDefault="00897293" w:rsidP="00B234F1">
            <w:pPr>
              <w:rPr>
                <w:rFonts w:cs="Arial"/>
                <w:color w:val="000000" w:themeColor="text1"/>
                <w:sz w:val="20"/>
              </w:rPr>
            </w:pPr>
            <w:r w:rsidRPr="00CC6553">
              <w:rPr>
                <w:rFonts w:cs="Arial"/>
                <w:color w:val="000000" w:themeColor="text1"/>
                <w:sz w:val="20"/>
              </w:rPr>
              <w:t>Treating patients with heart failure and CKD       Section 1.6.1</w:t>
            </w:r>
            <w:r w:rsidRPr="00CC6553">
              <w:rPr>
                <w:rFonts w:cs="Arial"/>
                <w:color w:val="000000" w:themeColor="text1"/>
                <w:sz w:val="20"/>
              </w:rPr>
              <w:br/>
              <w:t>Concern:</w:t>
            </w:r>
            <w:r w:rsidRPr="00CC6553">
              <w:rPr>
                <w:rFonts w:cs="Arial"/>
                <w:color w:val="000000" w:themeColor="text1"/>
                <w:sz w:val="20"/>
              </w:rPr>
              <w:br/>
              <w:t xml:space="preserve">This statement seems to be based on consensus opinion and represents a broad range of eGFR. Generally in heart failure and reduced ejection fraction the strategy of low dose and slow uptitration is associated with poorer outcomes. In addition, how one might manage a patient with eGFR of 40-45 (many patients in clinical practice) may be very different to eGFR 20. Major concern relates to the fact that this statement gives healthcare professionals the option to not attempt to optimise drug doses for all patients with eGFR&lt;45. There is a real chance that many patients will miss out on timely optimisation of drug therapy. </w:t>
            </w:r>
            <w:r w:rsidRPr="00CC6553">
              <w:rPr>
                <w:rFonts w:cs="Arial"/>
                <w:color w:val="000000" w:themeColor="text1"/>
                <w:sz w:val="20"/>
              </w:rPr>
              <w:br/>
            </w:r>
            <w:r w:rsidRPr="00CC6553">
              <w:rPr>
                <w:rFonts w:cs="Arial"/>
                <w:color w:val="000000" w:themeColor="text1"/>
                <w:sz w:val="20"/>
              </w:rPr>
              <w:br/>
              <w:t>A suggested change (in bold) to the wording would address this:</w:t>
            </w:r>
            <w:r w:rsidRPr="00CC6553">
              <w:rPr>
                <w:rFonts w:cs="Arial"/>
                <w:color w:val="000000" w:themeColor="text1"/>
                <w:sz w:val="20"/>
              </w:rPr>
              <w:br/>
              <w:t>‘If the persons eGFR is 45 ml per minute per 1.73 m2 or less, there may be selected cases when consider starting with lower doses and/or making smaller dose increments for the medicine combinations covered by…’.</w:t>
            </w:r>
            <w:r w:rsidRPr="00CC6553">
              <w:rPr>
                <w:rFonts w:cs="Arial"/>
                <w:color w:val="000000" w:themeColor="text1"/>
                <w:sz w:val="20"/>
              </w:rPr>
              <w:br/>
            </w:r>
            <w:r w:rsidRPr="00CC6553">
              <w:rPr>
                <w:rFonts w:cs="Arial"/>
                <w:color w:val="000000" w:themeColor="text1"/>
                <w:sz w:val="20"/>
              </w:rPr>
              <w:br/>
              <w:t>Is it also worth a brief explanation as to why this the case in the guideline? For example, noting that it is important to monitor renal function and potassium and that the results of these tests may influence the final doses achieved?</w:t>
            </w:r>
            <w:r w:rsidRPr="00CC6553">
              <w:rPr>
                <w:rFonts w:cs="Arial"/>
                <w:color w:val="000000" w:themeColor="text1"/>
                <w:sz w:val="20"/>
              </w:rPr>
              <w:br/>
            </w:r>
            <w:r w:rsidRPr="00CC6553">
              <w:rPr>
                <w:rFonts w:cs="Arial"/>
                <w:color w:val="000000" w:themeColor="text1"/>
                <w:sz w:val="20"/>
              </w:rPr>
              <w:br/>
              <w:t>Please consider similar changes to the Core Figure.</w:t>
            </w:r>
          </w:p>
        </w:tc>
        <w:tc>
          <w:tcPr>
            <w:tcW w:w="2122" w:type="pct"/>
          </w:tcPr>
          <w:p w14:paraId="25310EDF" w14:textId="2F0FFB9E"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Thank you for your comment.  The evidence for this recommendation can be found in section 6.2.6 </w:t>
            </w:r>
            <w:hyperlink r:id="rId26" w:history="1">
              <w:r w:rsidRPr="00CC6553">
                <w:rPr>
                  <w:rStyle w:val="Hyperlink"/>
                  <w:rFonts w:cs="Arial"/>
                  <w:b w:val="0"/>
                  <w:color w:val="000000" w:themeColor="text1"/>
                  <w:sz w:val="20"/>
                </w:rPr>
                <w:t>NG106 Full guideline</w:t>
              </w:r>
            </w:hyperlink>
            <w:r w:rsidRPr="00CC6553">
              <w:rPr>
                <w:rFonts w:cs="Arial"/>
                <w:b w:val="0"/>
                <w:color w:val="000000" w:themeColor="text1"/>
                <w:sz w:val="20"/>
              </w:rPr>
              <w:t>.  The scope of this update was the pharmacological management of chronic heart failure https://www.nice.org.uk/guidance/gid-ng10405/documents/final-scope and the committee is therefore only able to make editorial changes or minimal changes for consistency or clarification to recommendations on areas outside of this. The recommendation has been edited to refer to lower starting doses as suggested.  There is a recommendation on monitoring for people with CKD in section 1.7.</w:t>
            </w:r>
          </w:p>
        </w:tc>
      </w:tr>
      <w:tr w:rsidR="00897293" w:rsidRPr="00CC6553" w14:paraId="78D44142" w14:textId="77777777" w:rsidTr="00897293">
        <w:trPr>
          <w:trHeight w:val="300"/>
        </w:trPr>
        <w:tc>
          <w:tcPr>
            <w:tcW w:w="109" w:type="pct"/>
          </w:tcPr>
          <w:p w14:paraId="35307767" w14:textId="77777777" w:rsidR="00897293" w:rsidRPr="00CC6553" w:rsidRDefault="00897293" w:rsidP="00B234F1">
            <w:pPr>
              <w:rPr>
                <w:rFonts w:cs="Arial"/>
                <w:color w:val="000000" w:themeColor="text1"/>
                <w:sz w:val="20"/>
              </w:rPr>
            </w:pPr>
            <w:r w:rsidRPr="00CC6553">
              <w:rPr>
                <w:rFonts w:cs="Arial"/>
                <w:color w:val="000000" w:themeColor="text1"/>
                <w:sz w:val="20"/>
              </w:rPr>
              <w:t>160</w:t>
            </w:r>
          </w:p>
        </w:tc>
        <w:tc>
          <w:tcPr>
            <w:tcW w:w="143" w:type="pct"/>
          </w:tcPr>
          <w:p w14:paraId="1F618742" w14:textId="56B55D97"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7B8EA479" w14:textId="02ED4B45" w:rsidR="00897293" w:rsidRPr="00CC6553" w:rsidRDefault="00897293" w:rsidP="00B234F1">
            <w:pPr>
              <w:rPr>
                <w:rFonts w:cs="Arial"/>
                <w:bCs/>
                <w:iCs/>
                <w:color w:val="000000" w:themeColor="text1"/>
                <w:sz w:val="20"/>
              </w:rPr>
            </w:pPr>
            <w:r w:rsidRPr="00CC6553">
              <w:rPr>
                <w:rFonts w:cs="Arial"/>
                <w:color w:val="000000" w:themeColor="text1"/>
                <w:sz w:val="20"/>
              </w:rPr>
              <w:t>Portsmouth Hospitals University NHS Trust</w:t>
            </w:r>
          </w:p>
        </w:tc>
        <w:tc>
          <w:tcPr>
            <w:tcW w:w="279" w:type="pct"/>
          </w:tcPr>
          <w:p w14:paraId="2A48AA53" w14:textId="1C186897"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40BAE913" w14:textId="646D444C" w:rsidR="00897293" w:rsidRPr="00CC6553" w:rsidRDefault="00897293" w:rsidP="00B234F1">
            <w:pPr>
              <w:rPr>
                <w:rFonts w:cs="Arial"/>
                <w:color w:val="000000" w:themeColor="text1"/>
                <w:sz w:val="20"/>
              </w:rPr>
            </w:pPr>
            <w:r w:rsidRPr="00CC6553">
              <w:rPr>
                <w:rFonts w:cs="Arial"/>
                <w:color w:val="000000" w:themeColor="text1"/>
                <w:sz w:val="20"/>
              </w:rPr>
              <w:t>014</w:t>
            </w:r>
          </w:p>
        </w:tc>
        <w:tc>
          <w:tcPr>
            <w:tcW w:w="214" w:type="pct"/>
          </w:tcPr>
          <w:p w14:paraId="5D8C5D36" w14:textId="6610043B" w:rsidR="00897293" w:rsidRPr="00CC6553" w:rsidRDefault="00897293" w:rsidP="00B234F1">
            <w:pPr>
              <w:rPr>
                <w:rFonts w:cs="Arial"/>
                <w:color w:val="000000" w:themeColor="text1"/>
                <w:sz w:val="20"/>
              </w:rPr>
            </w:pPr>
            <w:r w:rsidRPr="00CC6553">
              <w:rPr>
                <w:rFonts w:cs="Arial"/>
                <w:color w:val="000000" w:themeColor="text1"/>
                <w:sz w:val="20"/>
              </w:rPr>
              <w:t>012 - 016</w:t>
            </w:r>
          </w:p>
        </w:tc>
        <w:tc>
          <w:tcPr>
            <w:tcW w:w="1521" w:type="pct"/>
          </w:tcPr>
          <w:p w14:paraId="6CE0BC41" w14:textId="0F7F46D8" w:rsidR="00897293" w:rsidRPr="00CC6553" w:rsidRDefault="00897293" w:rsidP="00B234F1">
            <w:pPr>
              <w:rPr>
                <w:rFonts w:cs="Arial"/>
                <w:color w:val="000000" w:themeColor="text1"/>
                <w:sz w:val="20"/>
              </w:rPr>
            </w:pPr>
            <w:r w:rsidRPr="00CC6553">
              <w:rPr>
                <w:rFonts w:cs="Arial"/>
                <w:color w:val="000000" w:themeColor="text1"/>
                <w:sz w:val="20"/>
              </w:rPr>
              <w:t>Treating patients with heart failure and CKD       Section 1.6.1</w:t>
            </w:r>
            <w:r w:rsidRPr="00CC6553">
              <w:rPr>
                <w:rFonts w:cs="Arial"/>
                <w:color w:val="000000" w:themeColor="text1"/>
                <w:sz w:val="20"/>
              </w:rPr>
              <w:br/>
              <w:t>Concern:</w:t>
            </w:r>
            <w:r w:rsidRPr="00CC6553">
              <w:rPr>
                <w:rFonts w:cs="Arial"/>
                <w:color w:val="000000" w:themeColor="text1"/>
                <w:sz w:val="20"/>
              </w:rPr>
              <w:br/>
              <w:t xml:space="preserve">This statement seems to be based on consensus opinion and represents a broad range of eGFR. Generally in heart failure and reduced ejection fraction the strategy of low dose and slow uptitration is associated with poorer outcomes. In addition, how one might manage a patient with eGFR of 40-45 (many patients in clinical practice) may be very different to eGFR 20. Major concern relates to the </w:t>
            </w:r>
            <w:r w:rsidRPr="00CC6553">
              <w:rPr>
                <w:rFonts w:cs="Arial"/>
                <w:color w:val="000000" w:themeColor="text1"/>
                <w:sz w:val="20"/>
              </w:rPr>
              <w:lastRenderedPageBreak/>
              <w:t xml:space="preserve">fact that this statement gives healthcare professionals the option to not attempt to optimise drug doses for all patients with eGFR&lt;45. There is a real chance that many patients will miss out on timely optimisation of drug therapy. </w:t>
            </w:r>
            <w:r w:rsidRPr="00CC6553">
              <w:rPr>
                <w:rFonts w:cs="Arial"/>
                <w:color w:val="000000" w:themeColor="text1"/>
                <w:sz w:val="20"/>
              </w:rPr>
              <w:br/>
            </w:r>
            <w:r w:rsidRPr="00CC6553">
              <w:rPr>
                <w:rFonts w:cs="Arial"/>
                <w:color w:val="000000" w:themeColor="text1"/>
                <w:sz w:val="20"/>
              </w:rPr>
              <w:br/>
              <w:t>A suggested change (in bold) to the wording would address this:</w:t>
            </w:r>
            <w:r w:rsidRPr="00CC6553">
              <w:rPr>
                <w:rFonts w:cs="Arial"/>
                <w:color w:val="000000" w:themeColor="text1"/>
                <w:sz w:val="20"/>
              </w:rPr>
              <w:br/>
              <w:t>‘If the persons eGFR is 45 ml per minute per 1.73 m2 or less, there may be selected cases when consider starting with lower doses and/or making smaller dose increments for the medicine combinations covered by…’.</w:t>
            </w:r>
            <w:r w:rsidRPr="00CC6553">
              <w:rPr>
                <w:rFonts w:cs="Arial"/>
                <w:color w:val="000000" w:themeColor="text1"/>
                <w:sz w:val="20"/>
              </w:rPr>
              <w:br/>
            </w:r>
            <w:r w:rsidRPr="00CC6553">
              <w:rPr>
                <w:rFonts w:cs="Arial"/>
                <w:color w:val="000000" w:themeColor="text1"/>
                <w:sz w:val="20"/>
              </w:rPr>
              <w:br/>
              <w:t>Is it also worth a brief explanation as to why this the case in the guideline? For example, noting that it is important to monitor renal function and potassium and that the results of these tests may influence the final doses achieved?</w:t>
            </w:r>
            <w:r w:rsidRPr="00CC6553">
              <w:rPr>
                <w:rFonts w:cs="Arial"/>
                <w:color w:val="000000" w:themeColor="text1"/>
                <w:sz w:val="20"/>
              </w:rPr>
              <w:br/>
            </w:r>
            <w:r w:rsidRPr="00CC6553">
              <w:rPr>
                <w:rFonts w:cs="Arial"/>
                <w:color w:val="000000" w:themeColor="text1"/>
                <w:sz w:val="20"/>
              </w:rPr>
              <w:br/>
              <w:t>Please consider similar changes to the Core Figure.</w:t>
            </w:r>
          </w:p>
        </w:tc>
        <w:tc>
          <w:tcPr>
            <w:tcW w:w="2122" w:type="pct"/>
          </w:tcPr>
          <w:p w14:paraId="04A2E913" w14:textId="1D65DE76"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lastRenderedPageBreak/>
              <w:t xml:space="preserve">Thank you for your comment.  The evidence for this recommendation can be found in section 6.2.6 </w:t>
            </w:r>
            <w:hyperlink r:id="rId27" w:history="1">
              <w:r w:rsidRPr="00CC6553">
                <w:rPr>
                  <w:rStyle w:val="Hyperlink"/>
                  <w:rFonts w:cs="Arial"/>
                  <w:b w:val="0"/>
                  <w:color w:val="000000" w:themeColor="text1"/>
                  <w:sz w:val="20"/>
                </w:rPr>
                <w:t>NG106 Full guideline</w:t>
              </w:r>
            </w:hyperlink>
            <w:r w:rsidRPr="00CC6553">
              <w:rPr>
                <w:rFonts w:cs="Arial"/>
                <w:b w:val="0"/>
                <w:color w:val="000000" w:themeColor="text1"/>
                <w:sz w:val="20"/>
              </w:rPr>
              <w:t>.  The scope of this update was the pharmacological management of chronic heart failure https://www.nice.org.uk/guidance/gid</w:t>
            </w:r>
            <w:r w:rsidRPr="00CC6553">
              <w:rPr>
                <w:rFonts w:cs="Arial"/>
                <w:b w:val="0"/>
                <w:color w:val="000000" w:themeColor="text1"/>
                <w:sz w:val="20"/>
              </w:rPr>
              <w:lastRenderedPageBreak/>
              <w:t>-ng10405/documents/final-scope and the committee is therefore only able to make editorial changes or minimal changes for consistency or clarification to recommendations on areas outside of this. The recommendation has been edited to refer to lower starting doses as suggested.</w:t>
            </w:r>
          </w:p>
        </w:tc>
      </w:tr>
      <w:tr w:rsidR="00897293" w:rsidRPr="00CC6553" w14:paraId="59115E6D" w14:textId="77777777" w:rsidTr="00897293">
        <w:trPr>
          <w:trHeight w:val="300"/>
        </w:trPr>
        <w:tc>
          <w:tcPr>
            <w:tcW w:w="109" w:type="pct"/>
          </w:tcPr>
          <w:p w14:paraId="01D88C7F"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161</w:t>
            </w:r>
          </w:p>
        </w:tc>
        <w:tc>
          <w:tcPr>
            <w:tcW w:w="143" w:type="pct"/>
          </w:tcPr>
          <w:p w14:paraId="6B92A001" w14:textId="20CD862A"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73112539" w14:textId="07A0CDDB"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73CDEAF9" w14:textId="3F0600CF"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3DBC489F" w14:textId="6459CC28" w:rsidR="00897293" w:rsidRPr="00CC6553" w:rsidRDefault="00897293" w:rsidP="00B234F1">
            <w:pPr>
              <w:rPr>
                <w:rFonts w:cs="Arial"/>
                <w:color w:val="000000" w:themeColor="text1"/>
                <w:sz w:val="20"/>
              </w:rPr>
            </w:pPr>
            <w:r w:rsidRPr="00CC6553">
              <w:rPr>
                <w:rFonts w:cs="Arial"/>
                <w:color w:val="000000" w:themeColor="text1"/>
                <w:sz w:val="20"/>
              </w:rPr>
              <w:t>014</w:t>
            </w:r>
          </w:p>
        </w:tc>
        <w:tc>
          <w:tcPr>
            <w:tcW w:w="214" w:type="pct"/>
          </w:tcPr>
          <w:p w14:paraId="7B3AC078" w14:textId="63F9F4E5" w:rsidR="00897293" w:rsidRPr="00CC6553" w:rsidRDefault="00897293" w:rsidP="00B234F1">
            <w:pPr>
              <w:rPr>
                <w:rFonts w:cs="Arial"/>
                <w:color w:val="000000" w:themeColor="text1"/>
                <w:sz w:val="20"/>
              </w:rPr>
            </w:pPr>
            <w:r w:rsidRPr="00CC6553">
              <w:rPr>
                <w:rFonts w:cs="Arial"/>
                <w:color w:val="000000" w:themeColor="text1"/>
                <w:sz w:val="20"/>
              </w:rPr>
              <w:t>013</w:t>
            </w:r>
          </w:p>
        </w:tc>
        <w:tc>
          <w:tcPr>
            <w:tcW w:w="1521" w:type="pct"/>
          </w:tcPr>
          <w:p w14:paraId="17F6AB17" w14:textId="0734D148" w:rsidR="00897293" w:rsidRPr="00CC6553" w:rsidRDefault="00897293" w:rsidP="00B234F1">
            <w:pPr>
              <w:rPr>
                <w:rFonts w:cs="Arial"/>
                <w:color w:val="000000" w:themeColor="text1"/>
                <w:sz w:val="20"/>
              </w:rPr>
            </w:pPr>
            <w:r w:rsidRPr="00CC6553">
              <w:rPr>
                <w:rFonts w:cs="Arial"/>
                <w:color w:val="000000" w:themeColor="text1"/>
                <w:sz w:val="20"/>
              </w:rPr>
              <w:t xml:space="preserve">Although the section is greyed out, it has been updated for the 2025 guideline, so it is invalid to refuse comments. </w:t>
            </w:r>
            <w:r w:rsidRPr="00CC6553">
              <w:rPr>
                <w:rFonts w:cs="Arial"/>
                <w:color w:val="000000" w:themeColor="text1"/>
                <w:sz w:val="20"/>
              </w:rPr>
              <w:br/>
              <w:t xml:space="preserve">1.6.1 If the person’s eGFR is 45 ml per minute per 1.73 m2 or less, consider lower doses or smaller dose increments of the medicine combinations covered by recommendations 1.4.1, 1.4.3, 1.4.4, 1.5.1, 1.5.2 and 1.5.3. [2018, amended 2025] </w:t>
            </w:r>
            <w:r w:rsidRPr="00CC6553">
              <w:rPr>
                <w:rFonts w:cs="Arial"/>
                <w:color w:val="000000" w:themeColor="text1"/>
                <w:sz w:val="20"/>
              </w:rPr>
              <w:br/>
              <w:t>This recommendation lacks evidence and will result in under-treatment for heart failure patients who are most at risk and most likely to benefit from these medications. ACE-/ARB and finerenone are now foundation guideline recommended therapy to prevent progression of CKD with albuminuria. (The PARADIGM trial also showed the beneficial effect of ARNI in slowing CKD progression.) The recommendation should be changed to</w:t>
            </w:r>
            <w:r w:rsidRPr="00CC6553">
              <w:rPr>
                <w:rFonts w:cs="Arial"/>
                <w:color w:val="000000" w:themeColor="text1"/>
                <w:sz w:val="20"/>
              </w:rPr>
              <w:br/>
              <w:t xml:space="preserve">1.6.1 If the person’s eGFR is 45 ml per minute per 1.73 m2 or less, offer the medicine combinations covered by recommendations 1.4.1, 1.4.3, 1.4.4, 1.5.1, 1.5.2 and 1.5.3., but ensure frequent and regular monitoring during initiation and uptitration. [2018, amended 2025] </w:t>
            </w:r>
            <w:r w:rsidRPr="00CC6553">
              <w:rPr>
                <w:rFonts w:cs="Arial"/>
                <w:color w:val="000000" w:themeColor="text1"/>
                <w:sz w:val="20"/>
              </w:rPr>
              <w:br/>
            </w:r>
            <w:r w:rsidRPr="00CC6553">
              <w:rPr>
                <w:rFonts w:cs="Arial"/>
                <w:color w:val="000000" w:themeColor="text1"/>
                <w:sz w:val="20"/>
              </w:rPr>
              <w:br/>
              <w:t>Please note the evidence from the trials below:</w:t>
            </w:r>
            <w:r w:rsidRPr="00CC6553">
              <w:rPr>
                <w:rFonts w:cs="Arial"/>
                <w:color w:val="000000" w:themeColor="text1"/>
                <w:sz w:val="20"/>
              </w:rPr>
              <w:br/>
              <w:t xml:space="preserve">Benazepril for Advanced Chronic Renal Insufficiency trial (Hou FF, Zhang X, </w:t>
            </w:r>
            <w:r w:rsidRPr="00CC6553">
              <w:rPr>
                <w:rFonts w:cs="Arial"/>
                <w:color w:val="000000" w:themeColor="text1"/>
                <w:sz w:val="20"/>
              </w:rPr>
              <w:lastRenderedPageBreak/>
              <w:t>Zhang GH, Xie D, Chen PY, Zhang WR, Jiang JP, Liang M, Wang GB, Liu ZR, Geng RW. Efficacy and safety of benazepril for advanced chronic renal insufficiency. N Engl J Med. 2006 Jan 12;354(2):131-40. doi: 10.1056/NEJMoa053107. PMID: 16407508.) showed that the ACE- reduced doubling of creatinine/ESRF by 43% compared to placebo in advanced CKD, and the STOP-ACE trial (Bhandari S, Mehta S, Khwaja A, Cleland JGF, Ives N, Brettell E, Chadburn M, Cockwell P; STOP ACEi Trial Investigators. Renin-Angiotensin System Inhibition in Advanced Chronic Kidney Disease. N Engl J Med. 2022 Dec 1;387(22):2021-2032. doi: 10.1056/NEJMoa2210639. Epub 2022 Nov 3. PMID: 36326117.) showed that in pts with CKD4/5, stopping ACE- resulted in a numerically higher risk of ESRF.</w:t>
            </w:r>
          </w:p>
        </w:tc>
        <w:tc>
          <w:tcPr>
            <w:tcW w:w="2122" w:type="pct"/>
          </w:tcPr>
          <w:p w14:paraId="6D0E4F9E" w14:textId="455D5053"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lastRenderedPageBreak/>
              <w:t xml:space="preserve">Thank you for your comment.  The evidence for this recommendation can be found in section 6.2.6 </w:t>
            </w:r>
            <w:hyperlink r:id="rId28" w:history="1">
              <w:r w:rsidRPr="00CC6553">
                <w:rPr>
                  <w:rStyle w:val="Hyperlink"/>
                  <w:rFonts w:cs="Arial"/>
                  <w:b w:val="0"/>
                  <w:color w:val="000000" w:themeColor="text1"/>
                  <w:sz w:val="20"/>
                </w:rPr>
                <w:t>NG106 Full guideline</w:t>
              </w:r>
            </w:hyperlink>
            <w:r w:rsidRPr="00CC6553">
              <w:rPr>
                <w:rFonts w:cs="Arial"/>
                <w:b w:val="0"/>
                <w:color w:val="000000" w:themeColor="text1"/>
                <w:sz w:val="20"/>
              </w:rPr>
              <w:t>.  The scope of this update was the pharmacological management of chronic heart failure https://www.nice.org.uk/guidance/gid-ng10405/documents/final-scope and the committee is therefore only able to make editorial changes or minimal changes for consistency or clarification to recommendations on areas outside of this. The recommendation has been edited to refer to lower starting doses.</w:t>
            </w:r>
          </w:p>
        </w:tc>
      </w:tr>
      <w:tr w:rsidR="00897293" w:rsidRPr="00CC6553" w14:paraId="0533E1F6" w14:textId="77777777" w:rsidTr="00897293">
        <w:trPr>
          <w:trHeight w:val="300"/>
        </w:trPr>
        <w:tc>
          <w:tcPr>
            <w:tcW w:w="109" w:type="pct"/>
          </w:tcPr>
          <w:p w14:paraId="0A606985" w14:textId="77777777" w:rsidR="00897293" w:rsidRPr="00CC6553" w:rsidRDefault="00897293" w:rsidP="00B234F1">
            <w:pPr>
              <w:rPr>
                <w:rFonts w:cs="Arial"/>
                <w:color w:val="000000" w:themeColor="text1"/>
                <w:sz w:val="20"/>
              </w:rPr>
            </w:pPr>
            <w:r w:rsidRPr="00CC6553">
              <w:rPr>
                <w:rFonts w:cs="Arial"/>
                <w:color w:val="000000" w:themeColor="text1"/>
                <w:sz w:val="20"/>
              </w:rPr>
              <w:t>162</w:t>
            </w:r>
          </w:p>
        </w:tc>
        <w:tc>
          <w:tcPr>
            <w:tcW w:w="143" w:type="pct"/>
          </w:tcPr>
          <w:p w14:paraId="2FBCD8B4" w14:textId="104D73B4"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7AD22C81" w14:textId="065C6AE1"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6C025D20" w14:textId="227CECD7"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31BB9607" w14:textId="2D96C94D" w:rsidR="00897293" w:rsidRPr="00CC6553" w:rsidRDefault="00897293" w:rsidP="00B234F1">
            <w:pPr>
              <w:rPr>
                <w:rFonts w:cs="Arial"/>
                <w:color w:val="000000" w:themeColor="text1"/>
                <w:sz w:val="20"/>
              </w:rPr>
            </w:pPr>
            <w:r w:rsidRPr="00CC6553">
              <w:rPr>
                <w:rFonts w:cs="Arial"/>
                <w:color w:val="000000" w:themeColor="text1"/>
                <w:sz w:val="20"/>
              </w:rPr>
              <w:t>014</w:t>
            </w:r>
          </w:p>
        </w:tc>
        <w:tc>
          <w:tcPr>
            <w:tcW w:w="214" w:type="pct"/>
          </w:tcPr>
          <w:p w14:paraId="047758B2" w14:textId="0CB5569C" w:rsidR="00897293" w:rsidRPr="00CC6553" w:rsidRDefault="00897293" w:rsidP="00B234F1">
            <w:pPr>
              <w:rPr>
                <w:rFonts w:cs="Arial"/>
                <w:color w:val="000000" w:themeColor="text1"/>
                <w:sz w:val="20"/>
              </w:rPr>
            </w:pPr>
            <w:r w:rsidRPr="00CC6553">
              <w:rPr>
                <w:rFonts w:cs="Arial"/>
                <w:color w:val="000000" w:themeColor="text1"/>
                <w:sz w:val="20"/>
              </w:rPr>
              <w:t>013</w:t>
            </w:r>
          </w:p>
        </w:tc>
        <w:tc>
          <w:tcPr>
            <w:tcW w:w="1521" w:type="pct"/>
          </w:tcPr>
          <w:p w14:paraId="71926972" w14:textId="23C844AA" w:rsidR="00897293" w:rsidRPr="00CC6553" w:rsidRDefault="00897293" w:rsidP="00B234F1">
            <w:pPr>
              <w:rPr>
                <w:rFonts w:cs="Arial"/>
                <w:color w:val="000000" w:themeColor="text1"/>
                <w:sz w:val="20"/>
              </w:rPr>
            </w:pPr>
            <w:r w:rsidRPr="00CC6553">
              <w:rPr>
                <w:rFonts w:cs="Arial"/>
                <w:color w:val="000000" w:themeColor="text1"/>
                <w:sz w:val="20"/>
              </w:rPr>
              <w:t>This recommendation  is dangerous as it is not supported by evidence and will directly lead to lack of prescribing or under-prescribing of this prognostically beneficial classes of medication (such as ACE-/ARB and finerenone are now foundation guideline recommended therapy to retard progression of CKD with albuminuria. (The PARADIGM trial also showed the beneficial effect of ARNI in slowing CKD progression.)</w:t>
            </w:r>
          </w:p>
        </w:tc>
        <w:tc>
          <w:tcPr>
            <w:tcW w:w="2122" w:type="pct"/>
          </w:tcPr>
          <w:p w14:paraId="77A1B4E9" w14:textId="77777777" w:rsidR="00897293" w:rsidRDefault="00897293" w:rsidP="00ED5869">
            <w:pPr>
              <w:pStyle w:val="Heading1"/>
              <w:rPr>
                <w:rFonts w:cs="Arial"/>
                <w:b w:val="0"/>
                <w:bCs w:val="0"/>
                <w:color w:val="000000" w:themeColor="text1"/>
                <w:sz w:val="20"/>
              </w:rPr>
            </w:pPr>
            <w:r w:rsidRPr="00CC6553">
              <w:rPr>
                <w:rFonts w:cs="Arial"/>
                <w:b w:val="0"/>
                <w:color w:val="000000" w:themeColor="text1"/>
                <w:sz w:val="20"/>
              </w:rPr>
              <w:t xml:space="preserve">Thank you for your comment.  The evidence for this recommendation can be found in section 6.2.6 </w:t>
            </w:r>
            <w:hyperlink r:id="rId29">
              <w:r w:rsidRPr="00CC6553">
                <w:rPr>
                  <w:b w:val="0"/>
                  <w:color w:val="000000" w:themeColor="text1"/>
                  <w:u w:val="single"/>
                </w:rPr>
                <w:t>NG106 Full guideline</w:t>
              </w:r>
            </w:hyperlink>
            <w:r w:rsidRPr="00CC6553">
              <w:rPr>
                <w:rFonts w:cs="Arial"/>
                <w:b w:val="0"/>
                <w:color w:val="000000" w:themeColor="text1"/>
                <w:sz w:val="20"/>
              </w:rPr>
              <w:t>.  The scope of this update was the pharmacological management of chronic heart failure https://www.nice.org.uk/guidance/gid-ng10405/documents/final-scope and the committee is therefore only able to make editorial changes or minimal changes for consistency or clarification to recommendations on areas outside of this. The recommendation has been edited to refer to lower starting doses.</w:t>
            </w:r>
            <w:r w:rsidRPr="6763097B">
              <w:rPr>
                <w:rFonts w:cs="Arial"/>
                <w:b w:val="0"/>
                <w:color w:val="000000" w:themeColor="text1"/>
                <w:sz w:val="20"/>
              </w:rPr>
              <w:t xml:space="preserve">  </w:t>
            </w:r>
          </w:p>
          <w:p w14:paraId="20DAF869" w14:textId="77777777" w:rsidR="00897293" w:rsidRDefault="00897293" w:rsidP="009E78A4"/>
          <w:p w14:paraId="18E430E1" w14:textId="703266AB" w:rsidR="00897293" w:rsidRPr="009B3C47" w:rsidRDefault="00897293" w:rsidP="009B3C47">
            <w:pPr>
              <w:rPr>
                <w:b/>
              </w:rPr>
            </w:pPr>
            <w:r w:rsidRPr="6763097B">
              <w:rPr>
                <w:rFonts w:cs="Arial"/>
                <w:color w:val="FF0000"/>
                <w:sz w:val="20"/>
              </w:rPr>
              <w:t xml:space="preserve">We will pass your comment to the NICE surveillance team which </w:t>
            </w:r>
            <w:r w:rsidRPr="6763097B">
              <w:rPr>
                <w:rFonts w:cs="Arial"/>
                <w:color w:val="FF0000"/>
                <w:sz w:val="20"/>
              </w:rPr>
              <w:lastRenderedPageBreak/>
              <w:t>monitor key events relevant to the guideline</w:t>
            </w:r>
          </w:p>
        </w:tc>
      </w:tr>
      <w:tr w:rsidR="00897293" w:rsidRPr="00CC6553" w14:paraId="317BE952" w14:textId="77777777" w:rsidTr="00897293">
        <w:trPr>
          <w:trHeight w:val="300"/>
        </w:trPr>
        <w:tc>
          <w:tcPr>
            <w:tcW w:w="109" w:type="pct"/>
          </w:tcPr>
          <w:p w14:paraId="32705304"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163</w:t>
            </w:r>
          </w:p>
        </w:tc>
        <w:tc>
          <w:tcPr>
            <w:tcW w:w="143" w:type="pct"/>
          </w:tcPr>
          <w:p w14:paraId="1A2D8038" w14:textId="54FEE4C1"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5E9CADEC" w14:textId="519AA664"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3BC91ECF" w14:textId="34EE21D8"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2DAFD081" w14:textId="2E953B4E" w:rsidR="00897293" w:rsidRPr="00CC6553" w:rsidRDefault="00897293" w:rsidP="00B234F1">
            <w:pPr>
              <w:rPr>
                <w:rFonts w:cs="Arial"/>
                <w:color w:val="000000" w:themeColor="text1"/>
                <w:sz w:val="20"/>
              </w:rPr>
            </w:pPr>
            <w:r w:rsidRPr="00CC6553">
              <w:rPr>
                <w:rFonts w:cs="Arial"/>
                <w:color w:val="000000" w:themeColor="text1"/>
                <w:sz w:val="20"/>
              </w:rPr>
              <w:t>014</w:t>
            </w:r>
          </w:p>
        </w:tc>
        <w:tc>
          <w:tcPr>
            <w:tcW w:w="214" w:type="pct"/>
          </w:tcPr>
          <w:p w14:paraId="4CDEAE84" w14:textId="2E10DF07" w:rsidR="00897293" w:rsidRPr="00CC6553" w:rsidRDefault="00897293" w:rsidP="00B234F1">
            <w:pPr>
              <w:rPr>
                <w:rFonts w:cs="Arial"/>
                <w:color w:val="000000" w:themeColor="text1"/>
                <w:sz w:val="20"/>
              </w:rPr>
            </w:pPr>
            <w:r w:rsidRPr="00CC6553">
              <w:rPr>
                <w:rFonts w:cs="Arial"/>
                <w:color w:val="000000" w:themeColor="text1"/>
                <w:sz w:val="20"/>
              </w:rPr>
              <w:t>013</w:t>
            </w:r>
          </w:p>
        </w:tc>
        <w:tc>
          <w:tcPr>
            <w:tcW w:w="1521" w:type="pct"/>
          </w:tcPr>
          <w:p w14:paraId="15D9ED00" w14:textId="5848D227" w:rsidR="00897293" w:rsidRPr="00CC6553" w:rsidRDefault="00897293" w:rsidP="00B234F1">
            <w:pPr>
              <w:rPr>
                <w:rFonts w:cs="Arial"/>
                <w:color w:val="000000" w:themeColor="text1"/>
                <w:sz w:val="20"/>
              </w:rPr>
            </w:pPr>
            <w:r w:rsidRPr="00CC6553">
              <w:rPr>
                <w:rFonts w:cs="Arial"/>
                <w:color w:val="000000" w:themeColor="text1"/>
                <w:sz w:val="20"/>
              </w:rPr>
              <w:t>If the person’s eGFR is 45 ml per minute per 1.73 m2 or less, offer the medicine combinations covered by recommendations 1.4.1, 1.4.3, 1.4.4, 1.5.1, 1.5.2 and 1.5.3.however it is also important to ensure  regular monitoring of renal function during initiation and uptitration and consider seeking the advice/consensus of a kidney specialist. [2018, amended 2025]</w:t>
            </w:r>
          </w:p>
        </w:tc>
        <w:tc>
          <w:tcPr>
            <w:tcW w:w="2122" w:type="pct"/>
          </w:tcPr>
          <w:p w14:paraId="6465D3D1" w14:textId="17A64E8D"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Monitoring renal function is covered by other recommendations in section 1.7 including when starting treatment and after each dose increment.</w:t>
            </w:r>
          </w:p>
        </w:tc>
      </w:tr>
      <w:tr w:rsidR="00897293" w:rsidRPr="00CC6553" w14:paraId="41BD89C9" w14:textId="77777777" w:rsidTr="00897293">
        <w:trPr>
          <w:trHeight w:val="300"/>
        </w:trPr>
        <w:tc>
          <w:tcPr>
            <w:tcW w:w="109" w:type="pct"/>
          </w:tcPr>
          <w:p w14:paraId="79B2B3F2" w14:textId="77777777" w:rsidR="00897293" w:rsidRPr="00CC6553" w:rsidRDefault="00897293" w:rsidP="00B234F1">
            <w:pPr>
              <w:rPr>
                <w:rFonts w:cs="Arial"/>
                <w:color w:val="000000" w:themeColor="text1"/>
                <w:sz w:val="20"/>
              </w:rPr>
            </w:pPr>
            <w:r w:rsidRPr="00CC6553">
              <w:rPr>
                <w:rFonts w:cs="Arial"/>
                <w:color w:val="000000" w:themeColor="text1"/>
                <w:sz w:val="20"/>
              </w:rPr>
              <w:t>164</w:t>
            </w:r>
          </w:p>
        </w:tc>
        <w:tc>
          <w:tcPr>
            <w:tcW w:w="143" w:type="pct"/>
          </w:tcPr>
          <w:p w14:paraId="57AE3DDA" w14:textId="7CB30E5C"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5287C69C" w14:textId="7C3AEAB6" w:rsidR="00897293" w:rsidRPr="00CC6553" w:rsidRDefault="00897293" w:rsidP="00B234F1">
            <w:pPr>
              <w:rPr>
                <w:rFonts w:cs="Arial"/>
                <w:bCs/>
                <w:iCs/>
                <w:color w:val="000000" w:themeColor="text1"/>
                <w:sz w:val="20"/>
              </w:rPr>
            </w:pPr>
            <w:r w:rsidRPr="00CC6553">
              <w:rPr>
                <w:rFonts w:cs="Arial"/>
                <w:color w:val="000000" w:themeColor="text1"/>
                <w:sz w:val="20"/>
              </w:rPr>
              <w:t>British Association for Nursing in Cardiovascular Care (BANCC)</w:t>
            </w:r>
          </w:p>
        </w:tc>
        <w:tc>
          <w:tcPr>
            <w:tcW w:w="279" w:type="pct"/>
          </w:tcPr>
          <w:p w14:paraId="3DDB3686" w14:textId="7B4B3BBA"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1DC78315" w14:textId="103F5944" w:rsidR="00897293" w:rsidRPr="00CC6553" w:rsidRDefault="00897293" w:rsidP="00B234F1">
            <w:pPr>
              <w:rPr>
                <w:rFonts w:cs="Arial"/>
                <w:color w:val="000000" w:themeColor="text1"/>
                <w:sz w:val="20"/>
              </w:rPr>
            </w:pPr>
            <w:r w:rsidRPr="00CC6553">
              <w:rPr>
                <w:rFonts w:cs="Arial"/>
                <w:color w:val="000000" w:themeColor="text1"/>
                <w:sz w:val="20"/>
              </w:rPr>
              <w:t>014</w:t>
            </w:r>
          </w:p>
        </w:tc>
        <w:tc>
          <w:tcPr>
            <w:tcW w:w="214" w:type="pct"/>
          </w:tcPr>
          <w:p w14:paraId="09FC6C49" w14:textId="69504192" w:rsidR="00897293" w:rsidRPr="00CC6553" w:rsidRDefault="00897293" w:rsidP="00B234F1">
            <w:pPr>
              <w:rPr>
                <w:rFonts w:cs="Arial"/>
                <w:color w:val="000000" w:themeColor="text1"/>
                <w:sz w:val="20"/>
              </w:rPr>
            </w:pPr>
            <w:r w:rsidRPr="00CC6553">
              <w:rPr>
                <w:rFonts w:cs="Arial"/>
                <w:color w:val="000000" w:themeColor="text1"/>
                <w:sz w:val="20"/>
              </w:rPr>
              <w:t>013</w:t>
            </w:r>
          </w:p>
        </w:tc>
        <w:tc>
          <w:tcPr>
            <w:tcW w:w="1521" w:type="pct"/>
          </w:tcPr>
          <w:p w14:paraId="33D2F414" w14:textId="4EE1F439" w:rsidR="00897293" w:rsidRPr="00CC6553" w:rsidRDefault="00897293" w:rsidP="00B234F1">
            <w:pPr>
              <w:rPr>
                <w:rFonts w:cs="Arial"/>
                <w:color w:val="000000" w:themeColor="text1"/>
                <w:sz w:val="20"/>
              </w:rPr>
            </w:pPr>
            <w:r w:rsidRPr="00CC6553">
              <w:rPr>
                <w:rFonts w:cs="Arial"/>
                <w:color w:val="000000" w:themeColor="text1"/>
                <w:sz w:val="20"/>
              </w:rPr>
              <w:t xml:space="preserve">This recommendation lacks evidence and will result in under-treatment for heart failure patients who are most at risk and most likely to benefit from these medications. ACE-/ARB and finerenone are now foundation guideline recommended therapy to prevent progression of CKD with albuminuria. (The PARADIGM trial also showed the beneficial effect of ARNI in slowing CKD progression.) </w:t>
            </w:r>
            <w:r w:rsidRPr="00CC6553">
              <w:rPr>
                <w:rFonts w:cs="Arial"/>
                <w:color w:val="000000" w:themeColor="text1"/>
                <w:sz w:val="20"/>
              </w:rPr>
              <w:br/>
              <w:t>Benazepril for Advanced Chronic Renal Insufficiency trial Hou FF, Zhang X, Zhang GH, Xie D, Chen PY, Zhang WR, Jiang JP, Liang M, Wang GB, Liu ZR, Geng RW. Efficacy and safety of benazepril for advanced chronic renal insufficiency. N Engl J Med. 2006 Jan 12;354(2):131-40. doi: 10.1056/NEJMoa053107. PMID: 16407508 showed that the ACE- reduced doubling of creatinine/ESRF by 43% compared to placebo in advanced CKD.</w:t>
            </w:r>
            <w:r w:rsidRPr="00CC6553">
              <w:rPr>
                <w:rFonts w:cs="Arial"/>
                <w:color w:val="000000" w:themeColor="text1"/>
                <w:sz w:val="20"/>
              </w:rPr>
              <w:br/>
              <w:t>The STOP-ACE trial- Bhandari S, Mehta S, Khwaja A, Cleland JGF, Ives N, Brettell E, Chadburn M, Cockwell P; STOP ACEi Trial Investigators. Renin-Angiotensin System Inhibition in Advanced Chronic Kidney Disease. N Engl J Med. 2022 Dec 1;387(22):2021-2032. doi: 10.1056/NEJMoa2210639. Epub 2022 Nov 3. PMID: 36326117.) showed that in pts with CKD4/5, stopping ACE- resulted in a numerically higher risk of ESRF.</w:t>
            </w:r>
            <w:r w:rsidRPr="00CC6553">
              <w:rPr>
                <w:rFonts w:cs="Arial"/>
                <w:color w:val="000000" w:themeColor="text1"/>
                <w:sz w:val="20"/>
              </w:rPr>
              <w:br/>
              <w:t>The recommendation should be changed to</w:t>
            </w:r>
            <w:r w:rsidRPr="00CC6553">
              <w:rPr>
                <w:rFonts w:cs="Arial"/>
                <w:color w:val="000000" w:themeColor="text1"/>
                <w:sz w:val="20"/>
              </w:rPr>
              <w:br/>
              <w:t>1.6.1 If the person’s eGFR is 45 ml per minute per 1.73 m2 or less, offer the medicine combinations covered by recommendations 1.4.1, 1.4.3, 1.4.4, 1.5.1, 1.5.2 and 1.5.3., but ensure frequent and regular monitoring during initiation and uptitration. [2018, amended 2025]</w:t>
            </w:r>
          </w:p>
        </w:tc>
        <w:tc>
          <w:tcPr>
            <w:tcW w:w="2122" w:type="pct"/>
          </w:tcPr>
          <w:p w14:paraId="3EEA68A6" w14:textId="3D384EE2"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Thank you for your comment.  The evidence for this recommendation can be found in section 6.2.6 </w:t>
            </w:r>
            <w:hyperlink r:id="rId30">
              <w:r w:rsidRPr="6763097B">
                <w:rPr>
                  <w:b w:val="0"/>
                  <w:bCs w:val="0"/>
                  <w:color w:val="000000" w:themeColor="text1"/>
                  <w:u w:val="single"/>
                </w:rPr>
                <w:t>NG106 Full guideline</w:t>
              </w:r>
            </w:hyperlink>
            <w:r w:rsidRPr="6763097B">
              <w:rPr>
                <w:rFonts w:cs="Arial"/>
                <w:b w:val="0"/>
                <w:bCs w:val="0"/>
                <w:color w:val="000000" w:themeColor="text1"/>
                <w:sz w:val="20"/>
              </w:rPr>
              <w:t>.</w:t>
            </w:r>
            <w:r w:rsidRPr="00CC6553">
              <w:rPr>
                <w:rFonts w:cs="Arial"/>
                <w:b w:val="0"/>
                <w:color w:val="000000" w:themeColor="text1"/>
                <w:sz w:val="20"/>
              </w:rPr>
              <w:t xml:space="preserve">  The scope of this update was the pharmacological management of chronic heart failure https://www.nice.org.uk/guidance/gid-ng10405/documents/final-scope and the committee is therefore only able to make editorial changes or minimal changes for consistency or clarification to recommendations on areas outside of this. The recommendation has been edited to refer to lower starting doses.</w:t>
            </w:r>
            <w:r w:rsidRPr="6763097B">
              <w:rPr>
                <w:rFonts w:cs="Arial"/>
                <w:b w:val="0"/>
                <w:bCs w:val="0"/>
                <w:color w:val="000000" w:themeColor="text1"/>
                <w:sz w:val="20"/>
              </w:rPr>
              <w:t xml:space="preserve">  We will pass your comment to the NICE surveillance team which monitor key events relevant to the guideline</w:t>
            </w:r>
          </w:p>
        </w:tc>
      </w:tr>
      <w:tr w:rsidR="00897293" w:rsidRPr="00CC6553" w14:paraId="10C478CF" w14:textId="77777777" w:rsidTr="00897293">
        <w:trPr>
          <w:trHeight w:val="300"/>
        </w:trPr>
        <w:tc>
          <w:tcPr>
            <w:tcW w:w="109" w:type="pct"/>
          </w:tcPr>
          <w:p w14:paraId="1F5BC9ED" w14:textId="77777777" w:rsidR="00897293" w:rsidRPr="00CC6553" w:rsidRDefault="00897293" w:rsidP="00B234F1">
            <w:pPr>
              <w:rPr>
                <w:rFonts w:cs="Arial"/>
                <w:color w:val="000000" w:themeColor="text1"/>
                <w:sz w:val="20"/>
              </w:rPr>
            </w:pPr>
            <w:r w:rsidRPr="00CC6553">
              <w:rPr>
                <w:rFonts w:cs="Arial"/>
                <w:color w:val="000000" w:themeColor="text1"/>
                <w:sz w:val="20"/>
              </w:rPr>
              <w:t>165</w:t>
            </w:r>
          </w:p>
        </w:tc>
        <w:tc>
          <w:tcPr>
            <w:tcW w:w="143" w:type="pct"/>
          </w:tcPr>
          <w:p w14:paraId="1F5E3DC6" w14:textId="0E28BBC0"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7D74A300" w14:textId="4BB76035" w:rsidR="00897293" w:rsidRPr="00CC6553" w:rsidRDefault="00897293" w:rsidP="00B234F1">
            <w:pPr>
              <w:rPr>
                <w:rFonts w:cs="Arial"/>
                <w:bCs/>
                <w:iCs/>
                <w:color w:val="000000" w:themeColor="text1"/>
                <w:sz w:val="20"/>
              </w:rPr>
            </w:pPr>
            <w:r w:rsidRPr="00CC6553">
              <w:rPr>
                <w:rFonts w:cs="Arial"/>
                <w:color w:val="000000" w:themeColor="text1"/>
                <w:sz w:val="20"/>
              </w:rPr>
              <w:t xml:space="preserve">British Association </w:t>
            </w:r>
            <w:r w:rsidRPr="00CC6553">
              <w:rPr>
                <w:rFonts w:cs="Arial"/>
                <w:color w:val="000000" w:themeColor="text1"/>
                <w:sz w:val="20"/>
              </w:rPr>
              <w:lastRenderedPageBreak/>
              <w:t>for Nursing in Cardiovascular Care (BANCC)</w:t>
            </w:r>
          </w:p>
        </w:tc>
        <w:tc>
          <w:tcPr>
            <w:tcW w:w="279" w:type="pct"/>
          </w:tcPr>
          <w:p w14:paraId="7E9E418A" w14:textId="54F2B894" w:rsidR="00897293" w:rsidRPr="00CC6553" w:rsidRDefault="00897293" w:rsidP="00B234F1">
            <w:pPr>
              <w:rPr>
                <w:rFonts w:cs="Arial"/>
                <w:color w:val="000000" w:themeColor="text1"/>
                <w:sz w:val="20"/>
              </w:rPr>
            </w:pPr>
            <w:r w:rsidRPr="00CC6553">
              <w:rPr>
                <w:rFonts w:cs="Arial"/>
                <w:color w:val="000000" w:themeColor="text1"/>
                <w:sz w:val="20"/>
              </w:rPr>
              <w:lastRenderedPageBreak/>
              <w:t>Guideline</w:t>
            </w:r>
          </w:p>
        </w:tc>
        <w:tc>
          <w:tcPr>
            <w:tcW w:w="214" w:type="pct"/>
          </w:tcPr>
          <w:p w14:paraId="184545CB" w14:textId="7E9FF21C" w:rsidR="00897293" w:rsidRPr="00CC6553" w:rsidRDefault="00897293" w:rsidP="00B234F1">
            <w:pPr>
              <w:rPr>
                <w:rFonts w:cs="Arial"/>
                <w:color w:val="000000" w:themeColor="text1"/>
                <w:sz w:val="20"/>
              </w:rPr>
            </w:pPr>
            <w:r w:rsidRPr="00CC6553">
              <w:rPr>
                <w:rFonts w:cs="Arial"/>
                <w:color w:val="000000" w:themeColor="text1"/>
                <w:sz w:val="20"/>
              </w:rPr>
              <w:t>014</w:t>
            </w:r>
          </w:p>
        </w:tc>
        <w:tc>
          <w:tcPr>
            <w:tcW w:w="214" w:type="pct"/>
          </w:tcPr>
          <w:p w14:paraId="34933D8F" w14:textId="59180F09" w:rsidR="00897293" w:rsidRPr="00CC6553" w:rsidRDefault="00897293" w:rsidP="00B234F1">
            <w:pPr>
              <w:rPr>
                <w:rFonts w:cs="Arial"/>
                <w:color w:val="000000" w:themeColor="text1"/>
                <w:sz w:val="20"/>
              </w:rPr>
            </w:pPr>
            <w:r w:rsidRPr="00CC6553">
              <w:rPr>
                <w:rFonts w:cs="Arial"/>
                <w:color w:val="000000" w:themeColor="text1"/>
                <w:sz w:val="20"/>
              </w:rPr>
              <w:t>013</w:t>
            </w:r>
          </w:p>
        </w:tc>
        <w:tc>
          <w:tcPr>
            <w:tcW w:w="1521" w:type="pct"/>
          </w:tcPr>
          <w:p w14:paraId="0FAD755D" w14:textId="0B05B7A5" w:rsidR="00897293" w:rsidRPr="00CC6553" w:rsidRDefault="00897293" w:rsidP="00B234F1">
            <w:pPr>
              <w:rPr>
                <w:rFonts w:cs="Arial"/>
                <w:color w:val="000000" w:themeColor="text1"/>
                <w:sz w:val="20"/>
              </w:rPr>
            </w:pPr>
            <w:r w:rsidRPr="00CC6553">
              <w:rPr>
                <w:rFonts w:cs="Arial"/>
                <w:color w:val="000000" w:themeColor="text1"/>
                <w:sz w:val="20"/>
              </w:rPr>
              <w:t xml:space="preserve">This recommendation is dangerous as it is not supported by evidence and will directly lead to lack of prescribing or under-prescribing of this prognostically </w:t>
            </w:r>
            <w:r w:rsidRPr="00CC6553">
              <w:rPr>
                <w:rFonts w:cs="Arial"/>
                <w:color w:val="000000" w:themeColor="text1"/>
                <w:sz w:val="20"/>
              </w:rPr>
              <w:lastRenderedPageBreak/>
              <w:t>beneficial classes of medication (such as ACE-/ARB and finerenone are now foundation guideline recommended therapy to retard progression of CKD with albuminuria. (The PARADIGM trial also showed the beneficial effect of ARNI in slowing CKD progression.) The recommendation should be changed to</w:t>
            </w:r>
            <w:r w:rsidRPr="00CC6553">
              <w:rPr>
                <w:rFonts w:cs="Arial"/>
                <w:color w:val="000000" w:themeColor="text1"/>
                <w:sz w:val="20"/>
              </w:rPr>
              <w:br/>
              <w:t>1.6.1 If the person’s eGFR is 45 ml per minute per 1.73 m2 or less, offer the medicine combinations covered by recommendations 1.4.1, 1.4.3, 1.4.4, 1.5.1, 1.5.2 and 1.5.3.however it is also important to ensure regular monitoring of renal function during initiation and uptitration and consider seeking the advice/consensus of a kidney specialist. [2018, amended 2025]</w:t>
            </w:r>
          </w:p>
        </w:tc>
        <w:tc>
          <w:tcPr>
            <w:tcW w:w="2122" w:type="pct"/>
          </w:tcPr>
          <w:p w14:paraId="0C7C1F2B" w14:textId="290AFDF7"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lastRenderedPageBreak/>
              <w:t xml:space="preserve">Thank you for your comment.  The evidence for this recommendation </w:t>
            </w:r>
            <w:r w:rsidRPr="00CC6553">
              <w:rPr>
                <w:rFonts w:cs="Arial"/>
                <w:b w:val="0"/>
                <w:color w:val="000000" w:themeColor="text1"/>
                <w:sz w:val="20"/>
              </w:rPr>
              <w:lastRenderedPageBreak/>
              <w:t>can be found in section 6.2.6</w:t>
            </w:r>
            <w:r w:rsidRPr="00CC6553">
              <w:rPr>
                <w:color w:val="000000" w:themeColor="text1"/>
              </w:rPr>
              <w:t xml:space="preserve"> </w:t>
            </w:r>
            <w:hyperlink r:id="rId31">
              <w:r w:rsidRPr="6763097B">
                <w:rPr>
                  <w:b w:val="0"/>
                  <w:bCs w:val="0"/>
                  <w:color w:val="000000" w:themeColor="text1"/>
                  <w:u w:val="single"/>
                </w:rPr>
                <w:t>NG106 Full guideline</w:t>
              </w:r>
            </w:hyperlink>
            <w:r w:rsidRPr="6763097B">
              <w:rPr>
                <w:rFonts w:cs="Arial"/>
                <w:b w:val="0"/>
                <w:bCs w:val="0"/>
                <w:color w:val="000000" w:themeColor="text1"/>
                <w:sz w:val="20"/>
              </w:rPr>
              <w:t>.</w:t>
            </w:r>
            <w:r w:rsidRPr="00CC6553">
              <w:rPr>
                <w:rFonts w:cs="Arial"/>
                <w:b w:val="0"/>
                <w:color w:val="000000" w:themeColor="text1"/>
                <w:sz w:val="20"/>
              </w:rPr>
              <w:t xml:space="preserve">  The scope of this update was the pharmacological management of chronic heart failure https://www.nice.org.uk/guidance/gid-ng10405/documents/final-scope and the committee is therefore only able to make editorial changes or minimal changes for consistency or clarification to recommendations on areas outside of this. The recommendation has been edited to refer to lower starting doses.</w:t>
            </w:r>
            <w:r w:rsidRPr="6763097B">
              <w:rPr>
                <w:rFonts w:cs="Arial"/>
                <w:b w:val="0"/>
                <w:bCs w:val="0"/>
                <w:color w:val="000000" w:themeColor="text1"/>
                <w:sz w:val="20"/>
              </w:rPr>
              <w:t xml:space="preserve">  We will pass your comment to the NICE surveillance team which monitor key events relevant to the guideline.</w:t>
            </w:r>
          </w:p>
        </w:tc>
      </w:tr>
      <w:tr w:rsidR="00897293" w:rsidRPr="00CC6553" w14:paraId="625FCDA3" w14:textId="77777777" w:rsidTr="00897293">
        <w:trPr>
          <w:trHeight w:val="300"/>
        </w:trPr>
        <w:tc>
          <w:tcPr>
            <w:tcW w:w="109" w:type="pct"/>
          </w:tcPr>
          <w:p w14:paraId="5C5B5BEA"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166</w:t>
            </w:r>
          </w:p>
        </w:tc>
        <w:tc>
          <w:tcPr>
            <w:tcW w:w="143" w:type="pct"/>
          </w:tcPr>
          <w:p w14:paraId="37E1FB1F" w14:textId="7562F394"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736BA94D" w14:textId="70276F45" w:rsidR="00897293" w:rsidRPr="00CC6553" w:rsidRDefault="00897293" w:rsidP="00B234F1">
            <w:pPr>
              <w:rPr>
                <w:rFonts w:cs="Arial"/>
                <w:bCs/>
                <w:iCs/>
                <w:color w:val="000000" w:themeColor="text1"/>
                <w:sz w:val="20"/>
              </w:rPr>
            </w:pPr>
            <w:r w:rsidRPr="00CC6553">
              <w:rPr>
                <w:rFonts w:cs="Arial"/>
                <w:color w:val="000000" w:themeColor="text1"/>
                <w:sz w:val="20"/>
              </w:rPr>
              <w:t>British Society for Heart Failure (BSHF)</w:t>
            </w:r>
          </w:p>
        </w:tc>
        <w:tc>
          <w:tcPr>
            <w:tcW w:w="279" w:type="pct"/>
          </w:tcPr>
          <w:p w14:paraId="044AF566" w14:textId="33E4A9AC"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4AB4F86F" w14:textId="664DEBD9" w:rsidR="00897293" w:rsidRPr="00CC6553" w:rsidRDefault="00897293" w:rsidP="00B234F1">
            <w:pPr>
              <w:rPr>
                <w:rFonts w:cs="Arial"/>
                <w:color w:val="000000" w:themeColor="text1"/>
                <w:sz w:val="20"/>
              </w:rPr>
            </w:pPr>
            <w:r w:rsidRPr="00CC6553">
              <w:rPr>
                <w:rFonts w:cs="Arial"/>
                <w:color w:val="000000" w:themeColor="text1"/>
                <w:sz w:val="20"/>
              </w:rPr>
              <w:t>014</w:t>
            </w:r>
          </w:p>
        </w:tc>
        <w:tc>
          <w:tcPr>
            <w:tcW w:w="214" w:type="pct"/>
          </w:tcPr>
          <w:p w14:paraId="1BABA4E0" w14:textId="565DBECB" w:rsidR="00897293" w:rsidRPr="00CC6553" w:rsidRDefault="00897293" w:rsidP="00B234F1">
            <w:pPr>
              <w:rPr>
                <w:rFonts w:cs="Arial"/>
                <w:color w:val="000000" w:themeColor="text1"/>
                <w:sz w:val="20"/>
              </w:rPr>
            </w:pPr>
            <w:r w:rsidRPr="00CC6553">
              <w:rPr>
                <w:rFonts w:cs="Arial"/>
                <w:color w:val="000000" w:themeColor="text1"/>
                <w:sz w:val="20"/>
              </w:rPr>
              <w:t>013</w:t>
            </w:r>
          </w:p>
        </w:tc>
        <w:tc>
          <w:tcPr>
            <w:tcW w:w="1521" w:type="pct"/>
          </w:tcPr>
          <w:p w14:paraId="22E0E418" w14:textId="4D630CAB" w:rsidR="00897293" w:rsidRPr="00CC6553" w:rsidRDefault="00897293" w:rsidP="00B234F1">
            <w:pPr>
              <w:rPr>
                <w:rFonts w:cs="Arial"/>
                <w:color w:val="000000" w:themeColor="text1"/>
                <w:sz w:val="20"/>
              </w:rPr>
            </w:pPr>
            <w:r w:rsidRPr="00CC6553">
              <w:rPr>
                <w:rFonts w:cs="Arial"/>
                <w:color w:val="000000" w:themeColor="text1"/>
                <w:sz w:val="20"/>
              </w:rPr>
              <w:t xml:space="preserve">This recommendation lacks evidence and will result in under-treatment for heart failure patients who are most at risk and most likely to benefit from these medications. ACE-/ARB and finerenone are now foundation guideline recommended therapy to prevent progression of CKD with albuminuria. (The PARADIGM trial also showed the beneficial effect of ARNI in slowing CKD progression.) </w:t>
            </w:r>
            <w:r w:rsidRPr="00CC6553">
              <w:rPr>
                <w:rFonts w:cs="Arial"/>
                <w:color w:val="000000" w:themeColor="text1"/>
                <w:sz w:val="20"/>
              </w:rPr>
              <w:br/>
              <w:t>Benazepril for Advanced Chronic Renal Insufficiency trial (Hou FF, Zhang X, Zhang GH, Xie D, Chen PY, Zhang WR, Jiang JP, Liang M, Wang GB, Liu ZR, Geng RW. Efficacy and safety of benazepril for advanced chronic renal insufficiency. N Engl J Med. 2006 Jan 12;354(2):131-40. doi: 10.1056/NEJMoa053107. PMID: 16407508.) showed that the ACE- reduced doubling of creatinine/ESRF by 43% compared to placebo in advanced CKD.</w:t>
            </w:r>
            <w:r w:rsidRPr="00CC6553">
              <w:rPr>
                <w:rFonts w:cs="Arial"/>
                <w:color w:val="000000" w:themeColor="text1"/>
                <w:sz w:val="20"/>
              </w:rPr>
              <w:br/>
              <w:t xml:space="preserve">The STOP-ACE trial (Bhandari S, Mehta S, Khwaja A, Cleland JGF, Ives N, Brettell E, Chadburn M, Cockwell P; STOP ACEi Trial Investigators. Renin-Angiotensin System Inhibition in Advanced Chronic Kidney Disease. N Engl J </w:t>
            </w:r>
            <w:r w:rsidRPr="00CC6553">
              <w:rPr>
                <w:rFonts w:cs="Arial"/>
                <w:color w:val="000000" w:themeColor="text1"/>
                <w:sz w:val="20"/>
              </w:rPr>
              <w:lastRenderedPageBreak/>
              <w:t>Med. 2022 Dec 1;387(22):2021-2032. doi: 10.1056/NEJMoa2210639. Epub 2022 Nov 3. PMID: 36326117.) showed that in pts with CKD4/5, stopping ACE- resulted in a numerically higher risk of ESRF.</w:t>
            </w:r>
            <w:r w:rsidRPr="00CC6553">
              <w:rPr>
                <w:rFonts w:cs="Arial"/>
                <w:color w:val="000000" w:themeColor="text1"/>
                <w:sz w:val="20"/>
              </w:rPr>
              <w:br/>
              <w:t>The recommendation should be changed to</w:t>
            </w:r>
            <w:r w:rsidRPr="00CC6553">
              <w:rPr>
                <w:rFonts w:cs="Arial"/>
                <w:color w:val="000000" w:themeColor="text1"/>
                <w:sz w:val="20"/>
              </w:rPr>
              <w:br/>
              <w:t>1.6.1 If the person’s eGFR is 45 ml per minute per 1.73 m2 or less, offer the medicine combinations covered by recommendations 1.4.1, 1.4.3, 1.4.4, 1.5.1, 1.5.2 and 1.5.3., but ensure frequent and regular monitoring during initiation and uptitration. [2018, amended 2025]</w:t>
            </w:r>
          </w:p>
        </w:tc>
        <w:tc>
          <w:tcPr>
            <w:tcW w:w="2122" w:type="pct"/>
          </w:tcPr>
          <w:p w14:paraId="289B2178" w14:textId="6805A8BC"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lastRenderedPageBreak/>
              <w:t>Thank you for your comment.  The evidence for this recommendation can be found in section 6.2.6</w:t>
            </w:r>
            <w:r w:rsidRPr="00CC6553">
              <w:rPr>
                <w:b w:val="0"/>
                <w:bCs w:val="0"/>
                <w:color w:val="000000" w:themeColor="text1"/>
              </w:rPr>
              <w:t xml:space="preserve"> </w:t>
            </w:r>
            <w:hyperlink r:id="rId32">
              <w:r w:rsidRPr="6763097B">
                <w:rPr>
                  <w:b w:val="0"/>
                  <w:bCs w:val="0"/>
                  <w:color w:val="000000" w:themeColor="text1"/>
                  <w:u w:val="single"/>
                </w:rPr>
                <w:t>NG106 Full guideline</w:t>
              </w:r>
            </w:hyperlink>
            <w:r w:rsidRPr="6763097B">
              <w:rPr>
                <w:rFonts w:cs="Arial"/>
                <w:b w:val="0"/>
                <w:bCs w:val="0"/>
                <w:color w:val="000000" w:themeColor="text1"/>
                <w:sz w:val="20"/>
              </w:rPr>
              <w:t>.</w:t>
            </w:r>
            <w:r w:rsidRPr="00CC6553">
              <w:rPr>
                <w:rFonts w:cs="Arial"/>
                <w:b w:val="0"/>
                <w:color w:val="000000" w:themeColor="text1"/>
                <w:sz w:val="20"/>
              </w:rPr>
              <w:t xml:space="preserve">  The scope of this update was the pharmacological management of chronic heart failure https://www.nice.org.uk/guidance/gid-ng10405/documents/final-scope and the committee is therefore only able to make editorial changes or minimal changes for consistency or clarification to recommendations on areas outside of this. The </w:t>
            </w:r>
            <w:r w:rsidRPr="00CC6553">
              <w:rPr>
                <w:rFonts w:cs="Arial"/>
                <w:b w:val="0"/>
                <w:color w:val="000000" w:themeColor="text1"/>
                <w:sz w:val="20"/>
              </w:rPr>
              <w:lastRenderedPageBreak/>
              <w:t>recommendation has been edited to refer to lower starting doses.</w:t>
            </w:r>
            <w:r w:rsidRPr="6763097B">
              <w:rPr>
                <w:rFonts w:cs="Arial"/>
                <w:b w:val="0"/>
                <w:bCs w:val="0"/>
                <w:color w:val="000000" w:themeColor="text1"/>
                <w:sz w:val="20"/>
              </w:rPr>
              <w:t xml:space="preserve">  We will pass your comment to the NICE surveillance team which monitor key events relevant to the guideline.</w:t>
            </w:r>
          </w:p>
        </w:tc>
      </w:tr>
      <w:tr w:rsidR="00897293" w:rsidRPr="00CC6553" w14:paraId="1D19899A" w14:textId="77777777" w:rsidTr="00897293">
        <w:trPr>
          <w:trHeight w:val="300"/>
        </w:trPr>
        <w:tc>
          <w:tcPr>
            <w:tcW w:w="109" w:type="pct"/>
          </w:tcPr>
          <w:p w14:paraId="1060C647"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167</w:t>
            </w:r>
          </w:p>
        </w:tc>
        <w:tc>
          <w:tcPr>
            <w:tcW w:w="143" w:type="pct"/>
          </w:tcPr>
          <w:p w14:paraId="6BA34005" w14:textId="2FEAA948"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70DC02CA" w14:textId="586D0300" w:rsidR="00897293" w:rsidRPr="00CC6553" w:rsidRDefault="00897293" w:rsidP="00B234F1">
            <w:pPr>
              <w:rPr>
                <w:rFonts w:cs="Arial"/>
                <w:bCs/>
                <w:iCs/>
                <w:color w:val="000000" w:themeColor="text1"/>
                <w:sz w:val="20"/>
              </w:rPr>
            </w:pPr>
            <w:r w:rsidRPr="00CC6553">
              <w:rPr>
                <w:rFonts w:cs="Arial"/>
                <w:color w:val="000000" w:themeColor="text1"/>
                <w:sz w:val="20"/>
              </w:rPr>
              <w:t>British Society for Heart Failure (BSHF)</w:t>
            </w:r>
          </w:p>
        </w:tc>
        <w:tc>
          <w:tcPr>
            <w:tcW w:w="279" w:type="pct"/>
          </w:tcPr>
          <w:p w14:paraId="4363ECB4" w14:textId="6918FAA7"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6B7C8FD4" w14:textId="7E54C8D5" w:rsidR="00897293" w:rsidRPr="00CC6553" w:rsidRDefault="00897293" w:rsidP="00B234F1">
            <w:pPr>
              <w:rPr>
                <w:rFonts w:cs="Arial"/>
                <w:color w:val="000000" w:themeColor="text1"/>
                <w:sz w:val="20"/>
              </w:rPr>
            </w:pPr>
            <w:r w:rsidRPr="00CC6553">
              <w:rPr>
                <w:rFonts w:cs="Arial"/>
                <w:color w:val="000000" w:themeColor="text1"/>
                <w:sz w:val="20"/>
              </w:rPr>
              <w:t>014</w:t>
            </w:r>
          </w:p>
        </w:tc>
        <w:tc>
          <w:tcPr>
            <w:tcW w:w="214" w:type="pct"/>
          </w:tcPr>
          <w:p w14:paraId="24A69B13" w14:textId="15A9905D" w:rsidR="00897293" w:rsidRPr="00CC6553" w:rsidRDefault="00897293" w:rsidP="00B234F1">
            <w:pPr>
              <w:rPr>
                <w:rFonts w:cs="Arial"/>
                <w:color w:val="000000" w:themeColor="text1"/>
                <w:sz w:val="20"/>
              </w:rPr>
            </w:pPr>
            <w:r w:rsidRPr="00CC6553">
              <w:rPr>
                <w:rFonts w:cs="Arial"/>
                <w:color w:val="000000" w:themeColor="text1"/>
                <w:sz w:val="20"/>
              </w:rPr>
              <w:t>013</w:t>
            </w:r>
          </w:p>
        </w:tc>
        <w:tc>
          <w:tcPr>
            <w:tcW w:w="1521" w:type="pct"/>
          </w:tcPr>
          <w:p w14:paraId="2697E07A" w14:textId="2513F25D" w:rsidR="00897293" w:rsidRPr="00CC6553" w:rsidRDefault="00897293" w:rsidP="00B234F1">
            <w:pPr>
              <w:rPr>
                <w:rFonts w:cs="Arial"/>
                <w:color w:val="000000" w:themeColor="text1"/>
                <w:sz w:val="20"/>
              </w:rPr>
            </w:pPr>
            <w:r w:rsidRPr="00CC6553">
              <w:rPr>
                <w:rFonts w:cs="Arial"/>
                <w:color w:val="000000" w:themeColor="text1"/>
                <w:sz w:val="20"/>
              </w:rPr>
              <w:t>This recommendation is dangerous as it is not supported by evidence and will directly lead to lack of prescribing or under-prescribing of this prognostically beneficial classes of medication (such as ACE-/ARB and finerenone are now foundation guideline recommended therapy to retard progression of CKD with albuminuria. (The PARADIGM trial also showed the beneficial effect of ARNI in slowing CKD progression.) The recommendation should be changed to</w:t>
            </w:r>
            <w:r w:rsidRPr="00CC6553">
              <w:rPr>
                <w:rFonts w:cs="Arial"/>
                <w:color w:val="000000" w:themeColor="text1"/>
                <w:sz w:val="20"/>
              </w:rPr>
              <w:br/>
              <w:t>1.6.1 If the person’s eGFR is 45 ml per minute per 1.73 m2 or less, offer the medicine combinations covered by recommendations 1.4.1, 1.4.3, 1.4.4, 1.5.1, 1.5.2 and 1.5.3.however it is also important to ensure regular monitoring of renal function during initiation and uptitration and consider seeking the advice/consensus of a kidney specialist. [2018, amended 2025]</w:t>
            </w:r>
          </w:p>
        </w:tc>
        <w:tc>
          <w:tcPr>
            <w:tcW w:w="2122" w:type="pct"/>
          </w:tcPr>
          <w:p w14:paraId="2B8B611E" w14:textId="73C4FDA2"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evidence for this recommendation can be found in section 6.2.6</w:t>
            </w:r>
            <w:r w:rsidRPr="00CC6553">
              <w:rPr>
                <w:b w:val="0"/>
                <w:bCs w:val="0"/>
                <w:color w:val="000000" w:themeColor="text1"/>
              </w:rPr>
              <w:t xml:space="preserve"> </w:t>
            </w:r>
            <w:hyperlink r:id="rId33">
              <w:r w:rsidRPr="6763097B">
                <w:rPr>
                  <w:b w:val="0"/>
                  <w:bCs w:val="0"/>
                  <w:color w:val="000000" w:themeColor="text1"/>
                  <w:u w:val="single"/>
                </w:rPr>
                <w:t>NG106 Full guideline</w:t>
              </w:r>
            </w:hyperlink>
            <w:r w:rsidRPr="6763097B">
              <w:rPr>
                <w:rFonts w:cs="Arial"/>
                <w:b w:val="0"/>
                <w:bCs w:val="0"/>
                <w:color w:val="000000" w:themeColor="text1"/>
                <w:sz w:val="20"/>
              </w:rPr>
              <w:t>.</w:t>
            </w:r>
            <w:r w:rsidRPr="00CC6553">
              <w:rPr>
                <w:rFonts w:cs="Arial"/>
                <w:b w:val="0"/>
                <w:color w:val="000000" w:themeColor="text1"/>
                <w:sz w:val="20"/>
              </w:rPr>
              <w:t xml:space="preserve">  The scope of this update was the pharmacological management of chronic heart failure https://www.nice.org.uk/guidance/gid-ng10405/documents/final-scope and the committee is therefore only able to make editorial changes or minimal changes for consistency or clarification to recommendations on areas outside of this. The recommendation has been edited to refer to lower starting doses.</w:t>
            </w:r>
            <w:r w:rsidRPr="6763097B">
              <w:rPr>
                <w:rFonts w:cs="Arial"/>
                <w:b w:val="0"/>
                <w:bCs w:val="0"/>
                <w:color w:val="000000" w:themeColor="text1"/>
                <w:sz w:val="20"/>
              </w:rPr>
              <w:t xml:space="preserve">  We will pass your comment to the NICE surveillance team which monitor key events relevant to the guideline.</w:t>
            </w:r>
          </w:p>
        </w:tc>
      </w:tr>
      <w:tr w:rsidR="00897293" w:rsidRPr="00CC6553" w14:paraId="3061051A" w14:textId="77777777" w:rsidTr="00897293">
        <w:trPr>
          <w:trHeight w:val="300"/>
        </w:trPr>
        <w:tc>
          <w:tcPr>
            <w:tcW w:w="109" w:type="pct"/>
          </w:tcPr>
          <w:p w14:paraId="77C09A48" w14:textId="77777777" w:rsidR="00897293" w:rsidRPr="00CC6553" w:rsidRDefault="00897293" w:rsidP="00B234F1">
            <w:pPr>
              <w:rPr>
                <w:rFonts w:cs="Arial"/>
                <w:color w:val="000000" w:themeColor="text1"/>
                <w:sz w:val="20"/>
              </w:rPr>
            </w:pPr>
            <w:r w:rsidRPr="00CC6553">
              <w:rPr>
                <w:rFonts w:cs="Arial"/>
                <w:color w:val="000000" w:themeColor="text1"/>
                <w:sz w:val="20"/>
              </w:rPr>
              <w:t>168</w:t>
            </w:r>
          </w:p>
        </w:tc>
        <w:tc>
          <w:tcPr>
            <w:tcW w:w="143" w:type="pct"/>
          </w:tcPr>
          <w:p w14:paraId="32EBA4FB" w14:textId="0945A491"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5250F85" w14:textId="4FC70CCA" w:rsidR="00897293" w:rsidRPr="00CC6553" w:rsidRDefault="00897293" w:rsidP="00B234F1">
            <w:pPr>
              <w:rPr>
                <w:rFonts w:cs="Arial"/>
                <w:bCs/>
                <w:iCs/>
                <w:color w:val="000000" w:themeColor="text1"/>
                <w:sz w:val="20"/>
              </w:rPr>
            </w:pPr>
            <w:r w:rsidRPr="00CC6553">
              <w:rPr>
                <w:rFonts w:cs="Arial"/>
                <w:color w:val="000000" w:themeColor="text1"/>
                <w:sz w:val="20"/>
              </w:rPr>
              <w:t>Pumping Marvellous Foundation</w:t>
            </w:r>
          </w:p>
        </w:tc>
        <w:tc>
          <w:tcPr>
            <w:tcW w:w="279" w:type="pct"/>
          </w:tcPr>
          <w:p w14:paraId="49D12F17" w14:textId="2242917A"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79087405" w14:textId="6ED3C4F7" w:rsidR="00897293" w:rsidRPr="00CC6553" w:rsidRDefault="00897293" w:rsidP="00B234F1">
            <w:pPr>
              <w:rPr>
                <w:rFonts w:cs="Arial"/>
                <w:color w:val="000000" w:themeColor="text1"/>
                <w:sz w:val="20"/>
              </w:rPr>
            </w:pPr>
            <w:r w:rsidRPr="00CC6553">
              <w:rPr>
                <w:rFonts w:cs="Arial"/>
                <w:color w:val="000000" w:themeColor="text1"/>
                <w:sz w:val="20"/>
              </w:rPr>
              <w:t>014</w:t>
            </w:r>
          </w:p>
        </w:tc>
        <w:tc>
          <w:tcPr>
            <w:tcW w:w="214" w:type="pct"/>
          </w:tcPr>
          <w:p w14:paraId="5457EEE2" w14:textId="4D383B27" w:rsidR="00897293" w:rsidRPr="00CC6553" w:rsidRDefault="00897293" w:rsidP="00B234F1">
            <w:pPr>
              <w:rPr>
                <w:rFonts w:cs="Arial"/>
                <w:color w:val="000000" w:themeColor="text1"/>
                <w:sz w:val="20"/>
              </w:rPr>
            </w:pPr>
            <w:r w:rsidRPr="00CC6553">
              <w:rPr>
                <w:rFonts w:cs="Arial"/>
                <w:color w:val="000000" w:themeColor="text1"/>
                <w:sz w:val="20"/>
              </w:rPr>
              <w:t>013</w:t>
            </w:r>
          </w:p>
        </w:tc>
        <w:tc>
          <w:tcPr>
            <w:tcW w:w="1521" w:type="pct"/>
          </w:tcPr>
          <w:p w14:paraId="4C7432BC" w14:textId="01423817" w:rsidR="00897293" w:rsidRPr="00CC6553" w:rsidRDefault="00897293" w:rsidP="00B234F1">
            <w:pPr>
              <w:rPr>
                <w:rFonts w:cs="Arial"/>
                <w:color w:val="000000" w:themeColor="text1"/>
                <w:sz w:val="20"/>
              </w:rPr>
            </w:pPr>
            <w:r w:rsidRPr="00CC6553">
              <w:rPr>
                <w:rFonts w:cs="Arial"/>
                <w:color w:val="000000" w:themeColor="text1"/>
                <w:sz w:val="20"/>
              </w:rPr>
              <w:t xml:space="preserve">If the person’s eGFR is 45 ml per minute per 1.73 m2 or less, offer the medicine combinations covered by recommendations 1.4.1, 1.4.3, 1.4.4, 1.5.1, 1.5.2 and 1.5.3.however it is also important to ensure  regular monitoring of renal function </w:t>
            </w:r>
            <w:r w:rsidRPr="00CC6553">
              <w:rPr>
                <w:rFonts w:cs="Arial"/>
                <w:color w:val="000000" w:themeColor="text1"/>
                <w:sz w:val="20"/>
              </w:rPr>
              <w:lastRenderedPageBreak/>
              <w:t>during initiation and uptitration and consider seeking the advice/consensus of a kidney specialist. [2018, amended 2025]</w:t>
            </w:r>
          </w:p>
        </w:tc>
        <w:tc>
          <w:tcPr>
            <w:tcW w:w="2122" w:type="pct"/>
          </w:tcPr>
          <w:p w14:paraId="20CB3FF3" w14:textId="2732D679"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lastRenderedPageBreak/>
              <w:t xml:space="preserve">Thank you for your comment.  The committee agree that this is important and have made a separate recommendation on monitoring renal </w:t>
            </w:r>
            <w:r w:rsidRPr="00CC6553">
              <w:rPr>
                <w:rFonts w:cs="Arial"/>
                <w:b w:val="0"/>
                <w:color w:val="000000" w:themeColor="text1"/>
                <w:sz w:val="20"/>
              </w:rPr>
              <w:lastRenderedPageBreak/>
              <w:t>function when starting and increasing doses as this is applicable people with and without CKD.</w:t>
            </w:r>
          </w:p>
        </w:tc>
      </w:tr>
      <w:tr w:rsidR="00897293" w:rsidRPr="00CC6553" w14:paraId="1E667602" w14:textId="77777777" w:rsidTr="00897293">
        <w:trPr>
          <w:trHeight w:val="300"/>
        </w:trPr>
        <w:tc>
          <w:tcPr>
            <w:tcW w:w="109" w:type="pct"/>
          </w:tcPr>
          <w:p w14:paraId="150D764A"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169</w:t>
            </w:r>
          </w:p>
        </w:tc>
        <w:tc>
          <w:tcPr>
            <w:tcW w:w="143" w:type="pct"/>
          </w:tcPr>
          <w:p w14:paraId="407F9F11" w14:textId="646E7390"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7B063320" w14:textId="7C5457C4" w:rsidR="00897293" w:rsidRPr="00CC6553" w:rsidRDefault="00897293" w:rsidP="00B234F1">
            <w:pPr>
              <w:rPr>
                <w:rFonts w:cs="Arial"/>
                <w:bCs/>
                <w:iCs/>
                <w:color w:val="000000" w:themeColor="text1"/>
                <w:sz w:val="20"/>
              </w:rPr>
            </w:pPr>
            <w:r w:rsidRPr="00CC6553">
              <w:rPr>
                <w:rFonts w:cs="Arial"/>
                <w:color w:val="000000" w:themeColor="text1"/>
                <w:sz w:val="20"/>
              </w:rPr>
              <w:t>UK Clinical Pharmacy Association (UKCPA) – heart failure committee</w:t>
            </w:r>
          </w:p>
        </w:tc>
        <w:tc>
          <w:tcPr>
            <w:tcW w:w="279" w:type="pct"/>
          </w:tcPr>
          <w:p w14:paraId="37E45EAB" w14:textId="4AB7FA8E"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4F108C54" w14:textId="0F13F946" w:rsidR="00897293" w:rsidRPr="00CC6553" w:rsidRDefault="00897293" w:rsidP="00B234F1">
            <w:pPr>
              <w:rPr>
                <w:rFonts w:cs="Arial"/>
                <w:color w:val="000000" w:themeColor="text1"/>
                <w:sz w:val="20"/>
              </w:rPr>
            </w:pPr>
            <w:r w:rsidRPr="00CC6553">
              <w:rPr>
                <w:rFonts w:cs="Arial"/>
                <w:color w:val="000000" w:themeColor="text1"/>
                <w:sz w:val="20"/>
              </w:rPr>
              <w:t>014</w:t>
            </w:r>
          </w:p>
        </w:tc>
        <w:tc>
          <w:tcPr>
            <w:tcW w:w="214" w:type="pct"/>
          </w:tcPr>
          <w:p w14:paraId="48E453EC" w14:textId="0C4EA430" w:rsidR="00897293" w:rsidRPr="00CC6553" w:rsidRDefault="00897293" w:rsidP="00B234F1">
            <w:pPr>
              <w:rPr>
                <w:rFonts w:cs="Arial"/>
                <w:color w:val="000000" w:themeColor="text1"/>
                <w:sz w:val="20"/>
              </w:rPr>
            </w:pPr>
            <w:r w:rsidRPr="00CC6553">
              <w:rPr>
                <w:rFonts w:cs="Arial"/>
                <w:color w:val="000000" w:themeColor="text1"/>
                <w:sz w:val="20"/>
              </w:rPr>
              <w:t>013</w:t>
            </w:r>
          </w:p>
        </w:tc>
        <w:tc>
          <w:tcPr>
            <w:tcW w:w="1521" w:type="pct"/>
          </w:tcPr>
          <w:p w14:paraId="7A7463AA" w14:textId="6BE9CD6A" w:rsidR="00897293" w:rsidRPr="00CC6553" w:rsidRDefault="00897293" w:rsidP="00B234F1">
            <w:pPr>
              <w:rPr>
                <w:rFonts w:cs="Arial"/>
                <w:color w:val="000000" w:themeColor="text1"/>
                <w:sz w:val="20"/>
              </w:rPr>
            </w:pPr>
            <w:r w:rsidRPr="00CC6553">
              <w:rPr>
                <w:rFonts w:cs="Arial"/>
                <w:color w:val="000000" w:themeColor="text1"/>
                <w:sz w:val="20"/>
              </w:rPr>
              <w:t>We partially agree with this recommendation and support the overarching principle of dose adjustment in patients with impaired renal function. However, we question the use of an eGFR threshold of 45 mL/min/1.73 m², as this may be overly conservative and could lead to unnecessary dose reductions in patients with only mild to moderate renal impairment.</w:t>
            </w:r>
            <w:r w:rsidRPr="00CC6553">
              <w:rPr>
                <w:rFonts w:cs="Arial"/>
                <w:color w:val="000000" w:themeColor="text1"/>
                <w:sz w:val="20"/>
              </w:rPr>
              <w:br/>
              <w:t>We recommend rewording the threshold to 30 mL/min/1.73 m², which would be more consistent with clinical practice and existing prescribing guidance for many of the medicines included. Maintaining efficacy in this population is important, and automatic dose reductions at 45 mL/min may compromise treatment unnecessarily.</w:t>
            </w:r>
            <w:r w:rsidRPr="00CC6553">
              <w:rPr>
                <w:rFonts w:cs="Arial"/>
                <w:color w:val="000000" w:themeColor="text1"/>
                <w:sz w:val="20"/>
              </w:rPr>
              <w:br/>
              <w:t>We fully agree with the intent to use lower starting doses, or smaller titration increments in patients with more advanced renal impairment. A revised threshold would preserve this safety consideration without unduly limiting therapy in those with moderate kidney dysfunction.</w:t>
            </w:r>
          </w:p>
        </w:tc>
        <w:tc>
          <w:tcPr>
            <w:tcW w:w="2122" w:type="pct"/>
          </w:tcPr>
          <w:p w14:paraId="5E207647" w14:textId="72454151"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evidence for this recommendation can be found in section 6.2.6</w:t>
            </w:r>
            <w:r w:rsidRPr="00CC6553">
              <w:rPr>
                <w:b w:val="0"/>
                <w:bCs w:val="0"/>
                <w:color w:val="000000" w:themeColor="text1"/>
              </w:rPr>
              <w:t xml:space="preserve"> </w:t>
            </w:r>
            <w:hyperlink r:id="rId34" w:history="1">
              <w:r w:rsidRPr="00CC6553">
                <w:rPr>
                  <w:b w:val="0"/>
                  <w:bCs w:val="0"/>
                  <w:color w:val="000000" w:themeColor="text1"/>
                  <w:u w:val="single"/>
                </w:rPr>
                <w:t>NG106 Full guideline</w:t>
              </w:r>
            </w:hyperlink>
            <w:r w:rsidRPr="00CC6553">
              <w:rPr>
                <w:rFonts w:cs="Arial"/>
                <w:b w:val="0"/>
                <w:color w:val="000000" w:themeColor="text1"/>
                <w:sz w:val="20"/>
              </w:rPr>
              <w:t>. The scope of this update was the pharmacological management of chronic heart failure https://www.nice.org.uk/guidance/gid-ng10405/documents/final-scope and the committee is therefore only able to make editorial changes or minimal changes for consistency or clarification to recommendations on areas outside of this. The recommendation has been edited to refer to lower starting doses.</w:t>
            </w:r>
          </w:p>
        </w:tc>
      </w:tr>
      <w:tr w:rsidR="00897293" w:rsidRPr="00CC6553" w14:paraId="56306A1F" w14:textId="77777777" w:rsidTr="00897293">
        <w:trPr>
          <w:trHeight w:val="300"/>
        </w:trPr>
        <w:tc>
          <w:tcPr>
            <w:tcW w:w="109" w:type="pct"/>
          </w:tcPr>
          <w:p w14:paraId="5BC9FA00" w14:textId="77777777" w:rsidR="00897293" w:rsidRPr="00CC6553" w:rsidRDefault="00897293" w:rsidP="00B234F1">
            <w:pPr>
              <w:rPr>
                <w:rFonts w:cs="Arial"/>
                <w:color w:val="000000" w:themeColor="text1"/>
                <w:sz w:val="20"/>
              </w:rPr>
            </w:pPr>
            <w:r w:rsidRPr="00CC6553">
              <w:rPr>
                <w:rFonts w:cs="Arial"/>
                <w:color w:val="000000" w:themeColor="text1"/>
                <w:sz w:val="20"/>
              </w:rPr>
              <w:t>170</w:t>
            </w:r>
          </w:p>
        </w:tc>
        <w:tc>
          <w:tcPr>
            <w:tcW w:w="143" w:type="pct"/>
          </w:tcPr>
          <w:p w14:paraId="6E88B294" w14:textId="77D5948B"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0D37DD24" w14:textId="57B08477" w:rsidR="00897293" w:rsidRPr="00CC6553" w:rsidRDefault="00897293" w:rsidP="00B234F1">
            <w:pPr>
              <w:rPr>
                <w:rFonts w:cs="Arial"/>
                <w:bCs/>
                <w:iCs/>
                <w:color w:val="000000" w:themeColor="text1"/>
                <w:sz w:val="20"/>
              </w:rPr>
            </w:pPr>
            <w:r w:rsidRPr="00CC6553">
              <w:rPr>
                <w:rFonts w:cs="Arial"/>
                <w:color w:val="000000" w:themeColor="text1"/>
                <w:sz w:val="20"/>
              </w:rPr>
              <w:t>Royal College of Nursing</w:t>
            </w:r>
          </w:p>
        </w:tc>
        <w:tc>
          <w:tcPr>
            <w:tcW w:w="279" w:type="pct"/>
          </w:tcPr>
          <w:p w14:paraId="332B6DD8" w14:textId="29D6BFB2"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2421C10D" w14:textId="2E84C9CF" w:rsidR="00897293" w:rsidRPr="00CC6553" w:rsidRDefault="00897293" w:rsidP="00B234F1">
            <w:pPr>
              <w:rPr>
                <w:rFonts w:cs="Arial"/>
                <w:color w:val="000000" w:themeColor="text1"/>
                <w:sz w:val="20"/>
              </w:rPr>
            </w:pPr>
            <w:r w:rsidRPr="00CC6553">
              <w:rPr>
                <w:rFonts w:cs="Arial"/>
                <w:color w:val="000000" w:themeColor="text1"/>
                <w:sz w:val="20"/>
              </w:rPr>
              <w:t>014</w:t>
            </w:r>
          </w:p>
        </w:tc>
        <w:tc>
          <w:tcPr>
            <w:tcW w:w="214" w:type="pct"/>
          </w:tcPr>
          <w:p w14:paraId="3DF7D16F" w14:textId="373EE23E" w:rsidR="00897293" w:rsidRPr="00CC6553" w:rsidRDefault="00897293" w:rsidP="00B234F1">
            <w:pPr>
              <w:rPr>
                <w:rFonts w:cs="Arial"/>
                <w:color w:val="000000" w:themeColor="text1"/>
                <w:sz w:val="20"/>
              </w:rPr>
            </w:pPr>
            <w:r w:rsidRPr="00CC6553">
              <w:rPr>
                <w:rFonts w:cs="Arial"/>
                <w:color w:val="000000" w:themeColor="text1"/>
                <w:sz w:val="20"/>
              </w:rPr>
              <w:t>013</w:t>
            </w:r>
          </w:p>
        </w:tc>
        <w:tc>
          <w:tcPr>
            <w:tcW w:w="1521" w:type="pct"/>
          </w:tcPr>
          <w:p w14:paraId="672A74A0" w14:textId="027A286A" w:rsidR="00897293" w:rsidRPr="00CC6553" w:rsidRDefault="00897293" w:rsidP="00B234F1">
            <w:pPr>
              <w:rPr>
                <w:rFonts w:cs="Arial"/>
                <w:color w:val="000000" w:themeColor="text1"/>
                <w:sz w:val="20"/>
              </w:rPr>
            </w:pPr>
            <w:r w:rsidRPr="00CC6553">
              <w:rPr>
                <w:rFonts w:cs="Arial"/>
                <w:color w:val="000000" w:themeColor="text1"/>
                <w:sz w:val="20"/>
              </w:rPr>
              <w:t>The eGFR cut off for advising smaller doses and slower management seems very cautious at &lt;45. This is a "routine" eGFR in heart failure patients.</w:t>
            </w:r>
          </w:p>
        </w:tc>
        <w:tc>
          <w:tcPr>
            <w:tcW w:w="2122" w:type="pct"/>
          </w:tcPr>
          <w:p w14:paraId="62C90E24" w14:textId="0930BDBD"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Thank you for your comment.  The evidence for this recommendation can be found in section 6.2.6 </w:t>
            </w:r>
            <w:hyperlink r:id="rId35" w:history="1">
              <w:r w:rsidRPr="00CC6553">
                <w:rPr>
                  <w:b w:val="0"/>
                  <w:bCs w:val="0"/>
                  <w:color w:val="000000" w:themeColor="text1"/>
                  <w:u w:val="single"/>
                </w:rPr>
                <w:t>NG106 Full guideline</w:t>
              </w:r>
            </w:hyperlink>
            <w:r w:rsidRPr="00CC6553">
              <w:rPr>
                <w:rFonts w:cs="Arial"/>
                <w:b w:val="0"/>
                <w:color w:val="000000" w:themeColor="text1"/>
                <w:sz w:val="20"/>
              </w:rPr>
              <w:t xml:space="preserve">. The scope of this update was the pharmacological management of chronic heart failure https://www.nice.org.uk/guidance/gid-ng10405/documents/final-scope and the committee is therefore only able to make editorial changes or </w:t>
            </w:r>
            <w:r w:rsidRPr="00CC6553">
              <w:rPr>
                <w:rFonts w:cs="Arial"/>
                <w:b w:val="0"/>
                <w:color w:val="000000" w:themeColor="text1"/>
                <w:sz w:val="20"/>
              </w:rPr>
              <w:lastRenderedPageBreak/>
              <w:t>minimal changes for consistency or clarification to recommendations on areas outside of this.</w:t>
            </w:r>
          </w:p>
        </w:tc>
      </w:tr>
      <w:tr w:rsidR="00897293" w:rsidRPr="00CC6553" w14:paraId="50B90CB3" w14:textId="77777777" w:rsidTr="00897293">
        <w:trPr>
          <w:trHeight w:val="300"/>
        </w:trPr>
        <w:tc>
          <w:tcPr>
            <w:tcW w:w="109" w:type="pct"/>
          </w:tcPr>
          <w:p w14:paraId="1A640872"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171</w:t>
            </w:r>
          </w:p>
        </w:tc>
        <w:tc>
          <w:tcPr>
            <w:tcW w:w="143" w:type="pct"/>
          </w:tcPr>
          <w:p w14:paraId="0AA4C772" w14:textId="236D0D5A"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E842592" w14:textId="29A5FAEF"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5EA244FA" w14:textId="5F986702"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123D1D3D" w14:textId="74B49CCD" w:rsidR="00897293" w:rsidRPr="00CC6553" w:rsidRDefault="00897293" w:rsidP="00B234F1">
            <w:pPr>
              <w:rPr>
                <w:rFonts w:cs="Arial"/>
                <w:color w:val="000000" w:themeColor="text1"/>
                <w:sz w:val="20"/>
              </w:rPr>
            </w:pPr>
            <w:r w:rsidRPr="00CC6553">
              <w:rPr>
                <w:rFonts w:cs="Arial"/>
                <w:color w:val="000000" w:themeColor="text1"/>
                <w:sz w:val="20"/>
              </w:rPr>
              <w:t>014</w:t>
            </w:r>
          </w:p>
        </w:tc>
        <w:tc>
          <w:tcPr>
            <w:tcW w:w="214" w:type="pct"/>
          </w:tcPr>
          <w:p w14:paraId="4D976EA6" w14:textId="4FF065F3"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1521" w:type="pct"/>
          </w:tcPr>
          <w:p w14:paraId="457CA6B4" w14:textId="5483F052" w:rsidR="00897293" w:rsidRPr="00CC6553" w:rsidRDefault="00897293" w:rsidP="00B234F1">
            <w:pPr>
              <w:rPr>
                <w:rFonts w:cs="Arial"/>
                <w:color w:val="000000" w:themeColor="text1"/>
                <w:sz w:val="20"/>
              </w:rPr>
            </w:pPr>
            <w:r w:rsidRPr="00CC6553">
              <w:rPr>
                <w:rFonts w:cs="Arial"/>
                <w:color w:val="000000" w:themeColor="text1"/>
                <w:sz w:val="20"/>
              </w:rPr>
              <w:t>This is important so would put a reference to this under the treatment sections (1.4, 1.5)</w:t>
            </w:r>
          </w:p>
        </w:tc>
        <w:tc>
          <w:tcPr>
            <w:tcW w:w="2122" w:type="pct"/>
          </w:tcPr>
          <w:p w14:paraId="5A141D68" w14:textId="62F92E6D"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committee considered this but decided that as there is a separate section on recommendations for people with CKD they should be clear to the reader.</w:t>
            </w:r>
          </w:p>
        </w:tc>
      </w:tr>
      <w:tr w:rsidR="00897293" w:rsidRPr="00CC6553" w14:paraId="033D31BA" w14:textId="77777777" w:rsidTr="00897293">
        <w:trPr>
          <w:trHeight w:val="300"/>
        </w:trPr>
        <w:tc>
          <w:tcPr>
            <w:tcW w:w="109" w:type="pct"/>
          </w:tcPr>
          <w:p w14:paraId="66291AC6" w14:textId="77777777" w:rsidR="00897293" w:rsidRPr="00CC6553" w:rsidRDefault="00897293" w:rsidP="00B234F1">
            <w:pPr>
              <w:rPr>
                <w:rFonts w:cs="Arial"/>
                <w:color w:val="000000" w:themeColor="text1"/>
                <w:sz w:val="20"/>
              </w:rPr>
            </w:pPr>
            <w:r w:rsidRPr="00CC6553">
              <w:rPr>
                <w:rFonts w:cs="Arial"/>
                <w:color w:val="000000" w:themeColor="text1"/>
                <w:sz w:val="20"/>
              </w:rPr>
              <w:t>172</w:t>
            </w:r>
          </w:p>
        </w:tc>
        <w:tc>
          <w:tcPr>
            <w:tcW w:w="143" w:type="pct"/>
          </w:tcPr>
          <w:p w14:paraId="51F4FF69" w14:textId="64A759D8"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3EF7450C" w14:textId="032EAE6E" w:rsidR="00897293" w:rsidRPr="00CC6553" w:rsidRDefault="00897293" w:rsidP="00B234F1">
            <w:pPr>
              <w:rPr>
                <w:rFonts w:cs="Arial"/>
                <w:bCs/>
                <w:iCs/>
                <w:color w:val="000000" w:themeColor="text1"/>
                <w:sz w:val="20"/>
              </w:rPr>
            </w:pPr>
            <w:r w:rsidRPr="00CC6553">
              <w:rPr>
                <w:rFonts w:cs="Arial"/>
                <w:color w:val="000000" w:themeColor="text1"/>
                <w:sz w:val="20"/>
              </w:rPr>
              <w:t>Royal College of General Practitioners</w:t>
            </w:r>
          </w:p>
        </w:tc>
        <w:tc>
          <w:tcPr>
            <w:tcW w:w="279" w:type="pct"/>
          </w:tcPr>
          <w:p w14:paraId="2F20B866" w14:textId="30E66836"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154EEF22" w14:textId="1238A694" w:rsidR="00897293" w:rsidRPr="00CC6553" w:rsidRDefault="00897293" w:rsidP="00B234F1">
            <w:pPr>
              <w:rPr>
                <w:rFonts w:cs="Arial"/>
                <w:color w:val="000000" w:themeColor="text1"/>
                <w:sz w:val="20"/>
              </w:rPr>
            </w:pPr>
            <w:r w:rsidRPr="00CC6553">
              <w:rPr>
                <w:rFonts w:cs="Arial"/>
                <w:color w:val="000000" w:themeColor="text1"/>
                <w:sz w:val="20"/>
              </w:rPr>
              <w:t>014</w:t>
            </w:r>
          </w:p>
        </w:tc>
        <w:tc>
          <w:tcPr>
            <w:tcW w:w="214" w:type="pct"/>
          </w:tcPr>
          <w:p w14:paraId="1038A92C" w14:textId="225B46C5"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68BEAAD7" w14:textId="22B6C697" w:rsidR="00897293" w:rsidRPr="00CC6553" w:rsidRDefault="00897293" w:rsidP="00B234F1">
            <w:pPr>
              <w:rPr>
                <w:rFonts w:cs="Arial"/>
                <w:color w:val="000000" w:themeColor="text1"/>
                <w:sz w:val="20"/>
              </w:rPr>
            </w:pPr>
            <w:r w:rsidRPr="00CC6553">
              <w:rPr>
                <w:rFonts w:cs="Arial"/>
                <w:color w:val="000000" w:themeColor="text1"/>
                <w:sz w:val="20"/>
              </w:rPr>
              <w:t>We believe it would be helpful to specify practical guidance on what constitutes "lower doses or smaller dose increments" for medicines in people with reduced eGFR, or to signpost clinicians to relevant dosing tables or resources.</w:t>
            </w:r>
          </w:p>
        </w:tc>
        <w:tc>
          <w:tcPr>
            <w:tcW w:w="2122" w:type="pct"/>
          </w:tcPr>
          <w:p w14:paraId="75ACDA3C" w14:textId="366204D3"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committee agreed that is not possible to be more specific as it will depend on individual patient factors such as eGFR level and comorbidities.  They were unaware of any dosing tables or resources.  The recommendation has been edited and now refers to lower starting doses.</w:t>
            </w:r>
          </w:p>
        </w:tc>
      </w:tr>
      <w:tr w:rsidR="00897293" w:rsidRPr="00CC6553" w14:paraId="317B35FF" w14:textId="77777777" w:rsidTr="00897293">
        <w:trPr>
          <w:trHeight w:val="300"/>
        </w:trPr>
        <w:tc>
          <w:tcPr>
            <w:tcW w:w="109" w:type="pct"/>
          </w:tcPr>
          <w:p w14:paraId="5DA95ED9" w14:textId="77777777" w:rsidR="00897293" w:rsidRPr="00CC6553" w:rsidRDefault="00897293" w:rsidP="00B234F1">
            <w:pPr>
              <w:rPr>
                <w:rFonts w:cs="Arial"/>
                <w:color w:val="000000" w:themeColor="text1"/>
                <w:sz w:val="20"/>
              </w:rPr>
            </w:pPr>
            <w:r w:rsidRPr="00CC6553">
              <w:rPr>
                <w:rFonts w:cs="Arial"/>
                <w:color w:val="000000" w:themeColor="text1"/>
                <w:sz w:val="20"/>
              </w:rPr>
              <w:t>173</w:t>
            </w:r>
          </w:p>
        </w:tc>
        <w:tc>
          <w:tcPr>
            <w:tcW w:w="143" w:type="pct"/>
          </w:tcPr>
          <w:p w14:paraId="45A8801A" w14:textId="58ED4C38"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C474B0C" w14:textId="2291F77B"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0616F0E4" w14:textId="54CFFC2E"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3924131A" w14:textId="4A0A4A06"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37FD8FBB" w14:textId="07C6B5CE" w:rsidR="00897293" w:rsidRPr="00CC6553" w:rsidRDefault="00897293" w:rsidP="00B234F1">
            <w:pPr>
              <w:rPr>
                <w:rFonts w:cs="Arial"/>
                <w:color w:val="000000" w:themeColor="text1"/>
                <w:sz w:val="20"/>
              </w:rPr>
            </w:pPr>
            <w:r w:rsidRPr="00CC6553">
              <w:rPr>
                <w:rFonts w:cs="Arial"/>
                <w:color w:val="000000" w:themeColor="text1"/>
                <w:sz w:val="20"/>
              </w:rPr>
              <w:t>001</w:t>
            </w:r>
          </w:p>
        </w:tc>
        <w:tc>
          <w:tcPr>
            <w:tcW w:w="1521" w:type="pct"/>
          </w:tcPr>
          <w:p w14:paraId="157FD71F" w14:textId="6D394958" w:rsidR="00897293" w:rsidRPr="00CC6553" w:rsidRDefault="00897293" w:rsidP="00B234F1">
            <w:pPr>
              <w:rPr>
                <w:rFonts w:cs="Arial"/>
                <w:color w:val="000000" w:themeColor="text1"/>
                <w:sz w:val="20"/>
              </w:rPr>
            </w:pPr>
            <w:r w:rsidRPr="00CC6553">
              <w:rPr>
                <w:rFonts w:cs="Arial"/>
                <w:color w:val="000000" w:themeColor="text1"/>
                <w:sz w:val="20"/>
              </w:rPr>
              <w:t>1.6.2 – might it be possible to amend the eGFR from 45ml/min to between 30-60ml/min; this will allow for alignment with recommendations within SPC/drug monographs regarding dosing in the context of renal impairment</w:t>
            </w:r>
          </w:p>
        </w:tc>
        <w:tc>
          <w:tcPr>
            <w:tcW w:w="2122" w:type="pct"/>
          </w:tcPr>
          <w:p w14:paraId="646C8019" w14:textId="4973B911"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Thank you for your comment.  The evidence for this recommendation can be found in section 6.2.6 </w:t>
            </w:r>
            <w:hyperlink r:id="rId36" w:history="1">
              <w:r w:rsidRPr="009B3C47">
                <w:rPr>
                  <w:b w:val="0"/>
                  <w:color w:val="000000" w:themeColor="text1"/>
                  <w:sz w:val="20"/>
                  <w:u w:val="single"/>
                </w:rPr>
                <w:t>NG106 Full guideline</w:t>
              </w:r>
            </w:hyperlink>
            <w:r w:rsidRPr="00CC6553">
              <w:rPr>
                <w:rFonts w:cs="Arial"/>
                <w:b w:val="0"/>
                <w:color w:val="000000" w:themeColor="text1"/>
                <w:sz w:val="20"/>
              </w:rPr>
              <w:t>. The scope of this update was the pharmacological management of chronic heart failure https://www.nice.org.uk/guidance/gid-ng10405/documents/final-scope and the committee is therefore only able to make editorial changes or minimal changes for consistency or clarification to recommendations on areas outside of this</w:t>
            </w:r>
            <w:r w:rsidRPr="6763097B">
              <w:rPr>
                <w:rFonts w:cs="Arial"/>
                <w:b w:val="0"/>
                <w:bCs w:val="0"/>
                <w:color w:val="000000" w:themeColor="text1"/>
                <w:sz w:val="20"/>
              </w:rPr>
              <w:t xml:space="preserve">.  We will pass </w:t>
            </w:r>
            <w:r w:rsidRPr="6763097B">
              <w:rPr>
                <w:rFonts w:cs="Arial"/>
                <w:b w:val="0"/>
                <w:bCs w:val="0"/>
                <w:color w:val="000000" w:themeColor="text1"/>
                <w:sz w:val="20"/>
              </w:rPr>
              <w:lastRenderedPageBreak/>
              <w:t>your comment to the NICE surveillance team which monitor key events relevant to the guideline.</w:t>
            </w:r>
          </w:p>
        </w:tc>
      </w:tr>
      <w:tr w:rsidR="00897293" w:rsidRPr="00CC6553" w14:paraId="164B8872" w14:textId="77777777" w:rsidTr="00897293">
        <w:trPr>
          <w:trHeight w:val="300"/>
        </w:trPr>
        <w:tc>
          <w:tcPr>
            <w:tcW w:w="109" w:type="pct"/>
          </w:tcPr>
          <w:p w14:paraId="5ED3353A"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174</w:t>
            </w:r>
          </w:p>
        </w:tc>
        <w:tc>
          <w:tcPr>
            <w:tcW w:w="143" w:type="pct"/>
          </w:tcPr>
          <w:p w14:paraId="67ADD7BF" w14:textId="49BFA6EF"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33AA6E3" w14:textId="5874034D" w:rsidR="00897293" w:rsidRPr="00CC6553" w:rsidRDefault="00897293" w:rsidP="00B234F1">
            <w:pPr>
              <w:rPr>
                <w:rFonts w:cs="Arial"/>
                <w:bCs/>
                <w:iCs/>
                <w:color w:val="000000" w:themeColor="text1"/>
                <w:sz w:val="20"/>
              </w:rPr>
            </w:pPr>
            <w:r w:rsidRPr="00CC6553">
              <w:rPr>
                <w:rFonts w:cs="Arial"/>
                <w:color w:val="000000" w:themeColor="text1"/>
                <w:sz w:val="20"/>
              </w:rPr>
              <w:t>UK Clinical Pharmacy Association (UKCPA) – heart failure committee</w:t>
            </w:r>
          </w:p>
        </w:tc>
        <w:tc>
          <w:tcPr>
            <w:tcW w:w="279" w:type="pct"/>
          </w:tcPr>
          <w:p w14:paraId="4C21068A" w14:textId="75AF9110"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2A04BF31" w14:textId="6B5D08D2"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1327733A" w14:textId="6B2863C9" w:rsidR="00897293" w:rsidRPr="00CC6553" w:rsidRDefault="00897293" w:rsidP="00B234F1">
            <w:pPr>
              <w:rPr>
                <w:rFonts w:cs="Arial"/>
                <w:color w:val="000000" w:themeColor="text1"/>
                <w:sz w:val="20"/>
              </w:rPr>
            </w:pPr>
            <w:r w:rsidRPr="00CC6553">
              <w:rPr>
                <w:rFonts w:cs="Arial"/>
                <w:color w:val="000000" w:themeColor="text1"/>
                <w:sz w:val="20"/>
              </w:rPr>
              <w:t>001</w:t>
            </w:r>
          </w:p>
        </w:tc>
        <w:tc>
          <w:tcPr>
            <w:tcW w:w="1521" w:type="pct"/>
          </w:tcPr>
          <w:p w14:paraId="6B7C22ED" w14:textId="07890DD5" w:rsidR="00897293" w:rsidRPr="00CC6553" w:rsidRDefault="00897293" w:rsidP="00B234F1">
            <w:pPr>
              <w:rPr>
                <w:rFonts w:cs="Arial"/>
                <w:color w:val="000000" w:themeColor="text1"/>
                <w:sz w:val="20"/>
              </w:rPr>
            </w:pPr>
            <w:r w:rsidRPr="00CC6553">
              <w:rPr>
                <w:rFonts w:cs="Arial"/>
                <w:color w:val="000000" w:themeColor="text1"/>
                <w:sz w:val="20"/>
              </w:rPr>
              <w:t>We support the recommendation</w:t>
            </w:r>
          </w:p>
        </w:tc>
        <w:tc>
          <w:tcPr>
            <w:tcW w:w="2122" w:type="pct"/>
          </w:tcPr>
          <w:p w14:paraId="1454DA68" w14:textId="19AF2E69"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w:t>
            </w:r>
          </w:p>
        </w:tc>
      </w:tr>
      <w:tr w:rsidR="00897293" w:rsidRPr="00CC6553" w14:paraId="7F39A7B8" w14:textId="77777777" w:rsidTr="00897293">
        <w:trPr>
          <w:trHeight w:val="300"/>
        </w:trPr>
        <w:tc>
          <w:tcPr>
            <w:tcW w:w="109" w:type="pct"/>
          </w:tcPr>
          <w:p w14:paraId="6ABE4DE3" w14:textId="77777777" w:rsidR="00897293" w:rsidRPr="00CC6553" w:rsidRDefault="00897293" w:rsidP="00B234F1">
            <w:pPr>
              <w:rPr>
                <w:rFonts w:cs="Arial"/>
                <w:color w:val="000000" w:themeColor="text1"/>
                <w:sz w:val="20"/>
              </w:rPr>
            </w:pPr>
            <w:r w:rsidRPr="00CC6553">
              <w:rPr>
                <w:rFonts w:cs="Arial"/>
                <w:color w:val="000000" w:themeColor="text1"/>
                <w:sz w:val="20"/>
              </w:rPr>
              <w:t>175</w:t>
            </w:r>
          </w:p>
        </w:tc>
        <w:tc>
          <w:tcPr>
            <w:tcW w:w="143" w:type="pct"/>
          </w:tcPr>
          <w:p w14:paraId="21BEDA74" w14:textId="2FE468F1"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31CF5794" w14:textId="689AA0BE" w:rsidR="00897293" w:rsidRPr="00CC6553" w:rsidRDefault="00897293" w:rsidP="00B234F1">
            <w:pPr>
              <w:rPr>
                <w:rFonts w:cs="Arial"/>
                <w:bCs/>
                <w:iCs/>
                <w:color w:val="000000" w:themeColor="text1"/>
                <w:sz w:val="20"/>
              </w:rPr>
            </w:pPr>
            <w:r w:rsidRPr="00CC6553">
              <w:rPr>
                <w:rFonts w:cs="Arial"/>
                <w:color w:val="000000" w:themeColor="text1"/>
                <w:sz w:val="20"/>
              </w:rPr>
              <w:t>NHS South Yorkshire ICB</w:t>
            </w:r>
          </w:p>
        </w:tc>
        <w:tc>
          <w:tcPr>
            <w:tcW w:w="279" w:type="pct"/>
          </w:tcPr>
          <w:p w14:paraId="7A5F8E85" w14:textId="0F1585E6"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3EEB88A4" w14:textId="47BE791C"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6CE5CD06" w14:textId="7138F59E" w:rsidR="00897293" w:rsidRPr="00CC6553" w:rsidRDefault="00897293" w:rsidP="00B234F1">
            <w:pPr>
              <w:rPr>
                <w:rFonts w:cs="Arial"/>
                <w:color w:val="000000" w:themeColor="text1"/>
                <w:sz w:val="20"/>
              </w:rPr>
            </w:pPr>
            <w:r w:rsidRPr="00CC6553">
              <w:rPr>
                <w:rFonts w:cs="Arial"/>
                <w:color w:val="000000" w:themeColor="text1"/>
                <w:sz w:val="20"/>
              </w:rPr>
              <w:t>001</w:t>
            </w:r>
          </w:p>
        </w:tc>
        <w:tc>
          <w:tcPr>
            <w:tcW w:w="1521" w:type="pct"/>
          </w:tcPr>
          <w:p w14:paraId="46F74A07" w14:textId="3133B56C" w:rsidR="00897293" w:rsidRPr="00CC6553" w:rsidRDefault="00897293" w:rsidP="00B234F1">
            <w:pPr>
              <w:rPr>
                <w:rFonts w:cs="Arial"/>
                <w:color w:val="000000" w:themeColor="text1"/>
                <w:sz w:val="20"/>
              </w:rPr>
            </w:pPr>
            <w:r w:rsidRPr="00CC6553">
              <w:rPr>
                <w:rFonts w:cs="Arial"/>
                <w:color w:val="000000" w:themeColor="text1"/>
                <w:sz w:val="20"/>
              </w:rPr>
              <w:t>Please clarify the guidance regarding patients not previously under heart failure specialist care who have an eGFR &lt;30 ml/min/1.73 m². Should all such patients be referred to a heart failure specialist multidisciplinary team, regardless of their ejection fraction?</w:t>
            </w:r>
          </w:p>
        </w:tc>
        <w:tc>
          <w:tcPr>
            <w:tcW w:w="2122" w:type="pct"/>
          </w:tcPr>
          <w:p w14:paraId="17DFC949" w14:textId="42373DDB"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scope of this update was the pharmacological management of chronic heart failure https://www.nice.org.uk/guidance/gid-ng10405/documents/final-scope and the committee is therefore only able to make editorial changes or minimal changes for consistency or clarification to recommendations on areas outside of this.</w:t>
            </w:r>
          </w:p>
        </w:tc>
      </w:tr>
      <w:tr w:rsidR="00897293" w:rsidRPr="00CC6553" w14:paraId="3C495A07" w14:textId="77777777" w:rsidTr="00897293">
        <w:trPr>
          <w:trHeight w:val="300"/>
        </w:trPr>
        <w:tc>
          <w:tcPr>
            <w:tcW w:w="109" w:type="pct"/>
          </w:tcPr>
          <w:p w14:paraId="61E43281" w14:textId="77777777" w:rsidR="00897293" w:rsidRPr="00CC6553" w:rsidRDefault="00897293" w:rsidP="00B234F1">
            <w:pPr>
              <w:rPr>
                <w:rFonts w:cs="Arial"/>
                <w:color w:val="000000" w:themeColor="text1"/>
                <w:sz w:val="20"/>
              </w:rPr>
            </w:pPr>
            <w:r w:rsidRPr="00CC6553">
              <w:rPr>
                <w:rFonts w:cs="Arial"/>
                <w:color w:val="000000" w:themeColor="text1"/>
                <w:sz w:val="20"/>
              </w:rPr>
              <w:t>176</w:t>
            </w:r>
          </w:p>
        </w:tc>
        <w:tc>
          <w:tcPr>
            <w:tcW w:w="143" w:type="pct"/>
          </w:tcPr>
          <w:p w14:paraId="0A727807" w14:textId="27C3B000"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4734D01" w14:textId="1943B995"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365DFC80" w14:textId="56334AD7"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4EAC8BDF" w14:textId="08CAFF6A"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4C7ECDE4" w14:textId="6EB528CC" w:rsidR="00897293" w:rsidRPr="00CC6553" w:rsidRDefault="00897293" w:rsidP="00B234F1">
            <w:pPr>
              <w:rPr>
                <w:rFonts w:cs="Arial"/>
                <w:color w:val="000000" w:themeColor="text1"/>
                <w:sz w:val="20"/>
              </w:rPr>
            </w:pPr>
            <w:r w:rsidRPr="00CC6553">
              <w:rPr>
                <w:rFonts w:cs="Arial"/>
                <w:color w:val="000000" w:themeColor="text1"/>
                <w:sz w:val="20"/>
              </w:rPr>
              <w:t>001 - 003</w:t>
            </w:r>
          </w:p>
        </w:tc>
        <w:tc>
          <w:tcPr>
            <w:tcW w:w="1521" w:type="pct"/>
          </w:tcPr>
          <w:p w14:paraId="37AD828A" w14:textId="36EB0927" w:rsidR="00897293" w:rsidRPr="00CC6553" w:rsidRDefault="00897293" w:rsidP="00B234F1">
            <w:pPr>
              <w:rPr>
                <w:rFonts w:cs="Arial"/>
                <w:color w:val="000000" w:themeColor="text1"/>
                <w:sz w:val="20"/>
              </w:rPr>
            </w:pPr>
            <w:r w:rsidRPr="00CC6553">
              <w:rPr>
                <w:rFonts w:cs="Arial"/>
                <w:color w:val="000000" w:themeColor="text1"/>
                <w:sz w:val="20"/>
              </w:rPr>
              <w:t>Section1.6.2</w:t>
            </w:r>
            <w:r w:rsidRPr="00CC6553">
              <w:rPr>
                <w:rFonts w:cs="Arial"/>
                <w:color w:val="000000" w:themeColor="text1"/>
                <w:sz w:val="20"/>
              </w:rPr>
              <w:br/>
            </w:r>
            <w:r w:rsidRPr="00CC6553">
              <w:rPr>
                <w:rFonts w:cs="Arial"/>
                <w:color w:val="000000" w:themeColor="text1"/>
                <w:sz w:val="20"/>
              </w:rPr>
              <w:br/>
              <w:t>In this scenario many nephrologists would recommend a renal USS to exclude obstruction and urine test for ACR. Is it worth adding ‘and consider renal USS and urine ACR’?</w:t>
            </w:r>
          </w:p>
        </w:tc>
        <w:tc>
          <w:tcPr>
            <w:tcW w:w="2122" w:type="pct"/>
          </w:tcPr>
          <w:p w14:paraId="1675B264" w14:textId="0C4C1A1F"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scope of this update was the pharmacological management of chronic heart failure https://www.nice.org.uk/guidance/gid-ng10405/documents/final-scope and the committee is therefore only able to make editorial changes or minimal changes for consistency or clarification to recommendations on areas outside of this.</w:t>
            </w:r>
          </w:p>
        </w:tc>
      </w:tr>
      <w:tr w:rsidR="00897293" w:rsidRPr="00CC6553" w14:paraId="2B2EE3B1" w14:textId="77777777" w:rsidTr="00897293">
        <w:trPr>
          <w:trHeight w:val="300"/>
        </w:trPr>
        <w:tc>
          <w:tcPr>
            <w:tcW w:w="109" w:type="pct"/>
          </w:tcPr>
          <w:p w14:paraId="650FA51E"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177</w:t>
            </w:r>
          </w:p>
        </w:tc>
        <w:tc>
          <w:tcPr>
            <w:tcW w:w="143" w:type="pct"/>
          </w:tcPr>
          <w:p w14:paraId="243E634A" w14:textId="71CAFE7F"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0873DD3C" w14:textId="037A5EC9" w:rsidR="00897293" w:rsidRPr="00CC6553" w:rsidRDefault="00897293" w:rsidP="00B234F1">
            <w:pPr>
              <w:rPr>
                <w:rFonts w:cs="Arial"/>
                <w:bCs/>
                <w:iCs/>
                <w:color w:val="000000" w:themeColor="text1"/>
                <w:sz w:val="20"/>
              </w:rPr>
            </w:pPr>
            <w:r w:rsidRPr="00CC6553">
              <w:rPr>
                <w:rFonts w:cs="Arial"/>
                <w:color w:val="000000" w:themeColor="text1"/>
                <w:sz w:val="20"/>
              </w:rPr>
              <w:t>Portsmouth Hospitals University NHS Trust</w:t>
            </w:r>
          </w:p>
        </w:tc>
        <w:tc>
          <w:tcPr>
            <w:tcW w:w="279" w:type="pct"/>
          </w:tcPr>
          <w:p w14:paraId="5FFB07FC" w14:textId="6E8C54A8"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3C6E296F" w14:textId="1898B2A9"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69386DD3" w14:textId="350ABA2A" w:rsidR="00897293" w:rsidRPr="00CC6553" w:rsidRDefault="00897293" w:rsidP="00B234F1">
            <w:pPr>
              <w:rPr>
                <w:rFonts w:cs="Arial"/>
                <w:color w:val="000000" w:themeColor="text1"/>
                <w:sz w:val="20"/>
              </w:rPr>
            </w:pPr>
            <w:r w:rsidRPr="00CC6553">
              <w:rPr>
                <w:rFonts w:cs="Arial"/>
                <w:color w:val="000000" w:themeColor="text1"/>
                <w:sz w:val="20"/>
              </w:rPr>
              <w:t>001 - 003</w:t>
            </w:r>
          </w:p>
        </w:tc>
        <w:tc>
          <w:tcPr>
            <w:tcW w:w="1521" w:type="pct"/>
          </w:tcPr>
          <w:p w14:paraId="34DA2413" w14:textId="77949CA5" w:rsidR="00897293" w:rsidRPr="00CC6553" w:rsidRDefault="00897293" w:rsidP="00B234F1">
            <w:pPr>
              <w:rPr>
                <w:rFonts w:cs="Arial"/>
                <w:color w:val="000000" w:themeColor="text1"/>
                <w:sz w:val="20"/>
              </w:rPr>
            </w:pPr>
            <w:r w:rsidRPr="00CC6553">
              <w:rPr>
                <w:rFonts w:cs="Arial"/>
                <w:color w:val="000000" w:themeColor="text1"/>
                <w:sz w:val="20"/>
              </w:rPr>
              <w:t>Section1.6.2</w:t>
            </w:r>
            <w:r w:rsidRPr="00CC6553">
              <w:rPr>
                <w:rFonts w:cs="Arial"/>
                <w:color w:val="000000" w:themeColor="text1"/>
                <w:sz w:val="20"/>
              </w:rPr>
              <w:br/>
            </w:r>
            <w:r w:rsidRPr="00CC6553">
              <w:rPr>
                <w:rFonts w:cs="Arial"/>
                <w:color w:val="000000" w:themeColor="text1"/>
                <w:sz w:val="20"/>
              </w:rPr>
              <w:br/>
              <w:t>In this scenario many nephrologists would recommend a renal USS to exclude obstruction and urine test for ACR. Is it worth adding ‘and consider renal USS and urine ACR’?</w:t>
            </w:r>
          </w:p>
        </w:tc>
        <w:tc>
          <w:tcPr>
            <w:tcW w:w="2122" w:type="pct"/>
          </w:tcPr>
          <w:p w14:paraId="2FA6C060" w14:textId="3B6A8484"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scope of this update was the pharmacological management of chronic heart failure https://www.nice.org.uk/guidance/gid-ng10405/documents/final-scope and the committee is therefore only able to make editorial changes or minimal changes for consistency or clarification to recommendations on areas outside of this.</w:t>
            </w:r>
          </w:p>
        </w:tc>
      </w:tr>
      <w:tr w:rsidR="00897293" w:rsidRPr="00CC6553" w14:paraId="0C15729E" w14:textId="77777777" w:rsidTr="00897293">
        <w:trPr>
          <w:trHeight w:val="300"/>
        </w:trPr>
        <w:tc>
          <w:tcPr>
            <w:tcW w:w="109" w:type="pct"/>
          </w:tcPr>
          <w:p w14:paraId="40E1B559" w14:textId="77777777" w:rsidR="00897293" w:rsidRPr="00CC6553" w:rsidRDefault="00897293" w:rsidP="00B234F1">
            <w:pPr>
              <w:rPr>
                <w:rFonts w:cs="Arial"/>
                <w:color w:val="000000" w:themeColor="text1"/>
                <w:sz w:val="20"/>
              </w:rPr>
            </w:pPr>
            <w:r w:rsidRPr="00CC6553">
              <w:rPr>
                <w:rFonts w:cs="Arial"/>
                <w:color w:val="000000" w:themeColor="text1"/>
                <w:sz w:val="20"/>
              </w:rPr>
              <w:t>178</w:t>
            </w:r>
          </w:p>
        </w:tc>
        <w:tc>
          <w:tcPr>
            <w:tcW w:w="143" w:type="pct"/>
          </w:tcPr>
          <w:p w14:paraId="2DF6EC14" w14:textId="1B4A5969"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74CB7F73" w14:textId="0E54C12D" w:rsidR="00897293" w:rsidRPr="00CC6553" w:rsidRDefault="00897293" w:rsidP="00B234F1">
            <w:pPr>
              <w:rPr>
                <w:rFonts w:cs="Arial"/>
                <w:bCs/>
                <w:iCs/>
                <w:color w:val="000000" w:themeColor="text1"/>
                <w:sz w:val="20"/>
              </w:rPr>
            </w:pPr>
            <w:r w:rsidRPr="00CC6553">
              <w:rPr>
                <w:rFonts w:cs="Arial"/>
                <w:color w:val="000000" w:themeColor="text1"/>
                <w:sz w:val="20"/>
              </w:rPr>
              <w:t>UK Clinical Pharmacy Association (UKCPA) – heart failure committee</w:t>
            </w:r>
          </w:p>
        </w:tc>
        <w:tc>
          <w:tcPr>
            <w:tcW w:w="279" w:type="pct"/>
          </w:tcPr>
          <w:p w14:paraId="3DE543DB" w14:textId="64839F61"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1F6903C0" w14:textId="288649BF"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1AC19267" w14:textId="42C7E161" w:rsidR="00897293" w:rsidRPr="00CC6553" w:rsidRDefault="00897293" w:rsidP="00B234F1">
            <w:pPr>
              <w:rPr>
                <w:rFonts w:cs="Arial"/>
                <w:color w:val="000000" w:themeColor="text1"/>
                <w:sz w:val="20"/>
              </w:rPr>
            </w:pPr>
            <w:r w:rsidRPr="00CC6553">
              <w:rPr>
                <w:rFonts w:cs="Arial"/>
                <w:color w:val="000000" w:themeColor="text1"/>
                <w:sz w:val="20"/>
              </w:rPr>
              <w:t>006</w:t>
            </w:r>
          </w:p>
        </w:tc>
        <w:tc>
          <w:tcPr>
            <w:tcW w:w="1521" w:type="pct"/>
          </w:tcPr>
          <w:p w14:paraId="0F1A2EFF" w14:textId="091E1A89" w:rsidR="00897293" w:rsidRPr="00CC6553" w:rsidRDefault="00897293" w:rsidP="00B234F1">
            <w:pPr>
              <w:rPr>
                <w:rFonts w:cs="Arial"/>
                <w:color w:val="000000" w:themeColor="text1"/>
                <w:sz w:val="20"/>
              </w:rPr>
            </w:pPr>
            <w:r w:rsidRPr="00CC6553">
              <w:rPr>
                <w:rFonts w:cs="Arial"/>
                <w:color w:val="000000" w:themeColor="text1"/>
                <w:sz w:val="20"/>
              </w:rPr>
              <w:t>We support the recommendation</w:t>
            </w:r>
          </w:p>
        </w:tc>
        <w:tc>
          <w:tcPr>
            <w:tcW w:w="2122" w:type="pct"/>
          </w:tcPr>
          <w:p w14:paraId="7A899B3D" w14:textId="0CDE4D3D"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w:t>
            </w:r>
          </w:p>
        </w:tc>
      </w:tr>
      <w:tr w:rsidR="00897293" w:rsidRPr="00CC6553" w14:paraId="329CCA21" w14:textId="77777777" w:rsidTr="00897293">
        <w:trPr>
          <w:trHeight w:val="300"/>
        </w:trPr>
        <w:tc>
          <w:tcPr>
            <w:tcW w:w="109" w:type="pct"/>
          </w:tcPr>
          <w:p w14:paraId="2DDAC9D4" w14:textId="77777777" w:rsidR="00897293" w:rsidRPr="00CC6553" w:rsidRDefault="00897293" w:rsidP="00B234F1">
            <w:pPr>
              <w:rPr>
                <w:rFonts w:cs="Arial"/>
                <w:color w:val="000000" w:themeColor="text1"/>
                <w:sz w:val="20"/>
              </w:rPr>
            </w:pPr>
            <w:r w:rsidRPr="00CC6553">
              <w:rPr>
                <w:rFonts w:cs="Arial"/>
                <w:color w:val="000000" w:themeColor="text1"/>
                <w:sz w:val="20"/>
              </w:rPr>
              <w:t>179</w:t>
            </w:r>
          </w:p>
        </w:tc>
        <w:tc>
          <w:tcPr>
            <w:tcW w:w="143" w:type="pct"/>
          </w:tcPr>
          <w:p w14:paraId="3D7D86DC" w14:textId="62ECBA81"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3AB6C48" w14:textId="2EBBE4AB" w:rsidR="00897293" w:rsidRPr="00CC6553" w:rsidRDefault="00897293" w:rsidP="00B234F1">
            <w:pPr>
              <w:rPr>
                <w:rFonts w:cs="Arial"/>
                <w:bCs/>
                <w:iCs/>
                <w:color w:val="000000" w:themeColor="text1"/>
                <w:sz w:val="20"/>
              </w:rPr>
            </w:pPr>
            <w:r w:rsidRPr="00CC6553">
              <w:rPr>
                <w:rFonts w:cs="Arial"/>
                <w:color w:val="000000" w:themeColor="text1"/>
                <w:sz w:val="20"/>
              </w:rPr>
              <w:t>Boehringer Ingelheim Ltd</w:t>
            </w:r>
          </w:p>
        </w:tc>
        <w:tc>
          <w:tcPr>
            <w:tcW w:w="279" w:type="pct"/>
          </w:tcPr>
          <w:p w14:paraId="3265CF23" w14:textId="79404CFC"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06C84869" w14:textId="32D649B9"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4C8E9DB0" w14:textId="61D70084" w:rsidR="00897293" w:rsidRPr="00CC6553" w:rsidRDefault="00897293" w:rsidP="00B234F1">
            <w:pPr>
              <w:rPr>
                <w:rFonts w:cs="Arial"/>
                <w:color w:val="000000" w:themeColor="text1"/>
                <w:sz w:val="20"/>
              </w:rPr>
            </w:pPr>
            <w:r w:rsidRPr="00CC6553">
              <w:rPr>
                <w:rFonts w:cs="Arial"/>
                <w:color w:val="000000" w:themeColor="text1"/>
                <w:sz w:val="20"/>
              </w:rPr>
              <w:t>006</w:t>
            </w:r>
          </w:p>
        </w:tc>
        <w:tc>
          <w:tcPr>
            <w:tcW w:w="1521" w:type="pct"/>
          </w:tcPr>
          <w:p w14:paraId="164455F6" w14:textId="103BBEA5" w:rsidR="00897293" w:rsidRPr="00CC6553" w:rsidRDefault="00897293" w:rsidP="00B234F1">
            <w:pPr>
              <w:rPr>
                <w:rFonts w:cs="Arial"/>
                <w:color w:val="000000" w:themeColor="text1"/>
                <w:sz w:val="20"/>
              </w:rPr>
            </w:pPr>
            <w:r w:rsidRPr="00CC6553">
              <w:rPr>
                <w:rFonts w:cs="Arial"/>
                <w:color w:val="000000" w:themeColor="text1"/>
                <w:sz w:val="20"/>
              </w:rPr>
              <w:t>Tailoring Treatment, Sec 1.7.1: While the selection of specific medicines, combinations, and dosages should be based on an individual’s medical history, prognosis, and preferences, it is also important to consider efficacy, safety and tolerability. Furthermore, this aligns with the statement on page 31 of the guideline, which indicates that the recommendations necessitate a shift from the stepwise introduction of medicines to the early initiation of multiple medicines before optimising the doses of each.</w:t>
            </w:r>
          </w:p>
        </w:tc>
        <w:tc>
          <w:tcPr>
            <w:tcW w:w="2122" w:type="pct"/>
          </w:tcPr>
          <w:p w14:paraId="56A27CDB" w14:textId="78FF8416"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recommendations are based on the clinical and health economic evidence which includes consideration of efficacy, safety and tolerability.</w:t>
            </w:r>
          </w:p>
        </w:tc>
      </w:tr>
      <w:tr w:rsidR="00897293" w:rsidRPr="00CC6553" w14:paraId="20B0F7B4" w14:textId="77777777" w:rsidTr="00897293">
        <w:trPr>
          <w:trHeight w:val="300"/>
        </w:trPr>
        <w:tc>
          <w:tcPr>
            <w:tcW w:w="109" w:type="pct"/>
          </w:tcPr>
          <w:p w14:paraId="44033565" w14:textId="77777777" w:rsidR="00897293" w:rsidRPr="00CC6553" w:rsidRDefault="00897293" w:rsidP="00B234F1">
            <w:pPr>
              <w:rPr>
                <w:rFonts w:cs="Arial"/>
                <w:color w:val="000000" w:themeColor="text1"/>
                <w:sz w:val="20"/>
              </w:rPr>
            </w:pPr>
            <w:r w:rsidRPr="00CC6553">
              <w:rPr>
                <w:rFonts w:cs="Arial"/>
                <w:color w:val="000000" w:themeColor="text1"/>
                <w:sz w:val="20"/>
              </w:rPr>
              <w:t>180</w:t>
            </w:r>
          </w:p>
        </w:tc>
        <w:tc>
          <w:tcPr>
            <w:tcW w:w="143" w:type="pct"/>
          </w:tcPr>
          <w:p w14:paraId="4A2442A0" w14:textId="5F0D68A0"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C1CD348" w14:textId="2073B42B"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28E26539" w14:textId="11D39AA2"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1051FD1F" w14:textId="7DDFF77D"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346857B1" w14:textId="142670EC" w:rsidR="00897293" w:rsidRPr="00CC6553" w:rsidRDefault="00897293" w:rsidP="00B234F1">
            <w:pPr>
              <w:rPr>
                <w:rFonts w:cs="Arial"/>
                <w:color w:val="000000" w:themeColor="text1"/>
                <w:sz w:val="20"/>
              </w:rPr>
            </w:pPr>
            <w:r w:rsidRPr="00CC6553">
              <w:rPr>
                <w:rFonts w:cs="Arial"/>
                <w:color w:val="000000" w:themeColor="text1"/>
                <w:sz w:val="20"/>
              </w:rPr>
              <w:t>006 - 012</w:t>
            </w:r>
          </w:p>
        </w:tc>
        <w:tc>
          <w:tcPr>
            <w:tcW w:w="1521" w:type="pct"/>
          </w:tcPr>
          <w:p w14:paraId="21F8FB71" w14:textId="21C6C09D" w:rsidR="00897293" w:rsidRPr="00CC6553" w:rsidRDefault="00897293" w:rsidP="00B234F1">
            <w:pPr>
              <w:rPr>
                <w:rFonts w:cs="Arial"/>
                <w:color w:val="000000" w:themeColor="text1"/>
                <w:sz w:val="20"/>
              </w:rPr>
            </w:pPr>
            <w:r w:rsidRPr="00CC6553">
              <w:rPr>
                <w:rFonts w:cs="Arial"/>
                <w:color w:val="000000" w:themeColor="text1"/>
                <w:sz w:val="20"/>
              </w:rPr>
              <w:t>Section 1.7.2. The recommendation to only use medicines licensed for heart failure/base the choice of specific medicines covered by recommendations given earlier in the guideline is problematic, especially in a section entitled ‘tailoring treatment’.</w:t>
            </w:r>
            <w:r w:rsidRPr="00CC6553">
              <w:rPr>
                <w:rFonts w:cs="Arial"/>
                <w:color w:val="000000" w:themeColor="text1"/>
                <w:sz w:val="20"/>
              </w:rPr>
              <w:br/>
            </w:r>
            <w:r w:rsidRPr="00CC6553">
              <w:rPr>
                <w:rFonts w:cs="Arial"/>
                <w:color w:val="000000" w:themeColor="text1"/>
                <w:sz w:val="20"/>
              </w:rPr>
              <w:br/>
              <w:t>Recommendations 1.4.1, 1.4.3, 1.4.4, 1.5.1, 1.5.2 and 1.5.3 fail to include medications given for forms of cardiomyopathy – a leading cause of heart failure.</w:t>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lastRenderedPageBreak/>
              <w:t>Within the guideline, it specifies that aetiology and precipitating factors should be considered when a diagnosis of heart failure has been made (p9, lines 17-19 / section 1.2.14). Assuming this aetiology includes either hypertrophic obstructive cardiomyopathy or ATTR-cardiomyopathy, one would hope that clinicians consider treating with mavacamten/tafamidis.</w:t>
            </w:r>
            <w:r w:rsidRPr="00CC6553">
              <w:rPr>
                <w:rFonts w:cs="Arial"/>
                <w:color w:val="000000" w:themeColor="text1"/>
                <w:sz w:val="20"/>
              </w:rPr>
              <w:br/>
            </w:r>
            <w:r w:rsidRPr="00CC6553">
              <w:rPr>
                <w:rFonts w:cs="Arial"/>
                <w:color w:val="000000" w:themeColor="text1"/>
                <w:sz w:val="20"/>
              </w:rPr>
              <w:br/>
              <w:t xml:space="preserve">The NICE guidance on mavacamten states that it is recommended as an option for treating symptomatic hypertrophic cardiomyopathy as an add on therapy, in adults who have New York Heart Association class of 2/3. But as written, the recommendation to only use medicines licensed for heart failure might be understood to exclude mavacamten, given there is no mention of the drug/cardiac myosin inhibitors in the document. </w:t>
            </w:r>
            <w:r w:rsidRPr="00CC6553">
              <w:rPr>
                <w:rFonts w:cs="Arial"/>
                <w:color w:val="000000" w:themeColor="text1"/>
                <w:sz w:val="20"/>
              </w:rPr>
              <w:br/>
            </w:r>
            <w:r w:rsidRPr="00CC6553">
              <w:rPr>
                <w:rFonts w:cs="Arial"/>
                <w:color w:val="000000" w:themeColor="text1"/>
                <w:sz w:val="20"/>
              </w:rPr>
              <w:br/>
              <w:t xml:space="preserve">The NICE guidance on tafamidis states that it is recommended, within its marketing authorisation, as an option for treating wild-type or hereditary transthyretin amyloidosis with cardiomyopathy (ATTRCM) in adults. The guidance also notes that ATTRCM is a progressive condition that can lead to heart failure. Of note, the guidance does not state that it is only be used as an add on therapy. </w:t>
            </w:r>
            <w:r w:rsidRPr="00CC6553">
              <w:rPr>
                <w:rFonts w:cs="Arial"/>
                <w:color w:val="000000" w:themeColor="text1"/>
                <w:sz w:val="20"/>
              </w:rPr>
              <w:br/>
            </w:r>
            <w:r w:rsidRPr="00CC6553">
              <w:rPr>
                <w:rFonts w:cs="Arial"/>
                <w:color w:val="000000" w:themeColor="text1"/>
                <w:sz w:val="20"/>
              </w:rPr>
              <w:br/>
              <w:t>We would suggest that the committee looks at revising the sentence to only use medicines licensed for heart failure, to make it clear that medicines licensed for heart failure should be used in the first instance in most cases (apart for particular cases/causes of heart failure where another therapy is available), with add on/alternate therapies added where needed as per the aetiology. This action is needed to bring the revised heart failure guidance in line both with itself (given the line about considering aetiology/precipitating factors) and in line with NICE’s wider guidance documents. Moreover, given the new drug coming down the line for cardiomyopathy, amending this line would also future proof the guidance.</w:t>
            </w:r>
          </w:p>
        </w:tc>
        <w:tc>
          <w:tcPr>
            <w:tcW w:w="2122" w:type="pct"/>
          </w:tcPr>
          <w:p w14:paraId="0FDD8A6B" w14:textId="48837B48" w:rsidR="00897293" w:rsidRPr="00CC6553" w:rsidRDefault="00897293" w:rsidP="476BDDBF">
            <w:pPr>
              <w:pStyle w:val="Heading1"/>
              <w:rPr>
                <w:rFonts w:cs="Arial"/>
                <w:b w:val="0"/>
                <w:bCs w:val="0"/>
                <w:color w:val="000000" w:themeColor="text1"/>
                <w:sz w:val="20"/>
              </w:rPr>
            </w:pPr>
            <w:r w:rsidRPr="00CC6553">
              <w:rPr>
                <w:rFonts w:cs="Arial"/>
                <w:b w:val="0"/>
                <w:bCs w:val="0"/>
                <w:color w:val="000000" w:themeColor="text1"/>
                <w:sz w:val="20"/>
              </w:rPr>
              <w:lastRenderedPageBreak/>
              <w:t>Thank you for your comment.  The committee has deleted this recommendation.</w:t>
            </w:r>
          </w:p>
          <w:p w14:paraId="3021E21B" w14:textId="7341CA9E" w:rsidR="00897293" w:rsidRPr="00CC6553" w:rsidRDefault="00897293" w:rsidP="476BDDBF">
            <w:pPr>
              <w:rPr>
                <w:color w:val="000000" w:themeColor="text1"/>
              </w:rPr>
            </w:pPr>
          </w:p>
          <w:p w14:paraId="54FBD546" w14:textId="43D9495C" w:rsidR="00897293" w:rsidRPr="00CC6553" w:rsidRDefault="00897293" w:rsidP="476BDDBF">
            <w:pPr>
              <w:rPr>
                <w:rFonts w:cs="Arial"/>
                <w:color w:val="000000" w:themeColor="text1"/>
                <w:sz w:val="20"/>
              </w:rPr>
            </w:pPr>
            <w:r w:rsidRPr="00CC6553">
              <w:rPr>
                <w:color w:val="000000" w:themeColor="text1"/>
              </w:rPr>
              <w:t>T</w:t>
            </w:r>
            <w:r w:rsidRPr="00CC6553">
              <w:rPr>
                <w:rFonts w:cs="Arial"/>
                <w:color w:val="000000" w:themeColor="text1"/>
                <w:sz w:val="20"/>
              </w:rPr>
              <w:t xml:space="preserve">he committee acknowledged that some trials in the evidence reviews may have included patients with </w:t>
            </w:r>
            <w:r w:rsidRPr="00CC6553">
              <w:rPr>
                <w:rFonts w:cs="Arial"/>
                <w:color w:val="000000" w:themeColor="text1"/>
                <w:sz w:val="20"/>
              </w:rPr>
              <w:lastRenderedPageBreak/>
              <w:t>cardiomyopathy. However, making specific recommendations for this population was outside of the scope (https://www.nice.org.uk/guidance/gid-ng10405/documents/final-scope).</w:t>
            </w:r>
          </w:p>
          <w:p w14:paraId="3ECC877E" w14:textId="05F0A905" w:rsidR="00897293" w:rsidRPr="00CC6553" w:rsidRDefault="00897293" w:rsidP="476BDDBF">
            <w:pPr>
              <w:rPr>
                <w:color w:val="000000" w:themeColor="text1"/>
              </w:rPr>
            </w:pPr>
          </w:p>
          <w:p w14:paraId="67D2E53B" w14:textId="394FF14C" w:rsidR="00897293" w:rsidRPr="00CC6553" w:rsidRDefault="00897293" w:rsidP="476BDDBF">
            <w:pPr>
              <w:rPr>
                <w:color w:val="000000" w:themeColor="text1"/>
              </w:rPr>
            </w:pPr>
          </w:p>
        </w:tc>
      </w:tr>
      <w:tr w:rsidR="00897293" w:rsidRPr="00CC6553" w14:paraId="3CF9C087" w14:textId="77777777" w:rsidTr="00897293">
        <w:trPr>
          <w:trHeight w:val="300"/>
        </w:trPr>
        <w:tc>
          <w:tcPr>
            <w:tcW w:w="109" w:type="pct"/>
          </w:tcPr>
          <w:p w14:paraId="401B841D"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181</w:t>
            </w:r>
          </w:p>
        </w:tc>
        <w:tc>
          <w:tcPr>
            <w:tcW w:w="143" w:type="pct"/>
          </w:tcPr>
          <w:p w14:paraId="7AA83090" w14:textId="60D80752"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215BF0F6" w14:textId="5A9DCF25" w:rsidR="00897293" w:rsidRPr="00CC6553" w:rsidRDefault="00897293" w:rsidP="00B234F1">
            <w:pPr>
              <w:rPr>
                <w:rFonts w:cs="Arial"/>
                <w:bCs/>
                <w:iCs/>
                <w:color w:val="000000" w:themeColor="text1"/>
                <w:sz w:val="20"/>
              </w:rPr>
            </w:pPr>
            <w:r w:rsidRPr="00CC6553">
              <w:rPr>
                <w:rFonts w:cs="Arial"/>
                <w:color w:val="000000" w:themeColor="text1"/>
                <w:sz w:val="20"/>
              </w:rPr>
              <w:t>Cardiomyopathy UK</w:t>
            </w:r>
          </w:p>
        </w:tc>
        <w:tc>
          <w:tcPr>
            <w:tcW w:w="279" w:type="pct"/>
          </w:tcPr>
          <w:p w14:paraId="5F37CF87" w14:textId="7320B008"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7B2156CA" w14:textId="480E0AD5"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490B810A" w14:textId="5DC264D2" w:rsidR="00897293" w:rsidRPr="00CC6553" w:rsidRDefault="00897293" w:rsidP="00B234F1">
            <w:pPr>
              <w:rPr>
                <w:rFonts w:cs="Arial"/>
                <w:color w:val="000000" w:themeColor="text1"/>
                <w:sz w:val="20"/>
              </w:rPr>
            </w:pPr>
            <w:r w:rsidRPr="00CC6553">
              <w:rPr>
                <w:rFonts w:cs="Arial"/>
                <w:color w:val="000000" w:themeColor="text1"/>
                <w:sz w:val="20"/>
              </w:rPr>
              <w:t>006 - 012</w:t>
            </w:r>
          </w:p>
        </w:tc>
        <w:tc>
          <w:tcPr>
            <w:tcW w:w="1521" w:type="pct"/>
          </w:tcPr>
          <w:p w14:paraId="596227A3" w14:textId="05A2A528" w:rsidR="00897293" w:rsidRPr="00CC6553" w:rsidRDefault="00897293" w:rsidP="00B234F1">
            <w:pPr>
              <w:rPr>
                <w:rFonts w:cs="Arial"/>
                <w:color w:val="000000" w:themeColor="text1"/>
                <w:sz w:val="20"/>
              </w:rPr>
            </w:pPr>
            <w:r w:rsidRPr="00CC6553">
              <w:rPr>
                <w:rFonts w:cs="Arial"/>
                <w:color w:val="000000" w:themeColor="text1"/>
                <w:sz w:val="20"/>
              </w:rPr>
              <w:t>Section 1.7.2. The recommendation to only use medicines licensed for heart failure/base the choice of specific medicines covered by recommendations given earlier in the guideline is problematic, especially in a section entitled ‘tailoring treatment’.</w:t>
            </w:r>
            <w:r w:rsidRPr="00CC6553">
              <w:rPr>
                <w:rFonts w:cs="Arial"/>
                <w:color w:val="000000" w:themeColor="text1"/>
                <w:sz w:val="20"/>
              </w:rPr>
              <w:br/>
            </w:r>
            <w:r w:rsidRPr="00CC6553">
              <w:rPr>
                <w:rFonts w:cs="Arial"/>
                <w:color w:val="000000" w:themeColor="text1"/>
                <w:sz w:val="20"/>
              </w:rPr>
              <w:lastRenderedPageBreak/>
              <w:br/>
              <w:t>Recommendations 1.4.1, 1.4.3, 1.4.4, 1.5.1, 1.5.2 and 1.5.3 fail to include medications given for forms of cardiomyopathy – a leading cause of heart failure.</w:t>
            </w:r>
            <w:r w:rsidRPr="00CC6553">
              <w:rPr>
                <w:rFonts w:cs="Arial"/>
                <w:color w:val="000000" w:themeColor="text1"/>
                <w:sz w:val="20"/>
              </w:rPr>
              <w:br/>
            </w:r>
            <w:r w:rsidRPr="00CC6553">
              <w:rPr>
                <w:rFonts w:cs="Arial"/>
                <w:color w:val="000000" w:themeColor="text1"/>
                <w:sz w:val="20"/>
              </w:rPr>
              <w:br/>
              <w:t>Within the guideline, it specifies that aetiology and precipitating factors should be considered when a diagnosis of heart failure has been made (p9, lines 17-19 / section 1.2.14). Assuming this aetiology includes either hypertrophic obstructive cardiomyopathy or ATTR-cardiomyopathy, one would hope that clinicians consider treating with mavacamten/tafamidis.</w:t>
            </w:r>
            <w:r w:rsidRPr="00CC6553">
              <w:rPr>
                <w:rFonts w:cs="Arial"/>
                <w:color w:val="000000" w:themeColor="text1"/>
                <w:sz w:val="20"/>
              </w:rPr>
              <w:br/>
            </w:r>
            <w:r w:rsidRPr="00CC6553">
              <w:rPr>
                <w:rFonts w:cs="Arial"/>
                <w:color w:val="000000" w:themeColor="text1"/>
                <w:sz w:val="20"/>
              </w:rPr>
              <w:br/>
              <w:t xml:space="preserve">The NICE guidance on mavacamten states that it is recommended as an option for treating symptomatic hypertrophic cardiomyopathy as an add on therapy, in adults who have New York Heart Association class of 2/3. But as written, the recommendation to only use medicines licensed for heart failure might be understood to exclude mavacamten, given there is no mention of the drug/cardiac myosin inhibitors in the document. </w:t>
            </w:r>
            <w:r w:rsidRPr="00CC6553">
              <w:rPr>
                <w:rFonts w:cs="Arial"/>
                <w:color w:val="000000" w:themeColor="text1"/>
                <w:sz w:val="20"/>
              </w:rPr>
              <w:br/>
            </w:r>
            <w:r w:rsidRPr="00CC6553">
              <w:rPr>
                <w:rFonts w:cs="Arial"/>
                <w:color w:val="000000" w:themeColor="text1"/>
                <w:sz w:val="20"/>
              </w:rPr>
              <w:br/>
              <w:t xml:space="preserve">The NICE guidance on tafamidis states that it is recommended, within its marketing authorisation, as an option for treating wild-type or hereditary transthyretin amyloidosis with cardiomyopathy (ATTRCM) in adults. The guidance also notes that ATTRCM is a progressive condition that can lead to heart failure. Of note, the guidance does not state that it is only be used as an add on therapy. </w:t>
            </w:r>
            <w:r w:rsidRPr="00CC6553">
              <w:rPr>
                <w:rFonts w:cs="Arial"/>
                <w:color w:val="000000" w:themeColor="text1"/>
                <w:sz w:val="20"/>
              </w:rPr>
              <w:br/>
            </w:r>
            <w:r w:rsidRPr="00CC6553">
              <w:rPr>
                <w:rFonts w:cs="Arial"/>
                <w:color w:val="000000" w:themeColor="text1"/>
                <w:sz w:val="20"/>
              </w:rPr>
              <w:br/>
              <w:t>We would suggest that the committee looks at revising the sentence to only use medicines licensed for heart failure, to make it clear that medicines licensed for heart failure should be used in the first instance in most cases (apart for particular cases/causes of heart failure where another therapy is available), with add on/alternate therapies added where needed as per the aetiology. This action is needed to bring the revised heart failure guidance in line both with itself (given the line about considering aetiology/precipitating factors) and in line with NICE’s wider guidance documents. Moreover, given the new drug coming down the line for cardiomyopathy, amending this line would also future proof the guidance.</w:t>
            </w:r>
          </w:p>
        </w:tc>
        <w:tc>
          <w:tcPr>
            <w:tcW w:w="2122" w:type="pct"/>
          </w:tcPr>
          <w:p w14:paraId="6D3E2970" w14:textId="3EDA5001" w:rsidR="00897293" w:rsidRPr="00CC6553" w:rsidRDefault="00897293" w:rsidP="476BDDBF">
            <w:pPr>
              <w:pStyle w:val="Heading1"/>
              <w:rPr>
                <w:rFonts w:cs="Arial"/>
                <w:b w:val="0"/>
                <w:bCs w:val="0"/>
                <w:color w:val="000000" w:themeColor="text1"/>
                <w:sz w:val="20"/>
              </w:rPr>
            </w:pPr>
            <w:r w:rsidRPr="00CC6553">
              <w:rPr>
                <w:rFonts w:cs="Arial"/>
                <w:b w:val="0"/>
                <w:bCs w:val="0"/>
                <w:color w:val="000000" w:themeColor="text1"/>
                <w:sz w:val="20"/>
              </w:rPr>
              <w:lastRenderedPageBreak/>
              <w:t>Thank you for your comment.  The committee has deleted this recommendation.</w:t>
            </w:r>
          </w:p>
          <w:p w14:paraId="4184BA66" w14:textId="77777777" w:rsidR="00897293" w:rsidRDefault="00897293" w:rsidP="00122B35"/>
          <w:p w14:paraId="3D6DD6BE" w14:textId="77777777" w:rsidR="00897293" w:rsidRPr="00CC6553" w:rsidRDefault="00897293" w:rsidP="00122B35">
            <w:pPr>
              <w:rPr>
                <w:rFonts w:cs="Arial"/>
                <w:color w:val="000000" w:themeColor="text1"/>
                <w:sz w:val="20"/>
              </w:rPr>
            </w:pPr>
            <w:r w:rsidRPr="00CC6553">
              <w:rPr>
                <w:color w:val="000000" w:themeColor="text1"/>
              </w:rPr>
              <w:lastRenderedPageBreak/>
              <w:t>T</w:t>
            </w:r>
            <w:r w:rsidRPr="00CC6553">
              <w:rPr>
                <w:rFonts w:cs="Arial"/>
                <w:color w:val="000000" w:themeColor="text1"/>
                <w:sz w:val="20"/>
              </w:rPr>
              <w:t>he committee acknowledged that some trials in the evidence reviews may have included patients with cardiomyopathy. However, making specific recommendations for this population was outside of the scope (https://www.nice.org.uk/guidance/gid-ng10405/documents/final-scope).</w:t>
            </w:r>
          </w:p>
          <w:p w14:paraId="3934EA6C" w14:textId="77777777" w:rsidR="00897293" w:rsidRPr="009B3C47" w:rsidRDefault="00897293" w:rsidP="009B3C47">
            <w:pPr>
              <w:rPr>
                <w:b/>
                <w:bCs/>
              </w:rPr>
            </w:pPr>
          </w:p>
          <w:p w14:paraId="25976B3D" w14:textId="4681D1EF" w:rsidR="00897293" w:rsidRPr="00CC6553" w:rsidRDefault="00897293" w:rsidP="476BDDBF">
            <w:pPr>
              <w:rPr>
                <w:color w:val="000000" w:themeColor="text1"/>
              </w:rPr>
            </w:pPr>
          </w:p>
        </w:tc>
      </w:tr>
      <w:tr w:rsidR="00897293" w:rsidRPr="00CC6553" w14:paraId="5AB49063" w14:textId="77777777" w:rsidTr="00897293">
        <w:trPr>
          <w:trHeight w:val="300"/>
        </w:trPr>
        <w:tc>
          <w:tcPr>
            <w:tcW w:w="109" w:type="pct"/>
          </w:tcPr>
          <w:p w14:paraId="545BCBD1"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182</w:t>
            </w:r>
          </w:p>
        </w:tc>
        <w:tc>
          <w:tcPr>
            <w:tcW w:w="143" w:type="pct"/>
          </w:tcPr>
          <w:p w14:paraId="60A6E36C" w14:textId="4BA6B357"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7D6F7F8C" w14:textId="553AF934" w:rsidR="00897293" w:rsidRPr="00CC6553" w:rsidRDefault="00897293" w:rsidP="00B234F1">
            <w:pPr>
              <w:rPr>
                <w:rFonts w:cs="Arial"/>
                <w:bCs/>
                <w:iCs/>
                <w:color w:val="000000" w:themeColor="text1"/>
                <w:sz w:val="20"/>
              </w:rPr>
            </w:pPr>
            <w:r w:rsidRPr="00CC6553">
              <w:rPr>
                <w:rFonts w:cs="Arial"/>
                <w:color w:val="000000" w:themeColor="text1"/>
                <w:sz w:val="20"/>
              </w:rPr>
              <w:t>Primary Care Cardiovascular Society (PCCS)</w:t>
            </w:r>
          </w:p>
        </w:tc>
        <w:tc>
          <w:tcPr>
            <w:tcW w:w="279" w:type="pct"/>
          </w:tcPr>
          <w:p w14:paraId="397D0B7B" w14:textId="52772F9C"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0D2E3DA3" w14:textId="416A46D8"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41FF426C" w14:textId="252C97C6" w:rsidR="00897293" w:rsidRPr="00CC6553" w:rsidRDefault="00897293" w:rsidP="00B234F1">
            <w:pPr>
              <w:rPr>
                <w:rFonts w:cs="Arial"/>
                <w:color w:val="000000" w:themeColor="text1"/>
                <w:sz w:val="20"/>
              </w:rPr>
            </w:pPr>
            <w:r w:rsidRPr="00CC6553">
              <w:rPr>
                <w:rFonts w:cs="Arial"/>
                <w:color w:val="000000" w:themeColor="text1"/>
                <w:sz w:val="20"/>
              </w:rPr>
              <w:t>009</w:t>
            </w:r>
          </w:p>
        </w:tc>
        <w:tc>
          <w:tcPr>
            <w:tcW w:w="1521" w:type="pct"/>
          </w:tcPr>
          <w:p w14:paraId="78A40984" w14:textId="0893017E" w:rsidR="00897293" w:rsidRPr="00CC6553" w:rsidRDefault="00897293" w:rsidP="00B234F1">
            <w:pPr>
              <w:rPr>
                <w:rFonts w:cs="Arial"/>
                <w:color w:val="000000" w:themeColor="text1"/>
                <w:sz w:val="20"/>
              </w:rPr>
            </w:pPr>
            <w:r w:rsidRPr="00CC6553">
              <w:rPr>
                <w:rFonts w:cs="Arial"/>
                <w:color w:val="000000" w:themeColor="text1"/>
                <w:sz w:val="20"/>
              </w:rPr>
              <w:t>Include recommendation to take into account frailty</w:t>
            </w:r>
          </w:p>
        </w:tc>
        <w:tc>
          <w:tcPr>
            <w:tcW w:w="2122" w:type="pct"/>
          </w:tcPr>
          <w:p w14:paraId="480DF674" w14:textId="465B14C8"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This recommendation has been edited in accordance with your suggestion.</w:t>
            </w:r>
          </w:p>
        </w:tc>
      </w:tr>
      <w:tr w:rsidR="00897293" w:rsidRPr="00CC6553" w14:paraId="42DD4F62" w14:textId="77777777" w:rsidTr="00897293">
        <w:trPr>
          <w:trHeight w:val="300"/>
        </w:trPr>
        <w:tc>
          <w:tcPr>
            <w:tcW w:w="109" w:type="pct"/>
          </w:tcPr>
          <w:p w14:paraId="5C141468" w14:textId="77777777" w:rsidR="00897293" w:rsidRPr="00CC6553" w:rsidRDefault="00897293" w:rsidP="00B234F1">
            <w:pPr>
              <w:rPr>
                <w:rFonts w:cs="Arial"/>
                <w:color w:val="000000" w:themeColor="text1"/>
                <w:sz w:val="20"/>
              </w:rPr>
            </w:pPr>
            <w:r w:rsidRPr="00CC6553">
              <w:rPr>
                <w:rFonts w:cs="Arial"/>
                <w:color w:val="000000" w:themeColor="text1"/>
                <w:sz w:val="20"/>
              </w:rPr>
              <w:t>183</w:t>
            </w:r>
          </w:p>
        </w:tc>
        <w:tc>
          <w:tcPr>
            <w:tcW w:w="143" w:type="pct"/>
          </w:tcPr>
          <w:p w14:paraId="095FCFF2" w14:textId="0B40351E"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3BB93B8D" w14:textId="39426BCF" w:rsidR="00897293" w:rsidRPr="00CC6553" w:rsidRDefault="00897293" w:rsidP="00B234F1">
            <w:pPr>
              <w:rPr>
                <w:rFonts w:cs="Arial"/>
                <w:bCs/>
                <w:iCs/>
                <w:color w:val="000000" w:themeColor="text1"/>
                <w:sz w:val="20"/>
              </w:rPr>
            </w:pPr>
            <w:r w:rsidRPr="00CC6553">
              <w:rPr>
                <w:rFonts w:cs="Arial"/>
                <w:color w:val="000000" w:themeColor="text1"/>
                <w:sz w:val="20"/>
              </w:rPr>
              <w:t>Bayer plc</w:t>
            </w:r>
          </w:p>
        </w:tc>
        <w:tc>
          <w:tcPr>
            <w:tcW w:w="279" w:type="pct"/>
          </w:tcPr>
          <w:p w14:paraId="4C2E5262" w14:textId="442EA89C"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281B625A" w14:textId="4D073C4B"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3D98EDFD" w14:textId="29A0D7FF" w:rsidR="00897293" w:rsidRPr="00CC6553" w:rsidRDefault="00897293" w:rsidP="00B234F1">
            <w:pPr>
              <w:rPr>
                <w:rFonts w:cs="Arial"/>
                <w:color w:val="000000" w:themeColor="text1"/>
                <w:sz w:val="20"/>
              </w:rPr>
            </w:pPr>
            <w:r w:rsidRPr="00CC6553">
              <w:rPr>
                <w:rFonts w:cs="Arial"/>
                <w:color w:val="000000" w:themeColor="text1"/>
                <w:sz w:val="20"/>
              </w:rPr>
              <w:t>012</w:t>
            </w:r>
          </w:p>
        </w:tc>
        <w:tc>
          <w:tcPr>
            <w:tcW w:w="1521" w:type="pct"/>
          </w:tcPr>
          <w:p w14:paraId="2EEECDD7" w14:textId="0AACE24B" w:rsidR="00897293" w:rsidRPr="00CC6553" w:rsidRDefault="00897293" w:rsidP="00B234F1">
            <w:pPr>
              <w:rPr>
                <w:rFonts w:cs="Arial"/>
                <w:color w:val="000000" w:themeColor="text1"/>
                <w:sz w:val="20"/>
              </w:rPr>
            </w:pPr>
            <w:r w:rsidRPr="00CC6553">
              <w:rPr>
                <w:rFonts w:cs="Arial"/>
                <w:color w:val="000000" w:themeColor="text1"/>
                <w:sz w:val="20"/>
              </w:rPr>
              <w:t>1.7.2 “Only use medicines licensed for heart failure”</w:t>
            </w:r>
            <w:r w:rsidRPr="00CC6553">
              <w:rPr>
                <w:rFonts w:cs="Arial"/>
                <w:color w:val="000000" w:themeColor="text1"/>
                <w:sz w:val="20"/>
              </w:rPr>
              <w:br/>
            </w:r>
            <w:r w:rsidRPr="00CC6553">
              <w:rPr>
                <w:rFonts w:cs="Arial"/>
                <w:color w:val="000000" w:themeColor="text1"/>
                <w:sz w:val="20"/>
              </w:rPr>
              <w:br/>
              <w:t>The current wording of recommendation 1.7.2— “Only use medicines licensed for heart failure”—may benefit from clarification to reflect the guideline’s broader recognition of the three phenotypes of chronic heart failure: reduced, mildly reduced, and preserved ejection fraction.</w:t>
            </w:r>
            <w:r w:rsidRPr="00CC6553">
              <w:rPr>
                <w:rFonts w:cs="Arial"/>
                <w:color w:val="000000" w:themeColor="text1"/>
                <w:sz w:val="20"/>
              </w:rPr>
              <w:br/>
            </w:r>
            <w:r w:rsidRPr="00CC6553">
              <w:rPr>
                <w:rFonts w:cs="Arial"/>
                <w:color w:val="000000" w:themeColor="text1"/>
                <w:sz w:val="20"/>
              </w:rPr>
              <w:br/>
              <w:t>Given that pharmacological licensing is not universal across all heart failure phenotypes, and that the draft guideline provides phenotype-specific treatment recommendations (Sections 1.4, 1.5), the current phrasing could be misinterpreted in clinical practice, particularly in primary care settings.</w:t>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t>Rationale:</w:t>
            </w:r>
            <w:r w:rsidRPr="00CC6553">
              <w:rPr>
                <w:rFonts w:cs="Arial"/>
                <w:color w:val="000000" w:themeColor="text1"/>
                <w:sz w:val="20"/>
              </w:rPr>
              <w:br/>
              <w:t>The draft guideline acknowledges the distinct pathophysiology and therapeutic approaches for HFrEF, HFmrEF, and HFpEF, and provides tailored treatment recommendations accordingly (NICE, 2025).</w:t>
            </w:r>
            <w:r w:rsidRPr="00CC6553">
              <w:rPr>
                <w:rFonts w:cs="Arial"/>
                <w:color w:val="000000" w:themeColor="text1"/>
                <w:sz w:val="20"/>
              </w:rPr>
              <w:br/>
              <w:t>Licensing of pharmacological agents varies by phenotype. For example, sodium-glucose cotransporter-2 (SGLT2) inhibitors such as empagliflozin and dapagliflozin are licensed for HFpEF and HFmrEF under specific conditions (EMA, 2023), while angiotensin receptor-neprilysin inhibitors (ARNIs) are primarily licensed for HFrEF (McMurray et al., 2014).</w:t>
            </w:r>
            <w:r w:rsidRPr="00CC6553">
              <w:rPr>
                <w:rFonts w:cs="Arial"/>
                <w:color w:val="000000" w:themeColor="text1"/>
                <w:sz w:val="20"/>
              </w:rPr>
              <w:br/>
              <w:t>Eplerenone is approved for use in chronic heart failure (CHF) with a left ventricular ejection fraction (LVEF) of ≤40. The approval of spironolactone for CHF is based on data from the RALES study, which assessed heart failure patients with reduced ejection fraction (EMPHASIS-HF Zannad et al., 2011, RALES Pitt et al., 1999)</w:t>
            </w:r>
            <w:r w:rsidRPr="00CC6553">
              <w:rPr>
                <w:rFonts w:cs="Arial"/>
                <w:color w:val="000000" w:themeColor="text1"/>
                <w:sz w:val="20"/>
              </w:rPr>
              <w:br/>
            </w:r>
            <w:r w:rsidRPr="00CC6553">
              <w:rPr>
                <w:rFonts w:cs="Arial"/>
                <w:color w:val="000000" w:themeColor="text1"/>
                <w:sz w:val="20"/>
              </w:rPr>
              <w:br/>
              <w:t xml:space="preserve">A general statement may inadvertently lead to off-label prescribing or confusion </w:t>
            </w:r>
            <w:r w:rsidRPr="00CC6553">
              <w:rPr>
                <w:rFonts w:cs="Arial"/>
                <w:color w:val="000000" w:themeColor="text1"/>
                <w:sz w:val="20"/>
              </w:rPr>
              <w:lastRenderedPageBreak/>
              <w:t>about appropriate use, especially where licensing is phenotype-specific. Also, it seems inconsistent to downgrade evidence for finerenone due to its lack of licensing while making decisions on steroidal MRAs based on non-specific licenses or a limited evidence base across the ejection fraction spectrum</w:t>
            </w:r>
            <w:r w:rsidRPr="00CC6553">
              <w:rPr>
                <w:rFonts w:cs="Arial"/>
                <w:color w:val="000000" w:themeColor="text1"/>
                <w:sz w:val="20"/>
              </w:rPr>
              <w:br/>
              <w:t>An amendment to the wording would enhance clarity, align with regulatory approvals, and support safe, evidence-based prescribing. It would also ensure consistency with the guideline’s intent to tailor treatment to the underlying phenotype of heart failure.</w:t>
            </w:r>
            <w:r w:rsidRPr="00CC6553">
              <w:rPr>
                <w:rFonts w:cs="Arial"/>
                <w:color w:val="000000" w:themeColor="text1"/>
                <w:sz w:val="20"/>
              </w:rPr>
              <w:br/>
              <w:t>Suggested wording: “Preference should be given to medicines licensed for the specific phenotype of heart failure being treated (reduced, mildly reduced, or preserved ejection fraction).”</w:t>
            </w:r>
            <w:r w:rsidRPr="00CC6553">
              <w:rPr>
                <w:rFonts w:cs="Arial"/>
                <w:color w:val="000000" w:themeColor="text1"/>
                <w:sz w:val="20"/>
              </w:rPr>
              <w:br/>
            </w:r>
            <w:r w:rsidRPr="00CC6553">
              <w:rPr>
                <w:rFonts w:cs="Arial"/>
                <w:color w:val="000000" w:themeColor="text1"/>
                <w:sz w:val="20"/>
              </w:rPr>
              <w:br/>
              <w:t>References</w:t>
            </w:r>
            <w:r w:rsidRPr="00CC6553">
              <w:rPr>
                <w:rFonts w:cs="Arial"/>
                <w:color w:val="000000" w:themeColor="text1"/>
                <w:sz w:val="20"/>
              </w:rPr>
              <w:br/>
              <w:t>European Medicines Agency (EMA), 2023. Empagliflozin and dapagliflozin product information. [online] Available at: https://www.ema.europa.eu [Accessed 25 Jun 2025].</w:t>
            </w:r>
            <w:r w:rsidRPr="00CC6553">
              <w:rPr>
                <w:rFonts w:cs="Arial"/>
                <w:color w:val="000000" w:themeColor="text1"/>
                <w:sz w:val="20"/>
              </w:rPr>
              <w:br/>
              <w:t>McMurray, J.J.V., Packer, M., Desai, A.S., et al., 2014. Angiotensin–neprilysin inhibition versus enalapril in heart failure. New England Journal of Medicine, 371(11), pp.993–1004.</w:t>
            </w:r>
            <w:r w:rsidRPr="00CC6553">
              <w:rPr>
                <w:rFonts w:cs="Arial"/>
                <w:color w:val="000000" w:themeColor="text1"/>
                <w:sz w:val="20"/>
              </w:rPr>
              <w:br/>
              <w:t>Pitt, B. et al., 1999. The effect of spironolactone on morbidity and mortality in patients with severe heart failure. New England Journal of Medicine, 341(10), pp.709–717.</w:t>
            </w:r>
            <w:r w:rsidRPr="00CC6553">
              <w:rPr>
                <w:rFonts w:cs="Arial"/>
                <w:color w:val="000000" w:themeColor="text1"/>
                <w:sz w:val="20"/>
              </w:rPr>
              <w:br/>
              <w:t>Zannad, F. et al., 2011. Eplerenone in patients with systolic heart failure and mild symptoms. New England Journal of Medicine, 364(1), pp.11–21</w:t>
            </w:r>
            <w:r w:rsidRPr="00CC6553">
              <w:rPr>
                <w:rFonts w:cs="Arial"/>
                <w:color w:val="000000" w:themeColor="text1"/>
                <w:sz w:val="20"/>
              </w:rPr>
              <w:br/>
              <w:t>Dapagliflozin: Summary of Product characteristics https://www.medicines.org.uk/emc/product/100996/smpc</w:t>
            </w:r>
            <w:r w:rsidRPr="00CC6553">
              <w:rPr>
                <w:rFonts w:cs="Arial"/>
                <w:color w:val="000000" w:themeColor="text1"/>
                <w:sz w:val="20"/>
              </w:rPr>
              <w:br/>
              <w:t>Empagliflozin: Summary of Product characteristics https://www.medicines.org.uk/emc/product/7703/smpc</w:t>
            </w:r>
            <w:r w:rsidRPr="00CC6553">
              <w:rPr>
                <w:rFonts w:cs="Arial"/>
                <w:color w:val="000000" w:themeColor="text1"/>
                <w:sz w:val="20"/>
              </w:rPr>
              <w:br/>
              <w:t>Entresto: Summary of Product characteristics https://www.medicines.org.uk/emc/product/5074/smpc</w:t>
            </w:r>
          </w:p>
        </w:tc>
        <w:tc>
          <w:tcPr>
            <w:tcW w:w="2122" w:type="pct"/>
          </w:tcPr>
          <w:p w14:paraId="1A5B7D29" w14:textId="1F9BECB0" w:rsidR="00897293" w:rsidRPr="00CC6553" w:rsidRDefault="00897293" w:rsidP="01B1FDC5">
            <w:pPr>
              <w:pStyle w:val="Heading1"/>
              <w:rPr>
                <w:rFonts w:cs="Arial"/>
                <w:b w:val="0"/>
                <w:bCs w:val="0"/>
                <w:color w:val="000000" w:themeColor="text1"/>
                <w:sz w:val="20"/>
              </w:rPr>
            </w:pPr>
            <w:r w:rsidRPr="00CC6553">
              <w:rPr>
                <w:rFonts w:cs="Arial"/>
                <w:b w:val="0"/>
                <w:bCs w:val="0"/>
                <w:color w:val="000000" w:themeColor="text1"/>
                <w:sz w:val="20"/>
              </w:rPr>
              <w:lastRenderedPageBreak/>
              <w:t>Thank you for your comment.  The committee has deleted this recommendation.</w:t>
            </w:r>
          </w:p>
        </w:tc>
      </w:tr>
      <w:tr w:rsidR="00897293" w:rsidRPr="00CC6553" w14:paraId="61DB04F6" w14:textId="77777777" w:rsidTr="00897293">
        <w:trPr>
          <w:trHeight w:val="300"/>
        </w:trPr>
        <w:tc>
          <w:tcPr>
            <w:tcW w:w="109" w:type="pct"/>
          </w:tcPr>
          <w:p w14:paraId="3F3B3300" w14:textId="77777777" w:rsidR="00897293" w:rsidRPr="00CC6553" w:rsidRDefault="00897293" w:rsidP="00B234F1">
            <w:pPr>
              <w:rPr>
                <w:rFonts w:cs="Arial"/>
                <w:color w:val="000000" w:themeColor="text1"/>
                <w:sz w:val="20"/>
              </w:rPr>
            </w:pPr>
            <w:r w:rsidRPr="00CC6553">
              <w:rPr>
                <w:rFonts w:cs="Arial"/>
                <w:color w:val="000000" w:themeColor="text1"/>
                <w:sz w:val="20"/>
              </w:rPr>
              <w:t>184</w:t>
            </w:r>
          </w:p>
        </w:tc>
        <w:tc>
          <w:tcPr>
            <w:tcW w:w="143" w:type="pct"/>
          </w:tcPr>
          <w:p w14:paraId="5D205D04" w14:textId="6782DF54"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3D9D5060" w14:textId="22BE7D06" w:rsidR="00897293" w:rsidRPr="00CC6553" w:rsidRDefault="00897293" w:rsidP="00B234F1">
            <w:pPr>
              <w:rPr>
                <w:rFonts w:cs="Arial"/>
                <w:bCs/>
                <w:iCs/>
                <w:color w:val="000000" w:themeColor="text1"/>
                <w:sz w:val="20"/>
              </w:rPr>
            </w:pPr>
            <w:r w:rsidRPr="00CC6553">
              <w:rPr>
                <w:rFonts w:cs="Arial"/>
                <w:color w:val="000000" w:themeColor="text1"/>
                <w:sz w:val="20"/>
              </w:rPr>
              <w:t xml:space="preserve">UK Clinical Pharmacy </w:t>
            </w:r>
            <w:r w:rsidRPr="00CC6553">
              <w:rPr>
                <w:rFonts w:cs="Arial"/>
                <w:color w:val="000000" w:themeColor="text1"/>
                <w:sz w:val="20"/>
              </w:rPr>
              <w:lastRenderedPageBreak/>
              <w:t>Association (UKCPA) – heart failure committee</w:t>
            </w:r>
          </w:p>
        </w:tc>
        <w:tc>
          <w:tcPr>
            <w:tcW w:w="279" w:type="pct"/>
          </w:tcPr>
          <w:p w14:paraId="57213842" w14:textId="00CF0B0D" w:rsidR="00897293" w:rsidRPr="00CC6553" w:rsidRDefault="00897293" w:rsidP="00B234F1">
            <w:pPr>
              <w:rPr>
                <w:rFonts w:cs="Arial"/>
                <w:color w:val="000000" w:themeColor="text1"/>
                <w:sz w:val="20"/>
              </w:rPr>
            </w:pPr>
            <w:r w:rsidRPr="00CC6553">
              <w:rPr>
                <w:rFonts w:cs="Arial"/>
                <w:color w:val="000000" w:themeColor="text1"/>
                <w:sz w:val="20"/>
              </w:rPr>
              <w:lastRenderedPageBreak/>
              <w:t>Guideline</w:t>
            </w:r>
          </w:p>
        </w:tc>
        <w:tc>
          <w:tcPr>
            <w:tcW w:w="214" w:type="pct"/>
          </w:tcPr>
          <w:p w14:paraId="30781D76" w14:textId="21E7AA39"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0B0EF769" w14:textId="4F79FE89" w:rsidR="00897293" w:rsidRPr="00CC6553" w:rsidRDefault="00897293" w:rsidP="00B234F1">
            <w:pPr>
              <w:rPr>
                <w:rFonts w:cs="Arial"/>
                <w:color w:val="000000" w:themeColor="text1"/>
                <w:sz w:val="20"/>
              </w:rPr>
            </w:pPr>
            <w:r w:rsidRPr="00CC6553">
              <w:rPr>
                <w:rFonts w:cs="Arial"/>
                <w:color w:val="000000" w:themeColor="text1"/>
                <w:sz w:val="20"/>
              </w:rPr>
              <w:t>012</w:t>
            </w:r>
          </w:p>
        </w:tc>
        <w:tc>
          <w:tcPr>
            <w:tcW w:w="1521" w:type="pct"/>
          </w:tcPr>
          <w:p w14:paraId="58362BD1" w14:textId="1626AB18" w:rsidR="00897293" w:rsidRPr="00CC6553" w:rsidRDefault="00897293" w:rsidP="00B234F1">
            <w:pPr>
              <w:rPr>
                <w:rFonts w:cs="Arial"/>
                <w:color w:val="000000" w:themeColor="text1"/>
                <w:sz w:val="20"/>
              </w:rPr>
            </w:pPr>
            <w:r w:rsidRPr="00CC6553">
              <w:rPr>
                <w:rFonts w:cs="Arial"/>
                <w:color w:val="000000" w:themeColor="text1"/>
                <w:sz w:val="20"/>
              </w:rPr>
              <w:t>We support the recommendation</w:t>
            </w:r>
          </w:p>
        </w:tc>
        <w:tc>
          <w:tcPr>
            <w:tcW w:w="2122" w:type="pct"/>
          </w:tcPr>
          <w:p w14:paraId="313BE55E" w14:textId="2C177AF6"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w:t>
            </w:r>
          </w:p>
        </w:tc>
      </w:tr>
      <w:tr w:rsidR="00897293" w:rsidRPr="00CC6553" w14:paraId="2C35EE69" w14:textId="77777777" w:rsidTr="00897293">
        <w:trPr>
          <w:trHeight w:val="750"/>
        </w:trPr>
        <w:tc>
          <w:tcPr>
            <w:tcW w:w="109" w:type="pct"/>
          </w:tcPr>
          <w:p w14:paraId="2A5A4BF4" w14:textId="77777777" w:rsidR="00897293" w:rsidRPr="00CC6553" w:rsidRDefault="00897293" w:rsidP="00B234F1">
            <w:pPr>
              <w:rPr>
                <w:rFonts w:cs="Arial"/>
                <w:color w:val="000000" w:themeColor="text1"/>
                <w:sz w:val="20"/>
              </w:rPr>
            </w:pPr>
            <w:r w:rsidRPr="00CC6553">
              <w:rPr>
                <w:rFonts w:cs="Arial"/>
                <w:color w:val="000000" w:themeColor="text1"/>
                <w:sz w:val="20"/>
              </w:rPr>
              <w:t>185</w:t>
            </w:r>
          </w:p>
        </w:tc>
        <w:tc>
          <w:tcPr>
            <w:tcW w:w="143" w:type="pct"/>
          </w:tcPr>
          <w:p w14:paraId="65208969" w14:textId="647E874A"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2C445CB5" w14:textId="65191E56" w:rsidR="00897293" w:rsidRPr="00CC6553" w:rsidRDefault="00897293" w:rsidP="00B234F1">
            <w:pPr>
              <w:rPr>
                <w:rFonts w:cs="Arial"/>
                <w:bCs/>
                <w:iCs/>
                <w:color w:val="000000" w:themeColor="text1"/>
                <w:sz w:val="20"/>
              </w:rPr>
            </w:pPr>
            <w:r w:rsidRPr="00CC6553">
              <w:rPr>
                <w:rFonts w:cs="Arial"/>
                <w:color w:val="000000" w:themeColor="text1"/>
                <w:sz w:val="20"/>
              </w:rPr>
              <w:t>Primary Care Cardiovascular Society (PCCS)</w:t>
            </w:r>
          </w:p>
        </w:tc>
        <w:tc>
          <w:tcPr>
            <w:tcW w:w="279" w:type="pct"/>
          </w:tcPr>
          <w:p w14:paraId="55A5643E" w14:textId="0FADBE22"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45038C38" w14:textId="1763DF9E"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34271730" w14:textId="6D866BE4" w:rsidR="00897293" w:rsidRPr="00CC6553" w:rsidRDefault="00897293" w:rsidP="00B234F1">
            <w:pPr>
              <w:rPr>
                <w:rFonts w:cs="Arial"/>
                <w:color w:val="000000" w:themeColor="text1"/>
                <w:sz w:val="20"/>
              </w:rPr>
            </w:pPr>
            <w:r w:rsidRPr="00CC6553">
              <w:rPr>
                <w:rFonts w:cs="Arial"/>
                <w:color w:val="000000" w:themeColor="text1"/>
                <w:sz w:val="20"/>
              </w:rPr>
              <w:t>013</w:t>
            </w:r>
          </w:p>
        </w:tc>
        <w:tc>
          <w:tcPr>
            <w:tcW w:w="1521" w:type="pct"/>
          </w:tcPr>
          <w:p w14:paraId="5AB153EB" w14:textId="25720E78" w:rsidR="00897293" w:rsidRPr="00CC6553" w:rsidRDefault="00897293" w:rsidP="00B234F1">
            <w:pPr>
              <w:rPr>
                <w:rFonts w:cs="Arial"/>
                <w:color w:val="000000" w:themeColor="text1"/>
                <w:sz w:val="20"/>
              </w:rPr>
            </w:pPr>
            <w:r w:rsidRPr="00CC6553">
              <w:rPr>
                <w:rFonts w:cs="Arial"/>
                <w:color w:val="000000" w:themeColor="text1"/>
                <w:sz w:val="20"/>
              </w:rPr>
              <w:t>‘not necessarily’ is quite ambiguous - change to do not need to</w:t>
            </w:r>
          </w:p>
        </w:tc>
        <w:tc>
          <w:tcPr>
            <w:tcW w:w="2122" w:type="pct"/>
          </w:tcPr>
          <w:p w14:paraId="5FED4326" w14:textId="0A78EBE7" w:rsidR="00897293" w:rsidRPr="00CC6553" w:rsidRDefault="00897293" w:rsidP="476BDDBF">
            <w:pPr>
              <w:pStyle w:val="Heading1"/>
              <w:rPr>
                <w:rFonts w:cs="Arial"/>
                <w:b w:val="0"/>
                <w:bCs w:val="0"/>
                <w:color w:val="000000" w:themeColor="text1"/>
                <w:sz w:val="20"/>
              </w:rPr>
            </w:pPr>
            <w:r w:rsidRPr="00CC6553">
              <w:rPr>
                <w:rFonts w:cs="Arial"/>
                <w:b w:val="0"/>
                <w:bCs w:val="0"/>
                <w:color w:val="000000" w:themeColor="text1"/>
                <w:sz w:val="20"/>
              </w:rPr>
              <w:t>Thank you for your comment.  This recommendation has been deleted and when and how to optimise the dose of each drug medicine is now covered by an earlier recommendation in section 1.7.</w:t>
            </w:r>
          </w:p>
        </w:tc>
      </w:tr>
      <w:tr w:rsidR="00897293" w:rsidRPr="00CC6553" w14:paraId="36A63DC1" w14:textId="77777777" w:rsidTr="00897293">
        <w:trPr>
          <w:trHeight w:val="300"/>
        </w:trPr>
        <w:tc>
          <w:tcPr>
            <w:tcW w:w="109" w:type="pct"/>
          </w:tcPr>
          <w:p w14:paraId="2C07F150" w14:textId="77777777" w:rsidR="00897293" w:rsidRPr="00CC6553" w:rsidRDefault="00897293" w:rsidP="00B234F1">
            <w:pPr>
              <w:rPr>
                <w:rFonts w:cs="Arial"/>
                <w:color w:val="000000" w:themeColor="text1"/>
                <w:sz w:val="20"/>
              </w:rPr>
            </w:pPr>
            <w:r w:rsidRPr="00CC6553">
              <w:rPr>
                <w:rFonts w:cs="Arial"/>
                <w:color w:val="000000" w:themeColor="text1"/>
                <w:sz w:val="20"/>
              </w:rPr>
              <w:t>186</w:t>
            </w:r>
          </w:p>
        </w:tc>
        <w:tc>
          <w:tcPr>
            <w:tcW w:w="143" w:type="pct"/>
          </w:tcPr>
          <w:p w14:paraId="47C14242" w14:textId="07A39A21"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5C17C0A8" w14:textId="2A5C948B" w:rsidR="00897293" w:rsidRPr="00CC6553" w:rsidRDefault="00897293" w:rsidP="00B234F1">
            <w:pPr>
              <w:rPr>
                <w:rFonts w:cs="Arial"/>
                <w:bCs/>
                <w:iCs/>
                <w:color w:val="000000" w:themeColor="text1"/>
                <w:sz w:val="20"/>
              </w:rPr>
            </w:pPr>
            <w:r w:rsidRPr="00CC6553">
              <w:rPr>
                <w:rFonts w:cs="Arial"/>
                <w:color w:val="000000" w:themeColor="text1"/>
                <w:sz w:val="20"/>
              </w:rPr>
              <w:t>UK Clinical Pharmacy Association (UKCPA) – heart failure committee</w:t>
            </w:r>
          </w:p>
        </w:tc>
        <w:tc>
          <w:tcPr>
            <w:tcW w:w="279" w:type="pct"/>
          </w:tcPr>
          <w:p w14:paraId="1646CF57" w14:textId="3CBB66F2"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358CFC12" w14:textId="7C693291"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7CAF129B" w14:textId="6AC5F104" w:rsidR="00897293" w:rsidRPr="00CC6553" w:rsidRDefault="00897293" w:rsidP="00B234F1">
            <w:pPr>
              <w:rPr>
                <w:rFonts w:cs="Arial"/>
                <w:color w:val="000000" w:themeColor="text1"/>
                <w:sz w:val="20"/>
              </w:rPr>
            </w:pPr>
            <w:r w:rsidRPr="00CC6553">
              <w:rPr>
                <w:rFonts w:cs="Arial"/>
                <w:color w:val="000000" w:themeColor="text1"/>
                <w:sz w:val="20"/>
              </w:rPr>
              <w:t>013</w:t>
            </w:r>
          </w:p>
        </w:tc>
        <w:tc>
          <w:tcPr>
            <w:tcW w:w="1521" w:type="pct"/>
          </w:tcPr>
          <w:p w14:paraId="6369BCDE" w14:textId="46BC0889" w:rsidR="00897293" w:rsidRPr="00CC6553" w:rsidRDefault="00897293" w:rsidP="00B234F1">
            <w:pPr>
              <w:rPr>
                <w:rFonts w:cs="Arial"/>
                <w:color w:val="000000" w:themeColor="text1"/>
                <w:sz w:val="20"/>
              </w:rPr>
            </w:pPr>
            <w:r w:rsidRPr="00CC6553">
              <w:rPr>
                <w:rFonts w:cs="Arial"/>
                <w:color w:val="000000" w:themeColor="text1"/>
                <w:sz w:val="20"/>
              </w:rPr>
              <w:t>We support the recommendation but could reword to emphasise introduce the four core therapies in parallel or rapid sequence as tolerated without waiting for dose optimisation of one before starting the next.</w:t>
            </w:r>
          </w:p>
        </w:tc>
        <w:tc>
          <w:tcPr>
            <w:tcW w:w="2122" w:type="pct"/>
          </w:tcPr>
          <w:p w14:paraId="6A7F7487" w14:textId="575030FB" w:rsidR="00897293" w:rsidRPr="00CC6553" w:rsidRDefault="00897293" w:rsidP="21434BE0">
            <w:pPr>
              <w:pStyle w:val="Heading1"/>
              <w:rPr>
                <w:rFonts w:cs="Arial"/>
                <w:b w:val="0"/>
                <w:bCs w:val="0"/>
                <w:color w:val="000000" w:themeColor="text1"/>
                <w:sz w:val="20"/>
              </w:rPr>
            </w:pPr>
            <w:r w:rsidRPr="00CC6553">
              <w:rPr>
                <w:rFonts w:cs="Arial"/>
                <w:b w:val="0"/>
                <w:bCs w:val="0"/>
                <w:color w:val="000000" w:themeColor="text1"/>
                <w:sz w:val="20"/>
              </w:rPr>
              <w:t>Thank you for your comment.  The recommendation does not preclude introducing the medicines in parallel or in rapid sequence.  The recommendation in section 1.7 states that it is not necessary to optimise the dose of each medicine before starting another.</w:t>
            </w:r>
          </w:p>
        </w:tc>
      </w:tr>
      <w:tr w:rsidR="00897293" w:rsidRPr="00CC6553" w14:paraId="73A2E994" w14:textId="77777777" w:rsidTr="00897293">
        <w:trPr>
          <w:trHeight w:val="300"/>
        </w:trPr>
        <w:tc>
          <w:tcPr>
            <w:tcW w:w="109" w:type="pct"/>
          </w:tcPr>
          <w:p w14:paraId="229BDF5F" w14:textId="77777777" w:rsidR="00897293" w:rsidRPr="00CC6553" w:rsidRDefault="00897293" w:rsidP="00B234F1">
            <w:pPr>
              <w:rPr>
                <w:rFonts w:cs="Arial"/>
                <w:color w:val="000000" w:themeColor="text1"/>
                <w:sz w:val="20"/>
              </w:rPr>
            </w:pPr>
            <w:r w:rsidRPr="00CC6553">
              <w:rPr>
                <w:rFonts w:cs="Arial"/>
                <w:color w:val="000000" w:themeColor="text1"/>
                <w:sz w:val="20"/>
              </w:rPr>
              <w:t>187</w:t>
            </w:r>
          </w:p>
        </w:tc>
        <w:tc>
          <w:tcPr>
            <w:tcW w:w="143" w:type="pct"/>
          </w:tcPr>
          <w:p w14:paraId="50D4F336" w14:textId="36A040C5"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4834532" w14:textId="3CE1869B" w:rsidR="00897293" w:rsidRPr="00CC6553" w:rsidRDefault="00897293" w:rsidP="00B234F1">
            <w:pPr>
              <w:rPr>
                <w:rFonts w:cs="Arial"/>
                <w:bCs/>
                <w:iCs/>
                <w:color w:val="000000" w:themeColor="text1"/>
                <w:sz w:val="20"/>
              </w:rPr>
            </w:pPr>
            <w:r w:rsidRPr="00CC6553">
              <w:rPr>
                <w:rFonts w:cs="Arial"/>
                <w:color w:val="000000" w:themeColor="text1"/>
                <w:sz w:val="20"/>
              </w:rPr>
              <w:t>British Cardiovascular Society</w:t>
            </w:r>
          </w:p>
        </w:tc>
        <w:tc>
          <w:tcPr>
            <w:tcW w:w="279" w:type="pct"/>
          </w:tcPr>
          <w:p w14:paraId="0B025C32" w14:textId="32F5B543"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74979326" w14:textId="173793B9"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75F5005A" w14:textId="4A2AE584" w:rsidR="00897293" w:rsidRPr="00CC6553" w:rsidRDefault="00897293" w:rsidP="00B234F1">
            <w:pPr>
              <w:rPr>
                <w:rFonts w:cs="Arial"/>
                <w:color w:val="000000" w:themeColor="text1"/>
                <w:sz w:val="20"/>
              </w:rPr>
            </w:pPr>
            <w:r w:rsidRPr="00CC6553">
              <w:rPr>
                <w:rFonts w:cs="Arial"/>
                <w:color w:val="000000" w:themeColor="text1"/>
                <w:sz w:val="20"/>
              </w:rPr>
              <w:t>013</w:t>
            </w:r>
          </w:p>
        </w:tc>
        <w:tc>
          <w:tcPr>
            <w:tcW w:w="1521" w:type="pct"/>
          </w:tcPr>
          <w:p w14:paraId="531B7E18" w14:textId="6AB3D377" w:rsidR="00897293" w:rsidRPr="00CC6553" w:rsidRDefault="00897293" w:rsidP="00B234F1">
            <w:pPr>
              <w:rPr>
                <w:rFonts w:cs="Arial"/>
                <w:color w:val="000000" w:themeColor="text1"/>
                <w:sz w:val="20"/>
              </w:rPr>
            </w:pPr>
            <w:r w:rsidRPr="00CC6553">
              <w:rPr>
                <w:rFonts w:cs="Arial"/>
                <w:color w:val="000000" w:themeColor="text1"/>
                <w:sz w:val="20"/>
              </w:rPr>
              <w:t>We feel the statement, ‘Healthcare professionals should not necessarily optimise the dose of each medicine before introducing another’ should be rephrased to emphasise the increasing data supporting rapid simultaneous initiation of all 4 pillars of medical therapy. https://onlinelibrary.wiley.com/doi/10.1002/ejhf.2149</w:t>
            </w:r>
            <w:r w:rsidRPr="00CC6553">
              <w:rPr>
                <w:rFonts w:cs="Arial"/>
                <w:color w:val="000000" w:themeColor="text1"/>
                <w:sz w:val="20"/>
              </w:rPr>
              <w:br/>
            </w:r>
          </w:p>
        </w:tc>
        <w:tc>
          <w:tcPr>
            <w:tcW w:w="2122" w:type="pct"/>
          </w:tcPr>
          <w:p w14:paraId="60C1533B" w14:textId="29FEDDFA"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recommendation wording does not preclude rapid simultaneous initiation but this may not be suitable and will depend on factors such as medical history, frailty status, prognosis and preferences.</w:t>
            </w:r>
          </w:p>
        </w:tc>
      </w:tr>
      <w:tr w:rsidR="00897293" w:rsidRPr="00CC6553" w14:paraId="10F2B937" w14:textId="77777777" w:rsidTr="00897293">
        <w:trPr>
          <w:trHeight w:val="300"/>
        </w:trPr>
        <w:tc>
          <w:tcPr>
            <w:tcW w:w="109" w:type="pct"/>
          </w:tcPr>
          <w:p w14:paraId="4BE7C93A" w14:textId="77777777" w:rsidR="00897293" w:rsidRPr="00CC6553" w:rsidRDefault="00897293" w:rsidP="00B234F1">
            <w:pPr>
              <w:rPr>
                <w:rFonts w:cs="Arial"/>
                <w:color w:val="000000" w:themeColor="text1"/>
                <w:sz w:val="20"/>
              </w:rPr>
            </w:pPr>
            <w:r w:rsidRPr="00CC6553">
              <w:rPr>
                <w:rFonts w:cs="Arial"/>
                <w:color w:val="000000" w:themeColor="text1"/>
                <w:sz w:val="20"/>
              </w:rPr>
              <w:t>188</w:t>
            </w:r>
          </w:p>
        </w:tc>
        <w:tc>
          <w:tcPr>
            <w:tcW w:w="143" w:type="pct"/>
          </w:tcPr>
          <w:p w14:paraId="161F96A8" w14:textId="0FC46642"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54E363AD" w14:textId="7C93A646" w:rsidR="00897293" w:rsidRPr="00CC6553" w:rsidRDefault="00897293" w:rsidP="00B234F1">
            <w:pPr>
              <w:rPr>
                <w:rFonts w:cs="Arial"/>
                <w:bCs/>
                <w:iCs/>
                <w:color w:val="000000" w:themeColor="text1"/>
                <w:sz w:val="20"/>
              </w:rPr>
            </w:pPr>
            <w:r w:rsidRPr="00CC6553">
              <w:rPr>
                <w:rFonts w:cs="Arial"/>
                <w:color w:val="000000" w:themeColor="text1"/>
                <w:sz w:val="20"/>
              </w:rPr>
              <w:t>Imperial College Healthcare NHS Trust</w:t>
            </w:r>
          </w:p>
        </w:tc>
        <w:tc>
          <w:tcPr>
            <w:tcW w:w="279" w:type="pct"/>
          </w:tcPr>
          <w:p w14:paraId="3273C9FA" w14:textId="475EC364"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1F184567" w14:textId="197AA5D4"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012B4222" w14:textId="113868F8"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1521" w:type="pct"/>
          </w:tcPr>
          <w:p w14:paraId="7394D14A" w14:textId="3C1FB95A" w:rsidR="00897293" w:rsidRPr="00CC6553" w:rsidRDefault="00897293" w:rsidP="00B234F1">
            <w:pPr>
              <w:rPr>
                <w:rFonts w:cs="Arial"/>
                <w:color w:val="000000" w:themeColor="text1"/>
                <w:sz w:val="20"/>
              </w:rPr>
            </w:pPr>
            <w:r w:rsidRPr="00CC6553">
              <w:rPr>
                <w:rFonts w:cs="Arial"/>
                <w:color w:val="000000" w:themeColor="text1"/>
                <w:sz w:val="20"/>
              </w:rPr>
              <w:t>“GPs should seek advice from a heart failure specialist before prescribing a sodium-glucose cotransporter-2 (SGLT2) inhibitor or angiotensin receptor-neprilysin inhibitor (ARNI)"</w:t>
            </w:r>
            <w:r w:rsidRPr="00CC6553">
              <w:rPr>
                <w:rFonts w:cs="Arial"/>
                <w:color w:val="000000" w:themeColor="text1"/>
                <w:sz w:val="20"/>
              </w:rPr>
              <w:br/>
              <w:t>Why is HF the only indication that requires specialist discussion for SGLT2i? Also the TA for HFmr/pEF does not say that it requires discussion with a specialist, so this won't tally up with your pre-existing documentation</w:t>
            </w:r>
          </w:p>
        </w:tc>
        <w:tc>
          <w:tcPr>
            <w:tcW w:w="2122" w:type="pct"/>
          </w:tcPr>
          <w:p w14:paraId="44E480E7" w14:textId="1DFFDAC3"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committee has removed the requirement for GPs to seek advice from a heart failure specialist before prescribing a SGLT2 inhibitor.</w:t>
            </w:r>
          </w:p>
          <w:p w14:paraId="2F2DF3E7" w14:textId="0D31FF67" w:rsidR="00897293" w:rsidRPr="00CC6553" w:rsidRDefault="00897293" w:rsidP="00B234F1">
            <w:pPr>
              <w:tabs>
                <w:tab w:val="left" w:pos="1220"/>
              </w:tabs>
              <w:rPr>
                <w:color w:val="000000" w:themeColor="text1"/>
              </w:rPr>
            </w:pPr>
            <w:r w:rsidRPr="00CC6553">
              <w:rPr>
                <w:color w:val="000000" w:themeColor="text1"/>
              </w:rPr>
              <w:tab/>
            </w:r>
          </w:p>
        </w:tc>
      </w:tr>
      <w:tr w:rsidR="00897293" w:rsidRPr="00CC6553" w14:paraId="2E358E39" w14:textId="77777777" w:rsidTr="00897293">
        <w:trPr>
          <w:trHeight w:val="300"/>
        </w:trPr>
        <w:tc>
          <w:tcPr>
            <w:tcW w:w="109" w:type="pct"/>
          </w:tcPr>
          <w:p w14:paraId="4AB833B8"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189</w:t>
            </w:r>
          </w:p>
        </w:tc>
        <w:tc>
          <w:tcPr>
            <w:tcW w:w="143" w:type="pct"/>
          </w:tcPr>
          <w:p w14:paraId="17A4F14A" w14:textId="28168192"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2DC95663" w14:textId="027589A5"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2003D7C7" w14:textId="722E3CFB"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4E79AF87" w14:textId="72E6524F"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2D4FBDC3" w14:textId="08F08B7A"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1521" w:type="pct"/>
          </w:tcPr>
          <w:p w14:paraId="672FB502" w14:textId="0F2374A8" w:rsidR="00897293" w:rsidRPr="00CC6553" w:rsidRDefault="00897293" w:rsidP="00B234F1">
            <w:pPr>
              <w:rPr>
                <w:rFonts w:cs="Arial"/>
                <w:color w:val="000000" w:themeColor="text1"/>
                <w:sz w:val="20"/>
              </w:rPr>
            </w:pPr>
            <w:r w:rsidRPr="00CC6553">
              <w:rPr>
                <w:rFonts w:cs="Arial"/>
                <w:color w:val="000000" w:themeColor="text1"/>
                <w:sz w:val="20"/>
              </w:rPr>
              <w:t>Most GPs/ANPs within their ICBs prescribe SGLT2i in Type 2 Diabetes, SGLT2i evidenced for HF (dapagliflozin and empagliflozin) for all types of HF, so safe. Advice should be simple. There is no reason why        SGLT2i’s shouldn’t be able to be prescribed by Primary Care in all HF.</w:t>
            </w:r>
          </w:p>
        </w:tc>
        <w:tc>
          <w:tcPr>
            <w:tcW w:w="2122" w:type="pct"/>
          </w:tcPr>
          <w:p w14:paraId="39A45D3B" w14:textId="71F0FDE4"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committee has removed the requirement for GPs to seek advice from a heart failure specialist before prescribing a SGLT2 inhibitor.</w:t>
            </w:r>
          </w:p>
          <w:p w14:paraId="2C3FFF65" w14:textId="77777777" w:rsidR="00897293" w:rsidRPr="00CC6553" w:rsidRDefault="00897293" w:rsidP="00B234F1">
            <w:pPr>
              <w:pStyle w:val="Heading1"/>
              <w:rPr>
                <w:rFonts w:cs="Arial"/>
                <w:b w:val="0"/>
                <w:color w:val="000000" w:themeColor="text1"/>
                <w:sz w:val="20"/>
              </w:rPr>
            </w:pPr>
          </w:p>
        </w:tc>
      </w:tr>
      <w:tr w:rsidR="00897293" w:rsidRPr="00CC6553" w14:paraId="028B5823" w14:textId="77777777" w:rsidTr="00897293">
        <w:trPr>
          <w:trHeight w:val="300"/>
        </w:trPr>
        <w:tc>
          <w:tcPr>
            <w:tcW w:w="109" w:type="pct"/>
          </w:tcPr>
          <w:p w14:paraId="579DF3F4" w14:textId="77777777" w:rsidR="00897293" w:rsidRPr="00CC6553" w:rsidRDefault="00897293" w:rsidP="00B234F1">
            <w:pPr>
              <w:rPr>
                <w:rFonts w:cs="Arial"/>
                <w:color w:val="000000" w:themeColor="text1"/>
                <w:sz w:val="20"/>
              </w:rPr>
            </w:pPr>
            <w:r w:rsidRPr="00CC6553">
              <w:rPr>
                <w:rFonts w:cs="Arial"/>
                <w:color w:val="000000" w:themeColor="text1"/>
                <w:sz w:val="20"/>
              </w:rPr>
              <w:t>190</w:t>
            </w:r>
          </w:p>
        </w:tc>
        <w:tc>
          <w:tcPr>
            <w:tcW w:w="143" w:type="pct"/>
          </w:tcPr>
          <w:p w14:paraId="61A4A9E9" w14:textId="5E3F0062"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05173A6C" w14:textId="31FEA803"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6728EE7D" w14:textId="118050F6"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28522686" w14:textId="02AEA6FE"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729CB8D8" w14:textId="0149058A"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1521" w:type="pct"/>
          </w:tcPr>
          <w:p w14:paraId="016C3254" w14:textId="69663981" w:rsidR="00897293" w:rsidRPr="00CC6553" w:rsidRDefault="00897293" w:rsidP="00B234F1">
            <w:pPr>
              <w:rPr>
                <w:rFonts w:cs="Arial"/>
                <w:color w:val="000000" w:themeColor="text1"/>
                <w:sz w:val="20"/>
              </w:rPr>
            </w:pPr>
            <w:r w:rsidRPr="00CC6553">
              <w:rPr>
                <w:rFonts w:cs="Arial"/>
                <w:color w:val="000000" w:themeColor="text1"/>
                <w:sz w:val="20"/>
              </w:rPr>
              <w:t>GPs have been prescribing SGLT2i far longer and have greater experience with this class of medication than HF specialists. The current recommendation will lead to delays and under-treatment of this prognostically beneficial class of medication but also potentially lead to more referrals to heart failure clinics and greater waiting times.  Please consider the following wording – SGLT2i and ARNI can be prescribed in the community by primary care practitioners. [2025]</w:t>
            </w:r>
          </w:p>
        </w:tc>
        <w:tc>
          <w:tcPr>
            <w:tcW w:w="2122" w:type="pct"/>
          </w:tcPr>
          <w:p w14:paraId="28A3F937" w14:textId="15E2A598" w:rsidR="00897293" w:rsidRPr="00CC6553" w:rsidRDefault="00897293" w:rsidP="74BDFD37">
            <w:pPr>
              <w:pStyle w:val="Heading1"/>
              <w:rPr>
                <w:rFonts w:cs="Arial"/>
                <w:b w:val="0"/>
                <w:bCs w:val="0"/>
                <w:color w:val="000000" w:themeColor="text1"/>
                <w:sz w:val="20"/>
              </w:rPr>
            </w:pPr>
            <w:r w:rsidRPr="00CC6553">
              <w:rPr>
                <w:rFonts w:cs="Arial"/>
                <w:b w:val="0"/>
                <w:bCs w:val="0"/>
                <w:color w:val="000000" w:themeColor="text1"/>
                <w:sz w:val="20"/>
              </w:rPr>
              <w:t>Thank you for your comment.  The committee has removed the requirement for GPs to seek advice from a heart failure specialist before prescribing a SGLT2 inhibitor.  The committee now recommend that primary care prescribers consider seeking advice from a heart failure specialist before starting an ARNI.</w:t>
            </w:r>
          </w:p>
          <w:p w14:paraId="2ED37DBC" w14:textId="77777777" w:rsidR="00897293" w:rsidRPr="00CC6553" w:rsidRDefault="00897293" w:rsidP="00B234F1">
            <w:pPr>
              <w:pStyle w:val="Heading1"/>
              <w:rPr>
                <w:rFonts w:cs="Arial"/>
                <w:b w:val="0"/>
                <w:color w:val="000000" w:themeColor="text1"/>
                <w:sz w:val="20"/>
              </w:rPr>
            </w:pPr>
          </w:p>
        </w:tc>
      </w:tr>
      <w:tr w:rsidR="00897293" w:rsidRPr="00CC6553" w14:paraId="19670420" w14:textId="77777777" w:rsidTr="00897293">
        <w:trPr>
          <w:trHeight w:val="300"/>
        </w:trPr>
        <w:tc>
          <w:tcPr>
            <w:tcW w:w="109" w:type="pct"/>
          </w:tcPr>
          <w:p w14:paraId="36C0F698" w14:textId="77777777" w:rsidR="00897293" w:rsidRPr="00CC6553" w:rsidRDefault="00897293" w:rsidP="00B234F1">
            <w:pPr>
              <w:rPr>
                <w:rFonts w:cs="Arial"/>
                <w:color w:val="000000" w:themeColor="text1"/>
                <w:sz w:val="20"/>
              </w:rPr>
            </w:pPr>
            <w:r w:rsidRPr="00CC6553">
              <w:rPr>
                <w:rFonts w:cs="Arial"/>
                <w:color w:val="000000" w:themeColor="text1"/>
                <w:sz w:val="20"/>
              </w:rPr>
              <w:t>191</w:t>
            </w:r>
          </w:p>
        </w:tc>
        <w:tc>
          <w:tcPr>
            <w:tcW w:w="143" w:type="pct"/>
          </w:tcPr>
          <w:p w14:paraId="23C0E613" w14:textId="11B8E772"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3A472638" w14:textId="7D93C21F" w:rsidR="00897293" w:rsidRPr="00CC6553" w:rsidRDefault="00897293" w:rsidP="00B234F1">
            <w:pPr>
              <w:rPr>
                <w:rFonts w:cs="Arial"/>
                <w:bCs/>
                <w:iCs/>
                <w:color w:val="000000" w:themeColor="text1"/>
                <w:sz w:val="20"/>
              </w:rPr>
            </w:pPr>
            <w:r w:rsidRPr="00CC6553">
              <w:rPr>
                <w:rFonts w:cs="Arial"/>
                <w:color w:val="000000" w:themeColor="text1"/>
                <w:sz w:val="20"/>
              </w:rPr>
              <w:t>Primary Care Cardiovascular Society (PCCS)</w:t>
            </w:r>
          </w:p>
        </w:tc>
        <w:tc>
          <w:tcPr>
            <w:tcW w:w="279" w:type="pct"/>
          </w:tcPr>
          <w:p w14:paraId="5691F87A" w14:textId="288B2AEE"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38F63AC2" w14:textId="7DFAB61D"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59390788" w14:textId="16296595"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1521" w:type="pct"/>
          </w:tcPr>
          <w:p w14:paraId="7BE2CB30" w14:textId="4D2AC019" w:rsidR="00897293" w:rsidRPr="00CC6553" w:rsidRDefault="00897293" w:rsidP="00B234F1">
            <w:pPr>
              <w:rPr>
                <w:rFonts w:cs="Arial"/>
                <w:color w:val="000000" w:themeColor="text1"/>
                <w:sz w:val="20"/>
              </w:rPr>
            </w:pPr>
            <w:r w:rsidRPr="00CC6553">
              <w:rPr>
                <w:rFonts w:cs="Arial"/>
                <w:color w:val="000000" w:themeColor="text1"/>
                <w:sz w:val="20"/>
              </w:rPr>
              <w:t>General practice should be able to initiate SGLT2 inhibitor. They are already doing this for patients with 2DM and/or CKD.  The need to seek specialist advice will build in delays whilst specialist contacted whilst awaiting a reply and then the need to another contact with the patient</w:t>
            </w:r>
            <w:r w:rsidRPr="00CC6553">
              <w:rPr>
                <w:rFonts w:cs="Arial"/>
                <w:color w:val="000000" w:themeColor="text1"/>
                <w:sz w:val="20"/>
              </w:rPr>
              <w:br/>
              <w:t>In addition, this may lead to further inequalities in care as either as some HF services are not commissioned for HFmrEF or HFpEF</w:t>
            </w:r>
            <w:r w:rsidRPr="00CC6553">
              <w:rPr>
                <w:rFonts w:cs="Arial"/>
                <w:color w:val="000000" w:themeColor="text1"/>
                <w:sz w:val="20"/>
              </w:rPr>
              <w:br/>
              <w:t>General practice initiation will prevent unnecessary bottlenecks in the system</w:t>
            </w:r>
            <w:r w:rsidRPr="00CC6553">
              <w:rPr>
                <w:rFonts w:cs="Arial"/>
                <w:color w:val="000000" w:themeColor="text1"/>
                <w:sz w:val="20"/>
              </w:rPr>
              <w:br/>
              <w:t>Seek specialist advice if needed</w:t>
            </w:r>
            <w:r w:rsidRPr="00CC6553">
              <w:rPr>
                <w:rFonts w:cs="Arial"/>
                <w:color w:val="000000" w:themeColor="text1"/>
                <w:sz w:val="20"/>
              </w:rPr>
              <w:br/>
              <w:t>Make clear that specialist does not have to be secondary care or HF service but can be a member of the MDT in general practice with the expertise in heart failure.</w:t>
            </w:r>
          </w:p>
        </w:tc>
        <w:tc>
          <w:tcPr>
            <w:tcW w:w="2122" w:type="pct"/>
          </w:tcPr>
          <w:p w14:paraId="4E974B35" w14:textId="1C3C61C8"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committee has removed the requirement for GPs to seek advice from a heart failure specialist before prescribing a SGLT2 inhibitor.</w:t>
            </w:r>
          </w:p>
          <w:p w14:paraId="4699E806" w14:textId="77777777" w:rsidR="00897293" w:rsidRPr="00CC6553" w:rsidRDefault="00897293" w:rsidP="00B234F1">
            <w:pPr>
              <w:pStyle w:val="Heading1"/>
              <w:rPr>
                <w:rFonts w:cs="Arial"/>
                <w:b w:val="0"/>
                <w:color w:val="000000" w:themeColor="text1"/>
                <w:sz w:val="20"/>
              </w:rPr>
            </w:pPr>
          </w:p>
        </w:tc>
      </w:tr>
      <w:tr w:rsidR="00897293" w:rsidRPr="00CC6553" w14:paraId="515B53B4" w14:textId="77777777" w:rsidTr="00897293">
        <w:trPr>
          <w:trHeight w:val="300"/>
        </w:trPr>
        <w:tc>
          <w:tcPr>
            <w:tcW w:w="109" w:type="pct"/>
          </w:tcPr>
          <w:p w14:paraId="20160037" w14:textId="77777777" w:rsidR="00897293" w:rsidRPr="00CC6553" w:rsidRDefault="00897293" w:rsidP="00B234F1">
            <w:pPr>
              <w:rPr>
                <w:rFonts w:cs="Arial"/>
                <w:color w:val="000000" w:themeColor="text1"/>
                <w:sz w:val="20"/>
              </w:rPr>
            </w:pPr>
            <w:r w:rsidRPr="00CC6553">
              <w:rPr>
                <w:rFonts w:cs="Arial"/>
                <w:color w:val="000000" w:themeColor="text1"/>
                <w:sz w:val="20"/>
              </w:rPr>
              <w:t>192</w:t>
            </w:r>
          </w:p>
        </w:tc>
        <w:tc>
          <w:tcPr>
            <w:tcW w:w="143" w:type="pct"/>
          </w:tcPr>
          <w:p w14:paraId="0713077D" w14:textId="7C18570B"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00130128" w14:textId="4CD04AA4" w:rsidR="00897293" w:rsidRPr="00CC6553" w:rsidRDefault="00897293" w:rsidP="00B234F1">
            <w:pPr>
              <w:rPr>
                <w:rFonts w:cs="Arial"/>
                <w:bCs/>
                <w:iCs/>
                <w:color w:val="000000" w:themeColor="text1"/>
                <w:sz w:val="20"/>
              </w:rPr>
            </w:pPr>
            <w:r w:rsidRPr="00CC6553">
              <w:rPr>
                <w:rFonts w:cs="Arial"/>
                <w:color w:val="000000" w:themeColor="text1"/>
                <w:sz w:val="20"/>
              </w:rPr>
              <w:t>Primary Care Cardiovascular Society (PCCS)</w:t>
            </w:r>
          </w:p>
        </w:tc>
        <w:tc>
          <w:tcPr>
            <w:tcW w:w="279" w:type="pct"/>
          </w:tcPr>
          <w:p w14:paraId="74201E97" w14:textId="6DCC42FA"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0F427681" w14:textId="50326303"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03C8E67E" w14:textId="380D3D09"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1521" w:type="pct"/>
          </w:tcPr>
          <w:p w14:paraId="4D3F2905" w14:textId="6EEB5F07" w:rsidR="00897293" w:rsidRPr="00CC6553" w:rsidRDefault="00897293" w:rsidP="00B234F1">
            <w:pPr>
              <w:rPr>
                <w:rFonts w:cs="Arial"/>
                <w:color w:val="000000" w:themeColor="text1"/>
                <w:sz w:val="20"/>
              </w:rPr>
            </w:pPr>
            <w:r w:rsidRPr="00CC6553">
              <w:rPr>
                <w:rFonts w:cs="Arial"/>
                <w:color w:val="000000" w:themeColor="text1"/>
                <w:sz w:val="20"/>
              </w:rPr>
              <w:t>General practice should be able to initiate sacubitril+ valsartan. Make clear that this specialist does not have to be secondary care or HF service but can be a member of the MDT in general practice with the expertise in heart failure.</w:t>
            </w:r>
            <w:r w:rsidRPr="00CC6553">
              <w:rPr>
                <w:rFonts w:cs="Arial"/>
                <w:color w:val="000000" w:themeColor="text1"/>
                <w:sz w:val="20"/>
              </w:rPr>
              <w:br/>
              <w:t>This will prevent unnecessary bottlenecks in the system</w:t>
            </w:r>
            <w:r w:rsidRPr="00CC6553">
              <w:rPr>
                <w:rFonts w:cs="Arial"/>
                <w:color w:val="000000" w:themeColor="text1"/>
                <w:sz w:val="20"/>
              </w:rPr>
              <w:br/>
              <w:t>Please make it clear that titration can also be done by an appropriate team member (this can be primary care or heart failure MDT member)</w:t>
            </w:r>
          </w:p>
        </w:tc>
        <w:tc>
          <w:tcPr>
            <w:tcW w:w="2122" w:type="pct"/>
          </w:tcPr>
          <w:p w14:paraId="0B1575F8" w14:textId="4E51B851" w:rsidR="00897293" w:rsidRPr="00CC6553" w:rsidRDefault="00897293" w:rsidP="74BDFD37">
            <w:pPr>
              <w:pStyle w:val="Heading1"/>
              <w:rPr>
                <w:rFonts w:cs="Arial"/>
                <w:b w:val="0"/>
                <w:bCs w:val="0"/>
                <w:color w:val="000000" w:themeColor="text1"/>
                <w:sz w:val="20"/>
              </w:rPr>
            </w:pPr>
            <w:r w:rsidRPr="00CC6553">
              <w:rPr>
                <w:rFonts w:cs="Arial"/>
                <w:b w:val="0"/>
                <w:bCs w:val="0"/>
                <w:color w:val="000000" w:themeColor="text1"/>
                <w:sz w:val="20"/>
              </w:rPr>
              <w:t xml:space="preserve">Thank you for your comment.  The committee now recommend that primary care prescribers consider seeking advice from a heart failure specialist before starting an ARNI.  The recommendation does not </w:t>
            </w:r>
            <w:r w:rsidRPr="00CC6553">
              <w:rPr>
                <w:rFonts w:cs="Arial"/>
                <w:b w:val="0"/>
                <w:bCs w:val="0"/>
                <w:color w:val="000000" w:themeColor="text1"/>
                <w:sz w:val="20"/>
              </w:rPr>
              <w:lastRenderedPageBreak/>
              <w:t>preclude titration by an appropriate team member.</w:t>
            </w:r>
          </w:p>
        </w:tc>
      </w:tr>
      <w:tr w:rsidR="00897293" w:rsidRPr="00CC6553" w14:paraId="58296107" w14:textId="77777777" w:rsidTr="00897293">
        <w:trPr>
          <w:trHeight w:val="300"/>
        </w:trPr>
        <w:tc>
          <w:tcPr>
            <w:tcW w:w="109" w:type="pct"/>
          </w:tcPr>
          <w:p w14:paraId="37A70B77"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193</w:t>
            </w:r>
          </w:p>
        </w:tc>
        <w:tc>
          <w:tcPr>
            <w:tcW w:w="143" w:type="pct"/>
          </w:tcPr>
          <w:p w14:paraId="1E6F9D5D" w14:textId="56A98ACD"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3AF4B70D" w14:textId="413EACAB" w:rsidR="00897293" w:rsidRPr="00CC6553" w:rsidRDefault="00897293" w:rsidP="00B234F1">
            <w:pPr>
              <w:rPr>
                <w:rFonts w:cs="Arial"/>
                <w:bCs/>
                <w:iCs/>
                <w:color w:val="000000" w:themeColor="text1"/>
                <w:sz w:val="20"/>
              </w:rPr>
            </w:pPr>
            <w:r w:rsidRPr="00CC6553">
              <w:rPr>
                <w:rFonts w:cs="Arial"/>
                <w:color w:val="000000" w:themeColor="text1"/>
                <w:sz w:val="20"/>
              </w:rPr>
              <w:t>NHS Surrey Heartlands Integrated Care Board (ICB)</w:t>
            </w:r>
          </w:p>
        </w:tc>
        <w:tc>
          <w:tcPr>
            <w:tcW w:w="279" w:type="pct"/>
          </w:tcPr>
          <w:p w14:paraId="591F4563" w14:textId="1C72FFEE"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1FB5D4BD" w14:textId="02D0FED8"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1DAF0E1C" w14:textId="26CD4C7B"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1521" w:type="pct"/>
          </w:tcPr>
          <w:p w14:paraId="5FBD0B88" w14:textId="2CFBE460" w:rsidR="00897293" w:rsidRPr="00CC6553" w:rsidRDefault="00897293" w:rsidP="00B234F1">
            <w:pPr>
              <w:rPr>
                <w:rFonts w:cs="Arial"/>
                <w:color w:val="000000" w:themeColor="text1"/>
                <w:sz w:val="20"/>
              </w:rPr>
            </w:pPr>
            <w:r w:rsidRPr="00CC6553">
              <w:rPr>
                <w:rFonts w:cs="Arial"/>
                <w:color w:val="000000" w:themeColor="text1"/>
                <w:sz w:val="20"/>
              </w:rPr>
              <w:t>With regards your specific question of the need for GPs to reach out to specialist teams before starting an SGLT2 inhibitor is outdated now-primary care initiate these very frequently in Diabetes care for example and we would hate NICE guidance to add a rate limiting step into a patient care pathway. Access to specialist HF teams is precious and sometimes patchy.</w:t>
            </w:r>
          </w:p>
        </w:tc>
        <w:tc>
          <w:tcPr>
            <w:tcW w:w="2122" w:type="pct"/>
          </w:tcPr>
          <w:p w14:paraId="1BAEE4A0" w14:textId="13F026D6"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committee has removed the requirement for GPs to seek advice from a heart failure specialist before prescribing a SGLT2 inhibitor.</w:t>
            </w:r>
          </w:p>
          <w:p w14:paraId="7270458F" w14:textId="77777777" w:rsidR="00897293" w:rsidRPr="00CC6553" w:rsidRDefault="00897293" w:rsidP="00B234F1">
            <w:pPr>
              <w:pStyle w:val="Heading1"/>
              <w:rPr>
                <w:rFonts w:cs="Arial"/>
                <w:b w:val="0"/>
                <w:color w:val="000000" w:themeColor="text1"/>
                <w:sz w:val="20"/>
              </w:rPr>
            </w:pPr>
          </w:p>
        </w:tc>
      </w:tr>
      <w:tr w:rsidR="00897293" w:rsidRPr="00CC6553" w14:paraId="2A036167" w14:textId="77777777" w:rsidTr="00897293">
        <w:trPr>
          <w:trHeight w:val="300"/>
        </w:trPr>
        <w:tc>
          <w:tcPr>
            <w:tcW w:w="109" w:type="pct"/>
          </w:tcPr>
          <w:p w14:paraId="467C40E7" w14:textId="77777777" w:rsidR="00897293" w:rsidRPr="00CC6553" w:rsidRDefault="00897293" w:rsidP="00B234F1">
            <w:pPr>
              <w:rPr>
                <w:rFonts w:cs="Arial"/>
                <w:color w:val="000000" w:themeColor="text1"/>
                <w:sz w:val="20"/>
              </w:rPr>
            </w:pPr>
            <w:r w:rsidRPr="00CC6553">
              <w:rPr>
                <w:rFonts w:cs="Arial"/>
                <w:color w:val="000000" w:themeColor="text1"/>
                <w:sz w:val="20"/>
              </w:rPr>
              <w:t>194</w:t>
            </w:r>
          </w:p>
        </w:tc>
        <w:tc>
          <w:tcPr>
            <w:tcW w:w="143" w:type="pct"/>
          </w:tcPr>
          <w:p w14:paraId="27D2C552" w14:textId="5675119D"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5BE8A7BD" w14:textId="64318C99" w:rsidR="00897293" w:rsidRPr="00CC6553" w:rsidRDefault="00897293" w:rsidP="00B234F1">
            <w:pPr>
              <w:rPr>
                <w:rFonts w:cs="Arial"/>
                <w:bCs/>
                <w:iCs/>
                <w:color w:val="000000" w:themeColor="text1"/>
                <w:sz w:val="20"/>
              </w:rPr>
            </w:pPr>
            <w:r w:rsidRPr="00CC6553">
              <w:rPr>
                <w:rFonts w:cs="Arial"/>
                <w:color w:val="000000" w:themeColor="text1"/>
                <w:sz w:val="20"/>
              </w:rPr>
              <w:t>British Association for Nursing in Cardiovascular Care (BANCC)</w:t>
            </w:r>
          </w:p>
        </w:tc>
        <w:tc>
          <w:tcPr>
            <w:tcW w:w="279" w:type="pct"/>
          </w:tcPr>
          <w:p w14:paraId="0777EC68" w14:textId="5BEBBE3E"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1EB51718" w14:textId="7DEE499B"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2443A7DF" w14:textId="398AAD87"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1521" w:type="pct"/>
          </w:tcPr>
          <w:p w14:paraId="528BD9AC" w14:textId="23A1E66A" w:rsidR="00897293" w:rsidRPr="00CC6553" w:rsidRDefault="00897293" w:rsidP="00B234F1">
            <w:pPr>
              <w:rPr>
                <w:rFonts w:cs="Arial"/>
                <w:color w:val="000000" w:themeColor="text1"/>
                <w:sz w:val="20"/>
              </w:rPr>
            </w:pPr>
            <w:r w:rsidRPr="00CC6553">
              <w:rPr>
                <w:rFonts w:cs="Arial"/>
                <w:color w:val="000000" w:themeColor="text1"/>
                <w:sz w:val="20"/>
              </w:rPr>
              <w:t>Stating GPs cannot initiate an SGLT2i without specialist HF advice is a highly detrimental retrograde step.</w:t>
            </w:r>
          </w:p>
        </w:tc>
        <w:tc>
          <w:tcPr>
            <w:tcW w:w="2122" w:type="pct"/>
          </w:tcPr>
          <w:p w14:paraId="5686D504" w14:textId="73CCE0C5"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committee has removed the requirement for GPs to seek advice from a heart failure specialist before prescribing a SGLT2 inhibitor.</w:t>
            </w:r>
          </w:p>
          <w:p w14:paraId="5A2A7625" w14:textId="77777777" w:rsidR="00897293" w:rsidRPr="00CC6553" w:rsidRDefault="00897293" w:rsidP="00B234F1">
            <w:pPr>
              <w:pStyle w:val="Heading1"/>
              <w:rPr>
                <w:rFonts w:cs="Arial"/>
                <w:b w:val="0"/>
                <w:color w:val="000000" w:themeColor="text1"/>
                <w:sz w:val="20"/>
              </w:rPr>
            </w:pPr>
          </w:p>
        </w:tc>
      </w:tr>
      <w:tr w:rsidR="00897293" w:rsidRPr="00CC6553" w14:paraId="4B898CCB" w14:textId="77777777" w:rsidTr="00897293">
        <w:trPr>
          <w:trHeight w:val="300"/>
        </w:trPr>
        <w:tc>
          <w:tcPr>
            <w:tcW w:w="109" w:type="pct"/>
          </w:tcPr>
          <w:p w14:paraId="5EBC7ED6" w14:textId="77777777" w:rsidR="00897293" w:rsidRPr="00CC6553" w:rsidRDefault="00897293" w:rsidP="00B234F1">
            <w:pPr>
              <w:rPr>
                <w:rFonts w:cs="Arial"/>
                <w:color w:val="000000" w:themeColor="text1"/>
                <w:sz w:val="20"/>
              </w:rPr>
            </w:pPr>
            <w:r w:rsidRPr="00CC6553">
              <w:rPr>
                <w:rFonts w:cs="Arial"/>
                <w:color w:val="000000" w:themeColor="text1"/>
                <w:sz w:val="20"/>
              </w:rPr>
              <w:t>195</w:t>
            </w:r>
          </w:p>
        </w:tc>
        <w:tc>
          <w:tcPr>
            <w:tcW w:w="143" w:type="pct"/>
          </w:tcPr>
          <w:p w14:paraId="005AD075" w14:textId="02E53BD8"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36FBBD85" w14:textId="2F358A63" w:rsidR="00897293" w:rsidRPr="00CC6553" w:rsidRDefault="00897293" w:rsidP="00B234F1">
            <w:pPr>
              <w:rPr>
                <w:rFonts w:cs="Arial"/>
                <w:bCs/>
                <w:iCs/>
                <w:color w:val="000000" w:themeColor="text1"/>
                <w:sz w:val="20"/>
              </w:rPr>
            </w:pPr>
            <w:r w:rsidRPr="00CC6553">
              <w:rPr>
                <w:rFonts w:cs="Arial"/>
                <w:color w:val="000000" w:themeColor="text1"/>
                <w:sz w:val="20"/>
              </w:rPr>
              <w:t>British Association for Nursing in Cardiovascular Care (BANCC)</w:t>
            </w:r>
          </w:p>
        </w:tc>
        <w:tc>
          <w:tcPr>
            <w:tcW w:w="279" w:type="pct"/>
          </w:tcPr>
          <w:p w14:paraId="72A266D0" w14:textId="340AC54B"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5B4F3D6F" w14:textId="1C3FAA1C"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09F4BF8B" w14:textId="516DC22C"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1521" w:type="pct"/>
          </w:tcPr>
          <w:p w14:paraId="0D64E069" w14:textId="7ABEEF31" w:rsidR="00897293" w:rsidRPr="00CC6553" w:rsidRDefault="00897293" w:rsidP="00B234F1">
            <w:pPr>
              <w:rPr>
                <w:rFonts w:cs="Arial"/>
                <w:color w:val="000000" w:themeColor="text1"/>
                <w:sz w:val="20"/>
              </w:rPr>
            </w:pPr>
            <w:r w:rsidRPr="00CC6553">
              <w:rPr>
                <w:rFonts w:cs="Arial"/>
                <w:color w:val="000000" w:themeColor="text1"/>
                <w:sz w:val="20"/>
              </w:rPr>
              <w:t>GPs have been prescribing SGLT2i far longer and have greater experience with this class of medication than HF specialists. The current recommendation will lead to delays and under-treatment of this prognostically beneficial class of medication but also potentially lead to more referrals to heart failure clinics and greater waiting times.  Please consider the following wording – SGLT2i and ARNI can be prescribed in the community by primary care practitioners (GPs, nurse practitioners or pharmacists ), however they may wish to seek the advice of a heart failure specialist prior to this . [2025]</w:t>
            </w:r>
          </w:p>
        </w:tc>
        <w:tc>
          <w:tcPr>
            <w:tcW w:w="2122" w:type="pct"/>
          </w:tcPr>
          <w:p w14:paraId="3CE73EEE" w14:textId="710150A8" w:rsidR="00897293" w:rsidRPr="00CC6553" w:rsidRDefault="00897293" w:rsidP="21434BE0">
            <w:pPr>
              <w:pStyle w:val="Heading1"/>
              <w:rPr>
                <w:rFonts w:cs="Arial"/>
                <w:b w:val="0"/>
                <w:bCs w:val="0"/>
                <w:color w:val="000000" w:themeColor="text1"/>
                <w:sz w:val="20"/>
              </w:rPr>
            </w:pPr>
            <w:r w:rsidRPr="00CC6553">
              <w:rPr>
                <w:rFonts w:cs="Arial"/>
                <w:b w:val="0"/>
                <w:bCs w:val="0"/>
                <w:color w:val="000000" w:themeColor="text1"/>
                <w:sz w:val="20"/>
              </w:rPr>
              <w:t>Thank you for your comment.  The committee has removed the requirement for GPs to seek advice from a heart failure specialist before prescribing a SGLT2 inhibitor.  The committee now recommend that primary care prescribers consider seeking advice from a heart failure specialist before starting an ARNI.</w:t>
            </w:r>
          </w:p>
          <w:p w14:paraId="7201D65C" w14:textId="77777777" w:rsidR="00897293" w:rsidRPr="00CC6553" w:rsidRDefault="00897293" w:rsidP="00B234F1">
            <w:pPr>
              <w:pStyle w:val="Heading1"/>
              <w:rPr>
                <w:rFonts w:cs="Arial"/>
                <w:b w:val="0"/>
                <w:color w:val="000000" w:themeColor="text1"/>
                <w:sz w:val="20"/>
              </w:rPr>
            </w:pPr>
          </w:p>
        </w:tc>
      </w:tr>
      <w:tr w:rsidR="00897293" w:rsidRPr="00CC6553" w14:paraId="6EE58D4D" w14:textId="77777777" w:rsidTr="00897293">
        <w:trPr>
          <w:trHeight w:val="300"/>
        </w:trPr>
        <w:tc>
          <w:tcPr>
            <w:tcW w:w="109" w:type="pct"/>
          </w:tcPr>
          <w:p w14:paraId="76EB2DDF" w14:textId="77777777" w:rsidR="00897293" w:rsidRPr="00CC6553" w:rsidRDefault="00897293" w:rsidP="00B234F1">
            <w:pPr>
              <w:rPr>
                <w:rFonts w:cs="Arial"/>
                <w:color w:val="000000" w:themeColor="text1"/>
                <w:sz w:val="20"/>
              </w:rPr>
            </w:pPr>
            <w:r w:rsidRPr="00CC6553">
              <w:rPr>
                <w:rFonts w:cs="Arial"/>
                <w:color w:val="000000" w:themeColor="text1"/>
                <w:sz w:val="20"/>
              </w:rPr>
              <w:t>196</w:t>
            </w:r>
          </w:p>
        </w:tc>
        <w:tc>
          <w:tcPr>
            <w:tcW w:w="143" w:type="pct"/>
          </w:tcPr>
          <w:p w14:paraId="374BB3F5" w14:textId="09EB2982"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E437FDD" w14:textId="1DA419B3" w:rsidR="00897293" w:rsidRPr="00CC6553" w:rsidRDefault="00897293" w:rsidP="00B234F1">
            <w:pPr>
              <w:rPr>
                <w:rFonts w:cs="Arial"/>
                <w:bCs/>
                <w:iCs/>
                <w:color w:val="000000" w:themeColor="text1"/>
                <w:sz w:val="20"/>
              </w:rPr>
            </w:pPr>
            <w:r w:rsidRPr="00CC6553">
              <w:rPr>
                <w:rFonts w:cs="Arial"/>
                <w:color w:val="000000" w:themeColor="text1"/>
                <w:sz w:val="20"/>
              </w:rPr>
              <w:t>British Association for Nursing in Cardiovascular Care (BANCC)</w:t>
            </w:r>
          </w:p>
        </w:tc>
        <w:tc>
          <w:tcPr>
            <w:tcW w:w="279" w:type="pct"/>
          </w:tcPr>
          <w:p w14:paraId="2E8D3487" w14:textId="3B7AA7B8"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7A24E09A" w14:textId="6B810074"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73C971AC" w14:textId="4EFB4E56"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1521" w:type="pct"/>
          </w:tcPr>
          <w:p w14:paraId="121ACBE6" w14:textId="19F91E2C" w:rsidR="00897293" w:rsidRPr="00CC6553" w:rsidRDefault="00897293" w:rsidP="00B234F1">
            <w:pPr>
              <w:rPr>
                <w:rFonts w:cs="Arial"/>
                <w:color w:val="000000" w:themeColor="text1"/>
                <w:sz w:val="20"/>
              </w:rPr>
            </w:pPr>
            <w:r w:rsidRPr="00CC6553">
              <w:rPr>
                <w:rFonts w:cs="Arial"/>
                <w:color w:val="000000" w:themeColor="text1"/>
                <w:sz w:val="20"/>
              </w:rPr>
              <w:t>GPs are very used to prescribing SGLT2is so should be allowed to initiate them for patients suspected of heart failure whilst waiting for specialist review with echocardiogram in HF clinic as they are of benefit across the range of ejection fractions. This is likely to reduce HF hospitalisations whilst awaiting review.</w:t>
            </w:r>
          </w:p>
        </w:tc>
        <w:tc>
          <w:tcPr>
            <w:tcW w:w="2122" w:type="pct"/>
          </w:tcPr>
          <w:p w14:paraId="51061D2D" w14:textId="7BFC71E1"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committee has removed the requirement for GPs to seek advice from a heart failure specialist before prescribing a SGLT2 inhibitor.</w:t>
            </w:r>
          </w:p>
          <w:p w14:paraId="290CE623" w14:textId="77777777" w:rsidR="00897293" w:rsidRPr="00CC6553" w:rsidRDefault="00897293" w:rsidP="00B234F1">
            <w:pPr>
              <w:pStyle w:val="Heading1"/>
              <w:rPr>
                <w:rFonts w:cs="Arial"/>
                <w:b w:val="0"/>
                <w:color w:val="000000" w:themeColor="text1"/>
                <w:sz w:val="20"/>
              </w:rPr>
            </w:pPr>
          </w:p>
        </w:tc>
      </w:tr>
      <w:tr w:rsidR="00897293" w:rsidRPr="00CC6553" w14:paraId="660F6720" w14:textId="77777777" w:rsidTr="00897293">
        <w:trPr>
          <w:trHeight w:val="300"/>
        </w:trPr>
        <w:tc>
          <w:tcPr>
            <w:tcW w:w="109" w:type="pct"/>
          </w:tcPr>
          <w:p w14:paraId="776AB2D6"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197</w:t>
            </w:r>
          </w:p>
        </w:tc>
        <w:tc>
          <w:tcPr>
            <w:tcW w:w="143" w:type="pct"/>
          </w:tcPr>
          <w:p w14:paraId="535BC349" w14:textId="05074B2A"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025FB7FE" w14:textId="03DB412F" w:rsidR="00897293" w:rsidRPr="00CC6553" w:rsidRDefault="00897293" w:rsidP="00B234F1">
            <w:pPr>
              <w:rPr>
                <w:rFonts w:cs="Arial"/>
                <w:bCs/>
                <w:iCs/>
                <w:color w:val="000000" w:themeColor="text1"/>
                <w:sz w:val="20"/>
              </w:rPr>
            </w:pPr>
            <w:r w:rsidRPr="00CC6553">
              <w:rPr>
                <w:rFonts w:cs="Arial"/>
                <w:color w:val="000000" w:themeColor="text1"/>
                <w:sz w:val="20"/>
              </w:rPr>
              <w:t>British Association for Nursing in Cardiovascular Care (BANCC)</w:t>
            </w:r>
          </w:p>
        </w:tc>
        <w:tc>
          <w:tcPr>
            <w:tcW w:w="279" w:type="pct"/>
          </w:tcPr>
          <w:p w14:paraId="2D22310A" w14:textId="0D606106"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13C01518" w14:textId="4576D874"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4AF5F6A3" w14:textId="7B5AB999"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1521" w:type="pct"/>
          </w:tcPr>
          <w:p w14:paraId="5903988A" w14:textId="628F0C27" w:rsidR="00897293" w:rsidRPr="00CC6553" w:rsidRDefault="00897293" w:rsidP="00B234F1">
            <w:pPr>
              <w:rPr>
                <w:rFonts w:cs="Arial"/>
                <w:color w:val="000000" w:themeColor="text1"/>
                <w:sz w:val="20"/>
              </w:rPr>
            </w:pPr>
            <w:r w:rsidRPr="00CC6553">
              <w:rPr>
                <w:rFonts w:cs="Arial"/>
                <w:color w:val="000000" w:themeColor="text1"/>
                <w:sz w:val="20"/>
              </w:rPr>
              <w:t>Restricting treatment with SGLT2i to specialist teams only will reduce access to treatment</w:t>
            </w:r>
          </w:p>
        </w:tc>
        <w:tc>
          <w:tcPr>
            <w:tcW w:w="2122" w:type="pct"/>
          </w:tcPr>
          <w:p w14:paraId="1B3C2050" w14:textId="77777777"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Thank you for your comment.  The committee has removed the requirement for GPs to seek advice from </w:t>
            </w:r>
            <w:r w:rsidRPr="00CC6553">
              <w:rPr>
                <w:b w:val="0"/>
                <w:color w:val="000000" w:themeColor="text1"/>
                <w:sz w:val="20"/>
              </w:rPr>
              <w:t xml:space="preserve">a </w:t>
            </w:r>
            <w:r w:rsidRPr="00CC6553">
              <w:rPr>
                <w:rFonts w:cs="Arial"/>
                <w:b w:val="0"/>
                <w:color w:val="000000" w:themeColor="text1"/>
                <w:sz w:val="20"/>
              </w:rPr>
              <w:t>heart failure specialist before prescribing a SGLT2 inhibitor.</w:t>
            </w:r>
          </w:p>
          <w:p w14:paraId="79FFD15A" w14:textId="77777777" w:rsidR="00897293" w:rsidRPr="00CC6553" w:rsidRDefault="00897293" w:rsidP="00B234F1">
            <w:pPr>
              <w:pStyle w:val="Heading1"/>
              <w:rPr>
                <w:rFonts w:cs="Arial"/>
                <w:b w:val="0"/>
                <w:color w:val="000000" w:themeColor="text1"/>
                <w:sz w:val="20"/>
              </w:rPr>
            </w:pPr>
          </w:p>
        </w:tc>
      </w:tr>
      <w:tr w:rsidR="00897293" w:rsidRPr="00CC6553" w14:paraId="43991263" w14:textId="77777777" w:rsidTr="00897293">
        <w:trPr>
          <w:trHeight w:val="300"/>
        </w:trPr>
        <w:tc>
          <w:tcPr>
            <w:tcW w:w="109" w:type="pct"/>
          </w:tcPr>
          <w:p w14:paraId="77F41329" w14:textId="77777777" w:rsidR="00897293" w:rsidRPr="00CC6553" w:rsidRDefault="00897293" w:rsidP="00B234F1">
            <w:pPr>
              <w:rPr>
                <w:rFonts w:cs="Arial"/>
                <w:color w:val="000000" w:themeColor="text1"/>
                <w:sz w:val="20"/>
              </w:rPr>
            </w:pPr>
            <w:r w:rsidRPr="00CC6553">
              <w:rPr>
                <w:rFonts w:cs="Arial"/>
                <w:color w:val="000000" w:themeColor="text1"/>
                <w:sz w:val="20"/>
              </w:rPr>
              <w:t>198</w:t>
            </w:r>
          </w:p>
        </w:tc>
        <w:tc>
          <w:tcPr>
            <w:tcW w:w="143" w:type="pct"/>
          </w:tcPr>
          <w:p w14:paraId="698FF23F" w14:textId="24D231D3"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524D3985" w14:textId="2ECE3695" w:rsidR="00897293" w:rsidRPr="00CC6553" w:rsidRDefault="00897293" w:rsidP="00B234F1">
            <w:pPr>
              <w:rPr>
                <w:rFonts w:cs="Arial"/>
                <w:bCs/>
                <w:iCs/>
                <w:color w:val="000000" w:themeColor="text1"/>
                <w:sz w:val="20"/>
              </w:rPr>
            </w:pPr>
            <w:r w:rsidRPr="00CC6553">
              <w:rPr>
                <w:rFonts w:cs="Arial"/>
                <w:color w:val="000000" w:themeColor="text1"/>
                <w:sz w:val="20"/>
              </w:rPr>
              <w:t>British Association for Nursing in Cardiovascular Care (BANCC)</w:t>
            </w:r>
          </w:p>
        </w:tc>
        <w:tc>
          <w:tcPr>
            <w:tcW w:w="279" w:type="pct"/>
          </w:tcPr>
          <w:p w14:paraId="77A48CF6" w14:textId="3810BE2F"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7EC0BDE9" w14:textId="755CD28F"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4342A049" w14:textId="0506AEB7"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1521" w:type="pct"/>
          </w:tcPr>
          <w:p w14:paraId="6E0BE81C" w14:textId="6C695235" w:rsidR="00897293" w:rsidRPr="00CC6553" w:rsidRDefault="00897293" w:rsidP="00B234F1">
            <w:pPr>
              <w:rPr>
                <w:rFonts w:cs="Arial"/>
                <w:color w:val="000000" w:themeColor="text1"/>
                <w:sz w:val="20"/>
              </w:rPr>
            </w:pPr>
            <w:r w:rsidRPr="00CC6553">
              <w:rPr>
                <w:rFonts w:cs="Arial"/>
                <w:color w:val="000000" w:themeColor="text1"/>
                <w:sz w:val="20"/>
              </w:rPr>
              <w:t xml:space="preserve">There are many clinicians working in general practice reviewing and monitoring patients with heart failure and some also have a specialist interest or knowledge and will be able to prescribe these medicines independently. A broad statement may limit access to medication and delay treatment. </w:t>
            </w:r>
            <w:r w:rsidRPr="00CC6553">
              <w:rPr>
                <w:rFonts w:cs="Arial"/>
                <w:color w:val="000000" w:themeColor="text1"/>
                <w:sz w:val="20"/>
              </w:rPr>
              <w:br/>
              <w:t>Please can this be reworded to say:</w:t>
            </w:r>
            <w:r w:rsidRPr="00CC6553">
              <w:rPr>
                <w:rFonts w:cs="Arial"/>
                <w:color w:val="000000" w:themeColor="text1"/>
                <w:sz w:val="20"/>
              </w:rPr>
              <w:br/>
              <w:t>Clinicians in general practice who do not feel they have the required competence or experience to prescribe, should seek advice from a heart failure specialist before prescribing a sodium-glucose cotransporter-2 (SGLT2) inhibitor or angiotensin receptor-neprilysin inhibitor (ARNI).</w:t>
            </w:r>
          </w:p>
        </w:tc>
        <w:tc>
          <w:tcPr>
            <w:tcW w:w="2122" w:type="pct"/>
          </w:tcPr>
          <w:p w14:paraId="1FEE068E" w14:textId="4A9475DD" w:rsidR="00897293" w:rsidRPr="00CC6553" w:rsidRDefault="00897293" w:rsidP="21434BE0">
            <w:pPr>
              <w:pStyle w:val="Heading1"/>
              <w:rPr>
                <w:rFonts w:cs="Arial"/>
                <w:b w:val="0"/>
                <w:bCs w:val="0"/>
                <w:color w:val="000000" w:themeColor="text1"/>
                <w:sz w:val="20"/>
              </w:rPr>
            </w:pPr>
            <w:r w:rsidRPr="00CC6553">
              <w:rPr>
                <w:rFonts w:cs="Arial"/>
                <w:b w:val="0"/>
                <w:bCs w:val="0"/>
                <w:color w:val="000000" w:themeColor="text1"/>
                <w:sz w:val="20"/>
              </w:rPr>
              <w:t xml:space="preserve">Thank you for your comment.  The committee has removed the requirement for GPs to seek advice from </w:t>
            </w:r>
            <w:r w:rsidRPr="00CC6553">
              <w:rPr>
                <w:b w:val="0"/>
                <w:bCs w:val="0"/>
                <w:color w:val="000000" w:themeColor="text1"/>
                <w:sz w:val="20"/>
              </w:rPr>
              <w:t xml:space="preserve">a </w:t>
            </w:r>
            <w:r w:rsidRPr="00CC6553">
              <w:rPr>
                <w:rFonts w:cs="Arial"/>
                <w:b w:val="0"/>
                <w:bCs w:val="0"/>
                <w:color w:val="000000" w:themeColor="text1"/>
                <w:sz w:val="20"/>
              </w:rPr>
              <w:t>heart failure specialist before prescribing a SGLT2 inhibitor.  The committee now recommend that primary care prescribers consider seeking advice from a heart failure specialist before starting an ARNI.</w:t>
            </w:r>
          </w:p>
          <w:p w14:paraId="59D460F9" w14:textId="77777777" w:rsidR="00897293" w:rsidRPr="00CC6553" w:rsidRDefault="00897293" w:rsidP="00B234F1">
            <w:pPr>
              <w:jc w:val="center"/>
              <w:rPr>
                <w:color w:val="000000" w:themeColor="text1"/>
              </w:rPr>
            </w:pPr>
          </w:p>
        </w:tc>
      </w:tr>
      <w:tr w:rsidR="00897293" w:rsidRPr="00CC6553" w14:paraId="44F3BF21" w14:textId="77777777" w:rsidTr="00897293">
        <w:trPr>
          <w:trHeight w:val="300"/>
        </w:trPr>
        <w:tc>
          <w:tcPr>
            <w:tcW w:w="109" w:type="pct"/>
          </w:tcPr>
          <w:p w14:paraId="62634950" w14:textId="77777777" w:rsidR="00897293" w:rsidRPr="00CC6553" w:rsidRDefault="00897293" w:rsidP="00B234F1">
            <w:pPr>
              <w:rPr>
                <w:rFonts w:cs="Arial"/>
                <w:color w:val="000000" w:themeColor="text1"/>
                <w:sz w:val="20"/>
              </w:rPr>
            </w:pPr>
            <w:r w:rsidRPr="00CC6553">
              <w:rPr>
                <w:rFonts w:cs="Arial"/>
                <w:color w:val="000000" w:themeColor="text1"/>
                <w:sz w:val="20"/>
              </w:rPr>
              <w:t>199</w:t>
            </w:r>
          </w:p>
        </w:tc>
        <w:tc>
          <w:tcPr>
            <w:tcW w:w="143" w:type="pct"/>
          </w:tcPr>
          <w:p w14:paraId="16006ABD" w14:textId="1F83B025"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290BA4FC" w14:textId="1A093CB5" w:rsidR="00897293" w:rsidRPr="00CC6553" w:rsidRDefault="00897293" w:rsidP="00B234F1">
            <w:pPr>
              <w:rPr>
                <w:rFonts w:cs="Arial"/>
                <w:bCs/>
                <w:iCs/>
                <w:color w:val="000000" w:themeColor="text1"/>
                <w:sz w:val="20"/>
              </w:rPr>
            </w:pPr>
            <w:r w:rsidRPr="00CC6553">
              <w:rPr>
                <w:rFonts w:cs="Arial"/>
                <w:color w:val="000000" w:themeColor="text1"/>
                <w:sz w:val="20"/>
              </w:rPr>
              <w:t>British Association for Nursing in Cardiovascular Care (BANCC)</w:t>
            </w:r>
          </w:p>
        </w:tc>
        <w:tc>
          <w:tcPr>
            <w:tcW w:w="279" w:type="pct"/>
          </w:tcPr>
          <w:p w14:paraId="3EC52699" w14:textId="6F6AA73F"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2C668743" w14:textId="699EFE44"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745FDA59" w14:textId="138D6394"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1521" w:type="pct"/>
          </w:tcPr>
          <w:p w14:paraId="1C486D56" w14:textId="3231D552" w:rsidR="00897293" w:rsidRPr="00CC6553" w:rsidRDefault="00897293" w:rsidP="00B234F1">
            <w:pPr>
              <w:rPr>
                <w:rFonts w:cs="Arial"/>
                <w:color w:val="000000" w:themeColor="text1"/>
                <w:sz w:val="20"/>
              </w:rPr>
            </w:pPr>
            <w:r w:rsidRPr="00CC6553">
              <w:rPr>
                <w:rFonts w:cs="Arial"/>
                <w:color w:val="000000" w:themeColor="text1"/>
                <w:sz w:val="20"/>
              </w:rPr>
              <w:t>Suggest adding advice for initiation of SGLT2is:</w:t>
            </w:r>
            <w:r w:rsidRPr="00CC6553">
              <w:rPr>
                <w:rFonts w:cs="Arial"/>
                <w:color w:val="000000" w:themeColor="text1"/>
                <w:sz w:val="20"/>
              </w:rPr>
              <w:br/>
              <w:t xml:space="preserve">Before prescribing SGLT2is, measure the patient’s renal function, liver function and exclude undiagnosed diabetes. </w:t>
            </w:r>
            <w:r w:rsidRPr="00CC6553">
              <w:rPr>
                <w:rFonts w:cs="Arial"/>
                <w:color w:val="000000" w:themeColor="text1"/>
                <w:sz w:val="20"/>
              </w:rPr>
              <w:br/>
              <w:t>SGLT2 inhibitors can cause an additive effect with insulin and insulin secretagogues, such as sulphonylureas, which may cause hypoglycaemia. Dosage adjustments of these medicines may be required in patients with diabetes.</w:t>
            </w:r>
            <w:r w:rsidRPr="00CC6553">
              <w:rPr>
                <w:rFonts w:cs="Arial"/>
                <w:color w:val="000000" w:themeColor="text1"/>
                <w:sz w:val="20"/>
              </w:rPr>
              <w:br/>
              <w:t xml:space="preserve">There may be initial transient increases in creatinine up to 12 weeks after initiation. This is not a reason to stop or withhold medication. </w:t>
            </w:r>
            <w:r w:rsidRPr="00CC6553">
              <w:rPr>
                <w:rFonts w:cs="Arial"/>
                <w:color w:val="000000" w:themeColor="text1"/>
                <w:sz w:val="20"/>
              </w:rPr>
              <w:br/>
              <w:t>In case of intercurrent conditions that may lead to volume depletion (e.g. gastrointestinal illness), careful monitoring of volume status is recommended and patients should be counselled about the importance of “sick-day rules” and when to temporarily withhold medication.   Treatment should be restarted once the patient's condition has stabilised and they are eating normally for at least 24 hours.</w:t>
            </w:r>
          </w:p>
        </w:tc>
        <w:tc>
          <w:tcPr>
            <w:tcW w:w="2122" w:type="pct"/>
          </w:tcPr>
          <w:p w14:paraId="21975064" w14:textId="4D9F0E31" w:rsidR="00897293" w:rsidRPr="00CC6553" w:rsidRDefault="00897293" w:rsidP="01B1FDC5">
            <w:pPr>
              <w:pStyle w:val="Heading1"/>
              <w:rPr>
                <w:rFonts w:cs="Arial"/>
                <w:b w:val="0"/>
                <w:bCs w:val="0"/>
                <w:color w:val="000000" w:themeColor="text1"/>
                <w:sz w:val="20"/>
              </w:rPr>
            </w:pPr>
            <w:r w:rsidRPr="00CC6553">
              <w:rPr>
                <w:rFonts w:cs="Arial"/>
                <w:b w:val="0"/>
                <w:bCs w:val="0"/>
                <w:color w:val="000000" w:themeColor="text1"/>
                <w:sz w:val="20"/>
              </w:rPr>
              <w:t>Thank you for your comment.  The committee agreed that overall, the responsibility lies with the clinical prescriber to ensure that they are appropriately informed and confident to use SGLT2i appropriately.</w:t>
            </w:r>
          </w:p>
        </w:tc>
      </w:tr>
      <w:tr w:rsidR="00897293" w:rsidRPr="00CC6553" w14:paraId="49F16C43" w14:textId="77777777" w:rsidTr="00897293">
        <w:trPr>
          <w:trHeight w:val="300"/>
        </w:trPr>
        <w:tc>
          <w:tcPr>
            <w:tcW w:w="109" w:type="pct"/>
          </w:tcPr>
          <w:p w14:paraId="55F834AC"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200</w:t>
            </w:r>
          </w:p>
        </w:tc>
        <w:tc>
          <w:tcPr>
            <w:tcW w:w="143" w:type="pct"/>
          </w:tcPr>
          <w:p w14:paraId="2E09829A" w14:textId="3CD1793D"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3DE418CD" w14:textId="4B24F9D1" w:rsidR="00897293" w:rsidRPr="00CC6553" w:rsidRDefault="00897293" w:rsidP="00B234F1">
            <w:pPr>
              <w:rPr>
                <w:rFonts w:cs="Arial"/>
                <w:bCs/>
                <w:iCs/>
                <w:color w:val="000000" w:themeColor="text1"/>
                <w:sz w:val="20"/>
              </w:rPr>
            </w:pPr>
            <w:r w:rsidRPr="00CC6553">
              <w:rPr>
                <w:rFonts w:cs="Arial"/>
                <w:color w:val="000000" w:themeColor="text1"/>
                <w:sz w:val="20"/>
              </w:rPr>
              <w:t>British Society for Heart Failure (BSHF)</w:t>
            </w:r>
          </w:p>
        </w:tc>
        <w:tc>
          <w:tcPr>
            <w:tcW w:w="279" w:type="pct"/>
          </w:tcPr>
          <w:p w14:paraId="7298358E" w14:textId="6490ACE7"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544B748F" w14:textId="1D45FBED"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6DC3620C" w14:textId="20DE7D0E"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1521" w:type="pct"/>
          </w:tcPr>
          <w:p w14:paraId="7B9546DD" w14:textId="12704048" w:rsidR="00897293" w:rsidRPr="00CC6553" w:rsidRDefault="00897293" w:rsidP="00B234F1">
            <w:pPr>
              <w:rPr>
                <w:rFonts w:cs="Arial"/>
                <w:color w:val="000000" w:themeColor="text1"/>
                <w:sz w:val="20"/>
              </w:rPr>
            </w:pPr>
            <w:r w:rsidRPr="00CC6553">
              <w:rPr>
                <w:rFonts w:cs="Arial"/>
                <w:color w:val="000000" w:themeColor="text1"/>
                <w:sz w:val="20"/>
              </w:rPr>
              <w:t>Stating GPs cannot initiate an sglt2i without specialist HF advice is a terrible retrograde step. </w:t>
            </w:r>
            <w:r w:rsidRPr="00CC6553">
              <w:rPr>
                <w:rFonts w:cs="Arial"/>
                <w:color w:val="000000" w:themeColor="text1"/>
                <w:sz w:val="20"/>
              </w:rPr>
              <w:br/>
              <w:t>This really must come out. GPs prescribe them for other conditions.</w:t>
            </w:r>
          </w:p>
        </w:tc>
        <w:tc>
          <w:tcPr>
            <w:tcW w:w="2122" w:type="pct"/>
          </w:tcPr>
          <w:p w14:paraId="54394097" w14:textId="77777777"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Thank you for your comment.  The committee has removed the requirement for GPs to seek advice from </w:t>
            </w:r>
            <w:r w:rsidRPr="00CC6553">
              <w:rPr>
                <w:b w:val="0"/>
                <w:color w:val="000000" w:themeColor="text1"/>
                <w:sz w:val="20"/>
              </w:rPr>
              <w:t xml:space="preserve">a </w:t>
            </w:r>
            <w:r w:rsidRPr="00CC6553">
              <w:rPr>
                <w:rFonts w:cs="Arial"/>
                <w:b w:val="0"/>
                <w:color w:val="000000" w:themeColor="text1"/>
                <w:sz w:val="20"/>
              </w:rPr>
              <w:t>heart failure specialist before prescribing a SGLT2 inhibitor.</w:t>
            </w:r>
          </w:p>
          <w:p w14:paraId="28CC8AB1" w14:textId="77777777" w:rsidR="00897293" w:rsidRPr="00CC6553" w:rsidRDefault="00897293" w:rsidP="00B234F1">
            <w:pPr>
              <w:pStyle w:val="Heading1"/>
              <w:rPr>
                <w:rFonts w:cs="Arial"/>
                <w:b w:val="0"/>
                <w:color w:val="000000" w:themeColor="text1"/>
                <w:sz w:val="20"/>
              </w:rPr>
            </w:pPr>
          </w:p>
        </w:tc>
      </w:tr>
      <w:tr w:rsidR="00897293" w:rsidRPr="00CC6553" w14:paraId="7E27056E" w14:textId="77777777" w:rsidTr="00897293">
        <w:trPr>
          <w:trHeight w:val="300"/>
        </w:trPr>
        <w:tc>
          <w:tcPr>
            <w:tcW w:w="109" w:type="pct"/>
          </w:tcPr>
          <w:p w14:paraId="4DD31683" w14:textId="77777777" w:rsidR="00897293" w:rsidRPr="00CC6553" w:rsidRDefault="00897293" w:rsidP="00B234F1">
            <w:pPr>
              <w:rPr>
                <w:rFonts w:cs="Arial"/>
                <w:color w:val="000000" w:themeColor="text1"/>
                <w:sz w:val="20"/>
              </w:rPr>
            </w:pPr>
            <w:r w:rsidRPr="00CC6553">
              <w:rPr>
                <w:rFonts w:cs="Arial"/>
                <w:color w:val="000000" w:themeColor="text1"/>
                <w:sz w:val="20"/>
              </w:rPr>
              <w:t>201</w:t>
            </w:r>
          </w:p>
        </w:tc>
        <w:tc>
          <w:tcPr>
            <w:tcW w:w="143" w:type="pct"/>
          </w:tcPr>
          <w:p w14:paraId="36138711" w14:textId="775EB47D"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26316B19" w14:textId="073F114E" w:rsidR="00897293" w:rsidRPr="00CC6553" w:rsidRDefault="00897293" w:rsidP="00B234F1">
            <w:pPr>
              <w:rPr>
                <w:rFonts w:cs="Arial"/>
                <w:bCs/>
                <w:iCs/>
                <w:color w:val="000000" w:themeColor="text1"/>
                <w:sz w:val="20"/>
              </w:rPr>
            </w:pPr>
            <w:r w:rsidRPr="00CC6553">
              <w:rPr>
                <w:rFonts w:cs="Arial"/>
                <w:color w:val="000000" w:themeColor="text1"/>
                <w:sz w:val="20"/>
              </w:rPr>
              <w:t>British Society for Heart Failure (BSHF)</w:t>
            </w:r>
          </w:p>
        </w:tc>
        <w:tc>
          <w:tcPr>
            <w:tcW w:w="279" w:type="pct"/>
          </w:tcPr>
          <w:p w14:paraId="50E66257" w14:textId="19879469"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31578FA7" w14:textId="01554708"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072ED0AA" w14:textId="3F92AAF0"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1521" w:type="pct"/>
          </w:tcPr>
          <w:p w14:paraId="2A07B8D0" w14:textId="78B49965" w:rsidR="00897293" w:rsidRPr="00CC6553" w:rsidRDefault="00897293" w:rsidP="00B234F1">
            <w:pPr>
              <w:rPr>
                <w:rFonts w:cs="Arial"/>
                <w:color w:val="000000" w:themeColor="text1"/>
                <w:sz w:val="20"/>
              </w:rPr>
            </w:pPr>
            <w:r w:rsidRPr="00CC6553">
              <w:rPr>
                <w:rFonts w:cs="Arial"/>
                <w:color w:val="000000" w:themeColor="text1"/>
                <w:sz w:val="20"/>
              </w:rPr>
              <w:t>GPs have been prescribing SGLT2i far longer and have greater experience with this class of medication than HF specialists. The current recommendation will lead to delays and under-treatment of this prognostically beneficial class of medication but also potentially lead to more referrals to heart failure clinics and greater waiting times.  Please consider the following wording – SGLT2i and ARNI can be prescribed in the community by primary care practitioners (GPs, nurse practitioners or pharmacists ), however they should seek the advice of a heart failure specialist prior to this . [2025]</w:t>
            </w:r>
          </w:p>
        </w:tc>
        <w:tc>
          <w:tcPr>
            <w:tcW w:w="2122" w:type="pct"/>
          </w:tcPr>
          <w:p w14:paraId="0EDB5A65" w14:textId="079AE256" w:rsidR="00897293" w:rsidRPr="00CC6553" w:rsidRDefault="00897293" w:rsidP="6763097B">
            <w:pPr>
              <w:pStyle w:val="Heading1"/>
              <w:rPr>
                <w:rFonts w:cs="Arial"/>
                <w:b w:val="0"/>
                <w:bCs w:val="0"/>
                <w:color w:val="000000" w:themeColor="text1"/>
                <w:sz w:val="20"/>
              </w:rPr>
            </w:pPr>
            <w:r w:rsidRPr="00CC6553">
              <w:rPr>
                <w:rFonts w:cs="Arial"/>
                <w:b w:val="0"/>
                <w:color w:val="000000" w:themeColor="text1"/>
                <w:sz w:val="20"/>
              </w:rPr>
              <w:t xml:space="preserve">Thank you for your comment.  The committee has removed the requirement for GPs to seek advice from </w:t>
            </w:r>
            <w:r w:rsidRPr="00CC6553">
              <w:rPr>
                <w:b w:val="0"/>
                <w:color w:val="000000" w:themeColor="text1"/>
                <w:sz w:val="20"/>
              </w:rPr>
              <w:t xml:space="preserve">a </w:t>
            </w:r>
            <w:r w:rsidRPr="00CC6553">
              <w:rPr>
                <w:rFonts w:cs="Arial"/>
                <w:b w:val="0"/>
                <w:color w:val="000000" w:themeColor="text1"/>
                <w:sz w:val="20"/>
              </w:rPr>
              <w:t>heart failure specialist before prescribing a SGLT2 inhibitor.</w:t>
            </w:r>
            <w:r w:rsidRPr="6763097B">
              <w:rPr>
                <w:rFonts w:cs="Arial"/>
                <w:b w:val="0"/>
                <w:bCs w:val="0"/>
                <w:color w:val="000000" w:themeColor="text1"/>
                <w:sz w:val="20"/>
              </w:rPr>
              <w:t xml:space="preserve">  The committee now recommend that primary care prescribers consider seeking advice from a heart failure specialist before starting an ARNI.</w:t>
            </w:r>
          </w:p>
          <w:p w14:paraId="137B0F62" w14:textId="32C57697" w:rsidR="00897293" w:rsidRPr="009B3C47" w:rsidRDefault="00897293" w:rsidP="009B3C47">
            <w:pPr>
              <w:rPr>
                <w:b/>
              </w:rPr>
            </w:pPr>
          </w:p>
          <w:p w14:paraId="0549E01A" w14:textId="77777777" w:rsidR="00897293" w:rsidRPr="00CC6553" w:rsidRDefault="00897293" w:rsidP="00B234F1">
            <w:pPr>
              <w:pStyle w:val="Heading1"/>
              <w:rPr>
                <w:rFonts w:cs="Arial"/>
                <w:b w:val="0"/>
                <w:color w:val="000000" w:themeColor="text1"/>
                <w:sz w:val="20"/>
              </w:rPr>
            </w:pPr>
          </w:p>
        </w:tc>
      </w:tr>
      <w:tr w:rsidR="00897293" w:rsidRPr="00CC6553" w14:paraId="0988103B" w14:textId="77777777" w:rsidTr="00897293">
        <w:trPr>
          <w:trHeight w:val="300"/>
        </w:trPr>
        <w:tc>
          <w:tcPr>
            <w:tcW w:w="109" w:type="pct"/>
          </w:tcPr>
          <w:p w14:paraId="3A0851CF" w14:textId="77777777" w:rsidR="00897293" w:rsidRPr="00CC6553" w:rsidRDefault="00897293" w:rsidP="00B234F1">
            <w:pPr>
              <w:rPr>
                <w:rFonts w:cs="Arial"/>
                <w:color w:val="000000" w:themeColor="text1"/>
                <w:sz w:val="20"/>
              </w:rPr>
            </w:pPr>
            <w:r w:rsidRPr="00CC6553">
              <w:rPr>
                <w:rFonts w:cs="Arial"/>
                <w:color w:val="000000" w:themeColor="text1"/>
                <w:sz w:val="20"/>
              </w:rPr>
              <w:t>202</w:t>
            </w:r>
          </w:p>
        </w:tc>
        <w:tc>
          <w:tcPr>
            <w:tcW w:w="143" w:type="pct"/>
          </w:tcPr>
          <w:p w14:paraId="6C374DFC" w14:textId="436DA5B0"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20B7A9F2" w14:textId="607A1D4A" w:rsidR="00897293" w:rsidRPr="00CC6553" w:rsidRDefault="00897293" w:rsidP="00B234F1">
            <w:pPr>
              <w:rPr>
                <w:rFonts w:cs="Arial"/>
                <w:bCs/>
                <w:iCs/>
                <w:color w:val="000000" w:themeColor="text1"/>
                <w:sz w:val="20"/>
              </w:rPr>
            </w:pPr>
            <w:r w:rsidRPr="00CC6553">
              <w:rPr>
                <w:rFonts w:cs="Arial"/>
                <w:color w:val="000000" w:themeColor="text1"/>
                <w:sz w:val="20"/>
              </w:rPr>
              <w:t>British Society for Heart Failure (BSHF)</w:t>
            </w:r>
          </w:p>
        </w:tc>
        <w:tc>
          <w:tcPr>
            <w:tcW w:w="279" w:type="pct"/>
          </w:tcPr>
          <w:p w14:paraId="40FF63E2" w14:textId="47C27D3E"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20A7AD12" w14:textId="0B4B99CE"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5BA74874" w14:textId="6E5824FD"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1521" w:type="pct"/>
          </w:tcPr>
          <w:p w14:paraId="3B937DD5" w14:textId="468FDDBE" w:rsidR="00897293" w:rsidRPr="00CC6553" w:rsidRDefault="00897293" w:rsidP="00B234F1">
            <w:pPr>
              <w:rPr>
                <w:rFonts w:cs="Arial"/>
                <w:color w:val="000000" w:themeColor="text1"/>
                <w:sz w:val="20"/>
              </w:rPr>
            </w:pPr>
            <w:r w:rsidRPr="00CC6553">
              <w:rPr>
                <w:rFonts w:cs="Arial"/>
                <w:color w:val="000000" w:themeColor="text1"/>
                <w:sz w:val="20"/>
              </w:rPr>
              <w:t>GPs are very used to prescribing SGLT2is so should be allowed to initiate them for patients suspected of heart failure whilst waiting for specialist review with echocardiogram in HF clinic as they are of benefit across the range of ejection fractions. This is likely to reduce HF hospitalisations whilst awaiting review.</w:t>
            </w:r>
          </w:p>
        </w:tc>
        <w:tc>
          <w:tcPr>
            <w:tcW w:w="2122" w:type="pct"/>
          </w:tcPr>
          <w:p w14:paraId="5F4D8B7A" w14:textId="77777777"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Thank you for your comment.  The committee has removed the requirement for GPs to seek advice from </w:t>
            </w:r>
            <w:r w:rsidRPr="00CC6553">
              <w:rPr>
                <w:b w:val="0"/>
                <w:color w:val="000000" w:themeColor="text1"/>
                <w:sz w:val="20"/>
              </w:rPr>
              <w:t xml:space="preserve">a </w:t>
            </w:r>
            <w:r w:rsidRPr="00CC6553">
              <w:rPr>
                <w:rFonts w:cs="Arial"/>
                <w:b w:val="0"/>
                <w:color w:val="000000" w:themeColor="text1"/>
                <w:sz w:val="20"/>
              </w:rPr>
              <w:t>heart failure specialist before prescribing a SGLT2 inhibitor.</w:t>
            </w:r>
          </w:p>
          <w:p w14:paraId="244F193D" w14:textId="77777777" w:rsidR="00897293" w:rsidRPr="00CC6553" w:rsidRDefault="00897293" w:rsidP="00B234F1">
            <w:pPr>
              <w:pStyle w:val="Heading1"/>
              <w:rPr>
                <w:rFonts w:cs="Arial"/>
                <w:b w:val="0"/>
                <w:color w:val="000000" w:themeColor="text1"/>
                <w:sz w:val="20"/>
              </w:rPr>
            </w:pPr>
          </w:p>
        </w:tc>
      </w:tr>
      <w:tr w:rsidR="00897293" w:rsidRPr="00CC6553" w14:paraId="03130E17" w14:textId="77777777" w:rsidTr="00897293">
        <w:trPr>
          <w:trHeight w:val="300"/>
        </w:trPr>
        <w:tc>
          <w:tcPr>
            <w:tcW w:w="109" w:type="pct"/>
          </w:tcPr>
          <w:p w14:paraId="43E35D75" w14:textId="77777777" w:rsidR="00897293" w:rsidRPr="00CC6553" w:rsidRDefault="00897293" w:rsidP="00B234F1">
            <w:pPr>
              <w:rPr>
                <w:rFonts w:cs="Arial"/>
                <w:color w:val="000000" w:themeColor="text1"/>
                <w:sz w:val="20"/>
              </w:rPr>
            </w:pPr>
            <w:r w:rsidRPr="00CC6553">
              <w:rPr>
                <w:rFonts w:cs="Arial"/>
                <w:color w:val="000000" w:themeColor="text1"/>
                <w:sz w:val="20"/>
              </w:rPr>
              <w:t>203</w:t>
            </w:r>
          </w:p>
        </w:tc>
        <w:tc>
          <w:tcPr>
            <w:tcW w:w="143" w:type="pct"/>
          </w:tcPr>
          <w:p w14:paraId="048529EC" w14:textId="183AA827"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03A6031A" w14:textId="1D51A9C0" w:rsidR="00897293" w:rsidRPr="00CC6553" w:rsidRDefault="00897293" w:rsidP="00B234F1">
            <w:pPr>
              <w:rPr>
                <w:rFonts w:cs="Arial"/>
                <w:bCs/>
                <w:iCs/>
                <w:color w:val="000000" w:themeColor="text1"/>
                <w:sz w:val="20"/>
              </w:rPr>
            </w:pPr>
            <w:r w:rsidRPr="00CC6553">
              <w:rPr>
                <w:rFonts w:cs="Arial"/>
                <w:color w:val="000000" w:themeColor="text1"/>
                <w:sz w:val="20"/>
              </w:rPr>
              <w:t>British Society for Heart Failure (BSHF)</w:t>
            </w:r>
          </w:p>
        </w:tc>
        <w:tc>
          <w:tcPr>
            <w:tcW w:w="279" w:type="pct"/>
          </w:tcPr>
          <w:p w14:paraId="12D1B10C" w14:textId="60E9EC76"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1181E078" w14:textId="0921502D"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3E8D1D88" w14:textId="5E0D71A3"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1521" w:type="pct"/>
          </w:tcPr>
          <w:p w14:paraId="46B2BE40" w14:textId="44CD6942" w:rsidR="00897293" w:rsidRPr="00CC6553" w:rsidRDefault="00897293" w:rsidP="00B234F1">
            <w:pPr>
              <w:rPr>
                <w:rFonts w:cs="Arial"/>
                <w:color w:val="000000" w:themeColor="text1"/>
                <w:sz w:val="20"/>
              </w:rPr>
            </w:pPr>
            <w:r w:rsidRPr="00CC6553">
              <w:rPr>
                <w:rFonts w:cs="Arial"/>
                <w:color w:val="000000" w:themeColor="text1"/>
                <w:sz w:val="20"/>
              </w:rPr>
              <w:t>Restricting treatment with SGLT2i to specialist teams only will reduce access to treatment</w:t>
            </w:r>
          </w:p>
        </w:tc>
        <w:tc>
          <w:tcPr>
            <w:tcW w:w="2122" w:type="pct"/>
          </w:tcPr>
          <w:p w14:paraId="18C049C5" w14:textId="77777777"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Thank you for your comment.  The committee has removed the requirement for GPs to seek advice from </w:t>
            </w:r>
            <w:r w:rsidRPr="00CC6553">
              <w:rPr>
                <w:b w:val="0"/>
                <w:color w:val="000000" w:themeColor="text1"/>
                <w:sz w:val="20"/>
              </w:rPr>
              <w:t xml:space="preserve">a </w:t>
            </w:r>
            <w:r w:rsidRPr="00CC6553">
              <w:rPr>
                <w:rFonts w:cs="Arial"/>
                <w:b w:val="0"/>
                <w:color w:val="000000" w:themeColor="text1"/>
                <w:sz w:val="20"/>
              </w:rPr>
              <w:t>heart failure specialist before prescribing a SGLT2 inhibitor.</w:t>
            </w:r>
          </w:p>
          <w:p w14:paraId="523980E7" w14:textId="77777777" w:rsidR="00897293" w:rsidRPr="00CC6553" w:rsidRDefault="00897293" w:rsidP="00B234F1">
            <w:pPr>
              <w:pStyle w:val="Heading1"/>
              <w:rPr>
                <w:rFonts w:cs="Arial"/>
                <w:b w:val="0"/>
                <w:color w:val="000000" w:themeColor="text1"/>
                <w:sz w:val="20"/>
              </w:rPr>
            </w:pPr>
          </w:p>
        </w:tc>
      </w:tr>
      <w:tr w:rsidR="00897293" w:rsidRPr="00CC6553" w14:paraId="278AE242" w14:textId="77777777" w:rsidTr="00897293">
        <w:trPr>
          <w:trHeight w:val="300"/>
        </w:trPr>
        <w:tc>
          <w:tcPr>
            <w:tcW w:w="109" w:type="pct"/>
          </w:tcPr>
          <w:p w14:paraId="0D10389D" w14:textId="77777777" w:rsidR="00897293" w:rsidRPr="00CC6553" w:rsidRDefault="00897293" w:rsidP="00B234F1">
            <w:pPr>
              <w:rPr>
                <w:rFonts w:cs="Arial"/>
                <w:color w:val="000000" w:themeColor="text1"/>
                <w:sz w:val="20"/>
              </w:rPr>
            </w:pPr>
            <w:r w:rsidRPr="00CC6553">
              <w:rPr>
                <w:rFonts w:cs="Arial"/>
                <w:color w:val="000000" w:themeColor="text1"/>
                <w:sz w:val="20"/>
              </w:rPr>
              <w:t>204</w:t>
            </w:r>
          </w:p>
        </w:tc>
        <w:tc>
          <w:tcPr>
            <w:tcW w:w="143" w:type="pct"/>
          </w:tcPr>
          <w:p w14:paraId="4258919D" w14:textId="174BEA29"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5AD715CE" w14:textId="5662F0EC" w:rsidR="00897293" w:rsidRPr="00CC6553" w:rsidRDefault="00897293" w:rsidP="00B234F1">
            <w:pPr>
              <w:rPr>
                <w:rFonts w:cs="Arial"/>
                <w:bCs/>
                <w:iCs/>
                <w:color w:val="000000" w:themeColor="text1"/>
                <w:sz w:val="20"/>
              </w:rPr>
            </w:pPr>
            <w:r w:rsidRPr="00CC6553">
              <w:rPr>
                <w:rFonts w:cs="Arial"/>
                <w:color w:val="000000" w:themeColor="text1"/>
                <w:sz w:val="20"/>
              </w:rPr>
              <w:t xml:space="preserve">British Society for </w:t>
            </w:r>
            <w:r w:rsidRPr="00CC6553">
              <w:rPr>
                <w:rFonts w:cs="Arial"/>
                <w:color w:val="000000" w:themeColor="text1"/>
                <w:sz w:val="20"/>
              </w:rPr>
              <w:lastRenderedPageBreak/>
              <w:t>Heart Failure (BSHF)</w:t>
            </w:r>
          </w:p>
        </w:tc>
        <w:tc>
          <w:tcPr>
            <w:tcW w:w="279" w:type="pct"/>
          </w:tcPr>
          <w:p w14:paraId="086C7255" w14:textId="2CC17942" w:rsidR="00897293" w:rsidRPr="00CC6553" w:rsidRDefault="00897293" w:rsidP="00B234F1">
            <w:pPr>
              <w:rPr>
                <w:rFonts w:cs="Arial"/>
                <w:color w:val="000000" w:themeColor="text1"/>
                <w:sz w:val="20"/>
              </w:rPr>
            </w:pPr>
            <w:r w:rsidRPr="00CC6553">
              <w:rPr>
                <w:rFonts w:cs="Arial"/>
                <w:color w:val="000000" w:themeColor="text1"/>
                <w:sz w:val="20"/>
              </w:rPr>
              <w:lastRenderedPageBreak/>
              <w:t>Guideline</w:t>
            </w:r>
          </w:p>
        </w:tc>
        <w:tc>
          <w:tcPr>
            <w:tcW w:w="214" w:type="pct"/>
          </w:tcPr>
          <w:p w14:paraId="436AC8F9" w14:textId="1555A58E"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72ACC4BB" w14:textId="11BD047E"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1521" w:type="pct"/>
          </w:tcPr>
          <w:p w14:paraId="690436B0" w14:textId="1B620954" w:rsidR="00897293" w:rsidRPr="00CC6553" w:rsidRDefault="00897293" w:rsidP="00B234F1">
            <w:pPr>
              <w:rPr>
                <w:rFonts w:cs="Arial"/>
                <w:color w:val="000000" w:themeColor="text1"/>
                <w:sz w:val="20"/>
              </w:rPr>
            </w:pPr>
            <w:r w:rsidRPr="00CC6553">
              <w:rPr>
                <w:rFonts w:cs="Arial"/>
                <w:color w:val="000000" w:themeColor="text1"/>
                <w:sz w:val="20"/>
              </w:rPr>
              <w:t xml:space="preserve">There are many clinicians working in general practice reviewing and monitoring patients with heart failure and some also have a specialist interest or knowledge </w:t>
            </w:r>
            <w:r w:rsidRPr="00CC6553">
              <w:rPr>
                <w:rFonts w:cs="Arial"/>
                <w:color w:val="000000" w:themeColor="text1"/>
                <w:sz w:val="20"/>
              </w:rPr>
              <w:lastRenderedPageBreak/>
              <w:t xml:space="preserve">and will be able to prescribe these medicines independently. A broad statement may limit access to medication and delay treatment. </w:t>
            </w:r>
            <w:r w:rsidRPr="00CC6553">
              <w:rPr>
                <w:rFonts w:cs="Arial"/>
                <w:color w:val="000000" w:themeColor="text1"/>
                <w:sz w:val="20"/>
              </w:rPr>
              <w:br/>
              <w:t>Please can this be reworded to say:</w:t>
            </w:r>
            <w:r w:rsidRPr="00CC6553">
              <w:rPr>
                <w:rFonts w:cs="Arial"/>
                <w:color w:val="000000" w:themeColor="text1"/>
                <w:sz w:val="20"/>
              </w:rPr>
              <w:br/>
              <w:t>Clinicians in general practice who do not feel they have the required competence or experience to prescribe, should seek advice from a heart failure specialist before prescribing a sodium-glucose cotransporter-2 (SGLT2) inhibitor or angiotensin receptor-neprilysin inhibitor (ARNI).</w:t>
            </w:r>
          </w:p>
        </w:tc>
        <w:tc>
          <w:tcPr>
            <w:tcW w:w="2122" w:type="pct"/>
          </w:tcPr>
          <w:p w14:paraId="02B758DB" w14:textId="4203E1D1" w:rsidR="00897293" w:rsidRPr="00CC6553" w:rsidRDefault="00897293" w:rsidP="74BDFD37">
            <w:pPr>
              <w:pStyle w:val="Heading1"/>
              <w:rPr>
                <w:rFonts w:cs="Arial"/>
                <w:b w:val="0"/>
                <w:bCs w:val="0"/>
                <w:color w:val="000000" w:themeColor="text1"/>
                <w:sz w:val="20"/>
              </w:rPr>
            </w:pPr>
            <w:r w:rsidRPr="00CC6553">
              <w:rPr>
                <w:rFonts w:cs="Arial"/>
                <w:b w:val="0"/>
                <w:bCs w:val="0"/>
                <w:color w:val="000000" w:themeColor="text1"/>
                <w:sz w:val="20"/>
              </w:rPr>
              <w:lastRenderedPageBreak/>
              <w:t xml:space="preserve">Thank you for your comment.  The committee has removed the </w:t>
            </w:r>
            <w:r w:rsidRPr="00CC6553">
              <w:rPr>
                <w:rFonts w:cs="Arial"/>
                <w:b w:val="0"/>
                <w:bCs w:val="0"/>
                <w:color w:val="000000" w:themeColor="text1"/>
                <w:sz w:val="20"/>
              </w:rPr>
              <w:lastRenderedPageBreak/>
              <w:t xml:space="preserve">requirement for GPs to seek advice from </w:t>
            </w:r>
            <w:r w:rsidRPr="00CC6553">
              <w:rPr>
                <w:b w:val="0"/>
                <w:bCs w:val="0"/>
                <w:color w:val="000000" w:themeColor="text1"/>
                <w:sz w:val="20"/>
              </w:rPr>
              <w:t xml:space="preserve">a </w:t>
            </w:r>
            <w:r w:rsidRPr="00CC6553">
              <w:rPr>
                <w:rFonts w:cs="Arial"/>
                <w:b w:val="0"/>
                <w:bCs w:val="0"/>
                <w:color w:val="000000" w:themeColor="text1"/>
                <w:sz w:val="20"/>
              </w:rPr>
              <w:t>heart failure specialist before prescribing a SGLT2 inhibitor.  The committee now recommend that primary care prescribers consider seeking advice from a heart failure specialist before starting an ARNI.</w:t>
            </w:r>
          </w:p>
          <w:p w14:paraId="61B2E869" w14:textId="77777777" w:rsidR="00897293" w:rsidRPr="00CC6553" w:rsidRDefault="00897293" w:rsidP="00B234F1">
            <w:pPr>
              <w:pStyle w:val="Heading1"/>
              <w:rPr>
                <w:rFonts w:cs="Arial"/>
                <w:b w:val="0"/>
                <w:color w:val="000000" w:themeColor="text1"/>
                <w:sz w:val="20"/>
              </w:rPr>
            </w:pPr>
          </w:p>
        </w:tc>
      </w:tr>
      <w:tr w:rsidR="00897293" w:rsidRPr="00CC6553" w14:paraId="401337E8" w14:textId="77777777" w:rsidTr="00897293">
        <w:trPr>
          <w:trHeight w:val="300"/>
        </w:trPr>
        <w:tc>
          <w:tcPr>
            <w:tcW w:w="109" w:type="pct"/>
          </w:tcPr>
          <w:p w14:paraId="1616B6DA"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205</w:t>
            </w:r>
          </w:p>
        </w:tc>
        <w:tc>
          <w:tcPr>
            <w:tcW w:w="143" w:type="pct"/>
          </w:tcPr>
          <w:p w14:paraId="00717781" w14:textId="1B0C8DCC"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C024D15" w14:textId="4BA87A04" w:rsidR="00897293" w:rsidRPr="00CC6553" w:rsidRDefault="00897293" w:rsidP="00B234F1">
            <w:pPr>
              <w:rPr>
                <w:rFonts w:cs="Arial"/>
                <w:bCs/>
                <w:iCs/>
                <w:color w:val="000000" w:themeColor="text1"/>
                <w:sz w:val="20"/>
              </w:rPr>
            </w:pPr>
            <w:r w:rsidRPr="00CC6553">
              <w:rPr>
                <w:rFonts w:cs="Arial"/>
                <w:color w:val="000000" w:themeColor="text1"/>
                <w:sz w:val="20"/>
              </w:rPr>
              <w:t>British Society for Heart Failure (BSHF)</w:t>
            </w:r>
          </w:p>
        </w:tc>
        <w:tc>
          <w:tcPr>
            <w:tcW w:w="279" w:type="pct"/>
          </w:tcPr>
          <w:p w14:paraId="1F53E178" w14:textId="195DBA0E"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6FFD7878" w14:textId="3BB77351"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6A037ACE" w14:textId="07CFC82A"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1521" w:type="pct"/>
          </w:tcPr>
          <w:p w14:paraId="228B25F3" w14:textId="493EAFA6" w:rsidR="00897293" w:rsidRPr="00CC6553" w:rsidRDefault="00897293" w:rsidP="00B234F1">
            <w:pPr>
              <w:rPr>
                <w:rFonts w:cs="Arial"/>
                <w:color w:val="000000" w:themeColor="text1"/>
                <w:sz w:val="20"/>
              </w:rPr>
            </w:pPr>
            <w:r w:rsidRPr="00CC6553">
              <w:rPr>
                <w:rFonts w:cs="Arial"/>
                <w:color w:val="000000" w:themeColor="text1"/>
                <w:sz w:val="20"/>
              </w:rPr>
              <w:t>Suggest adding advice for initiation of SGLT2is:</w:t>
            </w:r>
            <w:r w:rsidRPr="00CC6553">
              <w:rPr>
                <w:rFonts w:cs="Arial"/>
                <w:color w:val="000000" w:themeColor="text1"/>
                <w:sz w:val="20"/>
              </w:rPr>
              <w:br/>
              <w:t xml:space="preserve">Before prescribing SGLT2is, measure the patient’s renal function, liver function and exclude undiagnosed diabetes. </w:t>
            </w:r>
            <w:r w:rsidRPr="00CC6553">
              <w:rPr>
                <w:rFonts w:cs="Arial"/>
                <w:color w:val="000000" w:themeColor="text1"/>
                <w:sz w:val="20"/>
              </w:rPr>
              <w:br/>
              <w:t>SGLT2 inhibitors can cause an additive effect with insulin and insulin secretagogues, such as sulphonylureas, which may cause hypoglycaemia. Dosage adjustments of these medicines may be required in patients with diabetes.</w:t>
            </w:r>
            <w:r w:rsidRPr="00CC6553">
              <w:rPr>
                <w:rFonts w:cs="Arial"/>
                <w:color w:val="000000" w:themeColor="text1"/>
                <w:sz w:val="20"/>
              </w:rPr>
              <w:br/>
              <w:t xml:space="preserve">There may be initial transient increases in creatinine up to 12 weeks after initiation. This is not a reason to stop or withhold medication. </w:t>
            </w:r>
            <w:r w:rsidRPr="00CC6553">
              <w:rPr>
                <w:rFonts w:cs="Arial"/>
                <w:color w:val="000000" w:themeColor="text1"/>
                <w:sz w:val="20"/>
              </w:rPr>
              <w:br/>
              <w:t>In case of intercurrent conditions that may lead to volume depletion (e.g. gastrointestinal illness), careful monitoring of volume status is recommended and patients should be counselled about the importance of “sick-day rules” and when to temporarily withhold medication.   Treatment should be restarted once the patient's condition has stabilised and they are eating normally for at least 24 hours.</w:t>
            </w:r>
          </w:p>
        </w:tc>
        <w:tc>
          <w:tcPr>
            <w:tcW w:w="2122" w:type="pct"/>
          </w:tcPr>
          <w:p w14:paraId="762C2ECB" w14:textId="4D9F0E31" w:rsidR="00897293" w:rsidRPr="00CC6553" w:rsidRDefault="00897293" w:rsidP="01B1FDC5">
            <w:pPr>
              <w:pStyle w:val="Heading1"/>
              <w:rPr>
                <w:rFonts w:cs="Arial"/>
                <w:b w:val="0"/>
                <w:bCs w:val="0"/>
                <w:color w:val="000000" w:themeColor="text1"/>
                <w:sz w:val="20"/>
              </w:rPr>
            </w:pPr>
            <w:r w:rsidRPr="00CC6553">
              <w:rPr>
                <w:rFonts w:cs="Arial"/>
                <w:b w:val="0"/>
                <w:bCs w:val="0"/>
                <w:color w:val="000000" w:themeColor="text1"/>
                <w:sz w:val="20"/>
              </w:rPr>
              <w:t>Thank you for your comment.  The committee agreed that overall, the responsibility lies with the clinical prescriber to ensure that they are appropriately informed and confident to use SGLT2i appropriately.</w:t>
            </w:r>
          </w:p>
          <w:p w14:paraId="4F3BB172" w14:textId="1072B32C" w:rsidR="00897293" w:rsidRPr="00CC6553" w:rsidRDefault="00897293" w:rsidP="01B1FDC5">
            <w:pPr>
              <w:rPr>
                <w:color w:val="000000" w:themeColor="text1"/>
                <w:highlight w:val="cyan"/>
              </w:rPr>
            </w:pPr>
          </w:p>
        </w:tc>
      </w:tr>
      <w:tr w:rsidR="00897293" w:rsidRPr="00CC6553" w14:paraId="040804D8" w14:textId="77777777" w:rsidTr="00897293">
        <w:trPr>
          <w:trHeight w:val="300"/>
        </w:trPr>
        <w:tc>
          <w:tcPr>
            <w:tcW w:w="109" w:type="pct"/>
          </w:tcPr>
          <w:p w14:paraId="3C54A2C9" w14:textId="77777777" w:rsidR="00897293" w:rsidRPr="00CC6553" w:rsidRDefault="00897293" w:rsidP="00B234F1">
            <w:pPr>
              <w:rPr>
                <w:rFonts w:cs="Arial"/>
                <w:color w:val="000000" w:themeColor="text1"/>
                <w:sz w:val="20"/>
              </w:rPr>
            </w:pPr>
            <w:r w:rsidRPr="00CC6553">
              <w:rPr>
                <w:rFonts w:cs="Arial"/>
                <w:color w:val="000000" w:themeColor="text1"/>
                <w:sz w:val="20"/>
              </w:rPr>
              <w:t>206</w:t>
            </w:r>
          </w:p>
        </w:tc>
        <w:tc>
          <w:tcPr>
            <w:tcW w:w="143" w:type="pct"/>
          </w:tcPr>
          <w:p w14:paraId="15F5DB41" w14:textId="04E55C95"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3E9051D" w14:textId="6E1D7B78" w:rsidR="00897293" w:rsidRPr="00CC6553" w:rsidRDefault="00897293" w:rsidP="00B234F1">
            <w:pPr>
              <w:rPr>
                <w:rFonts w:cs="Arial"/>
                <w:bCs/>
                <w:iCs/>
                <w:color w:val="000000" w:themeColor="text1"/>
                <w:sz w:val="20"/>
              </w:rPr>
            </w:pPr>
            <w:r w:rsidRPr="00CC6553">
              <w:rPr>
                <w:rFonts w:cs="Arial"/>
                <w:color w:val="000000" w:themeColor="text1"/>
                <w:sz w:val="20"/>
              </w:rPr>
              <w:t>Pumping Marvellous Foundation</w:t>
            </w:r>
          </w:p>
        </w:tc>
        <w:tc>
          <w:tcPr>
            <w:tcW w:w="279" w:type="pct"/>
          </w:tcPr>
          <w:p w14:paraId="6D75DB5C" w14:textId="7C16A566"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5D6D509B" w14:textId="0BD42F2C"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45BA31A2" w14:textId="66225ADD"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1521" w:type="pct"/>
          </w:tcPr>
          <w:p w14:paraId="130F0033" w14:textId="4F04ACBF" w:rsidR="00897293" w:rsidRPr="00CC6553" w:rsidRDefault="00897293" w:rsidP="00B234F1">
            <w:pPr>
              <w:rPr>
                <w:rFonts w:cs="Arial"/>
                <w:color w:val="000000" w:themeColor="text1"/>
                <w:sz w:val="20"/>
              </w:rPr>
            </w:pPr>
            <w:r w:rsidRPr="00CC6553">
              <w:rPr>
                <w:rFonts w:cs="Arial"/>
                <w:color w:val="000000" w:themeColor="text1"/>
                <w:sz w:val="20"/>
              </w:rPr>
              <w:t>Most GPs/ANPs within their ICBs prescribe SGLT2i in Type 2 Diabetes, SGLT2i evidenced for HF (dapagliflozin and empagliflozin) for all types of HF, so safe. Advice should be simple. There is no reason why        SGLT2i’s shouldn’t be able to be prescribed by Primary Care in all HF.</w:t>
            </w:r>
          </w:p>
        </w:tc>
        <w:tc>
          <w:tcPr>
            <w:tcW w:w="2122" w:type="pct"/>
          </w:tcPr>
          <w:p w14:paraId="59F0235F" w14:textId="77777777"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Thank you for your comment.  The committee has removed the requirement for GPs to seek advice from </w:t>
            </w:r>
            <w:r w:rsidRPr="00CC6553">
              <w:rPr>
                <w:b w:val="0"/>
                <w:color w:val="000000" w:themeColor="text1"/>
                <w:sz w:val="20"/>
              </w:rPr>
              <w:t xml:space="preserve">a </w:t>
            </w:r>
            <w:r w:rsidRPr="00CC6553">
              <w:rPr>
                <w:rFonts w:cs="Arial"/>
                <w:b w:val="0"/>
                <w:color w:val="000000" w:themeColor="text1"/>
                <w:sz w:val="20"/>
              </w:rPr>
              <w:t>heart failure specialist before prescribing a SGLT2 inhibitor.</w:t>
            </w:r>
          </w:p>
          <w:p w14:paraId="41877108" w14:textId="77777777" w:rsidR="00897293" w:rsidRPr="00CC6553" w:rsidRDefault="00897293" w:rsidP="00B234F1">
            <w:pPr>
              <w:pStyle w:val="Heading1"/>
              <w:rPr>
                <w:rFonts w:cs="Arial"/>
                <w:b w:val="0"/>
                <w:color w:val="000000" w:themeColor="text1"/>
                <w:sz w:val="20"/>
              </w:rPr>
            </w:pPr>
          </w:p>
        </w:tc>
      </w:tr>
      <w:tr w:rsidR="00897293" w:rsidRPr="00CC6553" w14:paraId="5591C680" w14:textId="77777777" w:rsidTr="00897293">
        <w:trPr>
          <w:trHeight w:val="300"/>
        </w:trPr>
        <w:tc>
          <w:tcPr>
            <w:tcW w:w="109" w:type="pct"/>
          </w:tcPr>
          <w:p w14:paraId="42AE8A24" w14:textId="77777777" w:rsidR="00897293" w:rsidRPr="00CC6553" w:rsidRDefault="00897293" w:rsidP="00B234F1">
            <w:pPr>
              <w:rPr>
                <w:rFonts w:cs="Arial"/>
                <w:color w:val="000000" w:themeColor="text1"/>
                <w:sz w:val="20"/>
              </w:rPr>
            </w:pPr>
            <w:r w:rsidRPr="00CC6553">
              <w:rPr>
                <w:rFonts w:cs="Arial"/>
                <w:color w:val="000000" w:themeColor="text1"/>
                <w:sz w:val="20"/>
              </w:rPr>
              <w:t>207</w:t>
            </w:r>
          </w:p>
        </w:tc>
        <w:tc>
          <w:tcPr>
            <w:tcW w:w="143" w:type="pct"/>
          </w:tcPr>
          <w:p w14:paraId="3CF65F58" w14:textId="0163FAC6"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52B48BC2" w14:textId="73983A2B" w:rsidR="00897293" w:rsidRPr="00CC6553" w:rsidRDefault="00897293" w:rsidP="00B234F1">
            <w:pPr>
              <w:rPr>
                <w:rFonts w:cs="Arial"/>
                <w:bCs/>
                <w:iCs/>
                <w:color w:val="000000" w:themeColor="text1"/>
                <w:sz w:val="20"/>
              </w:rPr>
            </w:pPr>
            <w:r w:rsidRPr="00CC6553">
              <w:rPr>
                <w:rFonts w:cs="Arial"/>
                <w:color w:val="000000" w:themeColor="text1"/>
                <w:sz w:val="20"/>
              </w:rPr>
              <w:t>Pumping Marvellous Foundation</w:t>
            </w:r>
          </w:p>
        </w:tc>
        <w:tc>
          <w:tcPr>
            <w:tcW w:w="279" w:type="pct"/>
          </w:tcPr>
          <w:p w14:paraId="736274AE" w14:textId="31FC8553"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232323EF" w14:textId="3F93905A"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162650E2" w14:textId="1B15A650"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1521" w:type="pct"/>
          </w:tcPr>
          <w:p w14:paraId="56F9A566" w14:textId="289A07D5" w:rsidR="00897293" w:rsidRPr="00CC6553" w:rsidRDefault="00897293" w:rsidP="00B234F1">
            <w:pPr>
              <w:rPr>
                <w:rFonts w:cs="Arial"/>
                <w:color w:val="000000" w:themeColor="text1"/>
                <w:sz w:val="20"/>
              </w:rPr>
            </w:pPr>
            <w:r w:rsidRPr="00CC6553">
              <w:rPr>
                <w:rFonts w:cs="Arial"/>
                <w:color w:val="000000" w:themeColor="text1"/>
                <w:sz w:val="20"/>
              </w:rPr>
              <w:t xml:space="preserve">GPs have been prescribing SGLT2i far longer and have greater experience with this class of medication than HF specialists. The current recommendation will lead to delays and under-treatment of this prognostically beneficial class of medication but also potentially lead to more referrals to heart failure clinics and greater waiting </w:t>
            </w:r>
            <w:r w:rsidRPr="00CC6553">
              <w:rPr>
                <w:rFonts w:cs="Arial"/>
                <w:color w:val="000000" w:themeColor="text1"/>
                <w:sz w:val="20"/>
              </w:rPr>
              <w:lastRenderedPageBreak/>
              <w:t>times.  Please consider the following wording – SGLT2i and ARNI can be prescribed in the community by primary care practitioners. [2025]</w:t>
            </w:r>
          </w:p>
        </w:tc>
        <w:tc>
          <w:tcPr>
            <w:tcW w:w="2122" w:type="pct"/>
          </w:tcPr>
          <w:p w14:paraId="44337BD6" w14:textId="10FE787D" w:rsidR="00897293" w:rsidRPr="00CC6553" w:rsidRDefault="00897293" w:rsidP="74BDFD37">
            <w:pPr>
              <w:pStyle w:val="Heading1"/>
              <w:rPr>
                <w:rFonts w:cs="Arial"/>
                <w:b w:val="0"/>
                <w:bCs w:val="0"/>
                <w:color w:val="000000" w:themeColor="text1"/>
                <w:sz w:val="20"/>
              </w:rPr>
            </w:pPr>
            <w:r w:rsidRPr="00CC6553">
              <w:rPr>
                <w:rFonts w:cs="Arial"/>
                <w:b w:val="0"/>
                <w:bCs w:val="0"/>
                <w:color w:val="000000" w:themeColor="text1"/>
                <w:sz w:val="20"/>
              </w:rPr>
              <w:lastRenderedPageBreak/>
              <w:t xml:space="preserve">Thank you for your comment.  The committee has removed the requirement for GPs to seek advice from </w:t>
            </w:r>
            <w:r w:rsidRPr="00CC6553">
              <w:rPr>
                <w:b w:val="0"/>
                <w:bCs w:val="0"/>
                <w:color w:val="000000" w:themeColor="text1"/>
                <w:sz w:val="20"/>
              </w:rPr>
              <w:t xml:space="preserve">a </w:t>
            </w:r>
            <w:r w:rsidRPr="00CC6553">
              <w:rPr>
                <w:rFonts w:cs="Arial"/>
                <w:b w:val="0"/>
                <w:bCs w:val="0"/>
                <w:color w:val="000000" w:themeColor="text1"/>
                <w:sz w:val="20"/>
              </w:rPr>
              <w:t xml:space="preserve">heart failure specialist before prescribing a SGLT2 inhibitor.  The </w:t>
            </w:r>
            <w:r w:rsidRPr="00CC6553">
              <w:rPr>
                <w:rFonts w:cs="Arial"/>
                <w:b w:val="0"/>
                <w:bCs w:val="0"/>
                <w:color w:val="000000" w:themeColor="text1"/>
                <w:sz w:val="20"/>
              </w:rPr>
              <w:lastRenderedPageBreak/>
              <w:t>committee now recommend that primary care prescribers consider seeking advice from a heart failure specialist before starting an ARNI.</w:t>
            </w:r>
          </w:p>
          <w:p w14:paraId="424B15D8" w14:textId="77777777" w:rsidR="00897293" w:rsidRPr="00CC6553" w:rsidRDefault="00897293" w:rsidP="00B234F1">
            <w:pPr>
              <w:pStyle w:val="Heading1"/>
              <w:rPr>
                <w:rFonts w:cs="Arial"/>
                <w:b w:val="0"/>
                <w:color w:val="000000" w:themeColor="text1"/>
                <w:sz w:val="20"/>
              </w:rPr>
            </w:pPr>
          </w:p>
        </w:tc>
      </w:tr>
      <w:tr w:rsidR="00897293" w:rsidRPr="00CC6553" w14:paraId="2C0CB0B4" w14:textId="77777777" w:rsidTr="00897293">
        <w:trPr>
          <w:trHeight w:val="300"/>
        </w:trPr>
        <w:tc>
          <w:tcPr>
            <w:tcW w:w="109" w:type="pct"/>
          </w:tcPr>
          <w:p w14:paraId="5478FDD5"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208</w:t>
            </w:r>
          </w:p>
        </w:tc>
        <w:tc>
          <w:tcPr>
            <w:tcW w:w="143" w:type="pct"/>
          </w:tcPr>
          <w:p w14:paraId="40AEAC58" w14:textId="382B35C5"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08168F41" w14:textId="6CBA93AA" w:rsidR="00897293" w:rsidRPr="00CC6553" w:rsidRDefault="00897293" w:rsidP="00B234F1">
            <w:pPr>
              <w:rPr>
                <w:rFonts w:cs="Arial"/>
                <w:bCs/>
                <w:iCs/>
                <w:color w:val="000000" w:themeColor="text1"/>
                <w:sz w:val="20"/>
              </w:rPr>
            </w:pPr>
            <w:r w:rsidRPr="00CC6553">
              <w:rPr>
                <w:rFonts w:cs="Arial"/>
                <w:color w:val="000000" w:themeColor="text1"/>
                <w:sz w:val="20"/>
              </w:rPr>
              <w:t>UK Clinical Pharmacy Association (UKCPA) – heart failure committee</w:t>
            </w:r>
          </w:p>
        </w:tc>
        <w:tc>
          <w:tcPr>
            <w:tcW w:w="279" w:type="pct"/>
          </w:tcPr>
          <w:p w14:paraId="64825793" w14:textId="4CBFDD70"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77668D9F" w14:textId="779EF51D"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34540A31" w14:textId="282E5B2A"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1521" w:type="pct"/>
          </w:tcPr>
          <w:p w14:paraId="1717D657" w14:textId="156C1707" w:rsidR="00897293" w:rsidRPr="00CC6553" w:rsidRDefault="00897293" w:rsidP="00B234F1">
            <w:pPr>
              <w:rPr>
                <w:rFonts w:cs="Arial"/>
                <w:color w:val="000000" w:themeColor="text1"/>
                <w:sz w:val="20"/>
              </w:rPr>
            </w:pPr>
            <w:r w:rsidRPr="00CC6553">
              <w:rPr>
                <w:rFonts w:cs="Arial"/>
                <w:color w:val="000000" w:themeColor="text1"/>
                <w:sz w:val="20"/>
              </w:rPr>
              <w:t xml:space="preserve">We do not support the recommendation. This will cause unnecessary delays to access life-saving therapies particularly in areas with limited specialist capacity or long referral pathways. SGLT2 inhibitors are widely used and routinely initiated in primary care for T2DM and CKD with established safety profiles and minimal monitoring requirements. </w:t>
            </w:r>
            <w:r w:rsidRPr="00CC6553">
              <w:rPr>
                <w:rFonts w:cs="Arial"/>
                <w:color w:val="000000" w:themeColor="text1"/>
                <w:sz w:val="20"/>
              </w:rPr>
              <w:br/>
              <w:t>ARNI requires more caution, and we would recommend rephrasing ‘recommend consultation with a specialist’ for ARNI in patients diagnosed with HFrEF.</w:t>
            </w:r>
            <w:r w:rsidRPr="00CC6553">
              <w:rPr>
                <w:rFonts w:cs="Arial"/>
                <w:color w:val="000000" w:themeColor="text1"/>
                <w:sz w:val="20"/>
              </w:rPr>
              <w:br/>
            </w:r>
            <w:r w:rsidRPr="00CC6553">
              <w:rPr>
                <w:rFonts w:cs="Arial"/>
                <w:color w:val="000000" w:themeColor="text1"/>
                <w:sz w:val="20"/>
              </w:rPr>
              <w:br/>
              <w:t xml:space="preserve">There are many clinicians working in general practice reviewing and monitoring patients with heart failure and some also have a specialist interest or knowledge and will be able to prescribe these medicines independently. A broad statement may limit access to medication and delay treatment. </w:t>
            </w:r>
            <w:r w:rsidRPr="00CC6553">
              <w:rPr>
                <w:rFonts w:cs="Arial"/>
                <w:color w:val="000000" w:themeColor="text1"/>
                <w:sz w:val="20"/>
              </w:rPr>
              <w:br/>
              <w:t>Please can this be reworded to say:</w:t>
            </w:r>
            <w:r w:rsidRPr="00CC6553">
              <w:rPr>
                <w:rFonts w:cs="Arial"/>
                <w:color w:val="000000" w:themeColor="text1"/>
                <w:sz w:val="20"/>
              </w:rPr>
              <w:br/>
            </w:r>
            <w:r w:rsidRPr="00CC6553">
              <w:rPr>
                <w:rFonts w:cs="Arial"/>
                <w:color w:val="000000" w:themeColor="text1"/>
                <w:sz w:val="20"/>
              </w:rPr>
              <w:br/>
              <w:t>Clinicians in general practice who do not feel they have the required competence or experience to prescribe, should seek advice from a heart failure specialist before prescribing a sodium-glucose cotransporter-2 (SGLT2) inhibitor or angiotensin receptor-neprilysin inhibitor (ARNI).</w:t>
            </w:r>
          </w:p>
        </w:tc>
        <w:tc>
          <w:tcPr>
            <w:tcW w:w="2122" w:type="pct"/>
          </w:tcPr>
          <w:p w14:paraId="1369E55C" w14:textId="03D97758" w:rsidR="00897293" w:rsidRPr="00CC6553" w:rsidRDefault="00897293" w:rsidP="21434BE0">
            <w:pPr>
              <w:pStyle w:val="Heading1"/>
              <w:rPr>
                <w:rFonts w:cs="Arial"/>
                <w:b w:val="0"/>
                <w:bCs w:val="0"/>
                <w:color w:val="000000" w:themeColor="text1"/>
                <w:sz w:val="20"/>
              </w:rPr>
            </w:pPr>
            <w:r w:rsidRPr="00CC6553">
              <w:rPr>
                <w:rFonts w:cs="Arial"/>
                <w:b w:val="0"/>
                <w:bCs w:val="0"/>
                <w:color w:val="000000" w:themeColor="text1"/>
                <w:sz w:val="20"/>
              </w:rPr>
              <w:t xml:space="preserve">Thank you for your comment.  The committee has removed the requirement for GPs to seek advice from </w:t>
            </w:r>
            <w:r w:rsidRPr="00CC6553">
              <w:rPr>
                <w:b w:val="0"/>
                <w:bCs w:val="0"/>
                <w:color w:val="000000" w:themeColor="text1"/>
                <w:sz w:val="20"/>
              </w:rPr>
              <w:t xml:space="preserve">a </w:t>
            </w:r>
            <w:r w:rsidRPr="00CC6553">
              <w:rPr>
                <w:rFonts w:cs="Arial"/>
                <w:b w:val="0"/>
                <w:bCs w:val="0"/>
                <w:color w:val="000000" w:themeColor="text1"/>
                <w:sz w:val="20"/>
              </w:rPr>
              <w:t>heart failure specialist before prescribing a SGLT2 inhibitor.  The committee now recommend that primary care prescribers consider seeking advice from a heart failure specialist before starting an ARNI.   As they can now initiate treatment this should reduce delays.</w:t>
            </w:r>
          </w:p>
          <w:p w14:paraId="0D3D6BB0" w14:textId="6090AE45" w:rsidR="00897293" w:rsidRPr="00CC6553" w:rsidRDefault="00897293" w:rsidP="00B234F1">
            <w:pPr>
              <w:pStyle w:val="Heading1"/>
              <w:rPr>
                <w:rFonts w:cs="Arial"/>
                <w:b w:val="0"/>
                <w:color w:val="000000" w:themeColor="text1"/>
                <w:sz w:val="20"/>
              </w:rPr>
            </w:pPr>
          </w:p>
          <w:p w14:paraId="08868799" w14:textId="77777777" w:rsidR="00897293" w:rsidRPr="00CC6553" w:rsidRDefault="00897293" w:rsidP="00B234F1">
            <w:pPr>
              <w:pStyle w:val="Heading1"/>
              <w:rPr>
                <w:rFonts w:cs="Arial"/>
                <w:b w:val="0"/>
                <w:color w:val="000000" w:themeColor="text1"/>
                <w:sz w:val="20"/>
              </w:rPr>
            </w:pPr>
          </w:p>
        </w:tc>
      </w:tr>
      <w:tr w:rsidR="00897293" w:rsidRPr="00CC6553" w14:paraId="27AF6581" w14:textId="77777777" w:rsidTr="00897293">
        <w:trPr>
          <w:trHeight w:val="300"/>
        </w:trPr>
        <w:tc>
          <w:tcPr>
            <w:tcW w:w="109" w:type="pct"/>
          </w:tcPr>
          <w:p w14:paraId="7DE3C519" w14:textId="77777777" w:rsidR="00897293" w:rsidRPr="00CC6553" w:rsidRDefault="00897293" w:rsidP="00B234F1">
            <w:pPr>
              <w:rPr>
                <w:rFonts w:cs="Arial"/>
                <w:color w:val="000000" w:themeColor="text1"/>
                <w:sz w:val="20"/>
              </w:rPr>
            </w:pPr>
            <w:r w:rsidRPr="00CC6553">
              <w:rPr>
                <w:rFonts w:cs="Arial"/>
                <w:color w:val="000000" w:themeColor="text1"/>
                <w:sz w:val="20"/>
              </w:rPr>
              <w:t>209</w:t>
            </w:r>
          </w:p>
        </w:tc>
        <w:tc>
          <w:tcPr>
            <w:tcW w:w="143" w:type="pct"/>
          </w:tcPr>
          <w:p w14:paraId="260D5CE0" w14:textId="6EBC26EE"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9B0BC8A" w14:textId="432E6BED" w:rsidR="00897293" w:rsidRPr="00CC6553" w:rsidRDefault="00897293" w:rsidP="00B234F1">
            <w:pPr>
              <w:rPr>
                <w:rFonts w:cs="Arial"/>
                <w:bCs/>
                <w:iCs/>
                <w:color w:val="000000" w:themeColor="text1"/>
                <w:sz w:val="20"/>
              </w:rPr>
            </w:pPr>
            <w:r w:rsidRPr="00CC6553">
              <w:rPr>
                <w:rFonts w:cs="Arial"/>
                <w:color w:val="000000" w:themeColor="text1"/>
                <w:sz w:val="20"/>
              </w:rPr>
              <w:t>Boehringer Ingelheim Ltd</w:t>
            </w:r>
          </w:p>
        </w:tc>
        <w:tc>
          <w:tcPr>
            <w:tcW w:w="279" w:type="pct"/>
          </w:tcPr>
          <w:p w14:paraId="3C3DD8B1" w14:textId="66EF397D"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2BAEE0FC" w14:textId="027D5AD0"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6EF9DF7D" w14:textId="1E118E58"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1521" w:type="pct"/>
          </w:tcPr>
          <w:p w14:paraId="02FFA43E" w14:textId="15113BAA" w:rsidR="00897293" w:rsidRPr="00CC6553" w:rsidRDefault="00897293" w:rsidP="00B234F1">
            <w:pPr>
              <w:rPr>
                <w:rFonts w:cs="Arial"/>
                <w:color w:val="000000" w:themeColor="text1"/>
                <w:sz w:val="20"/>
              </w:rPr>
            </w:pPr>
            <w:r w:rsidRPr="00CC6553">
              <w:rPr>
                <w:rFonts w:cs="Arial"/>
                <w:color w:val="000000" w:themeColor="text1"/>
                <w:sz w:val="20"/>
              </w:rPr>
              <w:t>Tailoring Treatment, Sec 1.7.4, which states: "GPs should seek advice from a heart failure specialist before prescribing a sodium-glucose cotransporter-2 (SGLT2) inhibitor or angiotensin receptor-neprilysin inhibitor (ARNI). This will delay access to life-saving therapy, increase the burden on specialist services, and worsen health inequalities due to varied access to specialists. GPs are already familiar with SGLT2’s and are capable of initiating treatment effectively – and this approach aligns with the 2025 NHS 10 -year health plan, which promotes shifting care from hospitals to the community settings.  Heart Failure Specialist can be kept informed.</w:t>
            </w:r>
          </w:p>
        </w:tc>
        <w:tc>
          <w:tcPr>
            <w:tcW w:w="2122" w:type="pct"/>
          </w:tcPr>
          <w:p w14:paraId="4FDD5B41" w14:textId="4331A8EA" w:rsidR="00897293" w:rsidRPr="00CC6553" w:rsidRDefault="00897293" w:rsidP="21434BE0">
            <w:pPr>
              <w:pStyle w:val="Heading1"/>
              <w:rPr>
                <w:rFonts w:cs="Arial"/>
                <w:b w:val="0"/>
                <w:bCs w:val="0"/>
                <w:color w:val="000000" w:themeColor="text1"/>
                <w:sz w:val="20"/>
              </w:rPr>
            </w:pPr>
            <w:r w:rsidRPr="00CC6553">
              <w:rPr>
                <w:rFonts w:cs="Arial"/>
                <w:b w:val="0"/>
                <w:bCs w:val="0"/>
                <w:color w:val="000000" w:themeColor="text1"/>
                <w:sz w:val="20"/>
              </w:rPr>
              <w:t xml:space="preserve">Thank you for your comment.  The committee has removed the requirement for GPs to seek advice from </w:t>
            </w:r>
            <w:r w:rsidRPr="00CC6553">
              <w:rPr>
                <w:b w:val="0"/>
                <w:bCs w:val="0"/>
                <w:color w:val="000000" w:themeColor="text1"/>
                <w:sz w:val="20"/>
              </w:rPr>
              <w:t xml:space="preserve">a </w:t>
            </w:r>
            <w:r w:rsidRPr="00CC6553">
              <w:rPr>
                <w:rFonts w:cs="Arial"/>
                <w:b w:val="0"/>
                <w:bCs w:val="0"/>
                <w:color w:val="000000" w:themeColor="text1"/>
                <w:sz w:val="20"/>
              </w:rPr>
              <w:t xml:space="preserve">heart failure specialist before prescribing a SGLT2 inhibitor.  The committee now recommend that primary care prescribers consider seeking advice from a heart failure specialist before starting an ARNI. </w:t>
            </w:r>
            <w:r w:rsidRPr="00CC6553">
              <w:rPr>
                <w:rFonts w:cs="Arial"/>
                <w:b w:val="0"/>
                <w:bCs w:val="0"/>
                <w:color w:val="000000" w:themeColor="text1"/>
                <w:sz w:val="20"/>
              </w:rPr>
              <w:lastRenderedPageBreak/>
              <w:t>As they can now initiate treatment this should reduce delays.</w:t>
            </w:r>
          </w:p>
          <w:p w14:paraId="244C8C4F" w14:textId="77777777" w:rsidR="00897293" w:rsidRPr="00CC6553" w:rsidRDefault="00897293" w:rsidP="00B234F1">
            <w:pPr>
              <w:pStyle w:val="Heading1"/>
              <w:rPr>
                <w:rFonts w:cs="Arial"/>
                <w:b w:val="0"/>
                <w:color w:val="000000" w:themeColor="text1"/>
                <w:sz w:val="20"/>
              </w:rPr>
            </w:pPr>
          </w:p>
        </w:tc>
      </w:tr>
      <w:tr w:rsidR="00897293" w:rsidRPr="00CC6553" w14:paraId="32D0141F" w14:textId="77777777" w:rsidTr="00897293">
        <w:trPr>
          <w:trHeight w:val="300"/>
        </w:trPr>
        <w:tc>
          <w:tcPr>
            <w:tcW w:w="109" w:type="pct"/>
          </w:tcPr>
          <w:p w14:paraId="0ED5D631"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210</w:t>
            </w:r>
          </w:p>
        </w:tc>
        <w:tc>
          <w:tcPr>
            <w:tcW w:w="143" w:type="pct"/>
          </w:tcPr>
          <w:p w14:paraId="3C86BE7D" w14:textId="504302AA"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8468D17" w14:textId="35CA11CB" w:rsidR="00897293" w:rsidRPr="00CC6553" w:rsidRDefault="00897293" w:rsidP="00B234F1">
            <w:pPr>
              <w:rPr>
                <w:rFonts w:cs="Arial"/>
                <w:bCs/>
                <w:iCs/>
                <w:color w:val="000000" w:themeColor="text1"/>
                <w:sz w:val="20"/>
              </w:rPr>
            </w:pPr>
            <w:r w:rsidRPr="00CC6553">
              <w:rPr>
                <w:rFonts w:cs="Arial"/>
                <w:color w:val="000000" w:themeColor="text1"/>
                <w:sz w:val="20"/>
              </w:rPr>
              <w:t>Royal College of Nursing</w:t>
            </w:r>
          </w:p>
        </w:tc>
        <w:tc>
          <w:tcPr>
            <w:tcW w:w="279" w:type="pct"/>
          </w:tcPr>
          <w:p w14:paraId="659F705D" w14:textId="24197103"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30A684CA" w14:textId="7F1158E0"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7F410D86" w14:textId="578B92F1"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1521" w:type="pct"/>
          </w:tcPr>
          <w:p w14:paraId="7DB0CD34" w14:textId="20911446" w:rsidR="00897293" w:rsidRPr="00CC6553" w:rsidRDefault="00897293" w:rsidP="00B234F1">
            <w:pPr>
              <w:rPr>
                <w:rFonts w:cs="Arial"/>
                <w:color w:val="000000" w:themeColor="text1"/>
                <w:sz w:val="20"/>
              </w:rPr>
            </w:pPr>
            <w:r w:rsidRPr="00CC6553">
              <w:rPr>
                <w:rFonts w:cs="Arial"/>
                <w:color w:val="000000" w:themeColor="text1"/>
                <w:sz w:val="20"/>
              </w:rPr>
              <w:t>General Practitioners (GP) not prescribing ARNI or SGLT2 without specialist input is a backwards step and contrary to the evidence (it is also very expensive to the wider health economy). Early initiation and titration of medications reduces events and mortality i.e. STRONG. would suggest that this needs to be removed or rephrased to state that if the GP has appropriate knowledge and skills, they should initiate or seek support via Advice and Guidance (A&amp;G), and not delay initiation of therapy.</w:t>
            </w:r>
          </w:p>
        </w:tc>
        <w:tc>
          <w:tcPr>
            <w:tcW w:w="2122" w:type="pct"/>
          </w:tcPr>
          <w:p w14:paraId="05552978" w14:textId="322186DA" w:rsidR="00897293" w:rsidRPr="00CC6553" w:rsidRDefault="00897293" w:rsidP="21434BE0">
            <w:pPr>
              <w:pStyle w:val="Heading1"/>
              <w:rPr>
                <w:rFonts w:cs="Arial"/>
                <w:b w:val="0"/>
                <w:bCs w:val="0"/>
                <w:color w:val="000000" w:themeColor="text1"/>
                <w:sz w:val="20"/>
              </w:rPr>
            </w:pPr>
            <w:r w:rsidRPr="00CC6553">
              <w:rPr>
                <w:rFonts w:cs="Arial"/>
                <w:b w:val="0"/>
                <w:bCs w:val="0"/>
                <w:color w:val="000000" w:themeColor="text1"/>
                <w:sz w:val="20"/>
              </w:rPr>
              <w:t xml:space="preserve">Thank you for your comment.  The committee has removed the requirement for GPs to seek advice from </w:t>
            </w:r>
            <w:r w:rsidRPr="00CC6553">
              <w:rPr>
                <w:b w:val="0"/>
                <w:bCs w:val="0"/>
                <w:color w:val="000000" w:themeColor="text1"/>
                <w:sz w:val="20"/>
              </w:rPr>
              <w:t xml:space="preserve">a </w:t>
            </w:r>
            <w:r w:rsidRPr="00CC6553">
              <w:rPr>
                <w:rFonts w:cs="Arial"/>
                <w:b w:val="0"/>
                <w:bCs w:val="0"/>
                <w:color w:val="000000" w:themeColor="text1"/>
                <w:sz w:val="20"/>
              </w:rPr>
              <w:t>heart failure specialist before prescribing a SGLT2 inhibitor.  The committee now recommend that primary care prescribers consider seeking advice from a heart failure specialist before starting an ARNI. As they can now initiate treatment this should reduce delays.</w:t>
            </w:r>
          </w:p>
          <w:p w14:paraId="379C6212" w14:textId="2F24A47B" w:rsidR="00897293" w:rsidRPr="00CC6553" w:rsidRDefault="00897293" w:rsidP="00B234F1">
            <w:pPr>
              <w:pStyle w:val="Heading1"/>
              <w:rPr>
                <w:rFonts w:cs="Arial"/>
                <w:b w:val="0"/>
                <w:color w:val="000000" w:themeColor="text1"/>
                <w:sz w:val="20"/>
              </w:rPr>
            </w:pPr>
          </w:p>
          <w:p w14:paraId="02BD4A17" w14:textId="77777777" w:rsidR="00897293" w:rsidRPr="00CC6553" w:rsidRDefault="00897293" w:rsidP="00B234F1">
            <w:pPr>
              <w:pStyle w:val="Heading1"/>
              <w:rPr>
                <w:rFonts w:cs="Arial"/>
                <w:b w:val="0"/>
                <w:color w:val="000000" w:themeColor="text1"/>
                <w:sz w:val="20"/>
              </w:rPr>
            </w:pPr>
          </w:p>
        </w:tc>
      </w:tr>
      <w:tr w:rsidR="00897293" w:rsidRPr="00CC6553" w14:paraId="4D6EEB19" w14:textId="77777777" w:rsidTr="00897293">
        <w:trPr>
          <w:trHeight w:val="300"/>
        </w:trPr>
        <w:tc>
          <w:tcPr>
            <w:tcW w:w="109" w:type="pct"/>
          </w:tcPr>
          <w:p w14:paraId="73A0B2D7" w14:textId="77777777" w:rsidR="00897293" w:rsidRPr="00CC6553" w:rsidRDefault="00897293" w:rsidP="00B234F1">
            <w:pPr>
              <w:rPr>
                <w:rFonts w:cs="Arial"/>
                <w:color w:val="000000" w:themeColor="text1"/>
                <w:sz w:val="20"/>
              </w:rPr>
            </w:pPr>
            <w:r w:rsidRPr="00CC6553">
              <w:rPr>
                <w:rFonts w:cs="Arial"/>
                <w:color w:val="000000" w:themeColor="text1"/>
                <w:sz w:val="20"/>
              </w:rPr>
              <w:t>211</w:t>
            </w:r>
          </w:p>
        </w:tc>
        <w:tc>
          <w:tcPr>
            <w:tcW w:w="143" w:type="pct"/>
          </w:tcPr>
          <w:p w14:paraId="76F9E12E" w14:textId="78C38A68"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B40A44F" w14:textId="00A1B4D7" w:rsidR="00897293" w:rsidRPr="00CC6553" w:rsidRDefault="00897293" w:rsidP="00B234F1">
            <w:pPr>
              <w:rPr>
                <w:rFonts w:cs="Arial"/>
                <w:bCs/>
                <w:iCs/>
                <w:color w:val="000000" w:themeColor="text1"/>
                <w:sz w:val="20"/>
              </w:rPr>
            </w:pPr>
            <w:r w:rsidRPr="00CC6553">
              <w:rPr>
                <w:rFonts w:cs="Arial"/>
                <w:color w:val="000000" w:themeColor="text1"/>
                <w:sz w:val="20"/>
              </w:rPr>
              <w:t>NHS South Yorkshire ICB</w:t>
            </w:r>
          </w:p>
        </w:tc>
        <w:tc>
          <w:tcPr>
            <w:tcW w:w="279" w:type="pct"/>
          </w:tcPr>
          <w:p w14:paraId="29EC5B9E" w14:textId="56A355B9"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6B838C0B" w14:textId="531C8E32"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30A0856C" w14:textId="0988005D"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1521" w:type="pct"/>
          </w:tcPr>
          <w:p w14:paraId="192B4ACA" w14:textId="4182AE5A" w:rsidR="00897293" w:rsidRPr="00CC6553" w:rsidRDefault="00897293" w:rsidP="00B234F1">
            <w:pPr>
              <w:rPr>
                <w:rFonts w:cs="Arial"/>
                <w:color w:val="000000" w:themeColor="text1"/>
                <w:sz w:val="20"/>
              </w:rPr>
            </w:pPr>
            <w:r w:rsidRPr="00CC6553">
              <w:rPr>
                <w:rFonts w:cs="Arial"/>
                <w:color w:val="000000" w:themeColor="text1"/>
                <w:sz w:val="20"/>
              </w:rPr>
              <w:t>Should general practitioners seek heart failure specialist input before initiating SGLT2 inhibitors in HFpEF or HFmrEF? The current NICE technology appraisals for empagliflozin and dapagliflozin in these populations do not mandate specialist consultation prior to prescribing.</w:t>
            </w:r>
          </w:p>
        </w:tc>
        <w:tc>
          <w:tcPr>
            <w:tcW w:w="2122" w:type="pct"/>
          </w:tcPr>
          <w:p w14:paraId="292AE83E" w14:textId="77777777"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Thank you for your comment.  The committee has removed the requirement for GPs to seek advice from </w:t>
            </w:r>
            <w:r w:rsidRPr="00CC6553">
              <w:rPr>
                <w:b w:val="0"/>
                <w:color w:val="000000" w:themeColor="text1"/>
                <w:sz w:val="20"/>
              </w:rPr>
              <w:t xml:space="preserve">a </w:t>
            </w:r>
            <w:r w:rsidRPr="00CC6553">
              <w:rPr>
                <w:rFonts w:cs="Arial"/>
                <w:b w:val="0"/>
                <w:color w:val="000000" w:themeColor="text1"/>
                <w:sz w:val="20"/>
              </w:rPr>
              <w:t>heart failure specialist before prescribing a SGLT2 inhibitor.</w:t>
            </w:r>
          </w:p>
          <w:p w14:paraId="2CE0F6F5" w14:textId="77777777" w:rsidR="00897293" w:rsidRPr="00CC6553" w:rsidRDefault="00897293" w:rsidP="00B234F1">
            <w:pPr>
              <w:pStyle w:val="Heading1"/>
              <w:rPr>
                <w:rFonts w:cs="Arial"/>
                <w:b w:val="0"/>
                <w:color w:val="000000" w:themeColor="text1"/>
                <w:sz w:val="20"/>
              </w:rPr>
            </w:pPr>
          </w:p>
        </w:tc>
      </w:tr>
      <w:tr w:rsidR="00897293" w:rsidRPr="00CC6553" w14:paraId="5773445F" w14:textId="77777777" w:rsidTr="00897293">
        <w:trPr>
          <w:trHeight w:val="300"/>
        </w:trPr>
        <w:tc>
          <w:tcPr>
            <w:tcW w:w="109" w:type="pct"/>
          </w:tcPr>
          <w:p w14:paraId="333DEC9C" w14:textId="77777777" w:rsidR="00897293" w:rsidRPr="00CC6553" w:rsidRDefault="00897293" w:rsidP="00B234F1">
            <w:pPr>
              <w:rPr>
                <w:rFonts w:cs="Arial"/>
                <w:color w:val="000000" w:themeColor="text1"/>
                <w:sz w:val="20"/>
              </w:rPr>
            </w:pPr>
            <w:r w:rsidRPr="00CC6553">
              <w:rPr>
                <w:rFonts w:cs="Arial"/>
                <w:color w:val="000000" w:themeColor="text1"/>
                <w:sz w:val="20"/>
              </w:rPr>
              <w:t>212</w:t>
            </w:r>
          </w:p>
        </w:tc>
        <w:tc>
          <w:tcPr>
            <w:tcW w:w="143" w:type="pct"/>
          </w:tcPr>
          <w:p w14:paraId="69AADDEF" w14:textId="4D677FDF"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5B10FBAE" w14:textId="16A16B4D" w:rsidR="00897293" w:rsidRPr="00CC6553" w:rsidRDefault="00897293" w:rsidP="00B234F1">
            <w:pPr>
              <w:rPr>
                <w:rFonts w:cs="Arial"/>
                <w:bCs/>
                <w:iCs/>
                <w:color w:val="000000" w:themeColor="text1"/>
                <w:sz w:val="20"/>
              </w:rPr>
            </w:pPr>
            <w:r w:rsidRPr="00CC6553">
              <w:rPr>
                <w:rFonts w:cs="Arial"/>
                <w:color w:val="000000" w:themeColor="text1"/>
                <w:sz w:val="20"/>
              </w:rPr>
              <w:t>NHS Devon ICB</w:t>
            </w:r>
          </w:p>
        </w:tc>
        <w:tc>
          <w:tcPr>
            <w:tcW w:w="279" w:type="pct"/>
          </w:tcPr>
          <w:p w14:paraId="35942498" w14:textId="499E21EB"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0F4CA1A8" w14:textId="52881002"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09E2539F" w14:textId="48DAFC2F"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1521" w:type="pct"/>
          </w:tcPr>
          <w:p w14:paraId="4AAEA6F8" w14:textId="512AA35A" w:rsidR="00897293" w:rsidRPr="00CC6553" w:rsidRDefault="00897293" w:rsidP="00B234F1">
            <w:pPr>
              <w:rPr>
                <w:rFonts w:cs="Arial"/>
                <w:color w:val="000000" w:themeColor="text1"/>
                <w:sz w:val="20"/>
              </w:rPr>
            </w:pPr>
            <w:r w:rsidRPr="00CC6553">
              <w:rPr>
                <w:rFonts w:cs="Arial"/>
                <w:color w:val="000000" w:themeColor="text1"/>
                <w:sz w:val="20"/>
              </w:rPr>
              <w:t xml:space="preserve">Recommendation 1.7.4 with reference to ‘GPs should seek advice from a heart failure specialist before prescribing a SGLT2 inhibitor’. This approach is inconsistent with NICE guidance NG28 (Management of type 2 diabetes mellitus) recommendation 1.7.5, where a GP may start a SGLT2 inhibitor for chronic heart failure in a type 2 diabetes patient without seeking advice from a heart failure specialist. This leaves a GP in the position of being able to start a SGLT2 inhibitor for chronic heart failure in a type 2 diabetes patient without input from a heart failure specialist but having to seek advice from a heart failure specialist to start a SGLT2 inhibitor for chronic heart failure in a patient who does not have type 2 diabetes. This is unhelpful for GPs and a pragmatic approach to starting treatment </w:t>
            </w:r>
            <w:r w:rsidRPr="00CC6553">
              <w:rPr>
                <w:rFonts w:cs="Arial"/>
                <w:color w:val="000000" w:themeColor="text1"/>
                <w:sz w:val="20"/>
              </w:rPr>
              <w:lastRenderedPageBreak/>
              <w:t xml:space="preserve">with a SGLT2 inhibitor in a patient with chronic heart failure is required. </w:t>
            </w:r>
            <w:r w:rsidRPr="00CC6553">
              <w:rPr>
                <w:rFonts w:cs="Arial"/>
                <w:color w:val="000000" w:themeColor="text1"/>
                <w:sz w:val="20"/>
              </w:rPr>
              <w:br/>
            </w:r>
            <w:r w:rsidRPr="00CC6553">
              <w:rPr>
                <w:rFonts w:cs="Arial"/>
                <w:color w:val="000000" w:themeColor="text1"/>
                <w:sz w:val="20"/>
              </w:rPr>
              <w:br/>
              <w:t>With reference to ‘GPs should seek advice from a heart failure specialist before prescribing an ARNI’ - if this recommendation is accepted, TA388 will require amendment to remove the requirement for sacubitril valsartan to be started by a heart failure specialist.</w:t>
            </w:r>
          </w:p>
        </w:tc>
        <w:tc>
          <w:tcPr>
            <w:tcW w:w="2122" w:type="pct"/>
          </w:tcPr>
          <w:p w14:paraId="29485861" w14:textId="66CE10EE" w:rsidR="00897293" w:rsidRPr="00CC6553" w:rsidRDefault="00897293" w:rsidP="476BDDBF">
            <w:pPr>
              <w:pStyle w:val="Heading1"/>
              <w:rPr>
                <w:rFonts w:cs="Arial"/>
                <w:b w:val="0"/>
                <w:bCs w:val="0"/>
                <w:color w:val="000000" w:themeColor="text1"/>
                <w:sz w:val="20"/>
              </w:rPr>
            </w:pPr>
            <w:r w:rsidRPr="00CC6553">
              <w:rPr>
                <w:rFonts w:cs="Arial"/>
                <w:b w:val="0"/>
                <w:bCs w:val="0"/>
                <w:color w:val="000000" w:themeColor="text1"/>
                <w:sz w:val="20"/>
              </w:rPr>
              <w:lastRenderedPageBreak/>
              <w:t xml:space="preserve">Thank you for your comment.  The committee has removed the requirement for GPs to seek advice from </w:t>
            </w:r>
            <w:r w:rsidRPr="00CC6553">
              <w:rPr>
                <w:b w:val="0"/>
                <w:bCs w:val="0"/>
                <w:color w:val="000000" w:themeColor="text1"/>
                <w:sz w:val="20"/>
              </w:rPr>
              <w:t xml:space="preserve">a </w:t>
            </w:r>
            <w:r w:rsidRPr="00CC6553">
              <w:rPr>
                <w:rFonts w:cs="Arial"/>
                <w:b w:val="0"/>
                <w:bCs w:val="0"/>
                <w:color w:val="000000" w:themeColor="text1"/>
                <w:sz w:val="20"/>
              </w:rPr>
              <w:t xml:space="preserve">heart failure specialist before prescribing a SGLT2 inhibitor.  The committee now recommend that primary care prescribers consider seeking advice from a heart failure specialist before starting an ARNI. As they can now initiate treatment </w:t>
            </w:r>
            <w:r w:rsidRPr="00CC6553">
              <w:rPr>
                <w:rFonts w:cs="Arial"/>
                <w:b w:val="0"/>
                <w:bCs w:val="0"/>
                <w:color w:val="000000" w:themeColor="text1"/>
                <w:sz w:val="20"/>
              </w:rPr>
              <w:lastRenderedPageBreak/>
              <w:t>this should reduce delays. NICE is currently engaging with an advisory Stakeholder Panel to inform development of </w:t>
            </w:r>
            <w:hyperlink r:id="rId37">
              <w:r w:rsidRPr="00CC6553">
                <w:rPr>
                  <w:rStyle w:val="Hyperlink"/>
                  <w:rFonts w:cs="Arial"/>
                  <w:b w:val="0"/>
                  <w:bCs w:val="0"/>
                  <w:color w:val="000000" w:themeColor="text1"/>
                  <w:sz w:val="20"/>
                </w:rPr>
                <w:t>our approach</w:t>
              </w:r>
            </w:hyperlink>
            <w:r w:rsidRPr="00CC6553">
              <w:rPr>
                <w:rFonts w:cs="Arial"/>
                <w:b w:val="0"/>
                <w:bCs w:val="0"/>
                <w:color w:val="000000" w:themeColor="text1"/>
                <w:sz w:val="20"/>
              </w:rPr>
              <w:t> to technology appraisal incorporation.  </w:t>
            </w:r>
          </w:p>
        </w:tc>
      </w:tr>
      <w:tr w:rsidR="00897293" w:rsidRPr="00CC6553" w14:paraId="59CA6C9B" w14:textId="77777777" w:rsidTr="00897293">
        <w:trPr>
          <w:trHeight w:val="300"/>
        </w:trPr>
        <w:tc>
          <w:tcPr>
            <w:tcW w:w="109" w:type="pct"/>
          </w:tcPr>
          <w:p w14:paraId="7C12E71F"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213</w:t>
            </w:r>
          </w:p>
        </w:tc>
        <w:tc>
          <w:tcPr>
            <w:tcW w:w="143" w:type="pct"/>
          </w:tcPr>
          <w:p w14:paraId="7C397EB4" w14:textId="4B993785"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44BEB5B4" w14:textId="4FF3D3A4"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634D8D09" w14:textId="580B0AC0"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31287986" w14:textId="3AA84F3A"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78CAC8B1" w14:textId="65F437FD"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1521" w:type="pct"/>
          </w:tcPr>
          <w:p w14:paraId="1682254A" w14:textId="6BC98F2E" w:rsidR="00897293" w:rsidRPr="00CC6553" w:rsidRDefault="00897293" w:rsidP="00B234F1">
            <w:pPr>
              <w:rPr>
                <w:rFonts w:cs="Arial"/>
                <w:color w:val="000000" w:themeColor="text1"/>
                <w:sz w:val="20"/>
              </w:rPr>
            </w:pPr>
            <w:r w:rsidRPr="00CC6553">
              <w:rPr>
                <w:rFonts w:cs="Arial"/>
                <w:color w:val="000000" w:themeColor="text1"/>
                <w:sz w:val="20"/>
              </w:rPr>
              <w:br/>
              <w:t>Primary care should initiate these – there is no reason why we need to create bottle necks by asking secondary care</w:t>
            </w:r>
          </w:p>
        </w:tc>
        <w:tc>
          <w:tcPr>
            <w:tcW w:w="2122" w:type="pct"/>
          </w:tcPr>
          <w:p w14:paraId="2A1DED8D" w14:textId="470DF010" w:rsidR="00897293" w:rsidRPr="00CC6553" w:rsidRDefault="00897293" w:rsidP="476BDDBF">
            <w:pPr>
              <w:pStyle w:val="Heading1"/>
              <w:rPr>
                <w:rFonts w:cs="Arial"/>
                <w:b w:val="0"/>
                <w:bCs w:val="0"/>
                <w:color w:val="000000" w:themeColor="text1"/>
                <w:sz w:val="20"/>
              </w:rPr>
            </w:pPr>
            <w:r w:rsidRPr="00CC6553">
              <w:rPr>
                <w:rFonts w:cs="Arial"/>
                <w:b w:val="0"/>
                <w:bCs w:val="0"/>
                <w:color w:val="000000" w:themeColor="text1"/>
                <w:sz w:val="20"/>
              </w:rPr>
              <w:t xml:space="preserve">Thank you for your comment.  The committee has removed the requirement for GPs to seek advice from </w:t>
            </w:r>
            <w:r w:rsidRPr="00CC6553">
              <w:rPr>
                <w:b w:val="0"/>
                <w:bCs w:val="0"/>
                <w:color w:val="000000" w:themeColor="text1"/>
                <w:sz w:val="20"/>
              </w:rPr>
              <w:t xml:space="preserve">a </w:t>
            </w:r>
            <w:r w:rsidRPr="00CC6553">
              <w:rPr>
                <w:rFonts w:cs="Arial"/>
                <w:b w:val="0"/>
                <w:bCs w:val="0"/>
                <w:color w:val="000000" w:themeColor="text1"/>
                <w:sz w:val="20"/>
              </w:rPr>
              <w:t>heart failure specialist before prescribing a SGLT2 inhibitor.  The committee now recommend that primary care prescribers consider seeking advice from a heart failure specialist before starting an ARNI. As they can now initiate treatment this should reduce delays.</w:t>
            </w:r>
          </w:p>
          <w:p w14:paraId="19DD4C72" w14:textId="77777777" w:rsidR="00897293" w:rsidRPr="00CC6553" w:rsidRDefault="00897293" w:rsidP="00B234F1">
            <w:pPr>
              <w:pStyle w:val="Heading1"/>
              <w:rPr>
                <w:rFonts w:cs="Arial"/>
                <w:b w:val="0"/>
                <w:color w:val="000000" w:themeColor="text1"/>
                <w:sz w:val="20"/>
              </w:rPr>
            </w:pPr>
          </w:p>
        </w:tc>
      </w:tr>
      <w:tr w:rsidR="00897293" w:rsidRPr="00CC6553" w14:paraId="6760A42D" w14:textId="77777777" w:rsidTr="00897293">
        <w:trPr>
          <w:trHeight w:val="300"/>
        </w:trPr>
        <w:tc>
          <w:tcPr>
            <w:tcW w:w="109" w:type="pct"/>
          </w:tcPr>
          <w:p w14:paraId="45B5632E" w14:textId="77777777" w:rsidR="00897293" w:rsidRPr="00CC6553" w:rsidRDefault="00897293" w:rsidP="00B234F1">
            <w:pPr>
              <w:rPr>
                <w:rFonts w:cs="Arial"/>
                <w:color w:val="000000" w:themeColor="text1"/>
                <w:sz w:val="20"/>
              </w:rPr>
            </w:pPr>
            <w:r w:rsidRPr="00CC6553">
              <w:rPr>
                <w:rFonts w:cs="Arial"/>
                <w:color w:val="000000" w:themeColor="text1"/>
                <w:sz w:val="20"/>
              </w:rPr>
              <w:t>214</w:t>
            </w:r>
          </w:p>
        </w:tc>
        <w:tc>
          <w:tcPr>
            <w:tcW w:w="143" w:type="pct"/>
          </w:tcPr>
          <w:p w14:paraId="5AAAB2A0" w14:textId="6A6A8073"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19398F0" w14:textId="12CEB923"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765F0FD8" w14:textId="1FA122C6"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37EFB772" w14:textId="03BFBC1B"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025D7280" w14:textId="6DA017CB"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1521" w:type="pct"/>
          </w:tcPr>
          <w:p w14:paraId="55FE430F" w14:textId="31BDCB98" w:rsidR="00897293" w:rsidRPr="00CC6553" w:rsidRDefault="00897293" w:rsidP="00B234F1">
            <w:pPr>
              <w:rPr>
                <w:rFonts w:cs="Arial"/>
                <w:color w:val="000000" w:themeColor="text1"/>
                <w:sz w:val="20"/>
              </w:rPr>
            </w:pPr>
            <w:r w:rsidRPr="00CC6553">
              <w:rPr>
                <w:rFonts w:cs="Arial"/>
                <w:color w:val="000000" w:themeColor="text1"/>
                <w:sz w:val="20"/>
              </w:rPr>
              <w:t>I see no reason why SGLT2i has to be advised by a specialist as GPs have been initiating SGLT2i for Diabetes and CKD for many years</w:t>
            </w:r>
          </w:p>
        </w:tc>
        <w:tc>
          <w:tcPr>
            <w:tcW w:w="2122" w:type="pct"/>
          </w:tcPr>
          <w:p w14:paraId="76F5AD51" w14:textId="77777777"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Thank you for your comment.  The committee has removed the requirement for GPs to seek advice from </w:t>
            </w:r>
            <w:r w:rsidRPr="00CC6553">
              <w:rPr>
                <w:b w:val="0"/>
                <w:color w:val="000000" w:themeColor="text1"/>
                <w:sz w:val="20"/>
              </w:rPr>
              <w:t xml:space="preserve">a </w:t>
            </w:r>
            <w:r w:rsidRPr="00CC6553">
              <w:rPr>
                <w:rFonts w:cs="Arial"/>
                <w:b w:val="0"/>
                <w:color w:val="000000" w:themeColor="text1"/>
                <w:sz w:val="20"/>
              </w:rPr>
              <w:t>heart failure specialist before prescribing a SGLT2 inhibitor.</w:t>
            </w:r>
          </w:p>
          <w:p w14:paraId="165F76E3" w14:textId="77777777" w:rsidR="00897293" w:rsidRPr="00CC6553" w:rsidRDefault="00897293" w:rsidP="00B234F1">
            <w:pPr>
              <w:pStyle w:val="Heading1"/>
              <w:rPr>
                <w:rFonts w:cs="Arial"/>
                <w:b w:val="0"/>
                <w:color w:val="000000" w:themeColor="text1"/>
                <w:sz w:val="20"/>
              </w:rPr>
            </w:pPr>
          </w:p>
        </w:tc>
      </w:tr>
      <w:tr w:rsidR="00897293" w:rsidRPr="00CC6553" w14:paraId="72AC423C" w14:textId="77777777" w:rsidTr="00897293">
        <w:trPr>
          <w:trHeight w:val="300"/>
        </w:trPr>
        <w:tc>
          <w:tcPr>
            <w:tcW w:w="109" w:type="pct"/>
          </w:tcPr>
          <w:p w14:paraId="018737A8" w14:textId="77777777" w:rsidR="00897293" w:rsidRPr="00CC6553" w:rsidRDefault="00897293" w:rsidP="00B234F1">
            <w:pPr>
              <w:rPr>
                <w:rFonts w:cs="Arial"/>
                <w:color w:val="000000" w:themeColor="text1"/>
                <w:sz w:val="20"/>
              </w:rPr>
            </w:pPr>
            <w:r w:rsidRPr="00CC6553">
              <w:rPr>
                <w:rFonts w:cs="Arial"/>
                <w:color w:val="000000" w:themeColor="text1"/>
                <w:sz w:val="20"/>
              </w:rPr>
              <w:t>215</w:t>
            </w:r>
          </w:p>
        </w:tc>
        <w:tc>
          <w:tcPr>
            <w:tcW w:w="143" w:type="pct"/>
          </w:tcPr>
          <w:p w14:paraId="3B6ECB53" w14:textId="59386201"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247AF7D6" w14:textId="6314ADC2" w:rsidR="00897293" w:rsidRPr="00CC6553" w:rsidRDefault="00897293" w:rsidP="00B234F1">
            <w:pPr>
              <w:rPr>
                <w:rFonts w:cs="Arial"/>
                <w:bCs/>
                <w:iCs/>
                <w:color w:val="000000" w:themeColor="text1"/>
                <w:sz w:val="20"/>
              </w:rPr>
            </w:pPr>
            <w:r w:rsidRPr="00CC6553">
              <w:rPr>
                <w:rFonts w:cs="Arial"/>
                <w:color w:val="000000" w:themeColor="text1"/>
                <w:sz w:val="20"/>
              </w:rPr>
              <w:t>First Community Health and Care</w:t>
            </w:r>
          </w:p>
        </w:tc>
        <w:tc>
          <w:tcPr>
            <w:tcW w:w="279" w:type="pct"/>
          </w:tcPr>
          <w:p w14:paraId="1C829307" w14:textId="2B5ACCCF"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584F358E" w14:textId="556FF92A"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71C66365" w14:textId="43B6A38A" w:rsidR="00897293" w:rsidRPr="00CC6553" w:rsidRDefault="00897293" w:rsidP="00B234F1">
            <w:pPr>
              <w:rPr>
                <w:rFonts w:cs="Arial"/>
                <w:color w:val="000000" w:themeColor="text1"/>
                <w:sz w:val="20"/>
              </w:rPr>
            </w:pPr>
            <w:r w:rsidRPr="00CC6553">
              <w:rPr>
                <w:rFonts w:cs="Arial"/>
                <w:color w:val="000000" w:themeColor="text1"/>
                <w:sz w:val="20"/>
              </w:rPr>
              <w:t>015 - 017</w:t>
            </w:r>
          </w:p>
        </w:tc>
        <w:tc>
          <w:tcPr>
            <w:tcW w:w="1521" w:type="pct"/>
          </w:tcPr>
          <w:p w14:paraId="62E01F96" w14:textId="50ACB275" w:rsidR="00897293" w:rsidRPr="00CC6553" w:rsidRDefault="00897293" w:rsidP="00B234F1">
            <w:pPr>
              <w:rPr>
                <w:rFonts w:cs="Arial"/>
                <w:color w:val="000000" w:themeColor="text1"/>
                <w:sz w:val="20"/>
              </w:rPr>
            </w:pPr>
            <w:r w:rsidRPr="00CC6553">
              <w:rPr>
                <w:rFonts w:cs="Arial"/>
                <w:color w:val="000000" w:themeColor="text1"/>
                <w:sz w:val="20"/>
              </w:rPr>
              <w:t>Rec 1.7.4 - This appears to be imposing a new restriction on GP practice as they do currently prescribe SGLT2 (sodium-glucose cotransporter-2) prior to heart failure specialist advice. ARNIs (angiotensin receptor-neprilysin inhibitor) always initiated by Heart failure specialist – shared care at 3months.</w:t>
            </w:r>
          </w:p>
        </w:tc>
        <w:tc>
          <w:tcPr>
            <w:tcW w:w="2122" w:type="pct"/>
          </w:tcPr>
          <w:p w14:paraId="043413B0" w14:textId="77777777"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Thank you for your comment.  The committee has removed the requirement for GPs to seek advice from </w:t>
            </w:r>
            <w:r w:rsidRPr="00CC6553">
              <w:rPr>
                <w:b w:val="0"/>
                <w:color w:val="000000" w:themeColor="text1"/>
                <w:sz w:val="20"/>
              </w:rPr>
              <w:t xml:space="preserve">a </w:t>
            </w:r>
            <w:r w:rsidRPr="00CC6553">
              <w:rPr>
                <w:rFonts w:cs="Arial"/>
                <w:b w:val="0"/>
                <w:color w:val="000000" w:themeColor="text1"/>
                <w:sz w:val="20"/>
              </w:rPr>
              <w:t>heart failure specialist before prescribing a SGLT2 inhibitor.</w:t>
            </w:r>
          </w:p>
          <w:p w14:paraId="4B28AE1C" w14:textId="77777777" w:rsidR="00897293" w:rsidRPr="00CC6553" w:rsidRDefault="00897293" w:rsidP="00B234F1">
            <w:pPr>
              <w:pStyle w:val="Heading1"/>
              <w:rPr>
                <w:rFonts w:cs="Arial"/>
                <w:b w:val="0"/>
                <w:color w:val="000000" w:themeColor="text1"/>
                <w:sz w:val="20"/>
              </w:rPr>
            </w:pPr>
          </w:p>
        </w:tc>
      </w:tr>
      <w:tr w:rsidR="00897293" w:rsidRPr="00CC6553" w14:paraId="2D706A7E" w14:textId="77777777" w:rsidTr="00897293">
        <w:trPr>
          <w:trHeight w:val="300"/>
        </w:trPr>
        <w:tc>
          <w:tcPr>
            <w:tcW w:w="109" w:type="pct"/>
          </w:tcPr>
          <w:p w14:paraId="5575DE5F"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216</w:t>
            </w:r>
          </w:p>
        </w:tc>
        <w:tc>
          <w:tcPr>
            <w:tcW w:w="143" w:type="pct"/>
          </w:tcPr>
          <w:p w14:paraId="25E0D5FA" w14:textId="0C471DBB"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3D7DAE23" w14:textId="2E86CF99" w:rsidR="00897293" w:rsidRPr="00CC6553" w:rsidRDefault="00897293" w:rsidP="00B234F1">
            <w:pPr>
              <w:rPr>
                <w:rFonts w:cs="Arial"/>
                <w:bCs/>
                <w:iCs/>
                <w:color w:val="000000" w:themeColor="text1"/>
                <w:sz w:val="20"/>
              </w:rPr>
            </w:pPr>
            <w:r w:rsidRPr="00CC6553">
              <w:rPr>
                <w:rFonts w:cs="Arial"/>
                <w:color w:val="000000" w:themeColor="text1"/>
                <w:sz w:val="20"/>
              </w:rPr>
              <w:t>British Geriatrics Society</w:t>
            </w:r>
          </w:p>
        </w:tc>
        <w:tc>
          <w:tcPr>
            <w:tcW w:w="279" w:type="pct"/>
          </w:tcPr>
          <w:p w14:paraId="198E5826" w14:textId="4B322C9A"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04D85EB5" w14:textId="5EE5E85C"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7BB6025E" w14:textId="350FF826" w:rsidR="00897293" w:rsidRPr="00CC6553" w:rsidRDefault="00897293" w:rsidP="00B234F1">
            <w:pPr>
              <w:rPr>
                <w:rFonts w:cs="Arial"/>
                <w:color w:val="000000" w:themeColor="text1"/>
                <w:sz w:val="20"/>
              </w:rPr>
            </w:pPr>
            <w:r w:rsidRPr="00CC6553">
              <w:rPr>
                <w:rFonts w:cs="Arial"/>
                <w:color w:val="000000" w:themeColor="text1"/>
                <w:sz w:val="20"/>
              </w:rPr>
              <w:t>015 - 017</w:t>
            </w:r>
          </w:p>
        </w:tc>
        <w:tc>
          <w:tcPr>
            <w:tcW w:w="1521" w:type="pct"/>
          </w:tcPr>
          <w:p w14:paraId="1085CE55" w14:textId="04D6EC0A" w:rsidR="00897293" w:rsidRPr="00CC6553" w:rsidRDefault="00897293" w:rsidP="00B234F1">
            <w:pPr>
              <w:rPr>
                <w:rFonts w:cs="Arial"/>
                <w:color w:val="000000" w:themeColor="text1"/>
                <w:sz w:val="20"/>
              </w:rPr>
            </w:pPr>
            <w:r w:rsidRPr="00CC6553">
              <w:rPr>
                <w:rFonts w:cs="Arial"/>
                <w:color w:val="000000" w:themeColor="text1"/>
                <w:sz w:val="20"/>
              </w:rPr>
              <w:t>Rec 1.7.4: Many GPs are experienced in initiating SGLT2i and are proficient at doing so without advice from a HF specialist. These drugs are safe and largely well tolerated. There is a risk of delayed or under treatment if GPs stop prescribing without specialist review, since not all frail, older patients can access specialist HF services or may experience delay in accessing them. We would favour guidance that empowers primary care to continue initiating SGLT2i drugs, where they feel confident to do so, pending HF review or to seek advice if the indication is unclear</w:t>
            </w:r>
          </w:p>
        </w:tc>
        <w:tc>
          <w:tcPr>
            <w:tcW w:w="2122" w:type="pct"/>
          </w:tcPr>
          <w:p w14:paraId="6C0DD3E5" w14:textId="77777777"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Thank you for your comment.  The committee has removed the requirement for GPs to seek advice from </w:t>
            </w:r>
            <w:r w:rsidRPr="00CC6553">
              <w:rPr>
                <w:b w:val="0"/>
                <w:color w:val="000000" w:themeColor="text1"/>
                <w:sz w:val="20"/>
              </w:rPr>
              <w:t xml:space="preserve">a </w:t>
            </w:r>
            <w:r w:rsidRPr="00CC6553">
              <w:rPr>
                <w:rFonts w:cs="Arial"/>
                <w:b w:val="0"/>
                <w:color w:val="000000" w:themeColor="text1"/>
                <w:sz w:val="20"/>
              </w:rPr>
              <w:t>heart failure specialist before prescribing a SGLT2 inhibitor.</w:t>
            </w:r>
          </w:p>
          <w:p w14:paraId="784941DB" w14:textId="77777777" w:rsidR="00897293" w:rsidRPr="00CC6553" w:rsidRDefault="00897293" w:rsidP="00B234F1">
            <w:pPr>
              <w:pStyle w:val="Heading1"/>
              <w:rPr>
                <w:rFonts w:cs="Arial"/>
                <w:b w:val="0"/>
                <w:color w:val="000000" w:themeColor="text1"/>
                <w:sz w:val="20"/>
              </w:rPr>
            </w:pPr>
          </w:p>
        </w:tc>
      </w:tr>
      <w:tr w:rsidR="00897293" w:rsidRPr="00CC6553" w14:paraId="14327664" w14:textId="77777777" w:rsidTr="00897293">
        <w:trPr>
          <w:trHeight w:val="300"/>
        </w:trPr>
        <w:tc>
          <w:tcPr>
            <w:tcW w:w="109" w:type="pct"/>
          </w:tcPr>
          <w:p w14:paraId="4CB22808" w14:textId="77777777" w:rsidR="00897293" w:rsidRPr="00CC6553" w:rsidRDefault="00897293" w:rsidP="00B234F1">
            <w:pPr>
              <w:rPr>
                <w:rFonts w:cs="Arial"/>
                <w:color w:val="000000" w:themeColor="text1"/>
                <w:sz w:val="20"/>
              </w:rPr>
            </w:pPr>
            <w:r w:rsidRPr="00CC6553">
              <w:rPr>
                <w:rFonts w:cs="Arial"/>
                <w:color w:val="000000" w:themeColor="text1"/>
                <w:sz w:val="20"/>
              </w:rPr>
              <w:t>217</w:t>
            </w:r>
          </w:p>
        </w:tc>
        <w:tc>
          <w:tcPr>
            <w:tcW w:w="143" w:type="pct"/>
          </w:tcPr>
          <w:p w14:paraId="69B6A6F3" w14:textId="2D50E0AD"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F2FB5A2" w14:textId="12C80ECA" w:rsidR="00897293" w:rsidRPr="00CC6553" w:rsidRDefault="00897293" w:rsidP="00B234F1">
            <w:pPr>
              <w:rPr>
                <w:rFonts w:cs="Arial"/>
                <w:bCs/>
                <w:iCs/>
                <w:color w:val="000000" w:themeColor="text1"/>
                <w:sz w:val="20"/>
              </w:rPr>
            </w:pPr>
            <w:r w:rsidRPr="00CC6553">
              <w:rPr>
                <w:rFonts w:cs="Arial"/>
                <w:color w:val="000000" w:themeColor="text1"/>
                <w:sz w:val="20"/>
              </w:rPr>
              <w:t>Health Innovation Network</w:t>
            </w:r>
          </w:p>
        </w:tc>
        <w:tc>
          <w:tcPr>
            <w:tcW w:w="279" w:type="pct"/>
          </w:tcPr>
          <w:p w14:paraId="0457DD46" w14:textId="1FEC08DE"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39D07C9B" w14:textId="3D1CE9F1"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0E49064D" w14:textId="19478C5C" w:rsidR="00897293" w:rsidRPr="00CC6553" w:rsidRDefault="00897293" w:rsidP="00B234F1">
            <w:pPr>
              <w:rPr>
                <w:rFonts w:cs="Arial"/>
                <w:color w:val="000000" w:themeColor="text1"/>
                <w:sz w:val="20"/>
              </w:rPr>
            </w:pPr>
            <w:r w:rsidRPr="00CC6553">
              <w:rPr>
                <w:rFonts w:cs="Arial"/>
                <w:color w:val="000000" w:themeColor="text1"/>
                <w:sz w:val="20"/>
              </w:rPr>
              <w:t>015 - 017</w:t>
            </w:r>
          </w:p>
        </w:tc>
        <w:tc>
          <w:tcPr>
            <w:tcW w:w="1521" w:type="pct"/>
          </w:tcPr>
          <w:p w14:paraId="22837019" w14:textId="68E055AC" w:rsidR="00897293" w:rsidRPr="00CC6553" w:rsidRDefault="00897293" w:rsidP="00B234F1">
            <w:pPr>
              <w:rPr>
                <w:rFonts w:cs="Arial"/>
                <w:color w:val="000000" w:themeColor="text1"/>
                <w:sz w:val="20"/>
              </w:rPr>
            </w:pPr>
            <w:r w:rsidRPr="00CC6553">
              <w:rPr>
                <w:rFonts w:cs="Arial"/>
                <w:color w:val="000000" w:themeColor="text1"/>
                <w:sz w:val="20"/>
              </w:rPr>
              <w:t>1.7.4 - It is unclear to which cohort this applies (HFpEF, HFmrEF, HFrEF) or if it only applies is in the context of certain comorbidities (e.g. CKD).</w:t>
            </w:r>
            <w:r w:rsidRPr="00CC6553">
              <w:rPr>
                <w:rFonts w:cs="Arial"/>
                <w:color w:val="000000" w:themeColor="text1"/>
                <w:sz w:val="20"/>
              </w:rPr>
              <w:br/>
              <w:t>If it applies to all people with HF, then it would be a departure from current practice in which GPs can initiate SGLT2is in HFpEF without the need for specialist advice.</w:t>
            </w:r>
            <w:r w:rsidRPr="00CC6553">
              <w:rPr>
                <w:rFonts w:cs="Arial"/>
                <w:color w:val="000000" w:themeColor="text1"/>
                <w:sz w:val="20"/>
              </w:rPr>
              <w:br/>
              <w:t>Needing specialist advice on starting an SGLT2i for everyone with HF will act as a major barrier to starting these drugs in General Practice and will severely impede progress.</w:t>
            </w:r>
            <w:r w:rsidRPr="00CC6553">
              <w:rPr>
                <w:rFonts w:cs="Arial"/>
                <w:color w:val="000000" w:themeColor="text1"/>
                <w:sz w:val="20"/>
              </w:rPr>
              <w:br/>
              <w:t>Being accepted by heart failure team in HFmrEF; Will HF teams accept them? Potential very large impact on HF teams if all with HFrEF have to referred back in to add this one drug </w:t>
            </w:r>
            <w:r w:rsidRPr="00CC6553">
              <w:rPr>
                <w:rFonts w:cs="Arial"/>
                <w:color w:val="000000" w:themeColor="text1"/>
                <w:sz w:val="20"/>
              </w:rPr>
              <w:br/>
              <w:t>I see no reason why SGLT2i has to be advised by a specialist as GPs have been initiating SGLT2i for Diabetes and CKD for many years</w:t>
            </w:r>
          </w:p>
        </w:tc>
        <w:tc>
          <w:tcPr>
            <w:tcW w:w="2122" w:type="pct"/>
          </w:tcPr>
          <w:p w14:paraId="2770246F" w14:textId="0AC4C35D"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committee has removed the requirement for GPs to seek advice from a heart failure specialist before prescribing a SGLT2 inhibitor.</w:t>
            </w:r>
          </w:p>
        </w:tc>
      </w:tr>
      <w:tr w:rsidR="00897293" w:rsidRPr="00CC6553" w14:paraId="63FC7994" w14:textId="77777777" w:rsidTr="00897293">
        <w:trPr>
          <w:trHeight w:val="300"/>
        </w:trPr>
        <w:tc>
          <w:tcPr>
            <w:tcW w:w="109" w:type="pct"/>
          </w:tcPr>
          <w:p w14:paraId="6EF4996A" w14:textId="77777777" w:rsidR="00897293" w:rsidRPr="00CC6553" w:rsidRDefault="00897293" w:rsidP="00B234F1">
            <w:pPr>
              <w:rPr>
                <w:rFonts w:cs="Arial"/>
                <w:color w:val="000000" w:themeColor="text1"/>
                <w:sz w:val="20"/>
              </w:rPr>
            </w:pPr>
            <w:r w:rsidRPr="00CC6553">
              <w:rPr>
                <w:rFonts w:cs="Arial"/>
                <w:color w:val="000000" w:themeColor="text1"/>
                <w:sz w:val="20"/>
              </w:rPr>
              <w:t>218</w:t>
            </w:r>
          </w:p>
        </w:tc>
        <w:tc>
          <w:tcPr>
            <w:tcW w:w="143" w:type="pct"/>
          </w:tcPr>
          <w:p w14:paraId="38AE7577" w14:textId="0143A6CB"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7DD16BF" w14:textId="1B625E2A" w:rsidR="00897293" w:rsidRPr="00CC6553" w:rsidRDefault="00897293" w:rsidP="00B234F1">
            <w:pPr>
              <w:rPr>
                <w:rFonts w:cs="Arial"/>
                <w:bCs/>
                <w:iCs/>
                <w:color w:val="000000" w:themeColor="text1"/>
                <w:sz w:val="20"/>
              </w:rPr>
            </w:pPr>
            <w:r w:rsidRPr="00CC6553">
              <w:rPr>
                <w:rFonts w:cs="Arial"/>
                <w:color w:val="000000" w:themeColor="text1"/>
                <w:sz w:val="20"/>
              </w:rPr>
              <w:t>University Hospital Southampton NHS Foundation Trust</w:t>
            </w:r>
          </w:p>
        </w:tc>
        <w:tc>
          <w:tcPr>
            <w:tcW w:w="279" w:type="pct"/>
          </w:tcPr>
          <w:p w14:paraId="17BE5FED" w14:textId="27C32F60"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7D72C5F6" w14:textId="05FD4B1C"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3721576B" w14:textId="6137291B" w:rsidR="00897293" w:rsidRPr="00CC6553" w:rsidRDefault="00897293" w:rsidP="00B234F1">
            <w:pPr>
              <w:rPr>
                <w:rFonts w:cs="Arial"/>
                <w:color w:val="000000" w:themeColor="text1"/>
                <w:sz w:val="20"/>
              </w:rPr>
            </w:pPr>
            <w:r w:rsidRPr="00CC6553">
              <w:rPr>
                <w:rFonts w:cs="Arial"/>
                <w:color w:val="000000" w:themeColor="text1"/>
                <w:sz w:val="20"/>
              </w:rPr>
              <w:t>015 – 017</w:t>
            </w:r>
          </w:p>
        </w:tc>
        <w:tc>
          <w:tcPr>
            <w:tcW w:w="1521" w:type="pct"/>
          </w:tcPr>
          <w:p w14:paraId="152370D3" w14:textId="4429EBBD" w:rsidR="00897293" w:rsidRPr="00CC6553" w:rsidRDefault="00897293" w:rsidP="00B234F1">
            <w:pPr>
              <w:rPr>
                <w:rFonts w:cs="Arial"/>
                <w:color w:val="000000" w:themeColor="text1"/>
                <w:sz w:val="20"/>
              </w:rPr>
            </w:pPr>
            <w:r w:rsidRPr="00CC6553">
              <w:rPr>
                <w:rFonts w:cs="Arial"/>
                <w:color w:val="000000" w:themeColor="text1"/>
                <w:sz w:val="20"/>
              </w:rPr>
              <w:t>We believe that this recommendation will be challenging to implement in practice and would recommend consideration of review and alteration of the wording here. We agree that ARNI should be available for prescription in primary care on the recommendation of a heart failure specialist, without necessarily requiring an appointment for review. In relation to SGLT2i, we believe that prescription of these agents for clinical heart failure should not require specific, specialist heart failure advice and should form part of routine practice – as expressed with the guideline for HFrEF and implied for HfmrEF/ HFpEF</w:t>
            </w:r>
          </w:p>
        </w:tc>
        <w:tc>
          <w:tcPr>
            <w:tcW w:w="2122" w:type="pct"/>
          </w:tcPr>
          <w:p w14:paraId="4DCFE9AC" w14:textId="77777777"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Thank you for your comment.  The committee has removed the requirement for GPs to seek advice from </w:t>
            </w:r>
            <w:r w:rsidRPr="00CC6553">
              <w:rPr>
                <w:b w:val="0"/>
                <w:color w:val="000000" w:themeColor="text1"/>
                <w:sz w:val="20"/>
              </w:rPr>
              <w:t xml:space="preserve">a </w:t>
            </w:r>
            <w:r w:rsidRPr="00CC6553">
              <w:rPr>
                <w:rFonts w:cs="Arial"/>
                <w:b w:val="0"/>
                <w:color w:val="000000" w:themeColor="text1"/>
                <w:sz w:val="20"/>
              </w:rPr>
              <w:t>heart failure specialist before prescribing a SGLT2 inhibitor.</w:t>
            </w:r>
          </w:p>
          <w:p w14:paraId="0BAC1709" w14:textId="77777777" w:rsidR="00897293" w:rsidRPr="00CC6553" w:rsidRDefault="00897293" w:rsidP="00B234F1">
            <w:pPr>
              <w:pStyle w:val="Heading1"/>
              <w:rPr>
                <w:rFonts w:cs="Arial"/>
                <w:b w:val="0"/>
                <w:color w:val="000000" w:themeColor="text1"/>
                <w:sz w:val="20"/>
              </w:rPr>
            </w:pPr>
          </w:p>
        </w:tc>
      </w:tr>
      <w:tr w:rsidR="00897293" w:rsidRPr="00CC6553" w14:paraId="7447AC55" w14:textId="77777777" w:rsidTr="00897293">
        <w:trPr>
          <w:trHeight w:val="300"/>
        </w:trPr>
        <w:tc>
          <w:tcPr>
            <w:tcW w:w="109" w:type="pct"/>
          </w:tcPr>
          <w:p w14:paraId="67D0FD47" w14:textId="77777777" w:rsidR="00897293" w:rsidRPr="00CC6553" w:rsidRDefault="00897293" w:rsidP="00B234F1">
            <w:pPr>
              <w:rPr>
                <w:rFonts w:cs="Arial"/>
                <w:color w:val="000000" w:themeColor="text1"/>
                <w:sz w:val="20"/>
              </w:rPr>
            </w:pPr>
            <w:r w:rsidRPr="00CC6553">
              <w:rPr>
                <w:rFonts w:cs="Arial"/>
                <w:color w:val="000000" w:themeColor="text1"/>
                <w:sz w:val="20"/>
              </w:rPr>
              <w:t>219</w:t>
            </w:r>
          </w:p>
        </w:tc>
        <w:tc>
          <w:tcPr>
            <w:tcW w:w="143" w:type="pct"/>
          </w:tcPr>
          <w:p w14:paraId="579176D1" w14:textId="17667DAB"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02880A98" w14:textId="51EFD6F9"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380B1474" w14:textId="7916DDBA"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1C1C7891" w14:textId="7D452F83"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0B4A15AA" w14:textId="623CBA09" w:rsidR="00897293" w:rsidRPr="00CC6553" w:rsidRDefault="00897293" w:rsidP="00B234F1">
            <w:pPr>
              <w:rPr>
                <w:rFonts w:cs="Arial"/>
                <w:color w:val="000000" w:themeColor="text1"/>
                <w:sz w:val="20"/>
              </w:rPr>
            </w:pPr>
            <w:r w:rsidRPr="00CC6553">
              <w:rPr>
                <w:rFonts w:cs="Arial"/>
                <w:color w:val="000000" w:themeColor="text1"/>
                <w:sz w:val="20"/>
              </w:rPr>
              <w:t>018</w:t>
            </w:r>
          </w:p>
        </w:tc>
        <w:tc>
          <w:tcPr>
            <w:tcW w:w="1521" w:type="pct"/>
          </w:tcPr>
          <w:p w14:paraId="342DDD12" w14:textId="4EB9D871" w:rsidR="00897293" w:rsidRPr="00CC6553" w:rsidRDefault="00897293" w:rsidP="00B234F1">
            <w:pPr>
              <w:rPr>
                <w:rFonts w:cs="Arial"/>
                <w:color w:val="000000" w:themeColor="text1"/>
                <w:sz w:val="20"/>
              </w:rPr>
            </w:pPr>
            <w:r w:rsidRPr="00CC6553">
              <w:rPr>
                <w:rFonts w:cs="Arial"/>
                <w:color w:val="000000" w:themeColor="text1"/>
                <w:sz w:val="20"/>
              </w:rPr>
              <w:t xml:space="preserve">1.75 – GPs are not the only healthcare professionals in primary care who may manage people with HF – thinking of the ARRS roles – nurses and pharmacists will likely manage people with HF in a primary care setting – suggest changing this to “Prescribers in primary care” also – many localities will have formularies and guidelines available on formulary website describing prescribing protocols – given </w:t>
            </w:r>
            <w:r w:rsidRPr="00CC6553">
              <w:rPr>
                <w:rFonts w:cs="Arial"/>
                <w:color w:val="000000" w:themeColor="text1"/>
                <w:sz w:val="20"/>
              </w:rPr>
              <w:lastRenderedPageBreak/>
              <w:t>limited capacity within HF teams – I’d suggest removing the need to seek advice from a specialist and replace with “prescribing in line with local protocols and seeking advice if there is uncertainty regarding management”</w:t>
            </w:r>
          </w:p>
        </w:tc>
        <w:tc>
          <w:tcPr>
            <w:tcW w:w="2122" w:type="pct"/>
          </w:tcPr>
          <w:p w14:paraId="5E86CBDC" w14:textId="09D95537"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lastRenderedPageBreak/>
              <w:t>Thank you for your comment.  The committee has removed the requirement for GPs to seek advice from a heart failure specialist before prescribing a SGLT2 inhibitor.</w:t>
            </w:r>
          </w:p>
        </w:tc>
      </w:tr>
      <w:tr w:rsidR="00897293" w:rsidRPr="00CC6553" w14:paraId="4AD2F142" w14:textId="77777777" w:rsidTr="00897293">
        <w:trPr>
          <w:trHeight w:val="300"/>
        </w:trPr>
        <w:tc>
          <w:tcPr>
            <w:tcW w:w="109" w:type="pct"/>
          </w:tcPr>
          <w:p w14:paraId="7CAB2AEB" w14:textId="77777777" w:rsidR="00897293" w:rsidRPr="00CC6553" w:rsidRDefault="00897293" w:rsidP="00B234F1">
            <w:pPr>
              <w:rPr>
                <w:rFonts w:cs="Arial"/>
                <w:color w:val="000000" w:themeColor="text1"/>
                <w:sz w:val="20"/>
              </w:rPr>
            </w:pPr>
            <w:r w:rsidRPr="00CC6553">
              <w:rPr>
                <w:rFonts w:cs="Arial"/>
                <w:color w:val="000000" w:themeColor="text1"/>
                <w:sz w:val="20"/>
              </w:rPr>
              <w:t>220</w:t>
            </w:r>
          </w:p>
        </w:tc>
        <w:tc>
          <w:tcPr>
            <w:tcW w:w="143" w:type="pct"/>
          </w:tcPr>
          <w:p w14:paraId="4D9A64E5" w14:textId="4AB1337A"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371D71D8" w14:textId="0B10B3A7" w:rsidR="00897293" w:rsidRPr="00CC6553" w:rsidRDefault="00897293" w:rsidP="00B234F1">
            <w:pPr>
              <w:rPr>
                <w:rFonts w:cs="Arial"/>
                <w:bCs/>
                <w:iCs/>
                <w:color w:val="000000" w:themeColor="text1"/>
                <w:sz w:val="20"/>
              </w:rPr>
            </w:pPr>
            <w:r w:rsidRPr="00CC6553">
              <w:rPr>
                <w:rFonts w:cs="Arial"/>
                <w:color w:val="000000" w:themeColor="text1"/>
                <w:sz w:val="20"/>
              </w:rPr>
              <w:t>Health Innovation Network</w:t>
            </w:r>
          </w:p>
        </w:tc>
        <w:tc>
          <w:tcPr>
            <w:tcW w:w="279" w:type="pct"/>
          </w:tcPr>
          <w:p w14:paraId="7FA53E56" w14:textId="1AC8C977"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01556567" w14:textId="23E58BC3"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441FD325" w14:textId="382F6DCA" w:rsidR="00897293" w:rsidRPr="00CC6553" w:rsidRDefault="00897293" w:rsidP="00B234F1">
            <w:pPr>
              <w:rPr>
                <w:rFonts w:cs="Arial"/>
                <w:color w:val="000000" w:themeColor="text1"/>
                <w:sz w:val="20"/>
              </w:rPr>
            </w:pPr>
            <w:r w:rsidRPr="00CC6553">
              <w:rPr>
                <w:rFonts w:cs="Arial"/>
                <w:color w:val="000000" w:themeColor="text1"/>
                <w:sz w:val="20"/>
              </w:rPr>
              <w:t>018</w:t>
            </w:r>
          </w:p>
        </w:tc>
        <w:tc>
          <w:tcPr>
            <w:tcW w:w="1521" w:type="pct"/>
          </w:tcPr>
          <w:p w14:paraId="13F40B29" w14:textId="0E93AFD5" w:rsidR="00897293" w:rsidRPr="00CC6553" w:rsidRDefault="00897293" w:rsidP="00B234F1">
            <w:pPr>
              <w:rPr>
                <w:rFonts w:cs="Arial"/>
                <w:color w:val="000000" w:themeColor="text1"/>
                <w:sz w:val="20"/>
              </w:rPr>
            </w:pPr>
            <w:r w:rsidRPr="00CC6553">
              <w:rPr>
                <w:rFonts w:cs="Arial"/>
                <w:color w:val="000000" w:themeColor="text1"/>
                <w:sz w:val="20"/>
              </w:rPr>
              <w:t>1.7.7. At this stage treatment is optimised but primary care are not funded to undertake 3 monthly blood tests. Many ICBs do not have LCSs to cover this work.</w:t>
            </w:r>
          </w:p>
        </w:tc>
        <w:tc>
          <w:tcPr>
            <w:tcW w:w="2122" w:type="pct"/>
          </w:tcPr>
          <w:p w14:paraId="145CE53C" w14:textId="29116880" w:rsidR="00897293" w:rsidRPr="00CC6553" w:rsidRDefault="00897293" w:rsidP="21434BE0">
            <w:pPr>
              <w:pStyle w:val="Heading1"/>
              <w:rPr>
                <w:rFonts w:cs="Arial"/>
                <w:b w:val="0"/>
                <w:bCs w:val="0"/>
                <w:color w:val="000000" w:themeColor="text1"/>
                <w:sz w:val="20"/>
              </w:rPr>
            </w:pPr>
            <w:r w:rsidRPr="00CC6553">
              <w:rPr>
                <w:rFonts w:cs="Arial"/>
                <w:b w:val="0"/>
                <w:bCs w:val="0"/>
                <w:color w:val="000000" w:themeColor="text1"/>
                <w:sz w:val="20"/>
              </w:rPr>
              <w:t>Thank you for your comment.  3 months was specified in the 2018 update.  We will pass your comment on to the NICE system implementation team.</w:t>
            </w:r>
          </w:p>
        </w:tc>
      </w:tr>
      <w:tr w:rsidR="00897293" w:rsidRPr="00CC6553" w14:paraId="74AA1FEF" w14:textId="77777777" w:rsidTr="00897293">
        <w:trPr>
          <w:trHeight w:val="300"/>
        </w:trPr>
        <w:tc>
          <w:tcPr>
            <w:tcW w:w="109" w:type="pct"/>
          </w:tcPr>
          <w:p w14:paraId="197E4F3D" w14:textId="77777777" w:rsidR="00897293" w:rsidRPr="00CC6553" w:rsidRDefault="00897293" w:rsidP="00B234F1">
            <w:pPr>
              <w:rPr>
                <w:rFonts w:cs="Arial"/>
                <w:color w:val="000000" w:themeColor="text1"/>
                <w:sz w:val="20"/>
              </w:rPr>
            </w:pPr>
            <w:r w:rsidRPr="00CC6553">
              <w:rPr>
                <w:rFonts w:cs="Arial"/>
                <w:color w:val="000000" w:themeColor="text1"/>
                <w:sz w:val="20"/>
              </w:rPr>
              <w:t>221</w:t>
            </w:r>
          </w:p>
        </w:tc>
        <w:tc>
          <w:tcPr>
            <w:tcW w:w="143" w:type="pct"/>
          </w:tcPr>
          <w:p w14:paraId="1DB29DF8" w14:textId="52CD42DD"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862FF85" w14:textId="278AF2E0" w:rsidR="00897293" w:rsidRPr="00CC6553" w:rsidRDefault="00897293" w:rsidP="00B234F1">
            <w:pPr>
              <w:rPr>
                <w:rFonts w:cs="Arial"/>
                <w:bCs/>
                <w:iCs/>
                <w:color w:val="000000" w:themeColor="text1"/>
                <w:sz w:val="20"/>
              </w:rPr>
            </w:pPr>
            <w:r w:rsidRPr="00CC6553">
              <w:rPr>
                <w:rFonts w:cs="Arial"/>
                <w:color w:val="000000" w:themeColor="text1"/>
                <w:sz w:val="20"/>
              </w:rPr>
              <w:t>AstraZeneca UK Ltd</w:t>
            </w:r>
          </w:p>
        </w:tc>
        <w:tc>
          <w:tcPr>
            <w:tcW w:w="279" w:type="pct"/>
          </w:tcPr>
          <w:p w14:paraId="38F175A5" w14:textId="18944602"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223B1D1A" w14:textId="0B4E6AE9"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50D81FF9" w14:textId="5A681840" w:rsidR="00897293" w:rsidRPr="00CC6553" w:rsidRDefault="00897293" w:rsidP="00B234F1">
            <w:pPr>
              <w:rPr>
                <w:rFonts w:cs="Arial"/>
                <w:color w:val="000000" w:themeColor="text1"/>
                <w:sz w:val="20"/>
              </w:rPr>
            </w:pPr>
            <w:r w:rsidRPr="00CC6553">
              <w:rPr>
                <w:rFonts w:cs="Arial"/>
                <w:color w:val="000000" w:themeColor="text1"/>
                <w:sz w:val="20"/>
              </w:rPr>
              <w:t>018</w:t>
            </w:r>
          </w:p>
        </w:tc>
        <w:tc>
          <w:tcPr>
            <w:tcW w:w="1521" w:type="pct"/>
          </w:tcPr>
          <w:p w14:paraId="0E4F6FC6" w14:textId="66774483" w:rsidR="00897293" w:rsidRPr="00CC6553" w:rsidRDefault="00897293" w:rsidP="00B234F1">
            <w:pPr>
              <w:rPr>
                <w:rFonts w:cs="Arial"/>
                <w:color w:val="000000" w:themeColor="text1"/>
                <w:sz w:val="20"/>
              </w:rPr>
            </w:pPr>
            <w:r w:rsidRPr="00CC6553">
              <w:rPr>
                <w:rFonts w:cs="Arial"/>
                <w:color w:val="000000" w:themeColor="text1"/>
                <w:sz w:val="20"/>
              </w:rPr>
              <w:t>Recommendation 1.7.5, NICE suggests clinicians ‘Monitor the response to increases in medicine doses closely in people who have heart failure with chronic kidney disease, taking into account the increased risk of hyperkalaemia.’</w:t>
            </w:r>
            <w:r w:rsidRPr="00CC6553">
              <w:rPr>
                <w:rFonts w:cs="Arial"/>
                <w:color w:val="000000" w:themeColor="text1"/>
                <w:sz w:val="20"/>
              </w:rPr>
              <w:br/>
            </w:r>
            <w:r w:rsidRPr="00CC6553">
              <w:rPr>
                <w:rFonts w:cs="Arial"/>
                <w:color w:val="000000" w:themeColor="text1"/>
                <w:sz w:val="20"/>
              </w:rPr>
              <w:br/>
              <w:t>AstraZeneca agree there is an increased risk of hyperkalaemia when adding an MRA and that hyperkalaemia is a greater risk if a patient also has chronic kidney disease. Because the recommended medicines provide both cardiac and renal benefits, it is especially important to maximise the use of these medicines in this population. In line with our further comments, AstraZeneca recommend that NICE highlight that the clinically important benefits of optimising the guideline recommended therapies outweigh the increased risk of hyperkalaemia.</w:t>
            </w:r>
            <w:r w:rsidRPr="00CC6553">
              <w:rPr>
                <w:rFonts w:cs="Arial"/>
                <w:color w:val="000000" w:themeColor="text1"/>
                <w:sz w:val="20"/>
              </w:rPr>
              <w:br/>
            </w:r>
            <w:r w:rsidRPr="00CC6553">
              <w:rPr>
                <w:rFonts w:cs="Arial"/>
                <w:color w:val="000000" w:themeColor="text1"/>
                <w:sz w:val="20"/>
              </w:rPr>
              <w:br/>
              <w:t>AstraZeneca note that existing positive NICE guidance for selective potassium binders includes those with chronic kidney disease. In line with our comments AstraZeneca recommend the draft guideline incorporate the existing NICE guidance of potassium binders for the treatment of hyperkalaemia in heart failure and chronic kidney disease patients, sodium zirconium cyclosilicate (TA599, 2022) CITATION NIC22 \l 2057  [17] and patiromer (TA623, 2020) CITATION NIC20 \l 2057  [18].</w:t>
            </w:r>
          </w:p>
        </w:tc>
        <w:tc>
          <w:tcPr>
            <w:tcW w:w="2122" w:type="pct"/>
          </w:tcPr>
          <w:p w14:paraId="187FAA04" w14:textId="2A674031"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committee has removed this recommendation because it is covered in section 1.6.  The committee now recommended that lower starting doses and smaller dose increments are considered to make it clearer that they should still be optimised.  The committee have added a cross reference to TA 599 and TA 623 in section 1.7.</w:t>
            </w:r>
          </w:p>
        </w:tc>
      </w:tr>
      <w:tr w:rsidR="00897293" w:rsidRPr="00CC6553" w14:paraId="09B4EBBB" w14:textId="77777777" w:rsidTr="00897293">
        <w:trPr>
          <w:trHeight w:val="300"/>
        </w:trPr>
        <w:tc>
          <w:tcPr>
            <w:tcW w:w="109" w:type="pct"/>
          </w:tcPr>
          <w:p w14:paraId="3D9814C7" w14:textId="77777777" w:rsidR="00897293" w:rsidRPr="00CC6553" w:rsidRDefault="00897293" w:rsidP="00B234F1">
            <w:pPr>
              <w:rPr>
                <w:rFonts w:cs="Arial"/>
                <w:color w:val="000000" w:themeColor="text1"/>
                <w:sz w:val="20"/>
              </w:rPr>
            </w:pPr>
            <w:r w:rsidRPr="00CC6553">
              <w:rPr>
                <w:rFonts w:cs="Arial"/>
                <w:color w:val="000000" w:themeColor="text1"/>
                <w:sz w:val="20"/>
              </w:rPr>
              <w:t>222</w:t>
            </w:r>
          </w:p>
        </w:tc>
        <w:tc>
          <w:tcPr>
            <w:tcW w:w="143" w:type="pct"/>
          </w:tcPr>
          <w:p w14:paraId="0E61E100" w14:textId="088C39B3"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5C017425" w14:textId="068E2EEB"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3ED1A3A8" w14:textId="17AAAB44"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0B80334F" w14:textId="09790488" w:rsidR="00897293" w:rsidRPr="00CC6553" w:rsidRDefault="00897293" w:rsidP="00B234F1">
            <w:pPr>
              <w:rPr>
                <w:rFonts w:cs="Arial"/>
                <w:color w:val="000000" w:themeColor="text1"/>
                <w:sz w:val="20"/>
              </w:rPr>
            </w:pPr>
            <w:r w:rsidRPr="00CC6553">
              <w:rPr>
                <w:rFonts w:cs="Arial"/>
                <w:color w:val="000000" w:themeColor="text1"/>
                <w:sz w:val="20"/>
              </w:rPr>
              <w:t>015 &amp; 016</w:t>
            </w:r>
          </w:p>
        </w:tc>
        <w:tc>
          <w:tcPr>
            <w:tcW w:w="214" w:type="pct"/>
          </w:tcPr>
          <w:p w14:paraId="503D17EB" w14:textId="02AF8B0F" w:rsidR="00897293" w:rsidRPr="00CC6553" w:rsidRDefault="00897293" w:rsidP="00B234F1">
            <w:pPr>
              <w:rPr>
                <w:rFonts w:cs="Arial"/>
                <w:color w:val="000000" w:themeColor="text1"/>
                <w:sz w:val="20"/>
              </w:rPr>
            </w:pPr>
            <w:r w:rsidRPr="00CC6553">
              <w:rPr>
                <w:rFonts w:cs="Arial"/>
                <w:color w:val="000000" w:themeColor="text1"/>
                <w:sz w:val="20"/>
              </w:rPr>
              <w:t>006 &amp; 016</w:t>
            </w:r>
          </w:p>
        </w:tc>
        <w:tc>
          <w:tcPr>
            <w:tcW w:w="1521" w:type="pct"/>
          </w:tcPr>
          <w:p w14:paraId="52CB7161" w14:textId="17457CAB" w:rsidR="00897293" w:rsidRPr="00CC6553" w:rsidRDefault="00897293" w:rsidP="00B234F1">
            <w:pPr>
              <w:rPr>
                <w:rFonts w:cs="Arial"/>
                <w:color w:val="000000" w:themeColor="text1"/>
                <w:sz w:val="20"/>
              </w:rPr>
            </w:pPr>
            <w:r w:rsidRPr="00CC6553">
              <w:rPr>
                <w:rFonts w:cs="Arial"/>
                <w:color w:val="000000" w:themeColor="text1"/>
                <w:sz w:val="20"/>
              </w:rPr>
              <w:br/>
              <w:t>Frailty, EOL and postural drop assessment need to be specifically mentioned</w:t>
            </w:r>
          </w:p>
        </w:tc>
        <w:tc>
          <w:tcPr>
            <w:tcW w:w="2122" w:type="pct"/>
          </w:tcPr>
          <w:p w14:paraId="61C97C5D" w14:textId="0523E619"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Thank you for your comment.  The committee has edited the recommendation in section 1.7 to include frailty.  This section also includes a recommendation on </w:t>
            </w:r>
            <w:r w:rsidRPr="00CC6553">
              <w:rPr>
                <w:rFonts w:cs="Arial"/>
                <w:b w:val="0"/>
                <w:color w:val="000000" w:themeColor="text1"/>
                <w:sz w:val="20"/>
              </w:rPr>
              <w:lastRenderedPageBreak/>
              <w:t>measuring blood pressure and to consider the risk of postural hypotension.  Palliative care is covered in section 1.12</w:t>
            </w:r>
          </w:p>
        </w:tc>
      </w:tr>
      <w:tr w:rsidR="00897293" w:rsidRPr="00CC6553" w14:paraId="25B69440" w14:textId="77777777" w:rsidTr="00897293">
        <w:trPr>
          <w:trHeight w:val="300"/>
        </w:trPr>
        <w:tc>
          <w:tcPr>
            <w:tcW w:w="109" w:type="pct"/>
          </w:tcPr>
          <w:p w14:paraId="7CC426A4"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223</w:t>
            </w:r>
          </w:p>
        </w:tc>
        <w:tc>
          <w:tcPr>
            <w:tcW w:w="143" w:type="pct"/>
          </w:tcPr>
          <w:p w14:paraId="0C0B6D3F" w14:textId="124DDF27"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2D6AD38B" w14:textId="5076A4E6" w:rsidR="00897293" w:rsidRPr="00CC6553" w:rsidRDefault="00897293" w:rsidP="00B234F1">
            <w:pPr>
              <w:rPr>
                <w:rFonts w:cs="Arial"/>
                <w:bCs/>
                <w:iCs/>
                <w:color w:val="000000" w:themeColor="text1"/>
                <w:sz w:val="20"/>
              </w:rPr>
            </w:pPr>
            <w:r w:rsidRPr="00CC6553">
              <w:rPr>
                <w:rFonts w:cs="Arial"/>
                <w:color w:val="000000" w:themeColor="text1"/>
                <w:sz w:val="20"/>
              </w:rPr>
              <w:t>Teva UK</w:t>
            </w:r>
          </w:p>
        </w:tc>
        <w:tc>
          <w:tcPr>
            <w:tcW w:w="279" w:type="pct"/>
          </w:tcPr>
          <w:p w14:paraId="7642442C" w14:textId="72A0DB33"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673E5387" w14:textId="200636F4" w:rsidR="00897293" w:rsidRPr="00CC6553" w:rsidRDefault="00897293" w:rsidP="00B234F1">
            <w:pPr>
              <w:rPr>
                <w:rFonts w:cs="Arial"/>
                <w:color w:val="000000" w:themeColor="text1"/>
                <w:sz w:val="20"/>
              </w:rPr>
            </w:pPr>
            <w:r w:rsidRPr="00CC6553">
              <w:rPr>
                <w:rFonts w:cs="Arial"/>
                <w:color w:val="000000" w:themeColor="text1"/>
                <w:sz w:val="20"/>
              </w:rPr>
              <w:t xml:space="preserve">015 &amp; </w:t>
            </w:r>
            <w:r w:rsidRPr="00CC6553">
              <w:rPr>
                <w:rFonts w:cs="Arial"/>
                <w:color w:val="000000" w:themeColor="text1"/>
                <w:sz w:val="20"/>
              </w:rPr>
              <w:br/>
              <w:t>029</w:t>
            </w:r>
          </w:p>
        </w:tc>
        <w:tc>
          <w:tcPr>
            <w:tcW w:w="214" w:type="pct"/>
          </w:tcPr>
          <w:p w14:paraId="5D175282" w14:textId="2976F932" w:rsidR="00897293" w:rsidRPr="00CC6553" w:rsidRDefault="00897293" w:rsidP="00B234F1">
            <w:pPr>
              <w:rPr>
                <w:rFonts w:cs="Arial"/>
                <w:color w:val="000000" w:themeColor="text1"/>
                <w:sz w:val="20"/>
              </w:rPr>
            </w:pPr>
            <w:r w:rsidRPr="00CC6553">
              <w:rPr>
                <w:rFonts w:cs="Arial"/>
                <w:color w:val="000000" w:themeColor="text1"/>
                <w:sz w:val="20"/>
              </w:rPr>
              <w:t>015,</w:t>
            </w:r>
            <w:r w:rsidRPr="00CC6553">
              <w:rPr>
                <w:rFonts w:cs="Arial"/>
                <w:color w:val="000000" w:themeColor="text1"/>
                <w:sz w:val="20"/>
              </w:rPr>
              <w:br/>
              <w:t>024 - 026</w:t>
            </w:r>
          </w:p>
        </w:tc>
        <w:tc>
          <w:tcPr>
            <w:tcW w:w="1521" w:type="pct"/>
          </w:tcPr>
          <w:p w14:paraId="62C537B7" w14:textId="5442C2BD" w:rsidR="00897293" w:rsidRPr="00CC6553" w:rsidRDefault="00897293" w:rsidP="00B234F1">
            <w:pPr>
              <w:rPr>
                <w:rFonts w:cs="Arial"/>
                <w:color w:val="000000" w:themeColor="text1"/>
                <w:sz w:val="20"/>
              </w:rPr>
            </w:pPr>
            <w:r w:rsidRPr="00CC6553">
              <w:rPr>
                <w:rFonts w:cs="Arial"/>
                <w:color w:val="000000" w:themeColor="text1"/>
                <w:sz w:val="20"/>
              </w:rPr>
              <w:t xml:space="preserve">We support GPs being able to prescribe SGLT2 inhibitors and ARNIs on the advice of a heart failure specialist to avoid unnecessary delays to treatment. The approach aligns with the shifting of care to community but should be supported by clear and robust processes to ensure GPs can access timely advice. Standardised, accessible pathways and communication channels will support consistent care across systems and geographies.  </w:t>
            </w:r>
            <w:r w:rsidRPr="00CC6553">
              <w:rPr>
                <w:rFonts w:cs="Arial"/>
                <w:color w:val="000000" w:themeColor="text1"/>
                <w:sz w:val="20"/>
              </w:rPr>
              <w:br/>
              <w:t>However, we wish to better understand the blanket requirement for specialist advice before SGLT2 inhibitor initiation given this is to become a standard first line treatment option, particularly in HFrEF. Previous NICE TAG recommendations for use in HFrEF (TA679) were based on SGLT2 inhibitors being an add-on to optimised standard of care, thus requiring specialist input, which now seems outdated in respect of the proposed guidance and their widespread use in HFrEF currently (as well as GP-initiation for type 2 diabetes). We wish to query the rationale and any updated consensus from clinical experts (heart failure specialists &amp; GPs) on the current 1.7.4 proposal. In respect of HFmrEF and HFpEF, which may still be less familiar heart failure diagnoses for GPs (as per NICE TA902), specialist advice may likely be required for newly diagnosed patients prior to SGLT2 inhibitor initiation, whereas those with established diagnosis may pose a situation in which GP initiation may not necessarily require this. We would suggest review of scenarios in which specialist advice is required versus not necessary (particularly in newly diagnosed compared to pre-existing heart failure) and the clinical rationale, given advice from a specialist may delay access to treatment and contribute to health inequalities and resource constraints in different regions.</w:t>
            </w:r>
          </w:p>
        </w:tc>
        <w:tc>
          <w:tcPr>
            <w:tcW w:w="2122" w:type="pct"/>
          </w:tcPr>
          <w:p w14:paraId="4D3EED60" w14:textId="34018ED9" w:rsidR="00897293" w:rsidRPr="00CC6553" w:rsidRDefault="00897293" w:rsidP="74BDFD37">
            <w:pPr>
              <w:pStyle w:val="Heading1"/>
              <w:rPr>
                <w:rFonts w:cs="Arial"/>
                <w:b w:val="0"/>
                <w:bCs w:val="0"/>
                <w:color w:val="000000" w:themeColor="text1"/>
                <w:sz w:val="20"/>
              </w:rPr>
            </w:pPr>
            <w:r w:rsidRPr="00CC6553">
              <w:rPr>
                <w:b w:val="0"/>
                <w:bCs w:val="0"/>
                <w:color w:val="000000" w:themeColor="text1"/>
                <w:sz w:val="20"/>
              </w:rPr>
              <w:t xml:space="preserve">Thank you for your comment.  The committee has removed the requirement for GPs to seek advice from a heart failure specialist before prescribing a SGLT2 inhibitor.  </w:t>
            </w:r>
            <w:r w:rsidRPr="00CC6553">
              <w:rPr>
                <w:rFonts w:cs="Arial"/>
                <w:b w:val="0"/>
                <w:bCs w:val="0"/>
                <w:color w:val="000000" w:themeColor="text1"/>
                <w:sz w:val="20"/>
              </w:rPr>
              <w:t>The committee now recommend that primary care prescribers consider seeking advice from a heart failure specialist before starting an ARNI.</w:t>
            </w:r>
          </w:p>
          <w:p w14:paraId="42F7564D" w14:textId="77777777" w:rsidR="00897293" w:rsidRPr="00CC6553" w:rsidRDefault="00897293" w:rsidP="00B234F1">
            <w:pPr>
              <w:pStyle w:val="Heading1"/>
              <w:rPr>
                <w:rFonts w:cs="Arial"/>
                <w:b w:val="0"/>
                <w:color w:val="000000" w:themeColor="text1"/>
                <w:sz w:val="20"/>
              </w:rPr>
            </w:pPr>
          </w:p>
        </w:tc>
      </w:tr>
      <w:tr w:rsidR="00897293" w:rsidRPr="00CC6553" w14:paraId="4FA08160" w14:textId="77777777" w:rsidTr="00897293">
        <w:trPr>
          <w:trHeight w:val="300"/>
        </w:trPr>
        <w:tc>
          <w:tcPr>
            <w:tcW w:w="109" w:type="pct"/>
          </w:tcPr>
          <w:p w14:paraId="686231A4" w14:textId="77777777" w:rsidR="00897293" w:rsidRPr="00CC6553" w:rsidRDefault="00897293" w:rsidP="00B234F1">
            <w:pPr>
              <w:rPr>
                <w:rFonts w:cs="Arial"/>
                <w:color w:val="000000" w:themeColor="text1"/>
                <w:sz w:val="20"/>
              </w:rPr>
            </w:pPr>
            <w:r w:rsidRPr="00CC6553">
              <w:rPr>
                <w:rFonts w:cs="Arial"/>
                <w:color w:val="000000" w:themeColor="text1"/>
                <w:sz w:val="20"/>
              </w:rPr>
              <w:t>224</w:t>
            </w:r>
          </w:p>
        </w:tc>
        <w:tc>
          <w:tcPr>
            <w:tcW w:w="143" w:type="pct"/>
          </w:tcPr>
          <w:p w14:paraId="1A174AFB" w14:textId="2035A2C1"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0AA42FF7" w14:textId="44B194A3"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57D0D3B9" w14:textId="6BA018D7"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01573481" w14:textId="5FCC58C7"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0985F99B" w14:textId="46B4ACE6"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73C56063" w14:textId="1C59C800" w:rsidR="00897293" w:rsidRPr="00CC6553" w:rsidRDefault="00897293" w:rsidP="00B234F1">
            <w:pPr>
              <w:rPr>
                <w:rFonts w:cs="Arial"/>
                <w:color w:val="000000" w:themeColor="text1"/>
                <w:sz w:val="20"/>
              </w:rPr>
            </w:pPr>
            <w:r w:rsidRPr="00CC6553">
              <w:rPr>
                <w:rFonts w:cs="Arial"/>
                <w:color w:val="000000" w:themeColor="text1"/>
                <w:sz w:val="20"/>
              </w:rPr>
              <w:t>1.17 - We would like to recommend that reasons for not prescribing, and evidence based drugs and devices or getting to evidence based doses</w:t>
            </w:r>
          </w:p>
        </w:tc>
        <w:tc>
          <w:tcPr>
            <w:tcW w:w="2122" w:type="pct"/>
          </w:tcPr>
          <w:p w14:paraId="760F9A54" w14:textId="455ABD91"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We are sorry but we are unclear what recommendation you are referring to,</w:t>
            </w:r>
          </w:p>
        </w:tc>
      </w:tr>
      <w:tr w:rsidR="00897293" w:rsidRPr="00CC6553" w14:paraId="20CEF5E1" w14:textId="77777777" w:rsidTr="00897293">
        <w:trPr>
          <w:trHeight w:val="300"/>
        </w:trPr>
        <w:tc>
          <w:tcPr>
            <w:tcW w:w="109" w:type="pct"/>
          </w:tcPr>
          <w:p w14:paraId="5B901943"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225</w:t>
            </w:r>
          </w:p>
        </w:tc>
        <w:tc>
          <w:tcPr>
            <w:tcW w:w="143" w:type="pct"/>
          </w:tcPr>
          <w:p w14:paraId="422613EE" w14:textId="3B5A76AD"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49D75D37" w14:textId="18879A0D" w:rsidR="00897293" w:rsidRPr="00CC6553" w:rsidRDefault="00897293" w:rsidP="00B234F1">
            <w:pPr>
              <w:rPr>
                <w:rFonts w:cs="Arial"/>
                <w:bCs/>
                <w:iCs/>
                <w:color w:val="000000" w:themeColor="text1"/>
                <w:sz w:val="20"/>
              </w:rPr>
            </w:pPr>
            <w:r w:rsidRPr="00CC6553">
              <w:rPr>
                <w:rFonts w:cs="Arial"/>
                <w:color w:val="000000" w:themeColor="text1"/>
                <w:sz w:val="20"/>
              </w:rPr>
              <w:t>Royal College of General Practitioners</w:t>
            </w:r>
          </w:p>
        </w:tc>
        <w:tc>
          <w:tcPr>
            <w:tcW w:w="279" w:type="pct"/>
          </w:tcPr>
          <w:p w14:paraId="661FD2F5" w14:textId="252D97FA"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6DECE1E2" w14:textId="612C0E96"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33A295FC" w14:textId="7238763E"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7F60BA30" w14:textId="3D76AE06" w:rsidR="00897293" w:rsidRPr="00CC6553" w:rsidRDefault="00897293" w:rsidP="00B234F1">
            <w:pPr>
              <w:rPr>
                <w:rFonts w:cs="Arial"/>
                <w:color w:val="000000" w:themeColor="text1"/>
                <w:sz w:val="20"/>
              </w:rPr>
            </w:pPr>
            <w:r w:rsidRPr="00CC6553">
              <w:rPr>
                <w:rFonts w:cs="Arial"/>
                <w:color w:val="000000" w:themeColor="text1"/>
                <w:sz w:val="20"/>
              </w:rPr>
              <w:t>We believe the requirement for GPs to seek advice from a heart failure specialist before prescribing an SGLT2 inhibitor may cause unnecessary delays in patient care, particularly where local pathways already enable confident GP prescribing. Local protocols that empower trained GPs to start treatment without specialist input may mitigate this. We recommend rephrasing this to encourage but not mandate specialist advice, or to specify exceptions where GPs with additional heart failure training may prescribe independently.</w:t>
            </w:r>
          </w:p>
        </w:tc>
        <w:tc>
          <w:tcPr>
            <w:tcW w:w="2122" w:type="pct"/>
          </w:tcPr>
          <w:p w14:paraId="53C1B1D8" w14:textId="77777777"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Thank you for your comment.  The committee has removed the requirement for GPs to seek advice from </w:t>
            </w:r>
            <w:r w:rsidRPr="00CC6553">
              <w:rPr>
                <w:b w:val="0"/>
                <w:color w:val="000000" w:themeColor="text1"/>
                <w:sz w:val="20"/>
              </w:rPr>
              <w:t xml:space="preserve">a </w:t>
            </w:r>
            <w:r w:rsidRPr="00CC6553">
              <w:rPr>
                <w:rFonts w:cs="Arial"/>
                <w:b w:val="0"/>
                <w:color w:val="000000" w:themeColor="text1"/>
                <w:sz w:val="20"/>
              </w:rPr>
              <w:t>heart failure specialist before prescribing a SGLT2 inhibitor.</w:t>
            </w:r>
          </w:p>
          <w:p w14:paraId="3CD3B4E1" w14:textId="77777777" w:rsidR="00897293" w:rsidRPr="00CC6553" w:rsidRDefault="00897293" w:rsidP="00B234F1">
            <w:pPr>
              <w:pStyle w:val="Heading1"/>
              <w:rPr>
                <w:rFonts w:cs="Arial"/>
                <w:b w:val="0"/>
                <w:color w:val="000000" w:themeColor="text1"/>
                <w:sz w:val="20"/>
              </w:rPr>
            </w:pPr>
          </w:p>
        </w:tc>
      </w:tr>
      <w:tr w:rsidR="00897293" w:rsidRPr="00CC6553" w14:paraId="54C74FD8" w14:textId="77777777" w:rsidTr="00897293">
        <w:trPr>
          <w:trHeight w:val="300"/>
        </w:trPr>
        <w:tc>
          <w:tcPr>
            <w:tcW w:w="109" w:type="pct"/>
          </w:tcPr>
          <w:p w14:paraId="3EBB7FEC" w14:textId="77777777" w:rsidR="00897293" w:rsidRPr="00CC6553" w:rsidRDefault="00897293" w:rsidP="00B234F1">
            <w:pPr>
              <w:rPr>
                <w:rFonts w:cs="Arial"/>
                <w:color w:val="000000" w:themeColor="text1"/>
                <w:sz w:val="20"/>
              </w:rPr>
            </w:pPr>
            <w:r w:rsidRPr="00CC6553">
              <w:rPr>
                <w:rFonts w:cs="Arial"/>
                <w:color w:val="000000" w:themeColor="text1"/>
                <w:sz w:val="20"/>
              </w:rPr>
              <w:t>226</w:t>
            </w:r>
          </w:p>
        </w:tc>
        <w:tc>
          <w:tcPr>
            <w:tcW w:w="143" w:type="pct"/>
          </w:tcPr>
          <w:p w14:paraId="3A2749A4" w14:textId="26C78F4E"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040E84E" w14:textId="50D16772" w:rsidR="00897293" w:rsidRPr="00CC6553" w:rsidRDefault="00897293" w:rsidP="00B234F1">
            <w:pPr>
              <w:rPr>
                <w:rFonts w:cs="Arial"/>
                <w:bCs/>
                <w:iCs/>
                <w:color w:val="000000" w:themeColor="text1"/>
                <w:sz w:val="20"/>
              </w:rPr>
            </w:pPr>
            <w:r w:rsidRPr="00CC6553">
              <w:rPr>
                <w:rFonts w:cs="Arial"/>
                <w:color w:val="000000" w:themeColor="text1"/>
                <w:sz w:val="20"/>
              </w:rPr>
              <w:t>Pumping Marvellous Foundation</w:t>
            </w:r>
          </w:p>
        </w:tc>
        <w:tc>
          <w:tcPr>
            <w:tcW w:w="279" w:type="pct"/>
          </w:tcPr>
          <w:p w14:paraId="251CB601" w14:textId="0C7A5E87"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597F0AA5" w14:textId="4D8919EA"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214" w:type="pct"/>
          </w:tcPr>
          <w:p w14:paraId="79C84450" w14:textId="1FB3FAAE"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12F1B23E" w14:textId="56A4A26D" w:rsidR="00897293" w:rsidRPr="00CC6553" w:rsidRDefault="00897293" w:rsidP="00B234F1">
            <w:pPr>
              <w:rPr>
                <w:rFonts w:cs="Arial"/>
                <w:color w:val="000000" w:themeColor="text1"/>
                <w:sz w:val="20"/>
              </w:rPr>
            </w:pPr>
            <w:r w:rsidRPr="00CC6553">
              <w:rPr>
                <w:rFonts w:cs="Arial"/>
                <w:color w:val="000000" w:themeColor="text1"/>
                <w:sz w:val="20"/>
              </w:rPr>
              <w:t>1.17 - We would like to recommend that reasons for not prescribing, and evidence based drugs and devices or getting to evidence based doses</w:t>
            </w:r>
          </w:p>
        </w:tc>
        <w:tc>
          <w:tcPr>
            <w:tcW w:w="2122" w:type="pct"/>
          </w:tcPr>
          <w:p w14:paraId="459C2DA8" w14:textId="2A6642CC" w:rsidR="00897293" w:rsidRPr="00CC6553" w:rsidRDefault="00897293" w:rsidP="6763097B">
            <w:pPr>
              <w:pStyle w:val="Heading1"/>
              <w:rPr>
                <w:rFonts w:cs="Arial"/>
                <w:b w:val="0"/>
                <w:bCs w:val="0"/>
                <w:color w:val="000000" w:themeColor="text1"/>
                <w:sz w:val="20"/>
              </w:rPr>
            </w:pPr>
            <w:r w:rsidRPr="6763097B">
              <w:rPr>
                <w:rFonts w:cs="Arial"/>
                <w:b w:val="0"/>
                <w:bCs w:val="0"/>
                <w:color w:val="000000" w:themeColor="text1"/>
                <w:sz w:val="20"/>
              </w:rPr>
              <w:t xml:space="preserve"> Thank you for your comment.  We are sorry but we are unclear what recommendation you are referring to,</w:t>
            </w:r>
          </w:p>
          <w:p w14:paraId="5D4FADB1" w14:textId="6166046F" w:rsidR="00897293" w:rsidRPr="009B3C47" w:rsidRDefault="00897293" w:rsidP="009B3C47">
            <w:pPr>
              <w:rPr>
                <w:b/>
              </w:rPr>
            </w:pPr>
          </w:p>
        </w:tc>
      </w:tr>
      <w:tr w:rsidR="00897293" w:rsidRPr="00CC6553" w14:paraId="2551EF95" w14:textId="77777777" w:rsidTr="00897293">
        <w:trPr>
          <w:trHeight w:val="300"/>
        </w:trPr>
        <w:tc>
          <w:tcPr>
            <w:tcW w:w="109" w:type="pct"/>
          </w:tcPr>
          <w:p w14:paraId="7D4EE490" w14:textId="77777777" w:rsidR="00897293" w:rsidRPr="00CC6553" w:rsidRDefault="00897293" w:rsidP="00B234F1">
            <w:pPr>
              <w:rPr>
                <w:rFonts w:cs="Arial"/>
                <w:color w:val="000000" w:themeColor="text1"/>
                <w:sz w:val="20"/>
              </w:rPr>
            </w:pPr>
            <w:r w:rsidRPr="00CC6553">
              <w:rPr>
                <w:rFonts w:cs="Arial"/>
                <w:color w:val="000000" w:themeColor="text1"/>
                <w:sz w:val="20"/>
              </w:rPr>
              <w:t>227</w:t>
            </w:r>
          </w:p>
        </w:tc>
        <w:tc>
          <w:tcPr>
            <w:tcW w:w="143" w:type="pct"/>
          </w:tcPr>
          <w:p w14:paraId="56A35302" w14:textId="04F818CD"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52B466BE" w14:textId="3CDC24D9"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6DD659E4" w14:textId="647E7165"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53437BFC" w14:textId="61D1245A" w:rsidR="00897293" w:rsidRPr="00CC6553" w:rsidRDefault="00897293" w:rsidP="00B234F1">
            <w:pPr>
              <w:rPr>
                <w:rFonts w:cs="Arial"/>
                <w:color w:val="000000" w:themeColor="text1"/>
                <w:sz w:val="20"/>
              </w:rPr>
            </w:pPr>
            <w:r w:rsidRPr="00CC6553">
              <w:rPr>
                <w:rFonts w:cs="Arial"/>
                <w:color w:val="000000" w:themeColor="text1"/>
                <w:sz w:val="20"/>
              </w:rPr>
              <w:t>016</w:t>
            </w:r>
          </w:p>
        </w:tc>
        <w:tc>
          <w:tcPr>
            <w:tcW w:w="214" w:type="pct"/>
          </w:tcPr>
          <w:p w14:paraId="5EF84BA3" w14:textId="2F6C89C8" w:rsidR="00897293" w:rsidRPr="00CC6553" w:rsidRDefault="00897293" w:rsidP="00B234F1">
            <w:pPr>
              <w:rPr>
                <w:rFonts w:cs="Arial"/>
                <w:color w:val="000000" w:themeColor="text1"/>
                <w:sz w:val="20"/>
              </w:rPr>
            </w:pPr>
            <w:r w:rsidRPr="00CC6553">
              <w:rPr>
                <w:rFonts w:cs="Arial"/>
                <w:color w:val="000000" w:themeColor="text1"/>
                <w:sz w:val="20"/>
              </w:rPr>
              <w:t>001</w:t>
            </w:r>
          </w:p>
        </w:tc>
        <w:tc>
          <w:tcPr>
            <w:tcW w:w="1521" w:type="pct"/>
          </w:tcPr>
          <w:p w14:paraId="767A84ED" w14:textId="0CFEECF5" w:rsidR="00897293" w:rsidRPr="00CC6553" w:rsidRDefault="00897293" w:rsidP="00B234F1">
            <w:pPr>
              <w:rPr>
                <w:rFonts w:cs="Arial"/>
                <w:color w:val="000000" w:themeColor="text1"/>
                <w:sz w:val="20"/>
              </w:rPr>
            </w:pPr>
            <w:r w:rsidRPr="00CC6553">
              <w:rPr>
                <w:rFonts w:cs="Arial"/>
                <w:color w:val="000000" w:themeColor="text1"/>
                <w:sz w:val="20"/>
              </w:rPr>
              <w:t>This section is welcome addition to the guidance.</w:t>
            </w:r>
          </w:p>
        </w:tc>
        <w:tc>
          <w:tcPr>
            <w:tcW w:w="2122" w:type="pct"/>
          </w:tcPr>
          <w:p w14:paraId="554A7AB2" w14:textId="3558A1DA"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w:t>
            </w:r>
          </w:p>
        </w:tc>
      </w:tr>
      <w:tr w:rsidR="00897293" w:rsidRPr="00CC6553" w14:paraId="11FF7D76" w14:textId="77777777" w:rsidTr="00897293">
        <w:trPr>
          <w:trHeight w:val="300"/>
        </w:trPr>
        <w:tc>
          <w:tcPr>
            <w:tcW w:w="109" w:type="pct"/>
          </w:tcPr>
          <w:p w14:paraId="5360F6B4" w14:textId="77777777" w:rsidR="00897293" w:rsidRPr="00CC6553" w:rsidRDefault="00897293" w:rsidP="00B234F1">
            <w:pPr>
              <w:rPr>
                <w:rFonts w:cs="Arial"/>
                <w:color w:val="000000" w:themeColor="text1"/>
                <w:sz w:val="20"/>
              </w:rPr>
            </w:pPr>
            <w:r w:rsidRPr="00CC6553">
              <w:rPr>
                <w:rFonts w:cs="Arial"/>
                <w:color w:val="000000" w:themeColor="text1"/>
                <w:sz w:val="20"/>
              </w:rPr>
              <w:t>228</w:t>
            </w:r>
          </w:p>
        </w:tc>
        <w:tc>
          <w:tcPr>
            <w:tcW w:w="143" w:type="pct"/>
          </w:tcPr>
          <w:p w14:paraId="49E52D7C" w14:textId="6684D3D8"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780EBC92" w14:textId="10BFFCFC" w:rsidR="00897293" w:rsidRPr="00CC6553" w:rsidRDefault="00897293" w:rsidP="00B234F1">
            <w:pPr>
              <w:rPr>
                <w:rFonts w:cs="Arial"/>
                <w:bCs/>
                <w:iCs/>
                <w:color w:val="000000" w:themeColor="text1"/>
                <w:sz w:val="20"/>
              </w:rPr>
            </w:pPr>
            <w:r w:rsidRPr="00CC6553">
              <w:rPr>
                <w:rFonts w:cs="Arial"/>
                <w:color w:val="000000" w:themeColor="text1"/>
                <w:sz w:val="20"/>
              </w:rPr>
              <w:t>UK Clinical Pharmacy Association (UKCPA) – heart failure committee</w:t>
            </w:r>
          </w:p>
        </w:tc>
        <w:tc>
          <w:tcPr>
            <w:tcW w:w="279" w:type="pct"/>
          </w:tcPr>
          <w:p w14:paraId="686514AA" w14:textId="3058F829"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08D69FB1" w14:textId="6035019A" w:rsidR="00897293" w:rsidRPr="00CC6553" w:rsidRDefault="00897293" w:rsidP="00B234F1">
            <w:pPr>
              <w:rPr>
                <w:rFonts w:cs="Arial"/>
                <w:color w:val="000000" w:themeColor="text1"/>
                <w:sz w:val="20"/>
              </w:rPr>
            </w:pPr>
            <w:r w:rsidRPr="00CC6553">
              <w:rPr>
                <w:rFonts w:cs="Arial"/>
                <w:color w:val="000000" w:themeColor="text1"/>
                <w:sz w:val="20"/>
              </w:rPr>
              <w:t>016</w:t>
            </w:r>
          </w:p>
        </w:tc>
        <w:tc>
          <w:tcPr>
            <w:tcW w:w="214" w:type="pct"/>
          </w:tcPr>
          <w:p w14:paraId="2CB90C4A" w14:textId="6C8B6070" w:rsidR="00897293" w:rsidRPr="00CC6553" w:rsidRDefault="00897293" w:rsidP="00B234F1">
            <w:pPr>
              <w:rPr>
                <w:rFonts w:cs="Arial"/>
                <w:color w:val="000000" w:themeColor="text1"/>
                <w:sz w:val="20"/>
              </w:rPr>
            </w:pPr>
            <w:r w:rsidRPr="00CC6553">
              <w:rPr>
                <w:rFonts w:cs="Arial"/>
                <w:color w:val="000000" w:themeColor="text1"/>
                <w:sz w:val="20"/>
              </w:rPr>
              <w:t>002</w:t>
            </w:r>
          </w:p>
        </w:tc>
        <w:tc>
          <w:tcPr>
            <w:tcW w:w="1521" w:type="pct"/>
          </w:tcPr>
          <w:p w14:paraId="52193532" w14:textId="39FF8D51" w:rsidR="00897293" w:rsidRPr="00CC6553" w:rsidRDefault="00897293" w:rsidP="00B234F1">
            <w:pPr>
              <w:rPr>
                <w:rFonts w:cs="Arial"/>
                <w:color w:val="000000" w:themeColor="text1"/>
                <w:sz w:val="20"/>
              </w:rPr>
            </w:pPr>
            <w:r w:rsidRPr="00CC6553">
              <w:rPr>
                <w:rFonts w:cs="Arial"/>
                <w:color w:val="000000" w:themeColor="text1"/>
                <w:sz w:val="20"/>
              </w:rPr>
              <w:t>We support the recommendation</w:t>
            </w:r>
          </w:p>
        </w:tc>
        <w:tc>
          <w:tcPr>
            <w:tcW w:w="2122" w:type="pct"/>
          </w:tcPr>
          <w:p w14:paraId="2C1A8F7D" w14:textId="5445F5B4"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w:t>
            </w:r>
          </w:p>
        </w:tc>
      </w:tr>
      <w:tr w:rsidR="00897293" w:rsidRPr="00CC6553" w14:paraId="4FE6D777" w14:textId="77777777" w:rsidTr="00897293">
        <w:trPr>
          <w:trHeight w:val="300"/>
        </w:trPr>
        <w:tc>
          <w:tcPr>
            <w:tcW w:w="109" w:type="pct"/>
          </w:tcPr>
          <w:p w14:paraId="117CE38C" w14:textId="77777777" w:rsidR="00897293" w:rsidRPr="00CC6553" w:rsidRDefault="00897293" w:rsidP="00B234F1">
            <w:pPr>
              <w:rPr>
                <w:rFonts w:cs="Arial"/>
                <w:color w:val="000000" w:themeColor="text1"/>
                <w:sz w:val="20"/>
              </w:rPr>
            </w:pPr>
            <w:r w:rsidRPr="00CC6553">
              <w:rPr>
                <w:rFonts w:cs="Arial"/>
                <w:color w:val="000000" w:themeColor="text1"/>
                <w:sz w:val="20"/>
              </w:rPr>
              <w:t>229</w:t>
            </w:r>
          </w:p>
        </w:tc>
        <w:tc>
          <w:tcPr>
            <w:tcW w:w="143" w:type="pct"/>
          </w:tcPr>
          <w:p w14:paraId="7F3236DD" w14:textId="1BDD342B"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446FC7A7" w14:textId="10272400" w:rsidR="00897293" w:rsidRPr="00CC6553" w:rsidRDefault="00897293" w:rsidP="00B234F1">
            <w:pPr>
              <w:rPr>
                <w:rFonts w:cs="Arial"/>
                <w:bCs/>
                <w:iCs/>
                <w:color w:val="000000" w:themeColor="text1"/>
                <w:sz w:val="20"/>
              </w:rPr>
            </w:pPr>
            <w:r w:rsidRPr="00CC6553">
              <w:rPr>
                <w:rFonts w:cs="Arial"/>
                <w:color w:val="000000" w:themeColor="text1"/>
                <w:sz w:val="20"/>
              </w:rPr>
              <w:t>AstraZeneca UK Ltd</w:t>
            </w:r>
          </w:p>
        </w:tc>
        <w:tc>
          <w:tcPr>
            <w:tcW w:w="279" w:type="pct"/>
          </w:tcPr>
          <w:p w14:paraId="0F4B25D1" w14:textId="489CC753"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50F675BA" w14:textId="4197A540" w:rsidR="00897293" w:rsidRPr="00CC6553" w:rsidRDefault="00897293" w:rsidP="00B234F1">
            <w:pPr>
              <w:rPr>
                <w:rFonts w:cs="Arial"/>
                <w:color w:val="000000" w:themeColor="text1"/>
                <w:sz w:val="20"/>
              </w:rPr>
            </w:pPr>
            <w:r w:rsidRPr="00CC6553">
              <w:rPr>
                <w:rFonts w:cs="Arial"/>
                <w:color w:val="000000" w:themeColor="text1"/>
                <w:sz w:val="20"/>
              </w:rPr>
              <w:t>016</w:t>
            </w:r>
          </w:p>
        </w:tc>
        <w:tc>
          <w:tcPr>
            <w:tcW w:w="214" w:type="pct"/>
          </w:tcPr>
          <w:p w14:paraId="1A0F4042" w14:textId="71AB69E1" w:rsidR="00897293" w:rsidRPr="00CC6553" w:rsidRDefault="00897293" w:rsidP="00B234F1">
            <w:pPr>
              <w:rPr>
                <w:rFonts w:cs="Arial"/>
                <w:color w:val="000000" w:themeColor="text1"/>
                <w:sz w:val="20"/>
              </w:rPr>
            </w:pPr>
            <w:r w:rsidRPr="00CC6553">
              <w:rPr>
                <w:rFonts w:cs="Arial"/>
                <w:color w:val="000000" w:themeColor="text1"/>
                <w:sz w:val="20"/>
              </w:rPr>
              <w:t>002 –012</w:t>
            </w:r>
          </w:p>
        </w:tc>
        <w:tc>
          <w:tcPr>
            <w:tcW w:w="1521" w:type="pct"/>
          </w:tcPr>
          <w:p w14:paraId="5620D5BA" w14:textId="5809D094" w:rsidR="00897293" w:rsidRPr="00CC6553" w:rsidRDefault="00897293" w:rsidP="00B234F1">
            <w:pPr>
              <w:rPr>
                <w:rFonts w:cs="Arial"/>
                <w:color w:val="000000" w:themeColor="text1"/>
                <w:sz w:val="20"/>
              </w:rPr>
            </w:pPr>
            <w:r w:rsidRPr="00CC6553">
              <w:rPr>
                <w:rFonts w:cs="Arial"/>
                <w:color w:val="000000" w:themeColor="text1"/>
                <w:sz w:val="20"/>
              </w:rPr>
              <w:t xml:space="preserve">In recommendation 1.7.6 NICE advises that ‘Before prescribing an angiotensin-converting enzyme (ACE) inhibitor, 2 angiotensin receptor-neprilysin inhibitor (ARNI), angiotensin II receptor 3 blocker (ARB) or mineralocorticoid receptor antagonist (MRA), measure 4 the person’s renal function and electrolyte levels’. </w:t>
            </w:r>
            <w:r w:rsidRPr="00CC6553">
              <w:rPr>
                <w:rFonts w:cs="Arial"/>
                <w:color w:val="000000" w:themeColor="text1"/>
                <w:sz w:val="20"/>
              </w:rPr>
              <w:br/>
            </w:r>
            <w:r w:rsidRPr="00CC6553">
              <w:rPr>
                <w:rFonts w:cs="Arial"/>
                <w:color w:val="000000" w:themeColor="text1"/>
                <w:sz w:val="20"/>
              </w:rPr>
              <w:br/>
              <w:t>Likewise in recommendation 1.7.7 NICE suggests ‘If the person is taking an ACE inhibitor, ARNI, ARB or MRA, measure 6 their renal function and electrolyte levels:</w:t>
            </w:r>
            <w:r w:rsidRPr="00CC6553">
              <w:rPr>
                <w:rFonts w:cs="Arial"/>
                <w:color w:val="000000" w:themeColor="text1"/>
                <w:sz w:val="20"/>
              </w:rPr>
              <w:br/>
              <w:t xml:space="preserve">1 to 2 weeks after starting treatment </w:t>
            </w:r>
            <w:r w:rsidRPr="00CC6553">
              <w:rPr>
                <w:rFonts w:cs="Arial"/>
                <w:color w:val="000000" w:themeColor="text1"/>
                <w:sz w:val="20"/>
              </w:rPr>
              <w:br/>
              <w:t xml:space="preserve">1 to 2 weeks after each dose increment </w:t>
            </w:r>
            <w:r w:rsidRPr="00CC6553">
              <w:rPr>
                <w:rFonts w:cs="Arial"/>
                <w:color w:val="000000" w:themeColor="text1"/>
                <w:sz w:val="20"/>
              </w:rPr>
              <w:br/>
              <w:t xml:space="preserve">every 3 to 6 months once the maximum tolerated dose has been established </w:t>
            </w:r>
            <w:r w:rsidRPr="00CC6553">
              <w:rPr>
                <w:rFonts w:cs="Arial"/>
                <w:color w:val="000000" w:themeColor="text1"/>
                <w:sz w:val="20"/>
              </w:rPr>
              <w:br/>
              <w:t>any time renal function may be compromised’</w:t>
            </w:r>
            <w:r w:rsidRPr="00CC6553">
              <w:rPr>
                <w:rFonts w:cs="Arial"/>
                <w:color w:val="000000" w:themeColor="text1"/>
                <w:sz w:val="20"/>
              </w:rPr>
              <w:br/>
            </w:r>
            <w:r w:rsidRPr="00CC6553">
              <w:rPr>
                <w:rFonts w:cs="Arial"/>
                <w:color w:val="000000" w:themeColor="text1"/>
                <w:sz w:val="20"/>
              </w:rPr>
              <w:lastRenderedPageBreak/>
              <w:br/>
              <w:t>Whilst the 2018 NICE guideline suggested to ‘monitor Na/K’, the draft updated guidelines suggest clinicians ‘monitor renal function and electrolytes’, consequently removing the specific mention of potassium as a vital electrolyte to monitor.</w:t>
            </w:r>
            <w:r w:rsidRPr="00CC6553">
              <w:rPr>
                <w:rFonts w:cs="Arial"/>
                <w:color w:val="000000" w:themeColor="text1"/>
                <w:sz w:val="20"/>
              </w:rPr>
              <w:br/>
            </w:r>
            <w:r w:rsidRPr="00CC6553">
              <w:rPr>
                <w:rFonts w:cs="Arial"/>
                <w:color w:val="000000" w:themeColor="text1"/>
                <w:sz w:val="20"/>
              </w:rPr>
              <w:br/>
              <w:t>ESC and AHA/ACC/HFSA guidelines advise specifically on monitoring potassium (in addition to electrolytes) when on ACE/ARB/MRA due to risk of hyperkalaemia CITATION Eur23 \l 2057  [14] CITATION Ame22 \l 2057  [3]. AstraZeneca recommend that the wording be amended to specify that serum sodium and potassium should be measured.</w:t>
            </w:r>
          </w:p>
        </w:tc>
        <w:tc>
          <w:tcPr>
            <w:tcW w:w="2122" w:type="pct"/>
          </w:tcPr>
          <w:p w14:paraId="44B431C9" w14:textId="20F5BD30" w:rsidR="00897293" w:rsidRPr="00CC6553" w:rsidRDefault="00897293" w:rsidP="21434BE0">
            <w:pPr>
              <w:pStyle w:val="Heading1"/>
              <w:rPr>
                <w:rFonts w:cs="Arial"/>
                <w:b w:val="0"/>
                <w:bCs w:val="0"/>
                <w:color w:val="000000" w:themeColor="text1"/>
                <w:sz w:val="20"/>
              </w:rPr>
            </w:pPr>
            <w:r w:rsidRPr="00CC6553">
              <w:rPr>
                <w:rFonts w:cs="Arial"/>
                <w:b w:val="0"/>
                <w:bCs w:val="0"/>
                <w:color w:val="000000" w:themeColor="text1"/>
                <w:sz w:val="20"/>
              </w:rPr>
              <w:lastRenderedPageBreak/>
              <w:t>Thank you for your comment.  The committee agreed that sodium and potassium are covered by the use of the word electrolytes and that is widely understood by health professionals.</w:t>
            </w:r>
          </w:p>
        </w:tc>
      </w:tr>
      <w:tr w:rsidR="00897293" w:rsidRPr="00CC6553" w14:paraId="038044D3" w14:textId="77777777" w:rsidTr="00897293">
        <w:trPr>
          <w:trHeight w:val="300"/>
        </w:trPr>
        <w:tc>
          <w:tcPr>
            <w:tcW w:w="109" w:type="pct"/>
          </w:tcPr>
          <w:p w14:paraId="65E4DC33" w14:textId="77777777" w:rsidR="00897293" w:rsidRPr="00CC6553" w:rsidRDefault="00897293" w:rsidP="00B234F1">
            <w:pPr>
              <w:rPr>
                <w:rFonts w:cs="Arial"/>
                <w:color w:val="000000" w:themeColor="text1"/>
                <w:sz w:val="20"/>
              </w:rPr>
            </w:pPr>
            <w:r w:rsidRPr="00CC6553">
              <w:rPr>
                <w:rFonts w:cs="Arial"/>
                <w:color w:val="000000" w:themeColor="text1"/>
                <w:sz w:val="20"/>
              </w:rPr>
              <w:t>230</w:t>
            </w:r>
          </w:p>
        </w:tc>
        <w:tc>
          <w:tcPr>
            <w:tcW w:w="143" w:type="pct"/>
          </w:tcPr>
          <w:p w14:paraId="17E086EB" w14:textId="0B9390B7"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BA4988D" w14:textId="372372E1" w:rsidR="00897293" w:rsidRPr="00CC6553" w:rsidRDefault="00897293" w:rsidP="00B234F1">
            <w:pPr>
              <w:rPr>
                <w:rFonts w:cs="Arial"/>
                <w:bCs/>
                <w:iCs/>
                <w:color w:val="000000" w:themeColor="text1"/>
                <w:sz w:val="20"/>
              </w:rPr>
            </w:pPr>
            <w:r w:rsidRPr="00CC6553">
              <w:rPr>
                <w:rFonts w:cs="Arial"/>
                <w:color w:val="000000" w:themeColor="text1"/>
                <w:sz w:val="20"/>
              </w:rPr>
              <w:t>UK Clinical Pharmacy Association (UKCPA) – heart failure committee</w:t>
            </w:r>
          </w:p>
        </w:tc>
        <w:tc>
          <w:tcPr>
            <w:tcW w:w="279" w:type="pct"/>
          </w:tcPr>
          <w:p w14:paraId="147D0F06" w14:textId="65FAF6A1"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1CB61CB1" w14:textId="67D476F9" w:rsidR="00897293" w:rsidRPr="00CC6553" w:rsidRDefault="00897293" w:rsidP="00B234F1">
            <w:pPr>
              <w:rPr>
                <w:rFonts w:cs="Arial"/>
                <w:color w:val="000000" w:themeColor="text1"/>
                <w:sz w:val="20"/>
              </w:rPr>
            </w:pPr>
            <w:r w:rsidRPr="00CC6553">
              <w:rPr>
                <w:rFonts w:cs="Arial"/>
                <w:color w:val="000000" w:themeColor="text1"/>
                <w:sz w:val="20"/>
              </w:rPr>
              <w:t>016</w:t>
            </w:r>
          </w:p>
        </w:tc>
        <w:tc>
          <w:tcPr>
            <w:tcW w:w="214" w:type="pct"/>
          </w:tcPr>
          <w:p w14:paraId="11777F08" w14:textId="5CE50B4B" w:rsidR="00897293" w:rsidRPr="00CC6553" w:rsidRDefault="00897293" w:rsidP="00B234F1">
            <w:pPr>
              <w:rPr>
                <w:rFonts w:cs="Arial"/>
                <w:color w:val="000000" w:themeColor="text1"/>
                <w:sz w:val="20"/>
              </w:rPr>
            </w:pPr>
            <w:r w:rsidRPr="00CC6553">
              <w:rPr>
                <w:rFonts w:cs="Arial"/>
                <w:color w:val="000000" w:themeColor="text1"/>
                <w:sz w:val="20"/>
              </w:rPr>
              <w:t>006</w:t>
            </w:r>
          </w:p>
        </w:tc>
        <w:tc>
          <w:tcPr>
            <w:tcW w:w="1521" w:type="pct"/>
          </w:tcPr>
          <w:p w14:paraId="30510962" w14:textId="59EF181B" w:rsidR="00897293" w:rsidRPr="00CC6553" w:rsidRDefault="00897293" w:rsidP="00B234F1">
            <w:pPr>
              <w:rPr>
                <w:rFonts w:cs="Arial"/>
                <w:color w:val="000000" w:themeColor="text1"/>
                <w:sz w:val="20"/>
              </w:rPr>
            </w:pPr>
            <w:r w:rsidRPr="00CC6553">
              <w:rPr>
                <w:rFonts w:cs="Arial"/>
                <w:color w:val="000000" w:themeColor="text1"/>
                <w:sz w:val="20"/>
              </w:rPr>
              <w:t>We support the recommendation; however, we would like to highlight that while the guidance assumes timely access to renal function testing (U+Es) this may not be practical in primary care.</w:t>
            </w:r>
          </w:p>
        </w:tc>
        <w:tc>
          <w:tcPr>
            <w:tcW w:w="2122" w:type="pct"/>
          </w:tcPr>
          <w:p w14:paraId="2FE1C646" w14:textId="2AC08307" w:rsidR="00897293" w:rsidRPr="00CC6553" w:rsidRDefault="00897293" w:rsidP="21434BE0">
            <w:pPr>
              <w:pStyle w:val="Heading1"/>
              <w:rPr>
                <w:rFonts w:cs="Arial"/>
                <w:b w:val="0"/>
                <w:bCs w:val="0"/>
                <w:color w:val="000000" w:themeColor="text1"/>
                <w:sz w:val="20"/>
              </w:rPr>
            </w:pPr>
            <w:r w:rsidRPr="00CC6553">
              <w:rPr>
                <w:rFonts w:cs="Arial"/>
                <w:b w:val="0"/>
                <w:bCs w:val="0"/>
                <w:color w:val="000000" w:themeColor="text1"/>
                <w:sz w:val="20"/>
              </w:rPr>
              <w:t>Thank you for your comment.  The frequency of testing remains largely unchanged since the 2018 guideline and the committee agreed that any implementing challenges in primary care should not be a barrier to them making the recommendation.  We will pass your comment on the NICE system implementation team.</w:t>
            </w:r>
          </w:p>
        </w:tc>
      </w:tr>
      <w:tr w:rsidR="00897293" w:rsidRPr="00CC6553" w14:paraId="7B8614AA" w14:textId="77777777" w:rsidTr="00897293">
        <w:trPr>
          <w:trHeight w:val="300"/>
        </w:trPr>
        <w:tc>
          <w:tcPr>
            <w:tcW w:w="109" w:type="pct"/>
          </w:tcPr>
          <w:p w14:paraId="6ADCFA83" w14:textId="77777777" w:rsidR="00897293" w:rsidRPr="00CC6553" w:rsidRDefault="00897293" w:rsidP="00B234F1">
            <w:pPr>
              <w:rPr>
                <w:rFonts w:cs="Arial"/>
                <w:color w:val="000000" w:themeColor="text1"/>
                <w:sz w:val="20"/>
              </w:rPr>
            </w:pPr>
            <w:r w:rsidRPr="00CC6553">
              <w:rPr>
                <w:rFonts w:cs="Arial"/>
                <w:color w:val="000000" w:themeColor="text1"/>
                <w:sz w:val="20"/>
              </w:rPr>
              <w:t>231</w:t>
            </w:r>
          </w:p>
        </w:tc>
        <w:tc>
          <w:tcPr>
            <w:tcW w:w="143" w:type="pct"/>
          </w:tcPr>
          <w:p w14:paraId="3A8365B5" w14:textId="447CB82C"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5DE19CCE" w14:textId="7FB24D31"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334972B0" w14:textId="76484F80"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23C19A56" w14:textId="4F1EE7B2" w:rsidR="00897293" w:rsidRPr="00CC6553" w:rsidRDefault="00897293" w:rsidP="00B234F1">
            <w:pPr>
              <w:rPr>
                <w:rFonts w:cs="Arial"/>
                <w:color w:val="000000" w:themeColor="text1"/>
                <w:sz w:val="20"/>
              </w:rPr>
            </w:pPr>
            <w:r w:rsidRPr="00CC6553">
              <w:rPr>
                <w:rFonts w:cs="Arial"/>
                <w:color w:val="000000" w:themeColor="text1"/>
                <w:sz w:val="20"/>
              </w:rPr>
              <w:t>016</w:t>
            </w:r>
          </w:p>
        </w:tc>
        <w:tc>
          <w:tcPr>
            <w:tcW w:w="214" w:type="pct"/>
          </w:tcPr>
          <w:p w14:paraId="554AAB42" w14:textId="6FAB7DCA" w:rsidR="00897293" w:rsidRPr="00CC6553" w:rsidRDefault="00897293" w:rsidP="00B234F1">
            <w:pPr>
              <w:rPr>
                <w:rFonts w:cs="Arial"/>
                <w:color w:val="000000" w:themeColor="text1"/>
                <w:sz w:val="20"/>
              </w:rPr>
            </w:pPr>
            <w:r w:rsidRPr="00CC6553">
              <w:rPr>
                <w:rFonts w:cs="Arial"/>
                <w:color w:val="000000" w:themeColor="text1"/>
                <w:sz w:val="20"/>
              </w:rPr>
              <w:t>006 - 012</w:t>
            </w:r>
          </w:p>
        </w:tc>
        <w:tc>
          <w:tcPr>
            <w:tcW w:w="1521" w:type="pct"/>
          </w:tcPr>
          <w:p w14:paraId="2C98F0E6" w14:textId="21059E54" w:rsidR="00897293" w:rsidRPr="00CC6553" w:rsidRDefault="00897293" w:rsidP="00B234F1">
            <w:pPr>
              <w:rPr>
                <w:rFonts w:cs="Arial"/>
                <w:color w:val="000000" w:themeColor="text1"/>
                <w:sz w:val="20"/>
              </w:rPr>
            </w:pPr>
            <w:r w:rsidRPr="00CC6553">
              <w:rPr>
                <w:rFonts w:cs="Arial"/>
                <w:color w:val="000000" w:themeColor="text1"/>
                <w:sz w:val="20"/>
              </w:rPr>
              <w:t>Renal function is also dependent on volume state of the patient. This is vital for clinicians to be aware of. Is it possible to highlight that if there is a change in renal function it is important to assess fluid status to help decision making?</w:t>
            </w:r>
          </w:p>
        </w:tc>
        <w:tc>
          <w:tcPr>
            <w:tcW w:w="2122" w:type="pct"/>
          </w:tcPr>
          <w:p w14:paraId="025E6CF1" w14:textId="267380CE"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This detail has been added to the committee discussion of the evidence in evidence review A.</w:t>
            </w:r>
          </w:p>
        </w:tc>
      </w:tr>
      <w:tr w:rsidR="00897293" w:rsidRPr="00CC6553" w14:paraId="124B74E8" w14:textId="77777777" w:rsidTr="00897293">
        <w:trPr>
          <w:trHeight w:val="300"/>
        </w:trPr>
        <w:tc>
          <w:tcPr>
            <w:tcW w:w="109" w:type="pct"/>
          </w:tcPr>
          <w:p w14:paraId="61D3CA06" w14:textId="77777777" w:rsidR="00897293" w:rsidRPr="00CC6553" w:rsidRDefault="00897293" w:rsidP="00B234F1">
            <w:pPr>
              <w:rPr>
                <w:rFonts w:cs="Arial"/>
                <w:color w:val="000000" w:themeColor="text1"/>
                <w:sz w:val="20"/>
              </w:rPr>
            </w:pPr>
            <w:r w:rsidRPr="00CC6553">
              <w:rPr>
                <w:rFonts w:cs="Arial"/>
                <w:color w:val="000000" w:themeColor="text1"/>
                <w:sz w:val="20"/>
              </w:rPr>
              <w:t>232</w:t>
            </w:r>
          </w:p>
        </w:tc>
        <w:tc>
          <w:tcPr>
            <w:tcW w:w="143" w:type="pct"/>
          </w:tcPr>
          <w:p w14:paraId="14FA3A4C" w14:textId="6F97BE60"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5E9B4196" w14:textId="2AD51F23" w:rsidR="00897293" w:rsidRPr="00CC6553" w:rsidRDefault="00897293" w:rsidP="00B234F1">
            <w:pPr>
              <w:rPr>
                <w:rFonts w:cs="Arial"/>
                <w:bCs/>
                <w:iCs/>
                <w:color w:val="000000" w:themeColor="text1"/>
                <w:sz w:val="20"/>
              </w:rPr>
            </w:pPr>
            <w:r w:rsidRPr="00CC6553">
              <w:rPr>
                <w:rFonts w:cs="Arial"/>
                <w:color w:val="000000" w:themeColor="text1"/>
                <w:sz w:val="20"/>
              </w:rPr>
              <w:t>Portsmouth Hospitals University NHS Trust</w:t>
            </w:r>
          </w:p>
        </w:tc>
        <w:tc>
          <w:tcPr>
            <w:tcW w:w="279" w:type="pct"/>
          </w:tcPr>
          <w:p w14:paraId="052FF861" w14:textId="6A2DAC75"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1C584F66" w14:textId="753E023B" w:rsidR="00897293" w:rsidRPr="00CC6553" w:rsidRDefault="00897293" w:rsidP="00B234F1">
            <w:pPr>
              <w:rPr>
                <w:rFonts w:cs="Arial"/>
                <w:color w:val="000000" w:themeColor="text1"/>
                <w:sz w:val="20"/>
              </w:rPr>
            </w:pPr>
            <w:r w:rsidRPr="00CC6553">
              <w:rPr>
                <w:rFonts w:cs="Arial"/>
                <w:color w:val="000000" w:themeColor="text1"/>
                <w:sz w:val="20"/>
              </w:rPr>
              <w:t>016</w:t>
            </w:r>
          </w:p>
        </w:tc>
        <w:tc>
          <w:tcPr>
            <w:tcW w:w="214" w:type="pct"/>
          </w:tcPr>
          <w:p w14:paraId="02EAAB57" w14:textId="66E889B1" w:rsidR="00897293" w:rsidRPr="00CC6553" w:rsidRDefault="00897293" w:rsidP="00B234F1">
            <w:pPr>
              <w:rPr>
                <w:rFonts w:cs="Arial"/>
                <w:color w:val="000000" w:themeColor="text1"/>
                <w:sz w:val="20"/>
              </w:rPr>
            </w:pPr>
            <w:r w:rsidRPr="00CC6553">
              <w:rPr>
                <w:rFonts w:cs="Arial"/>
                <w:color w:val="000000" w:themeColor="text1"/>
                <w:sz w:val="20"/>
              </w:rPr>
              <w:t>006 - 012</w:t>
            </w:r>
          </w:p>
        </w:tc>
        <w:tc>
          <w:tcPr>
            <w:tcW w:w="1521" w:type="pct"/>
          </w:tcPr>
          <w:p w14:paraId="7FBBCD51" w14:textId="01F739AD" w:rsidR="00897293" w:rsidRPr="00CC6553" w:rsidRDefault="00897293" w:rsidP="00B234F1">
            <w:pPr>
              <w:rPr>
                <w:rFonts w:cs="Arial"/>
                <w:color w:val="000000" w:themeColor="text1"/>
                <w:sz w:val="20"/>
              </w:rPr>
            </w:pPr>
            <w:r w:rsidRPr="00CC6553">
              <w:rPr>
                <w:rFonts w:cs="Arial"/>
                <w:color w:val="000000" w:themeColor="text1"/>
                <w:sz w:val="20"/>
              </w:rPr>
              <w:t>Renal function is also dependent on volume state of the patient. This is vital for clinicians to be aware of. Is it possible to highlight that if there is a change in renal function it is important to assess fluid status to help decision making?</w:t>
            </w:r>
          </w:p>
        </w:tc>
        <w:tc>
          <w:tcPr>
            <w:tcW w:w="2122" w:type="pct"/>
          </w:tcPr>
          <w:p w14:paraId="62C09CC7" w14:textId="1683289F"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This detail has been added to the committee discussion of the evidence in evidence review A.</w:t>
            </w:r>
          </w:p>
        </w:tc>
      </w:tr>
      <w:tr w:rsidR="00897293" w:rsidRPr="00CC6553" w14:paraId="12FA03FE" w14:textId="77777777" w:rsidTr="00897293">
        <w:trPr>
          <w:trHeight w:val="300"/>
        </w:trPr>
        <w:tc>
          <w:tcPr>
            <w:tcW w:w="109" w:type="pct"/>
          </w:tcPr>
          <w:p w14:paraId="73D0B05C" w14:textId="77777777" w:rsidR="00897293" w:rsidRPr="00CC6553" w:rsidRDefault="00897293" w:rsidP="00B234F1">
            <w:pPr>
              <w:rPr>
                <w:rFonts w:cs="Arial"/>
                <w:color w:val="000000" w:themeColor="text1"/>
                <w:sz w:val="20"/>
              </w:rPr>
            </w:pPr>
            <w:r w:rsidRPr="00CC6553">
              <w:rPr>
                <w:rFonts w:cs="Arial"/>
                <w:color w:val="000000" w:themeColor="text1"/>
                <w:sz w:val="20"/>
              </w:rPr>
              <w:t>233</w:t>
            </w:r>
          </w:p>
        </w:tc>
        <w:tc>
          <w:tcPr>
            <w:tcW w:w="143" w:type="pct"/>
          </w:tcPr>
          <w:p w14:paraId="280AAF96" w14:textId="046C4452"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3CFED234" w14:textId="4885A02F" w:rsidR="00897293" w:rsidRPr="00CC6553" w:rsidRDefault="00897293" w:rsidP="00B234F1">
            <w:pPr>
              <w:rPr>
                <w:rFonts w:cs="Arial"/>
                <w:bCs/>
                <w:iCs/>
                <w:color w:val="000000" w:themeColor="text1"/>
                <w:sz w:val="20"/>
              </w:rPr>
            </w:pPr>
            <w:r w:rsidRPr="00CC6553">
              <w:rPr>
                <w:rFonts w:cs="Arial"/>
                <w:color w:val="000000" w:themeColor="text1"/>
                <w:sz w:val="20"/>
              </w:rPr>
              <w:t>Royal College of Nursing</w:t>
            </w:r>
          </w:p>
        </w:tc>
        <w:tc>
          <w:tcPr>
            <w:tcW w:w="279" w:type="pct"/>
          </w:tcPr>
          <w:p w14:paraId="16D2DE06" w14:textId="495F03DB"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329C4A72" w14:textId="5D23BC7A" w:rsidR="00897293" w:rsidRPr="00CC6553" w:rsidRDefault="00897293" w:rsidP="00B234F1">
            <w:pPr>
              <w:rPr>
                <w:rFonts w:cs="Arial"/>
                <w:color w:val="000000" w:themeColor="text1"/>
                <w:sz w:val="20"/>
              </w:rPr>
            </w:pPr>
            <w:r w:rsidRPr="00CC6553">
              <w:rPr>
                <w:rFonts w:cs="Arial"/>
                <w:color w:val="000000" w:themeColor="text1"/>
                <w:sz w:val="20"/>
              </w:rPr>
              <w:t>016</w:t>
            </w:r>
          </w:p>
        </w:tc>
        <w:tc>
          <w:tcPr>
            <w:tcW w:w="214" w:type="pct"/>
          </w:tcPr>
          <w:p w14:paraId="30E0CF15" w14:textId="3F027EF2" w:rsidR="00897293" w:rsidRPr="00CC6553" w:rsidRDefault="00897293" w:rsidP="00B234F1">
            <w:pPr>
              <w:rPr>
                <w:rFonts w:cs="Arial"/>
                <w:color w:val="000000" w:themeColor="text1"/>
                <w:sz w:val="20"/>
              </w:rPr>
            </w:pPr>
            <w:r w:rsidRPr="00CC6553">
              <w:rPr>
                <w:rFonts w:cs="Arial"/>
                <w:color w:val="000000" w:themeColor="text1"/>
                <w:sz w:val="20"/>
              </w:rPr>
              <w:t>006 - 012</w:t>
            </w:r>
          </w:p>
        </w:tc>
        <w:tc>
          <w:tcPr>
            <w:tcW w:w="1521" w:type="pct"/>
          </w:tcPr>
          <w:p w14:paraId="3B752009" w14:textId="5DCCCF99" w:rsidR="00897293" w:rsidRPr="00CC6553" w:rsidRDefault="00897293" w:rsidP="00B234F1">
            <w:pPr>
              <w:rPr>
                <w:rFonts w:cs="Arial"/>
                <w:color w:val="000000" w:themeColor="text1"/>
                <w:sz w:val="20"/>
              </w:rPr>
            </w:pPr>
            <w:r w:rsidRPr="00CC6553">
              <w:rPr>
                <w:rFonts w:cs="Arial"/>
                <w:color w:val="000000" w:themeColor="text1"/>
                <w:sz w:val="20"/>
              </w:rPr>
              <w:t>ACE / ARNI / ARBs and MRAs – it is good to see renal function will be considered in depth, however, we would recommend "sick day rules" section in relation to renal function.</w:t>
            </w:r>
          </w:p>
        </w:tc>
        <w:tc>
          <w:tcPr>
            <w:tcW w:w="2122" w:type="pct"/>
          </w:tcPr>
          <w:p w14:paraId="175AD715" w14:textId="755E59F8"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Thank you for your comment.  The evidence review did not include sick day rules and the committee were </w:t>
            </w:r>
            <w:r w:rsidRPr="00CC6553">
              <w:rPr>
                <w:rFonts w:cs="Arial"/>
                <w:b w:val="0"/>
                <w:color w:val="000000" w:themeColor="text1"/>
                <w:sz w:val="20"/>
              </w:rPr>
              <w:lastRenderedPageBreak/>
              <w:t xml:space="preserve">therefore unable to make recommendations on this. </w:t>
            </w:r>
          </w:p>
        </w:tc>
      </w:tr>
      <w:tr w:rsidR="00897293" w:rsidRPr="00CC6553" w14:paraId="2188E2A6" w14:textId="77777777" w:rsidTr="00897293">
        <w:trPr>
          <w:trHeight w:val="300"/>
        </w:trPr>
        <w:tc>
          <w:tcPr>
            <w:tcW w:w="109" w:type="pct"/>
          </w:tcPr>
          <w:p w14:paraId="1C77E611"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234</w:t>
            </w:r>
          </w:p>
        </w:tc>
        <w:tc>
          <w:tcPr>
            <w:tcW w:w="143" w:type="pct"/>
          </w:tcPr>
          <w:p w14:paraId="3EC1D5E5" w14:textId="1544F794"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2D37831E" w14:textId="4D185B07" w:rsidR="00897293" w:rsidRPr="00CC6553" w:rsidRDefault="00897293" w:rsidP="00B234F1">
            <w:pPr>
              <w:rPr>
                <w:rFonts w:cs="Arial"/>
                <w:bCs/>
                <w:iCs/>
                <w:color w:val="000000" w:themeColor="text1"/>
                <w:sz w:val="20"/>
              </w:rPr>
            </w:pPr>
            <w:r w:rsidRPr="00CC6553">
              <w:rPr>
                <w:rFonts w:cs="Arial"/>
                <w:color w:val="000000" w:themeColor="text1"/>
                <w:sz w:val="20"/>
              </w:rPr>
              <w:t>British Geriatrics Society</w:t>
            </w:r>
          </w:p>
        </w:tc>
        <w:tc>
          <w:tcPr>
            <w:tcW w:w="279" w:type="pct"/>
          </w:tcPr>
          <w:p w14:paraId="45ADCFF8" w14:textId="09FF2FD4"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38102E2B" w14:textId="1DDA9802" w:rsidR="00897293" w:rsidRPr="00CC6553" w:rsidRDefault="00897293" w:rsidP="00B234F1">
            <w:pPr>
              <w:rPr>
                <w:rFonts w:cs="Arial"/>
                <w:color w:val="000000" w:themeColor="text1"/>
                <w:sz w:val="20"/>
              </w:rPr>
            </w:pPr>
            <w:r w:rsidRPr="00CC6553">
              <w:rPr>
                <w:rFonts w:cs="Arial"/>
                <w:color w:val="000000" w:themeColor="text1"/>
                <w:sz w:val="20"/>
              </w:rPr>
              <w:t>016</w:t>
            </w:r>
          </w:p>
        </w:tc>
        <w:tc>
          <w:tcPr>
            <w:tcW w:w="214" w:type="pct"/>
          </w:tcPr>
          <w:p w14:paraId="5FC7EFA0" w14:textId="66063CD9" w:rsidR="00897293" w:rsidRPr="00CC6553" w:rsidRDefault="00897293" w:rsidP="00B234F1">
            <w:pPr>
              <w:rPr>
                <w:rFonts w:cs="Arial"/>
                <w:color w:val="000000" w:themeColor="text1"/>
                <w:sz w:val="20"/>
              </w:rPr>
            </w:pPr>
            <w:r w:rsidRPr="00CC6553">
              <w:rPr>
                <w:rFonts w:cs="Arial"/>
                <w:color w:val="000000" w:themeColor="text1"/>
                <w:sz w:val="20"/>
              </w:rPr>
              <w:t>008 - 009</w:t>
            </w:r>
          </w:p>
        </w:tc>
        <w:tc>
          <w:tcPr>
            <w:tcW w:w="1521" w:type="pct"/>
          </w:tcPr>
          <w:p w14:paraId="1440BC52" w14:textId="3A69092A" w:rsidR="00897293" w:rsidRPr="00CC6553" w:rsidRDefault="00897293" w:rsidP="00B234F1">
            <w:pPr>
              <w:rPr>
                <w:rFonts w:cs="Arial"/>
                <w:color w:val="000000" w:themeColor="text1"/>
                <w:sz w:val="20"/>
              </w:rPr>
            </w:pPr>
            <w:r w:rsidRPr="00CC6553">
              <w:rPr>
                <w:rFonts w:cs="Arial"/>
                <w:color w:val="000000" w:themeColor="text1"/>
                <w:sz w:val="20"/>
              </w:rPr>
              <w:t>Rec 1.7.7: For frail patients, accessing regular blood tests can be challenging and the risks of not receiving (or uptitrating) RAAS inhibition due to lack of access to blood tests should be weighed against risk of a significant worsening of renal function or hyperkalaemia. The time intervals specified for blood tests may be aspirational but a degree of pragmatism may be needed to avoid under-prescribing</w:t>
            </w:r>
          </w:p>
        </w:tc>
        <w:tc>
          <w:tcPr>
            <w:tcW w:w="2122" w:type="pct"/>
          </w:tcPr>
          <w:p w14:paraId="12855E8C" w14:textId="4BB7F30E" w:rsidR="00897293" w:rsidRPr="00CC6553" w:rsidRDefault="00897293" w:rsidP="476BDDBF">
            <w:pPr>
              <w:pStyle w:val="Heading1"/>
              <w:rPr>
                <w:rFonts w:cs="Arial"/>
                <w:b w:val="0"/>
                <w:bCs w:val="0"/>
                <w:color w:val="000000" w:themeColor="text1"/>
                <w:sz w:val="20"/>
              </w:rPr>
            </w:pPr>
            <w:r w:rsidRPr="00CC6553">
              <w:rPr>
                <w:rFonts w:cs="Arial"/>
                <w:b w:val="0"/>
                <w:bCs w:val="0"/>
                <w:color w:val="000000" w:themeColor="text1"/>
                <w:sz w:val="20"/>
              </w:rPr>
              <w:t>Thank you for your comment.  The committee agreed that the frequency of blood testing recommended is necessary to monitor for the adverse events however, they can be tailored to account for individual patient factors.</w:t>
            </w:r>
          </w:p>
        </w:tc>
      </w:tr>
      <w:tr w:rsidR="00897293" w:rsidRPr="00CC6553" w14:paraId="1330A179" w14:textId="77777777" w:rsidTr="00897293">
        <w:trPr>
          <w:trHeight w:val="300"/>
        </w:trPr>
        <w:tc>
          <w:tcPr>
            <w:tcW w:w="109" w:type="pct"/>
          </w:tcPr>
          <w:p w14:paraId="1B6BC037" w14:textId="77777777" w:rsidR="00897293" w:rsidRPr="00CC6553" w:rsidRDefault="00897293" w:rsidP="00B234F1">
            <w:pPr>
              <w:rPr>
                <w:rFonts w:cs="Arial"/>
                <w:color w:val="000000" w:themeColor="text1"/>
                <w:sz w:val="20"/>
              </w:rPr>
            </w:pPr>
            <w:r w:rsidRPr="00CC6553">
              <w:rPr>
                <w:rFonts w:cs="Arial"/>
                <w:color w:val="000000" w:themeColor="text1"/>
                <w:sz w:val="20"/>
              </w:rPr>
              <w:t>235</w:t>
            </w:r>
          </w:p>
        </w:tc>
        <w:tc>
          <w:tcPr>
            <w:tcW w:w="143" w:type="pct"/>
          </w:tcPr>
          <w:p w14:paraId="0FB9C384" w14:textId="300EB6ED"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48E6802" w14:textId="3F8C6130" w:rsidR="00897293" w:rsidRPr="00CC6553" w:rsidRDefault="00897293" w:rsidP="00B234F1">
            <w:pPr>
              <w:rPr>
                <w:rFonts w:cs="Arial"/>
                <w:bCs/>
                <w:iCs/>
                <w:color w:val="000000" w:themeColor="text1"/>
                <w:sz w:val="20"/>
              </w:rPr>
            </w:pPr>
            <w:r w:rsidRPr="00CC6553">
              <w:rPr>
                <w:rFonts w:cs="Arial"/>
                <w:color w:val="000000" w:themeColor="text1"/>
                <w:sz w:val="20"/>
              </w:rPr>
              <w:t>First Community Health and Care</w:t>
            </w:r>
          </w:p>
        </w:tc>
        <w:tc>
          <w:tcPr>
            <w:tcW w:w="279" w:type="pct"/>
          </w:tcPr>
          <w:p w14:paraId="4638F263" w14:textId="07794608"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11B79BC1" w14:textId="52806158" w:rsidR="00897293" w:rsidRPr="00CC6553" w:rsidRDefault="00897293" w:rsidP="00B234F1">
            <w:pPr>
              <w:rPr>
                <w:rFonts w:cs="Arial"/>
                <w:color w:val="000000" w:themeColor="text1"/>
                <w:sz w:val="20"/>
              </w:rPr>
            </w:pPr>
            <w:r w:rsidRPr="00CC6553">
              <w:rPr>
                <w:rFonts w:cs="Arial"/>
                <w:color w:val="000000" w:themeColor="text1"/>
                <w:sz w:val="20"/>
              </w:rPr>
              <w:t>016</w:t>
            </w:r>
          </w:p>
        </w:tc>
        <w:tc>
          <w:tcPr>
            <w:tcW w:w="214" w:type="pct"/>
          </w:tcPr>
          <w:p w14:paraId="4BDF0225" w14:textId="22234EE7" w:rsidR="00897293" w:rsidRPr="00CC6553" w:rsidRDefault="00897293" w:rsidP="00B234F1">
            <w:pPr>
              <w:rPr>
                <w:rFonts w:cs="Arial"/>
                <w:color w:val="000000" w:themeColor="text1"/>
                <w:sz w:val="20"/>
              </w:rPr>
            </w:pPr>
            <w:r w:rsidRPr="00CC6553">
              <w:rPr>
                <w:rFonts w:cs="Arial"/>
                <w:color w:val="000000" w:themeColor="text1"/>
                <w:sz w:val="20"/>
              </w:rPr>
              <w:t>012</w:t>
            </w:r>
          </w:p>
        </w:tc>
        <w:tc>
          <w:tcPr>
            <w:tcW w:w="1521" w:type="pct"/>
          </w:tcPr>
          <w:p w14:paraId="456226C6" w14:textId="3F96B6E7" w:rsidR="00897293" w:rsidRPr="00CC6553" w:rsidRDefault="00897293" w:rsidP="00B234F1">
            <w:pPr>
              <w:rPr>
                <w:rFonts w:cs="Arial"/>
                <w:color w:val="000000" w:themeColor="text1"/>
                <w:sz w:val="20"/>
              </w:rPr>
            </w:pPr>
            <w:r w:rsidRPr="00CC6553">
              <w:rPr>
                <w:rFonts w:cs="Arial"/>
                <w:color w:val="000000" w:themeColor="text1"/>
                <w:sz w:val="20"/>
              </w:rPr>
              <w:t>Rec 1.7.7 - May be helpful to be more detailed on ‘any time renal function may be compromised’ as this is quite ambiguous.</w:t>
            </w:r>
          </w:p>
        </w:tc>
        <w:tc>
          <w:tcPr>
            <w:tcW w:w="2122" w:type="pct"/>
          </w:tcPr>
          <w:p w14:paraId="617651E5" w14:textId="77198546"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committee agreed that they wanted to highlight the importance of measuring renal function and electrolyte levels any time renal function may be comprised which could be due to a number of reasons.  They were therefore unable to define in a recommendation all of the relevant examples of when renal function may be comprised</w:t>
            </w:r>
            <w:r w:rsidRPr="6763097B">
              <w:rPr>
                <w:rFonts w:cs="Arial"/>
                <w:b w:val="0"/>
                <w:bCs w:val="0"/>
                <w:color w:val="000000" w:themeColor="text1"/>
                <w:sz w:val="20"/>
              </w:rPr>
              <w:t xml:space="preserve"> and were unable to identify examples that would be more helpful than others.</w:t>
            </w:r>
          </w:p>
        </w:tc>
      </w:tr>
      <w:tr w:rsidR="00897293" w:rsidRPr="00CC6553" w14:paraId="6A47ABB9" w14:textId="77777777" w:rsidTr="00897293">
        <w:trPr>
          <w:trHeight w:val="300"/>
        </w:trPr>
        <w:tc>
          <w:tcPr>
            <w:tcW w:w="109" w:type="pct"/>
          </w:tcPr>
          <w:p w14:paraId="4BAF6C48" w14:textId="77777777" w:rsidR="00897293" w:rsidRPr="00CC6553" w:rsidRDefault="00897293" w:rsidP="00B234F1">
            <w:pPr>
              <w:rPr>
                <w:rFonts w:cs="Arial"/>
                <w:color w:val="000000" w:themeColor="text1"/>
                <w:sz w:val="20"/>
              </w:rPr>
            </w:pPr>
            <w:r w:rsidRPr="00CC6553">
              <w:rPr>
                <w:rFonts w:cs="Arial"/>
                <w:color w:val="000000" w:themeColor="text1"/>
                <w:sz w:val="20"/>
              </w:rPr>
              <w:t>236</w:t>
            </w:r>
          </w:p>
        </w:tc>
        <w:tc>
          <w:tcPr>
            <w:tcW w:w="143" w:type="pct"/>
          </w:tcPr>
          <w:p w14:paraId="23D9F161" w14:textId="13F3A499"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7B0DED4D" w14:textId="04FE2B8C"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6055A5B9" w14:textId="25D9428C"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50C382B2" w14:textId="1ADAC08A" w:rsidR="00897293" w:rsidRPr="00CC6553" w:rsidRDefault="00897293" w:rsidP="00B234F1">
            <w:pPr>
              <w:rPr>
                <w:rFonts w:cs="Arial"/>
                <w:color w:val="000000" w:themeColor="text1"/>
                <w:sz w:val="20"/>
              </w:rPr>
            </w:pPr>
            <w:r w:rsidRPr="00CC6553">
              <w:rPr>
                <w:rFonts w:cs="Arial"/>
                <w:color w:val="000000" w:themeColor="text1"/>
                <w:sz w:val="20"/>
              </w:rPr>
              <w:t>016</w:t>
            </w:r>
          </w:p>
        </w:tc>
        <w:tc>
          <w:tcPr>
            <w:tcW w:w="214" w:type="pct"/>
          </w:tcPr>
          <w:p w14:paraId="7779D45B" w14:textId="55193324" w:rsidR="00897293" w:rsidRPr="00CC6553" w:rsidRDefault="00897293" w:rsidP="00B234F1">
            <w:pPr>
              <w:rPr>
                <w:rFonts w:cs="Arial"/>
                <w:color w:val="000000" w:themeColor="text1"/>
                <w:sz w:val="20"/>
              </w:rPr>
            </w:pPr>
            <w:r w:rsidRPr="00CC6553">
              <w:rPr>
                <w:rFonts w:cs="Arial"/>
                <w:color w:val="000000" w:themeColor="text1"/>
                <w:sz w:val="20"/>
              </w:rPr>
              <w:t>013</w:t>
            </w:r>
          </w:p>
        </w:tc>
        <w:tc>
          <w:tcPr>
            <w:tcW w:w="1521" w:type="pct"/>
          </w:tcPr>
          <w:p w14:paraId="17D4A444" w14:textId="42CBD115" w:rsidR="00897293" w:rsidRPr="00CC6553" w:rsidRDefault="00897293" w:rsidP="00B234F1">
            <w:pPr>
              <w:rPr>
                <w:rFonts w:cs="Arial"/>
                <w:color w:val="000000" w:themeColor="text1"/>
                <w:sz w:val="20"/>
              </w:rPr>
            </w:pPr>
            <w:r w:rsidRPr="00CC6553">
              <w:rPr>
                <w:rFonts w:cs="Arial"/>
                <w:color w:val="000000" w:themeColor="text1"/>
                <w:sz w:val="20"/>
              </w:rPr>
              <w:t>Consider also THINK KIDNEYS Guidelines for Medicines Optimisation in patients with AKI on titration in view of Creatinine and eGFR if no clear local guidelines. Or A&amp;G to local cardio-renal or HF team. https://www.slcn.nhs.uk/wp-content/uploads/2023/10/hf-sel-pharmacological-management-102023.pdf</w:t>
            </w:r>
          </w:p>
        </w:tc>
        <w:tc>
          <w:tcPr>
            <w:tcW w:w="2122" w:type="pct"/>
          </w:tcPr>
          <w:p w14:paraId="53AE8C42" w14:textId="2CF11A98"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committee were unable to signpost to non NICE sources of information in the recommendations.</w:t>
            </w:r>
          </w:p>
        </w:tc>
      </w:tr>
      <w:tr w:rsidR="00897293" w:rsidRPr="00CC6553" w14:paraId="14FFC762" w14:textId="77777777" w:rsidTr="00897293">
        <w:trPr>
          <w:trHeight w:val="300"/>
        </w:trPr>
        <w:tc>
          <w:tcPr>
            <w:tcW w:w="109" w:type="pct"/>
          </w:tcPr>
          <w:p w14:paraId="5A93B9B0" w14:textId="77777777" w:rsidR="00897293" w:rsidRPr="00CC6553" w:rsidRDefault="00897293" w:rsidP="00B234F1">
            <w:pPr>
              <w:rPr>
                <w:rFonts w:cs="Arial"/>
                <w:color w:val="000000" w:themeColor="text1"/>
                <w:sz w:val="20"/>
              </w:rPr>
            </w:pPr>
            <w:r w:rsidRPr="00CC6553">
              <w:rPr>
                <w:rFonts w:cs="Arial"/>
                <w:color w:val="000000" w:themeColor="text1"/>
                <w:sz w:val="20"/>
              </w:rPr>
              <w:t>237</w:t>
            </w:r>
          </w:p>
        </w:tc>
        <w:tc>
          <w:tcPr>
            <w:tcW w:w="143" w:type="pct"/>
          </w:tcPr>
          <w:p w14:paraId="70477AD6" w14:textId="2020E6C7"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01406526" w14:textId="29421319" w:rsidR="00897293" w:rsidRPr="00CC6553" w:rsidRDefault="00897293" w:rsidP="00B234F1">
            <w:pPr>
              <w:rPr>
                <w:rFonts w:cs="Arial"/>
                <w:bCs/>
                <w:iCs/>
                <w:color w:val="000000" w:themeColor="text1"/>
                <w:sz w:val="20"/>
              </w:rPr>
            </w:pPr>
            <w:r w:rsidRPr="00CC6553">
              <w:rPr>
                <w:rFonts w:cs="Arial"/>
                <w:color w:val="000000" w:themeColor="text1"/>
                <w:sz w:val="20"/>
              </w:rPr>
              <w:t>Primary Care Cardiovascular Society (PCCS)</w:t>
            </w:r>
          </w:p>
        </w:tc>
        <w:tc>
          <w:tcPr>
            <w:tcW w:w="279" w:type="pct"/>
          </w:tcPr>
          <w:p w14:paraId="1E750A98" w14:textId="66E35F66"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0B242E02" w14:textId="3BCFCA89" w:rsidR="00897293" w:rsidRPr="00CC6553" w:rsidRDefault="00897293" w:rsidP="00B234F1">
            <w:pPr>
              <w:rPr>
                <w:rFonts w:cs="Arial"/>
                <w:color w:val="000000" w:themeColor="text1"/>
                <w:sz w:val="20"/>
              </w:rPr>
            </w:pPr>
            <w:r w:rsidRPr="00CC6553">
              <w:rPr>
                <w:rFonts w:cs="Arial"/>
                <w:color w:val="000000" w:themeColor="text1"/>
                <w:sz w:val="20"/>
              </w:rPr>
              <w:t>016</w:t>
            </w:r>
          </w:p>
        </w:tc>
        <w:tc>
          <w:tcPr>
            <w:tcW w:w="214" w:type="pct"/>
          </w:tcPr>
          <w:p w14:paraId="0605B7F8" w14:textId="2D99B4A0" w:rsidR="00897293" w:rsidRPr="00CC6553" w:rsidRDefault="00897293" w:rsidP="00B234F1">
            <w:pPr>
              <w:rPr>
                <w:rFonts w:cs="Arial"/>
                <w:color w:val="000000" w:themeColor="text1"/>
                <w:sz w:val="20"/>
              </w:rPr>
            </w:pPr>
            <w:r w:rsidRPr="00CC6553">
              <w:rPr>
                <w:rFonts w:cs="Arial"/>
                <w:color w:val="000000" w:themeColor="text1"/>
                <w:sz w:val="20"/>
              </w:rPr>
              <w:t>013</w:t>
            </w:r>
          </w:p>
        </w:tc>
        <w:tc>
          <w:tcPr>
            <w:tcW w:w="1521" w:type="pct"/>
          </w:tcPr>
          <w:p w14:paraId="246F4786" w14:textId="7CB32335" w:rsidR="00897293" w:rsidRPr="00CC6553" w:rsidRDefault="00897293" w:rsidP="00B234F1">
            <w:pPr>
              <w:rPr>
                <w:rFonts w:cs="Arial"/>
                <w:color w:val="000000" w:themeColor="text1"/>
                <w:sz w:val="20"/>
              </w:rPr>
            </w:pPr>
            <w:r w:rsidRPr="00CC6553">
              <w:rPr>
                <w:rFonts w:cs="Arial"/>
                <w:color w:val="000000" w:themeColor="text1"/>
                <w:sz w:val="20"/>
              </w:rPr>
              <w:t>Should this be more specific rather than follow local guidelines. Reference to national guidelines Change in renal function associated with drug treatment in heart failure: national guidance | HeartShould there be cross-reference to the TAs for patiromer and sodium zirconium cyclosilicate.</w:t>
            </w:r>
          </w:p>
        </w:tc>
        <w:tc>
          <w:tcPr>
            <w:tcW w:w="2122" w:type="pct"/>
          </w:tcPr>
          <w:p w14:paraId="5C17B822" w14:textId="42DDAE1B"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Thank you for your comment. The committee were unable to signpost to non NICE sources of information in the recommendations.  Section </w:t>
            </w:r>
            <w:r w:rsidRPr="00CC6553">
              <w:rPr>
                <w:rFonts w:cs="Arial"/>
                <w:b w:val="0"/>
                <w:color w:val="000000" w:themeColor="text1"/>
                <w:sz w:val="20"/>
              </w:rPr>
              <w:lastRenderedPageBreak/>
              <w:t>1.7 now cross refers to TA 599 and TA 623 on potassium binders.</w:t>
            </w:r>
          </w:p>
        </w:tc>
      </w:tr>
      <w:tr w:rsidR="00897293" w:rsidRPr="00CC6553" w14:paraId="06A9A01A" w14:textId="77777777" w:rsidTr="00897293">
        <w:trPr>
          <w:trHeight w:val="300"/>
        </w:trPr>
        <w:tc>
          <w:tcPr>
            <w:tcW w:w="109" w:type="pct"/>
          </w:tcPr>
          <w:p w14:paraId="3390C049"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238</w:t>
            </w:r>
          </w:p>
        </w:tc>
        <w:tc>
          <w:tcPr>
            <w:tcW w:w="143" w:type="pct"/>
          </w:tcPr>
          <w:p w14:paraId="532D8783" w14:textId="7F5A9439"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4B48203" w14:textId="50F5452B" w:rsidR="00897293" w:rsidRPr="00CC6553" w:rsidRDefault="00897293" w:rsidP="00B234F1">
            <w:pPr>
              <w:rPr>
                <w:rFonts w:cs="Arial"/>
                <w:bCs/>
                <w:iCs/>
                <w:color w:val="000000" w:themeColor="text1"/>
                <w:sz w:val="20"/>
              </w:rPr>
            </w:pPr>
            <w:r w:rsidRPr="00CC6553">
              <w:rPr>
                <w:rFonts w:cs="Arial"/>
                <w:color w:val="000000" w:themeColor="text1"/>
                <w:sz w:val="20"/>
              </w:rPr>
              <w:t>British Association for Nursing in Cardiovascular Care (BANCC)</w:t>
            </w:r>
          </w:p>
        </w:tc>
        <w:tc>
          <w:tcPr>
            <w:tcW w:w="279" w:type="pct"/>
          </w:tcPr>
          <w:p w14:paraId="6BEC6343" w14:textId="6C6B6334"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66A8E7B1" w14:textId="6EC9A0E6" w:rsidR="00897293" w:rsidRPr="00CC6553" w:rsidRDefault="00897293" w:rsidP="00B234F1">
            <w:pPr>
              <w:rPr>
                <w:rFonts w:cs="Arial"/>
                <w:color w:val="000000" w:themeColor="text1"/>
                <w:sz w:val="20"/>
              </w:rPr>
            </w:pPr>
            <w:r w:rsidRPr="00CC6553">
              <w:rPr>
                <w:rFonts w:cs="Arial"/>
                <w:color w:val="000000" w:themeColor="text1"/>
                <w:sz w:val="20"/>
              </w:rPr>
              <w:t>016</w:t>
            </w:r>
          </w:p>
        </w:tc>
        <w:tc>
          <w:tcPr>
            <w:tcW w:w="214" w:type="pct"/>
          </w:tcPr>
          <w:p w14:paraId="78CD4FEF" w14:textId="482E7DAF" w:rsidR="00897293" w:rsidRPr="00CC6553" w:rsidRDefault="00897293" w:rsidP="00B234F1">
            <w:pPr>
              <w:rPr>
                <w:rFonts w:cs="Arial"/>
                <w:color w:val="000000" w:themeColor="text1"/>
                <w:sz w:val="20"/>
              </w:rPr>
            </w:pPr>
            <w:r w:rsidRPr="00CC6553">
              <w:rPr>
                <w:rFonts w:cs="Arial"/>
                <w:color w:val="000000" w:themeColor="text1"/>
                <w:sz w:val="20"/>
              </w:rPr>
              <w:t>013</w:t>
            </w:r>
          </w:p>
        </w:tc>
        <w:tc>
          <w:tcPr>
            <w:tcW w:w="1521" w:type="pct"/>
          </w:tcPr>
          <w:p w14:paraId="77806D78" w14:textId="6A916021" w:rsidR="00897293" w:rsidRPr="00CC6553" w:rsidRDefault="00897293" w:rsidP="00B234F1">
            <w:pPr>
              <w:rPr>
                <w:rFonts w:cs="Arial"/>
                <w:color w:val="000000" w:themeColor="text1"/>
                <w:sz w:val="20"/>
              </w:rPr>
            </w:pPr>
            <w:r w:rsidRPr="00CC6553">
              <w:rPr>
                <w:rFonts w:cs="Arial"/>
                <w:color w:val="000000" w:themeColor="text1"/>
                <w:sz w:val="20"/>
              </w:rPr>
              <w:t xml:space="preserve">There may not be local guidelines in place for managing increased creatinine or potassium levels and clinicians working in general practice will be less confident at managing hyperkalaemia as there is less accessibility to ECG and rapid blood testing. </w:t>
            </w:r>
            <w:r w:rsidRPr="00CC6553">
              <w:rPr>
                <w:rFonts w:cs="Arial"/>
                <w:color w:val="000000" w:themeColor="text1"/>
                <w:sz w:val="20"/>
              </w:rPr>
              <w:br/>
              <w:t>Please can brief information be included in this guideline about management, to prevent unnecessary cessation of medication and to unify clinical practice.</w:t>
            </w:r>
          </w:p>
        </w:tc>
        <w:tc>
          <w:tcPr>
            <w:tcW w:w="2122" w:type="pct"/>
          </w:tcPr>
          <w:p w14:paraId="07FD18E7" w14:textId="0AF7D54F" w:rsidR="00897293" w:rsidRPr="00CC6553" w:rsidRDefault="00897293" w:rsidP="7D407D0E">
            <w:pPr>
              <w:rPr>
                <w:rFonts w:cs="Arial"/>
                <w:color w:val="000000" w:themeColor="text1"/>
                <w:sz w:val="20"/>
              </w:rPr>
            </w:pPr>
            <w:r w:rsidRPr="00CC6553">
              <w:rPr>
                <w:rFonts w:cs="Arial"/>
                <w:color w:val="000000" w:themeColor="text1"/>
                <w:sz w:val="20"/>
              </w:rPr>
              <w:t>Thank you for your comment.  The committee agreed that most, if not all patients, would be under the care of specialist services if they require an ARNI.  If a patient is not, then local protocols should be developed in conjunction with local heart failure services that adequately support primary care.  The committee acknowledge the large variation in local resource provision, including the availability and accessibility of heart failure services.</w:t>
            </w:r>
          </w:p>
          <w:p w14:paraId="14F4994B" w14:textId="145601B9" w:rsidR="00897293" w:rsidRPr="00CC6553" w:rsidRDefault="00897293" w:rsidP="7D407D0E">
            <w:pPr>
              <w:rPr>
                <w:rFonts w:cs="Arial"/>
                <w:color w:val="000000" w:themeColor="text1"/>
                <w:sz w:val="20"/>
                <w:highlight w:val="cyan"/>
              </w:rPr>
            </w:pPr>
            <w:r w:rsidRPr="00CC6553">
              <w:rPr>
                <w:rFonts w:cs="Arial"/>
                <w:color w:val="000000" w:themeColor="text1"/>
                <w:sz w:val="20"/>
              </w:rPr>
              <w:t xml:space="preserve">The scope of this update was the pharmacological management of chronic heart failure </w:t>
            </w:r>
            <w:hyperlink r:id="rId38">
              <w:r w:rsidRPr="00CC6553">
                <w:rPr>
                  <w:rStyle w:val="Hyperlink"/>
                  <w:rFonts w:cs="Arial"/>
                  <w:color w:val="000000" w:themeColor="text1"/>
                  <w:sz w:val="20"/>
                </w:rPr>
                <w:t>https://www.nice.org.uk/guidance/gid-ng10405/documents/final-scope</w:t>
              </w:r>
            </w:hyperlink>
            <w:r w:rsidRPr="00CC6553">
              <w:rPr>
                <w:rFonts w:cs="Arial"/>
                <w:color w:val="000000" w:themeColor="text1"/>
                <w:sz w:val="20"/>
              </w:rPr>
              <w:t xml:space="preserve"> and the committee is therefore unable to make specific recommendations on the management of hyperkalaemia.</w:t>
            </w:r>
          </w:p>
        </w:tc>
      </w:tr>
      <w:tr w:rsidR="00897293" w:rsidRPr="00CC6553" w14:paraId="0D7D093F" w14:textId="77777777" w:rsidTr="00897293">
        <w:trPr>
          <w:trHeight w:val="300"/>
        </w:trPr>
        <w:tc>
          <w:tcPr>
            <w:tcW w:w="109" w:type="pct"/>
          </w:tcPr>
          <w:p w14:paraId="346FAE5B" w14:textId="77777777" w:rsidR="00897293" w:rsidRPr="00CC6553" w:rsidRDefault="00897293" w:rsidP="00B234F1">
            <w:pPr>
              <w:rPr>
                <w:rFonts w:cs="Arial"/>
                <w:color w:val="000000" w:themeColor="text1"/>
                <w:sz w:val="20"/>
              </w:rPr>
            </w:pPr>
            <w:r w:rsidRPr="00CC6553">
              <w:rPr>
                <w:rFonts w:cs="Arial"/>
                <w:color w:val="000000" w:themeColor="text1"/>
                <w:sz w:val="20"/>
              </w:rPr>
              <w:t>239</w:t>
            </w:r>
          </w:p>
        </w:tc>
        <w:tc>
          <w:tcPr>
            <w:tcW w:w="143" w:type="pct"/>
          </w:tcPr>
          <w:p w14:paraId="3B80B9A4" w14:textId="047CDC1E"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545EA796" w14:textId="451525B8" w:rsidR="00897293" w:rsidRPr="00CC6553" w:rsidRDefault="00897293" w:rsidP="00B234F1">
            <w:pPr>
              <w:rPr>
                <w:rFonts w:cs="Arial"/>
                <w:bCs/>
                <w:iCs/>
                <w:color w:val="000000" w:themeColor="text1"/>
                <w:sz w:val="20"/>
              </w:rPr>
            </w:pPr>
            <w:r w:rsidRPr="00CC6553">
              <w:rPr>
                <w:rFonts w:cs="Arial"/>
                <w:color w:val="000000" w:themeColor="text1"/>
                <w:sz w:val="20"/>
              </w:rPr>
              <w:t>British Society for Heart Failure (BSHF)</w:t>
            </w:r>
          </w:p>
        </w:tc>
        <w:tc>
          <w:tcPr>
            <w:tcW w:w="279" w:type="pct"/>
          </w:tcPr>
          <w:p w14:paraId="4E500B9E" w14:textId="5754CDDF"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6FDA9C57" w14:textId="6B6ACF88" w:rsidR="00897293" w:rsidRPr="00CC6553" w:rsidRDefault="00897293" w:rsidP="00B234F1">
            <w:pPr>
              <w:rPr>
                <w:rFonts w:cs="Arial"/>
                <w:color w:val="000000" w:themeColor="text1"/>
                <w:sz w:val="20"/>
              </w:rPr>
            </w:pPr>
            <w:r w:rsidRPr="00CC6553">
              <w:rPr>
                <w:rFonts w:cs="Arial"/>
                <w:color w:val="000000" w:themeColor="text1"/>
                <w:sz w:val="20"/>
              </w:rPr>
              <w:t>016</w:t>
            </w:r>
          </w:p>
        </w:tc>
        <w:tc>
          <w:tcPr>
            <w:tcW w:w="214" w:type="pct"/>
          </w:tcPr>
          <w:p w14:paraId="30AC9DAF" w14:textId="7BA88758" w:rsidR="00897293" w:rsidRPr="00CC6553" w:rsidRDefault="00897293" w:rsidP="00B234F1">
            <w:pPr>
              <w:rPr>
                <w:rFonts w:cs="Arial"/>
                <w:color w:val="000000" w:themeColor="text1"/>
                <w:sz w:val="20"/>
              </w:rPr>
            </w:pPr>
            <w:r w:rsidRPr="00CC6553">
              <w:rPr>
                <w:rFonts w:cs="Arial"/>
                <w:color w:val="000000" w:themeColor="text1"/>
                <w:sz w:val="20"/>
              </w:rPr>
              <w:t>013</w:t>
            </w:r>
          </w:p>
        </w:tc>
        <w:tc>
          <w:tcPr>
            <w:tcW w:w="1521" w:type="pct"/>
          </w:tcPr>
          <w:p w14:paraId="692A0196" w14:textId="6621C3F4" w:rsidR="00897293" w:rsidRPr="00CC6553" w:rsidRDefault="00897293" w:rsidP="00B234F1">
            <w:pPr>
              <w:rPr>
                <w:rFonts w:cs="Arial"/>
                <w:color w:val="000000" w:themeColor="text1"/>
                <w:sz w:val="20"/>
              </w:rPr>
            </w:pPr>
            <w:r w:rsidRPr="00CC6553">
              <w:rPr>
                <w:rFonts w:cs="Arial"/>
                <w:color w:val="000000" w:themeColor="text1"/>
                <w:sz w:val="20"/>
              </w:rPr>
              <w:t xml:space="preserve">There may not be local guidelines in place for managing increased creatinine or potassium levels and clinicians working in general practice will be less confident at managing hyperkalaemia as there is less accessibility to ECG and rapid blood testing. </w:t>
            </w:r>
            <w:r w:rsidRPr="00CC6553">
              <w:rPr>
                <w:rFonts w:cs="Arial"/>
                <w:color w:val="000000" w:themeColor="text1"/>
                <w:sz w:val="20"/>
              </w:rPr>
              <w:br/>
              <w:t>Please can brief information be included in this guideline about management, to prevent unnecessary cessation of medication and to unify clinical practice.</w:t>
            </w:r>
          </w:p>
        </w:tc>
        <w:tc>
          <w:tcPr>
            <w:tcW w:w="2122" w:type="pct"/>
          </w:tcPr>
          <w:p w14:paraId="2014914F" w14:textId="0AF7D54F" w:rsidR="00897293" w:rsidRPr="00CC6553" w:rsidRDefault="00897293" w:rsidP="7D407D0E">
            <w:pPr>
              <w:rPr>
                <w:rFonts w:cs="Arial"/>
                <w:color w:val="000000" w:themeColor="text1"/>
                <w:sz w:val="20"/>
              </w:rPr>
            </w:pPr>
            <w:r w:rsidRPr="00CC6553">
              <w:rPr>
                <w:rFonts w:cs="Arial"/>
                <w:color w:val="000000" w:themeColor="text1"/>
                <w:sz w:val="20"/>
              </w:rPr>
              <w:t xml:space="preserve">Thank you for your comment.  The committee agreed that most, if not all patients, would be under the care of specialist services if they require an ARNI.  If a patient is not, then local protocols should be developed in conjunction with local heart failure services that adequately support </w:t>
            </w:r>
            <w:r w:rsidRPr="00CC6553">
              <w:rPr>
                <w:rFonts w:cs="Arial"/>
                <w:color w:val="000000" w:themeColor="text1"/>
                <w:sz w:val="20"/>
              </w:rPr>
              <w:lastRenderedPageBreak/>
              <w:t>primary care.  The committee acknowledge the large variation in local resource provision, including the availability and accessibility of heart failure services.</w:t>
            </w:r>
          </w:p>
          <w:p w14:paraId="0B8BCE7B" w14:textId="19C23365" w:rsidR="00897293" w:rsidRPr="00CC6553" w:rsidRDefault="00897293" w:rsidP="7D407D0E">
            <w:pPr>
              <w:pStyle w:val="Heading1"/>
              <w:rPr>
                <w:rFonts w:cs="Arial"/>
                <w:b w:val="0"/>
                <w:bCs w:val="0"/>
                <w:color w:val="000000" w:themeColor="text1"/>
                <w:sz w:val="20"/>
              </w:rPr>
            </w:pPr>
            <w:r w:rsidRPr="00CC6553">
              <w:rPr>
                <w:rFonts w:cs="Arial"/>
                <w:b w:val="0"/>
                <w:bCs w:val="0"/>
                <w:color w:val="000000" w:themeColor="text1"/>
                <w:sz w:val="20"/>
              </w:rPr>
              <w:t xml:space="preserve">The scope of this update was the pharmacological management of chronic heart failure </w:t>
            </w:r>
            <w:hyperlink r:id="rId39">
              <w:r w:rsidRPr="00CC6553">
                <w:rPr>
                  <w:rStyle w:val="Hyperlink"/>
                  <w:rFonts w:cs="Arial"/>
                  <w:b w:val="0"/>
                  <w:bCs w:val="0"/>
                  <w:color w:val="000000" w:themeColor="text1"/>
                  <w:sz w:val="20"/>
                </w:rPr>
                <w:t>https://www.nice.org.uk/guidance/gid-ng10405/documents/final-scope</w:t>
              </w:r>
            </w:hyperlink>
            <w:r w:rsidRPr="00CC6553">
              <w:rPr>
                <w:rFonts w:cs="Arial"/>
                <w:b w:val="0"/>
                <w:bCs w:val="0"/>
                <w:color w:val="000000" w:themeColor="text1"/>
                <w:sz w:val="20"/>
              </w:rPr>
              <w:t xml:space="preserve"> and the committee is therefore unable to make specific recommendations on the management of hyperkalaemia.</w:t>
            </w:r>
          </w:p>
        </w:tc>
      </w:tr>
      <w:tr w:rsidR="00897293" w:rsidRPr="00CC6553" w14:paraId="50C0F517" w14:textId="77777777" w:rsidTr="00897293">
        <w:trPr>
          <w:trHeight w:val="300"/>
        </w:trPr>
        <w:tc>
          <w:tcPr>
            <w:tcW w:w="109" w:type="pct"/>
          </w:tcPr>
          <w:p w14:paraId="10D87115"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240</w:t>
            </w:r>
          </w:p>
        </w:tc>
        <w:tc>
          <w:tcPr>
            <w:tcW w:w="143" w:type="pct"/>
          </w:tcPr>
          <w:p w14:paraId="5A76F923" w14:textId="10A2F088"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21408AA2" w14:textId="55F24269" w:rsidR="00897293" w:rsidRPr="00CC6553" w:rsidRDefault="00897293" w:rsidP="00B234F1">
            <w:pPr>
              <w:rPr>
                <w:rFonts w:cs="Arial"/>
                <w:bCs/>
                <w:iCs/>
                <w:color w:val="000000" w:themeColor="text1"/>
                <w:sz w:val="20"/>
              </w:rPr>
            </w:pPr>
            <w:r w:rsidRPr="00CC6553">
              <w:rPr>
                <w:rFonts w:cs="Arial"/>
                <w:color w:val="000000" w:themeColor="text1"/>
                <w:sz w:val="20"/>
              </w:rPr>
              <w:t>UK Clinical Pharmacy Association (UKCPA) – heart failure committee</w:t>
            </w:r>
          </w:p>
        </w:tc>
        <w:tc>
          <w:tcPr>
            <w:tcW w:w="279" w:type="pct"/>
          </w:tcPr>
          <w:p w14:paraId="4413374D" w14:textId="49EA880A"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303D65A2" w14:textId="4571D5ED" w:rsidR="00897293" w:rsidRPr="00CC6553" w:rsidRDefault="00897293" w:rsidP="00B234F1">
            <w:pPr>
              <w:rPr>
                <w:rFonts w:cs="Arial"/>
                <w:color w:val="000000" w:themeColor="text1"/>
                <w:sz w:val="20"/>
              </w:rPr>
            </w:pPr>
            <w:r w:rsidRPr="00CC6553">
              <w:rPr>
                <w:rFonts w:cs="Arial"/>
                <w:color w:val="000000" w:themeColor="text1"/>
                <w:sz w:val="20"/>
              </w:rPr>
              <w:t>016</w:t>
            </w:r>
          </w:p>
        </w:tc>
        <w:tc>
          <w:tcPr>
            <w:tcW w:w="214" w:type="pct"/>
          </w:tcPr>
          <w:p w14:paraId="3E70B777" w14:textId="3B28CD53" w:rsidR="00897293" w:rsidRPr="00CC6553" w:rsidRDefault="00897293" w:rsidP="00B234F1">
            <w:pPr>
              <w:rPr>
                <w:rFonts w:cs="Arial"/>
                <w:color w:val="000000" w:themeColor="text1"/>
                <w:sz w:val="20"/>
              </w:rPr>
            </w:pPr>
            <w:r w:rsidRPr="00CC6553">
              <w:rPr>
                <w:rFonts w:cs="Arial"/>
                <w:color w:val="000000" w:themeColor="text1"/>
                <w:sz w:val="20"/>
              </w:rPr>
              <w:t>013</w:t>
            </w:r>
          </w:p>
        </w:tc>
        <w:tc>
          <w:tcPr>
            <w:tcW w:w="1521" w:type="pct"/>
          </w:tcPr>
          <w:p w14:paraId="053B323E" w14:textId="38674C0C" w:rsidR="00897293" w:rsidRPr="00CC6553" w:rsidRDefault="00897293" w:rsidP="00B234F1">
            <w:pPr>
              <w:rPr>
                <w:rFonts w:cs="Arial"/>
                <w:color w:val="000000" w:themeColor="text1"/>
                <w:sz w:val="20"/>
              </w:rPr>
            </w:pPr>
            <w:r w:rsidRPr="00CC6553">
              <w:rPr>
                <w:rFonts w:cs="Arial"/>
                <w:color w:val="000000" w:themeColor="text1"/>
                <w:sz w:val="20"/>
              </w:rPr>
              <w:t>We support the recommendation but could also rephrase to say consider national or published guidance on renal changes in heart failure when making treatment decisions, in addition to local protocols – reference https://heart.bmj.com/content/heartjnl/105/12/904.full.pdf.</w:t>
            </w:r>
            <w:r w:rsidRPr="00CC6553">
              <w:rPr>
                <w:rFonts w:cs="Arial"/>
                <w:color w:val="000000" w:themeColor="text1"/>
                <w:sz w:val="20"/>
              </w:rPr>
              <w:br/>
            </w:r>
            <w:r w:rsidRPr="00CC6553">
              <w:rPr>
                <w:rFonts w:cs="Arial"/>
                <w:color w:val="000000" w:themeColor="text1"/>
                <w:sz w:val="20"/>
              </w:rPr>
              <w:br/>
              <w:t xml:space="preserve">There may not be local guidelines in place, and clinicians working in general practice will be less confident at managing hyperkalaemia as there is less accessibility to ECG and rapid blood testing. </w:t>
            </w:r>
            <w:r w:rsidRPr="00CC6553">
              <w:rPr>
                <w:rFonts w:cs="Arial"/>
                <w:color w:val="000000" w:themeColor="text1"/>
                <w:sz w:val="20"/>
              </w:rPr>
              <w:br/>
              <w:t xml:space="preserve">Please can brief information be included in this guideline about management, to prevent unnecessary cessation of medication and to unify clinical practice.  </w:t>
            </w:r>
            <w:r w:rsidRPr="00CC6553">
              <w:rPr>
                <w:rFonts w:cs="Arial"/>
                <w:color w:val="000000" w:themeColor="text1"/>
                <w:sz w:val="20"/>
              </w:rPr>
              <w:br/>
              <w:t>Or wording similar to:</w:t>
            </w:r>
            <w:r w:rsidRPr="00CC6553">
              <w:rPr>
                <w:rFonts w:cs="Arial"/>
                <w:color w:val="000000" w:themeColor="text1"/>
                <w:sz w:val="20"/>
              </w:rPr>
              <w:br/>
              <w:t>It is very rarely necessary to stop medication for patients with heart failure as clinical deterioration is likely if treatment is withdrawn, specialist advice should be sought.</w:t>
            </w:r>
          </w:p>
        </w:tc>
        <w:tc>
          <w:tcPr>
            <w:tcW w:w="2122" w:type="pct"/>
          </w:tcPr>
          <w:p w14:paraId="4B03181D" w14:textId="1D99F135" w:rsidR="00897293" w:rsidRPr="00CC6553" w:rsidRDefault="00897293" w:rsidP="7D407D0E">
            <w:pPr>
              <w:pStyle w:val="Heading1"/>
              <w:rPr>
                <w:rFonts w:cs="Arial"/>
                <w:b w:val="0"/>
                <w:bCs w:val="0"/>
                <w:color w:val="000000" w:themeColor="text1"/>
                <w:sz w:val="20"/>
              </w:rPr>
            </w:pPr>
            <w:r w:rsidRPr="00CC6553">
              <w:rPr>
                <w:rFonts w:cs="Arial"/>
                <w:b w:val="0"/>
                <w:bCs w:val="0"/>
                <w:color w:val="000000" w:themeColor="text1"/>
                <w:sz w:val="20"/>
              </w:rPr>
              <w:t xml:space="preserve">Thank you for your comment.  NICE guidelines are unable to signpost to non-NICE guidelines.  The committee agreed that most, if not all patients, would be under the care of specialist services if they require an ARNI.  If a patient is not, then local protocols should be developed in conjunction with local heart failure services that adequately support primary care.  The committee acknowledge the large variation in local resource provision, including the availability and accessibility of heart failure services.  The scope of this update was the pharmacological management of chronic heart failure </w:t>
            </w:r>
            <w:hyperlink r:id="rId40">
              <w:r w:rsidRPr="00CC6553">
                <w:rPr>
                  <w:rStyle w:val="Hyperlink"/>
                  <w:rFonts w:cs="Arial"/>
                  <w:b w:val="0"/>
                  <w:bCs w:val="0"/>
                  <w:color w:val="000000" w:themeColor="text1"/>
                  <w:sz w:val="20"/>
                </w:rPr>
                <w:t>https://www.nice.org.uk/guidance/gid</w:t>
              </w:r>
              <w:r w:rsidRPr="00CC6553">
                <w:rPr>
                  <w:rStyle w:val="Hyperlink"/>
                  <w:rFonts w:cs="Arial"/>
                  <w:b w:val="0"/>
                  <w:bCs w:val="0"/>
                  <w:color w:val="000000" w:themeColor="text1"/>
                  <w:sz w:val="20"/>
                </w:rPr>
                <w:lastRenderedPageBreak/>
                <w:t>-ng10405/documents/final-scope</w:t>
              </w:r>
            </w:hyperlink>
            <w:r w:rsidRPr="00CC6553">
              <w:rPr>
                <w:rFonts w:cs="Arial"/>
                <w:b w:val="0"/>
                <w:bCs w:val="0"/>
                <w:color w:val="000000" w:themeColor="text1"/>
                <w:sz w:val="20"/>
              </w:rPr>
              <w:t xml:space="preserve"> and the committee is therefore unable to make specific recommendations on the management of hyperkalaemia.</w:t>
            </w:r>
          </w:p>
        </w:tc>
      </w:tr>
      <w:tr w:rsidR="00897293" w:rsidRPr="00CC6553" w14:paraId="247848C7" w14:textId="77777777" w:rsidTr="00897293">
        <w:trPr>
          <w:trHeight w:val="300"/>
        </w:trPr>
        <w:tc>
          <w:tcPr>
            <w:tcW w:w="109" w:type="pct"/>
          </w:tcPr>
          <w:p w14:paraId="1587440E"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241</w:t>
            </w:r>
          </w:p>
        </w:tc>
        <w:tc>
          <w:tcPr>
            <w:tcW w:w="143" w:type="pct"/>
          </w:tcPr>
          <w:p w14:paraId="014A989E" w14:textId="37A91252"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25CD9C79" w14:textId="6C309D37" w:rsidR="00897293" w:rsidRPr="00CC6553" w:rsidRDefault="00897293" w:rsidP="00B234F1">
            <w:pPr>
              <w:rPr>
                <w:rFonts w:cs="Arial"/>
                <w:bCs/>
                <w:iCs/>
                <w:color w:val="000000" w:themeColor="text1"/>
                <w:sz w:val="20"/>
              </w:rPr>
            </w:pPr>
            <w:r w:rsidRPr="00CC6553">
              <w:rPr>
                <w:rFonts w:cs="Arial"/>
                <w:color w:val="000000" w:themeColor="text1"/>
                <w:sz w:val="20"/>
              </w:rPr>
              <w:t>AstraZeneca UK Ltd</w:t>
            </w:r>
          </w:p>
        </w:tc>
        <w:tc>
          <w:tcPr>
            <w:tcW w:w="279" w:type="pct"/>
          </w:tcPr>
          <w:p w14:paraId="5BF894D7" w14:textId="200C477C"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6A72DB00" w14:textId="121F274F" w:rsidR="00897293" w:rsidRPr="00CC6553" w:rsidRDefault="00897293" w:rsidP="00B234F1">
            <w:pPr>
              <w:rPr>
                <w:rFonts w:cs="Arial"/>
                <w:color w:val="000000" w:themeColor="text1"/>
                <w:sz w:val="20"/>
              </w:rPr>
            </w:pPr>
            <w:r w:rsidRPr="00CC6553">
              <w:rPr>
                <w:rFonts w:cs="Arial"/>
                <w:color w:val="000000" w:themeColor="text1"/>
                <w:sz w:val="20"/>
              </w:rPr>
              <w:t>016</w:t>
            </w:r>
          </w:p>
        </w:tc>
        <w:tc>
          <w:tcPr>
            <w:tcW w:w="214" w:type="pct"/>
          </w:tcPr>
          <w:p w14:paraId="53487DE5" w14:textId="5033AB35" w:rsidR="00897293" w:rsidRPr="00CC6553" w:rsidRDefault="00897293" w:rsidP="00B234F1">
            <w:pPr>
              <w:rPr>
                <w:rFonts w:cs="Arial"/>
                <w:color w:val="000000" w:themeColor="text1"/>
                <w:sz w:val="20"/>
              </w:rPr>
            </w:pPr>
            <w:r w:rsidRPr="00CC6553">
              <w:rPr>
                <w:rFonts w:cs="Arial"/>
                <w:color w:val="000000" w:themeColor="text1"/>
                <w:sz w:val="20"/>
              </w:rPr>
              <w:t>013</w:t>
            </w:r>
          </w:p>
        </w:tc>
        <w:tc>
          <w:tcPr>
            <w:tcW w:w="1521" w:type="pct"/>
          </w:tcPr>
          <w:p w14:paraId="1F128D70" w14:textId="693C0238" w:rsidR="00897293" w:rsidRPr="00CC6553" w:rsidRDefault="00897293" w:rsidP="00B234F1">
            <w:pPr>
              <w:rPr>
                <w:rFonts w:cs="Arial"/>
                <w:color w:val="000000" w:themeColor="text1"/>
                <w:sz w:val="20"/>
              </w:rPr>
            </w:pPr>
            <w:r w:rsidRPr="00CC6553">
              <w:rPr>
                <w:rFonts w:cs="Arial"/>
                <w:color w:val="000000" w:themeColor="text1"/>
                <w:sz w:val="20"/>
              </w:rPr>
              <w:t>Recommendation 1.7.8 advises that ‘If the person’s serum creatinine level increases by more than 50% or their potassium concentration increases to more than 5.5 mmol per litre, follow local guidelines’. AstraZeneca are concerned that the updated NICE guidelines will leave clinicians without sufficient local guidance on the management of hyperkalaemia in heart failure patients receiving RAASi therapies, putting patients at risk and creating inequalities in healthcare.</w:t>
            </w:r>
            <w:r w:rsidRPr="00CC6553">
              <w:rPr>
                <w:rFonts w:cs="Arial"/>
                <w:color w:val="000000" w:themeColor="text1"/>
                <w:sz w:val="20"/>
              </w:rPr>
              <w:br/>
            </w:r>
            <w:r w:rsidRPr="00CC6553">
              <w:rPr>
                <w:rFonts w:cs="Arial"/>
                <w:color w:val="000000" w:themeColor="text1"/>
                <w:sz w:val="20"/>
              </w:rPr>
              <w:br/>
              <w:t>The draft guideline assumes local guidelines for the management of hyperkalaemia in heart failure are in place and accessible to secondary and primary care clinicians in all localities. It is the experience of AstraZeneca that most areas do not have local guidance for the management of hyperkalaemia in heart failure. The absence of guidance from NICE on the appropriate management of hyperkalaemia will result in negative variations in practice and fewer patients receiving guideline recommended therapies, putting patients at risk.</w:t>
            </w:r>
            <w:r w:rsidRPr="00CC6553">
              <w:rPr>
                <w:rFonts w:cs="Arial"/>
                <w:color w:val="000000" w:themeColor="text1"/>
                <w:sz w:val="20"/>
              </w:rPr>
              <w:br/>
            </w:r>
            <w:r w:rsidRPr="00CC6553">
              <w:rPr>
                <w:rFonts w:cs="Arial"/>
                <w:color w:val="000000" w:themeColor="text1"/>
                <w:sz w:val="20"/>
              </w:rPr>
              <w:br/>
              <w:t>The draft guideline does not currently provide guidance on the medicines available to treat hyperkalaemia in patients with chronic heart failure, despite selective potassium binders having been evaluated by NICE since the previous update in 2018 and recommended as clinically and cost-effective treatments for hyperkalaemia in patients with heart failure that are receiving RAASi therapies. In line with NICE process and methods PMG47 NICE should incorporate guidance of sodium zirconium cyclosilicate (TA599, 2022) CITATION NIC22 \l 2057  [17] and patiromer (TA623, 2020) CITATION NIC20 \l 2057  [18] into the guideline to ensure healthcare professionals are aware of the treatment options available for hyperkalaemia.</w:t>
            </w:r>
            <w:r w:rsidRPr="00CC6553">
              <w:rPr>
                <w:rFonts w:cs="Arial"/>
                <w:color w:val="000000" w:themeColor="text1"/>
                <w:sz w:val="20"/>
              </w:rPr>
              <w:br/>
            </w:r>
            <w:r w:rsidRPr="00CC6553">
              <w:rPr>
                <w:rFonts w:cs="Arial"/>
                <w:color w:val="000000" w:themeColor="text1"/>
                <w:sz w:val="20"/>
              </w:rPr>
              <w:br/>
              <w:t xml:space="preserve">Since the previous update in 2018, multiple international clinical guidelines such </w:t>
            </w:r>
            <w:r w:rsidRPr="00CC6553">
              <w:rPr>
                <w:rFonts w:cs="Arial"/>
                <w:color w:val="000000" w:themeColor="text1"/>
                <w:sz w:val="20"/>
              </w:rPr>
              <w:lastRenderedPageBreak/>
              <w:t xml:space="preserve">as the ESC CITATION Eur23 \l 2057  [14] clinical practice guideline and AHA CITATION Ame22 \l 2057  [3] heart failure guideline have also highlighted the importance of maximising cardio-protective pharmacological treatments. However, in contrast to the draft NICE guideline they highlight the role of potassium binders in enabling optimised therapy and as a preferred option to manage hyperkalaemia instead of down-titration or discontinuation of these medicines CITATION Eur23 \l 2057  [14] CITATION Ame22 \l 2057  [3]. AstraZeneca propose that NICE also recommend that down-titration or discontinuation of the guideline directed RAASi therapies should be a last resort for those with hyperkalaemia. </w:t>
            </w:r>
            <w:r w:rsidRPr="00CC6553">
              <w:rPr>
                <w:rFonts w:cs="Arial"/>
                <w:color w:val="000000" w:themeColor="text1"/>
                <w:sz w:val="20"/>
              </w:rPr>
              <w:br/>
              <w:t xml:space="preserve"> </w:t>
            </w:r>
            <w:r w:rsidRPr="00CC6553">
              <w:rPr>
                <w:rFonts w:cs="Arial"/>
                <w:color w:val="000000" w:themeColor="text1"/>
                <w:sz w:val="20"/>
              </w:rPr>
              <w:br/>
              <w:t>In line with NICE’s ambition to ensure guidelines are living and clinically relevant, treatment guidelines should reflect NHS clinical practice. Therefore, AstraZeneca request that further guidance on the management of hyperkalaemia for those being treated for chronic heart failure be included, as it is in ESC CITATION Eur23 \l 2057  [14] and AHA CITATION Ame22 \l 2057  [3]. AstraZeneca recommends that the guideline should include:</w:t>
            </w:r>
            <w:r w:rsidRPr="00CC6553">
              <w:rPr>
                <w:rFonts w:cs="Arial"/>
                <w:color w:val="000000" w:themeColor="text1"/>
                <w:sz w:val="20"/>
              </w:rPr>
              <w:br/>
              <w:t xml:space="preserve">Highlighting that the clinical important benefits of optimising guideline recommended therapies outweigh the increased risk of hyperkalaemia. </w:t>
            </w:r>
            <w:r w:rsidRPr="00CC6553">
              <w:rPr>
                <w:rFonts w:cs="Arial"/>
                <w:color w:val="000000" w:themeColor="text1"/>
                <w:sz w:val="20"/>
              </w:rPr>
              <w:br/>
              <w:t>Incorporation of the existing NICE guidance of potassium binders for the treatment of hyperkalaemia in heart failure patients, sodium zirconium cyclosilicate (TA599, 2022) CITATION NIC22 \l 2057  [17] and patiromer (TA623, 2020) CITATION NIC20 \l 2057  [18].</w:t>
            </w:r>
            <w:r w:rsidRPr="00CC6553">
              <w:rPr>
                <w:rFonts w:cs="Arial"/>
                <w:color w:val="000000" w:themeColor="text1"/>
                <w:sz w:val="20"/>
              </w:rPr>
              <w:br/>
              <w:t>Incorporation of hyperkalaemia monitoring and management to the guideline visual summary</w:t>
            </w:r>
            <w:r w:rsidRPr="00CC6553">
              <w:rPr>
                <w:rFonts w:cs="Arial"/>
                <w:color w:val="000000" w:themeColor="text1"/>
                <w:sz w:val="20"/>
              </w:rPr>
              <w:br/>
              <w:t>Recommend that down-titration or discontinuation of the guideline-recommended therapies as a last resort if a patient experiences hyperkalaemia, and if this does occur the need to re-initiate and optimise therapy where possible to maintain cardiorenal protection.</w:t>
            </w:r>
          </w:p>
        </w:tc>
        <w:tc>
          <w:tcPr>
            <w:tcW w:w="2122" w:type="pct"/>
          </w:tcPr>
          <w:p w14:paraId="25C8D3F6" w14:textId="49C7A273" w:rsidR="00897293" w:rsidRPr="00CC6553" w:rsidRDefault="00897293" w:rsidP="7D407D0E">
            <w:pPr>
              <w:pStyle w:val="Heading1"/>
              <w:rPr>
                <w:rFonts w:cs="Arial"/>
                <w:b w:val="0"/>
                <w:bCs w:val="0"/>
                <w:color w:val="000000" w:themeColor="text1"/>
                <w:sz w:val="20"/>
              </w:rPr>
            </w:pPr>
            <w:r w:rsidRPr="00CC6553">
              <w:rPr>
                <w:rFonts w:cs="Arial"/>
                <w:b w:val="0"/>
                <w:bCs w:val="0"/>
                <w:color w:val="000000" w:themeColor="text1"/>
                <w:sz w:val="20"/>
              </w:rPr>
              <w:lastRenderedPageBreak/>
              <w:t>Thank you for your comment.  The scope of this update was the pharmacological management of chronic heart failure https://www.nice.org.uk/guidance/gid-ng10405/documents/final-scope and the committee is therefore unable to make recommendations on the management of hyperkalaemia.  The committee agreed that most, if not all patients, would be under the care of specialist services if they require an ARNI.  If a patient is not, then local protocols should be developed in conjunction with local heart failure services that adequately support primary care.  The committee acknowledge the large variation in local resource provision, including the availability and accessibility of heart failure services.   Section 1.7 now cross refers to TA 599 and TA 623 on potassium binders.</w:t>
            </w:r>
          </w:p>
        </w:tc>
      </w:tr>
      <w:tr w:rsidR="00897293" w:rsidRPr="00CC6553" w14:paraId="7718E266" w14:textId="77777777" w:rsidTr="00897293">
        <w:trPr>
          <w:trHeight w:val="300"/>
        </w:trPr>
        <w:tc>
          <w:tcPr>
            <w:tcW w:w="109" w:type="pct"/>
          </w:tcPr>
          <w:p w14:paraId="358CCDEA" w14:textId="77777777" w:rsidR="00897293" w:rsidRPr="00CC6553" w:rsidRDefault="00897293" w:rsidP="00B234F1">
            <w:pPr>
              <w:rPr>
                <w:rFonts w:cs="Arial"/>
                <w:color w:val="000000" w:themeColor="text1"/>
                <w:sz w:val="20"/>
              </w:rPr>
            </w:pPr>
            <w:r w:rsidRPr="00CC6553">
              <w:rPr>
                <w:rFonts w:cs="Arial"/>
                <w:color w:val="000000" w:themeColor="text1"/>
                <w:sz w:val="20"/>
              </w:rPr>
              <w:t>242</w:t>
            </w:r>
          </w:p>
        </w:tc>
        <w:tc>
          <w:tcPr>
            <w:tcW w:w="143" w:type="pct"/>
          </w:tcPr>
          <w:p w14:paraId="75C458C1" w14:textId="3E2E02C0"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088DE0A6" w14:textId="062C4284" w:rsidR="00897293" w:rsidRPr="00CC6553" w:rsidRDefault="00897293" w:rsidP="00B234F1">
            <w:pPr>
              <w:rPr>
                <w:rFonts w:cs="Arial"/>
                <w:bCs/>
                <w:iCs/>
                <w:color w:val="000000" w:themeColor="text1"/>
                <w:sz w:val="20"/>
              </w:rPr>
            </w:pPr>
            <w:r w:rsidRPr="00CC6553">
              <w:rPr>
                <w:rFonts w:cs="Arial"/>
                <w:color w:val="000000" w:themeColor="text1"/>
                <w:sz w:val="20"/>
              </w:rPr>
              <w:t>British Cardiovascular Society</w:t>
            </w:r>
          </w:p>
        </w:tc>
        <w:tc>
          <w:tcPr>
            <w:tcW w:w="279" w:type="pct"/>
          </w:tcPr>
          <w:p w14:paraId="45EFEF96" w14:textId="6B006F5B"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20C71893" w14:textId="0ABCF91D" w:rsidR="00897293" w:rsidRPr="00CC6553" w:rsidRDefault="00897293" w:rsidP="00B234F1">
            <w:pPr>
              <w:rPr>
                <w:rFonts w:cs="Arial"/>
                <w:color w:val="000000" w:themeColor="text1"/>
                <w:sz w:val="20"/>
              </w:rPr>
            </w:pPr>
            <w:r w:rsidRPr="00CC6553">
              <w:rPr>
                <w:rFonts w:cs="Arial"/>
                <w:color w:val="000000" w:themeColor="text1"/>
                <w:sz w:val="20"/>
              </w:rPr>
              <w:t>016</w:t>
            </w:r>
          </w:p>
        </w:tc>
        <w:tc>
          <w:tcPr>
            <w:tcW w:w="214" w:type="pct"/>
          </w:tcPr>
          <w:p w14:paraId="11067308" w14:textId="0EAD752D" w:rsidR="00897293" w:rsidRPr="00CC6553" w:rsidRDefault="00897293" w:rsidP="00B234F1">
            <w:pPr>
              <w:rPr>
                <w:rFonts w:cs="Arial"/>
                <w:color w:val="000000" w:themeColor="text1"/>
                <w:sz w:val="20"/>
              </w:rPr>
            </w:pPr>
            <w:r w:rsidRPr="00CC6553">
              <w:rPr>
                <w:rFonts w:cs="Arial"/>
                <w:color w:val="000000" w:themeColor="text1"/>
                <w:sz w:val="20"/>
              </w:rPr>
              <w:t>013</w:t>
            </w:r>
          </w:p>
        </w:tc>
        <w:tc>
          <w:tcPr>
            <w:tcW w:w="1521" w:type="pct"/>
          </w:tcPr>
          <w:p w14:paraId="3F77B327" w14:textId="6DDD2B1E" w:rsidR="00897293" w:rsidRPr="00CC6553" w:rsidRDefault="00897293" w:rsidP="00B234F1">
            <w:pPr>
              <w:rPr>
                <w:rFonts w:cs="Arial"/>
                <w:color w:val="000000" w:themeColor="text1"/>
                <w:sz w:val="20"/>
              </w:rPr>
            </w:pPr>
            <w:r w:rsidRPr="00CC6553">
              <w:rPr>
                <w:rFonts w:cs="Arial"/>
                <w:color w:val="000000" w:themeColor="text1"/>
                <w:sz w:val="20"/>
              </w:rPr>
              <w:t xml:space="preserve">What are the local guidelines referenced? Heart failure guidelines, kidney failure guidelines? Very unclear – better would be to be more specific about whether pausing/down titrating drugs is needed and then discussion with local heart failure </w:t>
            </w:r>
            <w:r w:rsidRPr="00CC6553">
              <w:rPr>
                <w:rFonts w:cs="Arial"/>
                <w:color w:val="000000" w:themeColor="text1"/>
                <w:sz w:val="20"/>
              </w:rPr>
              <w:lastRenderedPageBreak/>
              <w:t>and renal services as appropriate. If K&gt;6 then consider whether same day secondary care opinion is required?</w:t>
            </w:r>
          </w:p>
        </w:tc>
        <w:tc>
          <w:tcPr>
            <w:tcW w:w="2122" w:type="pct"/>
          </w:tcPr>
          <w:p w14:paraId="6E20B050" w14:textId="1F491D7E" w:rsidR="00897293" w:rsidRPr="00CC6553" w:rsidRDefault="00897293" w:rsidP="7D407D0E">
            <w:pPr>
              <w:pStyle w:val="Heading1"/>
              <w:rPr>
                <w:rFonts w:cs="Arial"/>
                <w:b w:val="0"/>
                <w:bCs w:val="0"/>
                <w:color w:val="000000" w:themeColor="text1"/>
                <w:sz w:val="20"/>
              </w:rPr>
            </w:pPr>
            <w:r w:rsidRPr="00CC6553">
              <w:rPr>
                <w:rFonts w:cs="Arial"/>
                <w:b w:val="0"/>
                <w:bCs w:val="0"/>
                <w:color w:val="000000" w:themeColor="text1"/>
                <w:sz w:val="20"/>
              </w:rPr>
              <w:lastRenderedPageBreak/>
              <w:t xml:space="preserve">Thank you for your comment.  Specific recommendation on the management of hyperkalaemia was outside of the scope of this guideline </w:t>
            </w:r>
            <w:r w:rsidRPr="00CC6553">
              <w:rPr>
                <w:rFonts w:cs="Arial"/>
                <w:b w:val="0"/>
                <w:bCs w:val="0"/>
                <w:color w:val="000000" w:themeColor="text1"/>
                <w:sz w:val="20"/>
              </w:rPr>
              <w:lastRenderedPageBreak/>
              <w:t xml:space="preserve">update. The committee agreed that most, if not all patients, would be under the care of specialist services if they require an ARNI.  If a patient is not, then local protocols should be developed in conjunction with local heart failure services that adequately support primary care.  The committee acknowledge the large variation in local resource provision, including the availability and accessibility of heart failure services.  </w:t>
            </w:r>
          </w:p>
        </w:tc>
      </w:tr>
      <w:tr w:rsidR="00897293" w:rsidRPr="00CC6553" w14:paraId="17613677" w14:textId="77777777" w:rsidTr="00897293">
        <w:trPr>
          <w:trHeight w:val="300"/>
        </w:trPr>
        <w:tc>
          <w:tcPr>
            <w:tcW w:w="109" w:type="pct"/>
          </w:tcPr>
          <w:p w14:paraId="10B24E48"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243</w:t>
            </w:r>
          </w:p>
        </w:tc>
        <w:tc>
          <w:tcPr>
            <w:tcW w:w="143" w:type="pct"/>
          </w:tcPr>
          <w:p w14:paraId="2371D0F0" w14:textId="3515B481"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069442D" w14:textId="58CC1808" w:rsidR="00897293" w:rsidRPr="00CC6553" w:rsidRDefault="00897293" w:rsidP="00B234F1">
            <w:pPr>
              <w:rPr>
                <w:rFonts w:cs="Arial"/>
                <w:bCs/>
                <w:iCs/>
                <w:color w:val="000000" w:themeColor="text1"/>
                <w:sz w:val="20"/>
              </w:rPr>
            </w:pPr>
            <w:r w:rsidRPr="00CC6553">
              <w:rPr>
                <w:rFonts w:cs="Arial"/>
                <w:color w:val="000000" w:themeColor="text1"/>
                <w:sz w:val="20"/>
              </w:rPr>
              <w:t>Alliance for Heart Failure</w:t>
            </w:r>
          </w:p>
        </w:tc>
        <w:tc>
          <w:tcPr>
            <w:tcW w:w="279" w:type="pct"/>
          </w:tcPr>
          <w:p w14:paraId="41696D01" w14:textId="3D7DEAD9"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0487A678" w14:textId="22A74D91" w:rsidR="00897293" w:rsidRPr="00CC6553" w:rsidRDefault="00897293" w:rsidP="00B234F1">
            <w:pPr>
              <w:rPr>
                <w:rFonts w:cs="Arial"/>
                <w:color w:val="000000" w:themeColor="text1"/>
                <w:sz w:val="20"/>
              </w:rPr>
            </w:pPr>
            <w:r w:rsidRPr="00CC6553">
              <w:rPr>
                <w:rFonts w:cs="Arial"/>
                <w:color w:val="000000" w:themeColor="text1"/>
                <w:sz w:val="20"/>
              </w:rPr>
              <w:t>016</w:t>
            </w:r>
          </w:p>
        </w:tc>
        <w:tc>
          <w:tcPr>
            <w:tcW w:w="214" w:type="pct"/>
          </w:tcPr>
          <w:p w14:paraId="6309FAAC" w14:textId="07577923" w:rsidR="00897293" w:rsidRPr="00CC6553" w:rsidRDefault="00897293" w:rsidP="00B234F1">
            <w:pPr>
              <w:rPr>
                <w:rFonts w:cs="Arial"/>
                <w:color w:val="000000" w:themeColor="text1"/>
                <w:sz w:val="20"/>
              </w:rPr>
            </w:pPr>
            <w:r w:rsidRPr="00CC6553">
              <w:rPr>
                <w:rFonts w:cs="Arial"/>
                <w:color w:val="000000" w:themeColor="text1"/>
                <w:sz w:val="20"/>
              </w:rPr>
              <w:t>013</w:t>
            </w:r>
          </w:p>
        </w:tc>
        <w:tc>
          <w:tcPr>
            <w:tcW w:w="1521" w:type="pct"/>
          </w:tcPr>
          <w:p w14:paraId="10E2715A" w14:textId="41CEF5CD" w:rsidR="00897293" w:rsidRPr="00CC6553" w:rsidRDefault="00897293" w:rsidP="00B234F1">
            <w:pPr>
              <w:rPr>
                <w:rFonts w:cs="Arial"/>
                <w:color w:val="000000" w:themeColor="text1"/>
                <w:sz w:val="20"/>
              </w:rPr>
            </w:pPr>
            <w:r w:rsidRPr="00CC6553">
              <w:rPr>
                <w:rFonts w:cs="Arial"/>
                <w:color w:val="000000" w:themeColor="text1"/>
                <w:sz w:val="20"/>
              </w:rPr>
              <w:t xml:space="preserve">Members of the Alliance are concerned that Recommendation 1.7.8 to ‘follow local guidelines’ will leave clinicians without sufficient guidance on the management of hyperkalaemia in heart failure patients receiving RAASi therapies. Most areas do not have local guidance for the management of hyperkalaemia in heart failure. The absence of guidance from NICE on the appropriate management of hyperkalaemia will result in negative variations in practice and fewer patients receiving the guideline recommended therapies, putting patients at risk. </w:t>
            </w:r>
            <w:r w:rsidRPr="00CC6553">
              <w:rPr>
                <w:rFonts w:cs="Arial"/>
                <w:color w:val="000000" w:themeColor="text1"/>
                <w:sz w:val="20"/>
              </w:rPr>
              <w:br/>
            </w:r>
            <w:r w:rsidRPr="00CC6553">
              <w:rPr>
                <w:rFonts w:cs="Arial"/>
                <w:color w:val="000000" w:themeColor="text1"/>
                <w:sz w:val="20"/>
              </w:rPr>
              <w:br/>
              <w:t>We recommend, in line with NICE process and methods PMG47 NICE, that the selective potassium binders sodium zirconium cyclosilicate (TA599, 2022) and patiromer (TA623, 2020) be incorporated into the guideline to ensure healthcare professionals are aware of the treatment options available for heart failure patients with hyperkalemia.</w:t>
            </w:r>
          </w:p>
        </w:tc>
        <w:tc>
          <w:tcPr>
            <w:tcW w:w="2122" w:type="pct"/>
          </w:tcPr>
          <w:p w14:paraId="5A234D81" w14:textId="4CF268B7" w:rsidR="00897293" w:rsidRPr="00CC6553" w:rsidRDefault="00897293" w:rsidP="7D407D0E">
            <w:pPr>
              <w:pStyle w:val="Heading1"/>
              <w:rPr>
                <w:rFonts w:cs="Arial"/>
                <w:b w:val="0"/>
                <w:bCs w:val="0"/>
                <w:color w:val="000000" w:themeColor="text1"/>
                <w:sz w:val="20"/>
              </w:rPr>
            </w:pPr>
            <w:r w:rsidRPr="00CC6553">
              <w:rPr>
                <w:rFonts w:cs="Arial"/>
                <w:b w:val="0"/>
                <w:bCs w:val="0"/>
                <w:color w:val="000000" w:themeColor="text1"/>
                <w:sz w:val="20"/>
              </w:rPr>
              <w:t xml:space="preserve">Thank you for your comment.  The scope of this update was the pharmacological management of chronic heart failure https://www.nice.org.uk/guidance/gid-ng10405/documents/final-scope and the committee is therefore unable to make recommendations on the management of hyperkalaemia. The committee agreed that most, if not all patients, would be under the care of specialist services if they require an ARNI.  If a patient is not, then local protocols should be developed in conjunction with local heart failure services that adequately support primary care.  The committee acknowledge the large variation in local resource provision, including the availability </w:t>
            </w:r>
            <w:r w:rsidRPr="00CC6553">
              <w:rPr>
                <w:rFonts w:cs="Arial"/>
                <w:b w:val="0"/>
                <w:bCs w:val="0"/>
                <w:color w:val="000000" w:themeColor="text1"/>
                <w:sz w:val="20"/>
              </w:rPr>
              <w:lastRenderedPageBreak/>
              <w:t>and accessibility of heart failure services.    Section 1.7 now cross refers to TA 599 and TA 623 on potassium binders.</w:t>
            </w:r>
          </w:p>
        </w:tc>
      </w:tr>
      <w:tr w:rsidR="00897293" w:rsidRPr="00CC6553" w14:paraId="38683421" w14:textId="77777777" w:rsidTr="00897293">
        <w:trPr>
          <w:trHeight w:val="300"/>
        </w:trPr>
        <w:tc>
          <w:tcPr>
            <w:tcW w:w="109" w:type="pct"/>
          </w:tcPr>
          <w:p w14:paraId="07733C97"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244</w:t>
            </w:r>
          </w:p>
        </w:tc>
        <w:tc>
          <w:tcPr>
            <w:tcW w:w="143" w:type="pct"/>
          </w:tcPr>
          <w:p w14:paraId="6AE819A9" w14:textId="3BB89B41"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52D5A0F" w14:textId="3428E807"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17E4E06C" w14:textId="205A1F19"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42824316" w14:textId="3C67D1A8" w:rsidR="00897293" w:rsidRPr="00CC6553" w:rsidRDefault="00897293" w:rsidP="00B234F1">
            <w:pPr>
              <w:rPr>
                <w:rFonts w:cs="Arial"/>
                <w:color w:val="000000" w:themeColor="text1"/>
                <w:sz w:val="20"/>
              </w:rPr>
            </w:pPr>
            <w:r w:rsidRPr="00CC6553">
              <w:rPr>
                <w:rFonts w:cs="Arial"/>
                <w:color w:val="000000" w:themeColor="text1"/>
                <w:sz w:val="20"/>
              </w:rPr>
              <w:t>016</w:t>
            </w:r>
          </w:p>
        </w:tc>
        <w:tc>
          <w:tcPr>
            <w:tcW w:w="214" w:type="pct"/>
          </w:tcPr>
          <w:p w14:paraId="1A547125" w14:textId="75E2F01F" w:rsidR="00897293" w:rsidRPr="00CC6553" w:rsidRDefault="00897293" w:rsidP="00B234F1">
            <w:pPr>
              <w:rPr>
                <w:rFonts w:cs="Arial"/>
                <w:color w:val="000000" w:themeColor="text1"/>
                <w:sz w:val="20"/>
              </w:rPr>
            </w:pPr>
            <w:r w:rsidRPr="00CC6553">
              <w:rPr>
                <w:rFonts w:cs="Arial"/>
                <w:color w:val="000000" w:themeColor="text1"/>
                <w:sz w:val="20"/>
              </w:rPr>
              <w:t>016</w:t>
            </w:r>
          </w:p>
        </w:tc>
        <w:tc>
          <w:tcPr>
            <w:tcW w:w="1521" w:type="pct"/>
          </w:tcPr>
          <w:p w14:paraId="34855D3A" w14:textId="1E22CA27" w:rsidR="00897293" w:rsidRPr="00CC6553" w:rsidRDefault="00897293" w:rsidP="00B234F1">
            <w:pPr>
              <w:rPr>
                <w:rFonts w:cs="Arial"/>
                <w:color w:val="000000" w:themeColor="text1"/>
                <w:sz w:val="20"/>
              </w:rPr>
            </w:pPr>
            <w:r w:rsidRPr="00CC6553">
              <w:rPr>
                <w:rFonts w:cs="Arial"/>
                <w:color w:val="000000" w:themeColor="text1"/>
                <w:sz w:val="20"/>
              </w:rPr>
              <w:t>Measure blood pressure, both when the person is standing, and sitting or lying on their back, before and after each dose increment. Follow the recommendations on measuring blood pressure, including for people with postural hypotension, in NICE’s guideline on hypertension in adults. [2025]</w:t>
            </w:r>
            <w:r w:rsidRPr="00CC6553">
              <w:rPr>
                <w:rFonts w:cs="Arial"/>
                <w:color w:val="000000" w:themeColor="text1"/>
                <w:sz w:val="20"/>
              </w:rPr>
              <w:br/>
              <w:t>This recommendation will prevent remote HF optimisation, a cornerstone of the NHSE ‘Managing HF at Home strategy, and needs to be rewritten to say. ‘Consider frailty in all HF patients and if present or if postural symptoms are reported, measure blood pressure, both when the person is standing, and sitting or lying on their back, before and after each dose increment.’</w:t>
            </w:r>
          </w:p>
        </w:tc>
        <w:tc>
          <w:tcPr>
            <w:tcW w:w="2122" w:type="pct"/>
          </w:tcPr>
          <w:p w14:paraId="7B564A2A" w14:textId="14A14DA1"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Thank you for your comment.  This recommendation has been edited to included reference to a person taking their own blood pressure.  The committee agreed that blood pressure should be measured </w:t>
            </w:r>
            <w:r w:rsidRPr="6763097B">
              <w:rPr>
                <w:rFonts w:cs="Arial"/>
                <w:b w:val="0"/>
                <w:bCs w:val="0"/>
                <w:color w:val="000000" w:themeColor="text1"/>
                <w:sz w:val="20"/>
              </w:rPr>
              <w:t xml:space="preserve">in </w:t>
            </w:r>
            <w:r w:rsidRPr="00CC6553">
              <w:rPr>
                <w:rFonts w:cs="Arial"/>
                <w:b w:val="0"/>
                <w:color w:val="000000" w:themeColor="text1"/>
                <w:sz w:val="20"/>
              </w:rPr>
              <w:t>all people before and after each dose increment as changes can occur in all people with chronic heart failure and not just those that are frail.</w:t>
            </w:r>
          </w:p>
        </w:tc>
      </w:tr>
      <w:tr w:rsidR="00897293" w:rsidRPr="00CC6553" w14:paraId="5DF6AD9A" w14:textId="77777777" w:rsidTr="00897293">
        <w:trPr>
          <w:trHeight w:val="300"/>
        </w:trPr>
        <w:tc>
          <w:tcPr>
            <w:tcW w:w="109" w:type="pct"/>
          </w:tcPr>
          <w:p w14:paraId="10A4AE08" w14:textId="77777777" w:rsidR="00897293" w:rsidRPr="00CC6553" w:rsidRDefault="00897293" w:rsidP="00B234F1">
            <w:pPr>
              <w:rPr>
                <w:rFonts w:cs="Arial"/>
                <w:color w:val="000000" w:themeColor="text1"/>
                <w:sz w:val="20"/>
              </w:rPr>
            </w:pPr>
            <w:r w:rsidRPr="00CC6553">
              <w:rPr>
                <w:rFonts w:cs="Arial"/>
                <w:color w:val="000000" w:themeColor="text1"/>
                <w:sz w:val="20"/>
              </w:rPr>
              <w:t>245</w:t>
            </w:r>
          </w:p>
        </w:tc>
        <w:tc>
          <w:tcPr>
            <w:tcW w:w="143" w:type="pct"/>
          </w:tcPr>
          <w:p w14:paraId="18B52CCB" w14:textId="37B1FB6E"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798430F3" w14:textId="42078CD1"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5F56C5DF" w14:textId="36B2104F"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1EF1F5EC" w14:textId="68286D21" w:rsidR="00897293" w:rsidRPr="00CC6553" w:rsidRDefault="00897293" w:rsidP="00B234F1">
            <w:pPr>
              <w:rPr>
                <w:rFonts w:cs="Arial"/>
                <w:color w:val="000000" w:themeColor="text1"/>
                <w:sz w:val="20"/>
              </w:rPr>
            </w:pPr>
            <w:r w:rsidRPr="00CC6553">
              <w:rPr>
                <w:rFonts w:cs="Arial"/>
                <w:color w:val="000000" w:themeColor="text1"/>
                <w:sz w:val="20"/>
              </w:rPr>
              <w:t>016</w:t>
            </w:r>
          </w:p>
        </w:tc>
        <w:tc>
          <w:tcPr>
            <w:tcW w:w="214" w:type="pct"/>
          </w:tcPr>
          <w:p w14:paraId="43742684" w14:textId="71EF814C" w:rsidR="00897293" w:rsidRPr="00CC6553" w:rsidRDefault="00897293" w:rsidP="00B234F1">
            <w:pPr>
              <w:rPr>
                <w:rFonts w:cs="Arial"/>
                <w:color w:val="000000" w:themeColor="text1"/>
                <w:sz w:val="20"/>
              </w:rPr>
            </w:pPr>
            <w:r w:rsidRPr="00CC6553">
              <w:rPr>
                <w:rFonts w:cs="Arial"/>
                <w:color w:val="000000" w:themeColor="text1"/>
                <w:sz w:val="20"/>
              </w:rPr>
              <w:t>016</w:t>
            </w:r>
          </w:p>
        </w:tc>
        <w:tc>
          <w:tcPr>
            <w:tcW w:w="1521" w:type="pct"/>
          </w:tcPr>
          <w:p w14:paraId="59F6703E" w14:textId="0C40398C" w:rsidR="00897293" w:rsidRPr="00CC6553" w:rsidRDefault="00897293" w:rsidP="00B234F1">
            <w:pPr>
              <w:rPr>
                <w:rFonts w:cs="Arial"/>
                <w:color w:val="000000" w:themeColor="text1"/>
                <w:sz w:val="20"/>
              </w:rPr>
            </w:pPr>
            <w:r w:rsidRPr="00CC6553">
              <w:rPr>
                <w:rFonts w:cs="Arial"/>
                <w:color w:val="000000" w:themeColor="text1"/>
                <w:sz w:val="20"/>
              </w:rPr>
              <w:t>Consider adding in that consideration should be taken of patients home readings to take into account possible ‘white coat’ BP readings.</w:t>
            </w:r>
          </w:p>
        </w:tc>
        <w:tc>
          <w:tcPr>
            <w:tcW w:w="2122" w:type="pct"/>
          </w:tcPr>
          <w:p w14:paraId="5E3CCFA4" w14:textId="15DFDC02" w:rsidR="00897293" w:rsidRPr="00CC6553" w:rsidRDefault="00897293" w:rsidP="21434BE0">
            <w:pPr>
              <w:pStyle w:val="Heading1"/>
              <w:rPr>
                <w:rFonts w:cs="Arial"/>
                <w:b w:val="0"/>
                <w:bCs w:val="0"/>
                <w:color w:val="000000" w:themeColor="text1"/>
                <w:sz w:val="20"/>
              </w:rPr>
            </w:pPr>
            <w:r w:rsidRPr="00CC6553">
              <w:rPr>
                <w:rFonts w:cs="Arial"/>
                <w:b w:val="0"/>
                <w:bCs w:val="0"/>
                <w:color w:val="000000" w:themeColor="text1"/>
                <w:sz w:val="20"/>
              </w:rPr>
              <w:t>Thank you for your comment.  The recommendation now cross refers to the NICE guideline on hypertension for how to measure blood pressure.</w:t>
            </w:r>
          </w:p>
        </w:tc>
      </w:tr>
      <w:tr w:rsidR="00897293" w:rsidRPr="00CC6553" w14:paraId="1C090E5C" w14:textId="77777777" w:rsidTr="00897293">
        <w:trPr>
          <w:trHeight w:val="300"/>
        </w:trPr>
        <w:tc>
          <w:tcPr>
            <w:tcW w:w="109" w:type="pct"/>
          </w:tcPr>
          <w:p w14:paraId="5B6EE3C8" w14:textId="77777777" w:rsidR="00897293" w:rsidRPr="00CC6553" w:rsidRDefault="00897293" w:rsidP="00B234F1">
            <w:pPr>
              <w:rPr>
                <w:rFonts w:cs="Arial"/>
                <w:color w:val="000000" w:themeColor="text1"/>
                <w:sz w:val="20"/>
              </w:rPr>
            </w:pPr>
            <w:r w:rsidRPr="00CC6553">
              <w:rPr>
                <w:rFonts w:cs="Arial"/>
                <w:color w:val="000000" w:themeColor="text1"/>
                <w:sz w:val="20"/>
              </w:rPr>
              <w:t>246</w:t>
            </w:r>
          </w:p>
        </w:tc>
        <w:tc>
          <w:tcPr>
            <w:tcW w:w="143" w:type="pct"/>
          </w:tcPr>
          <w:p w14:paraId="48254CA4" w14:textId="16EC69EE"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59FA1960" w14:textId="06A8A08A" w:rsidR="00897293" w:rsidRPr="00CC6553" w:rsidRDefault="00897293" w:rsidP="00B234F1">
            <w:pPr>
              <w:rPr>
                <w:rFonts w:cs="Arial"/>
                <w:bCs/>
                <w:iCs/>
                <w:color w:val="000000" w:themeColor="text1"/>
                <w:sz w:val="20"/>
              </w:rPr>
            </w:pPr>
            <w:r w:rsidRPr="00CC6553">
              <w:rPr>
                <w:rFonts w:cs="Arial"/>
                <w:color w:val="000000" w:themeColor="text1"/>
                <w:sz w:val="20"/>
              </w:rPr>
              <w:t>British Association for Nursing in Cardiovascular Care (BANCC)</w:t>
            </w:r>
          </w:p>
        </w:tc>
        <w:tc>
          <w:tcPr>
            <w:tcW w:w="279" w:type="pct"/>
          </w:tcPr>
          <w:p w14:paraId="6AAC63FF" w14:textId="0E236FC7"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72850B98" w14:textId="0083EE21" w:rsidR="00897293" w:rsidRPr="00CC6553" w:rsidRDefault="00897293" w:rsidP="00B234F1">
            <w:pPr>
              <w:rPr>
                <w:rFonts w:cs="Arial"/>
                <w:color w:val="000000" w:themeColor="text1"/>
                <w:sz w:val="20"/>
              </w:rPr>
            </w:pPr>
            <w:r w:rsidRPr="00CC6553">
              <w:rPr>
                <w:rFonts w:cs="Arial"/>
                <w:color w:val="000000" w:themeColor="text1"/>
                <w:sz w:val="20"/>
              </w:rPr>
              <w:t>016</w:t>
            </w:r>
          </w:p>
        </w:tc>
        <w:tc>
          <w:tcPr>
            <w:tcW w:w="214" w:type="pct"/>
          </w:tcPr>
          <w:p w14:paraId="751ABDE0" w14:textId="60530A61" w:rsidR="00897293" w:rsidRPr="00CC6553" w:rsidRDefault="00897293" w:rsidP="00B234F1">
            <w:pPr>
              <w:rPr>
                <w:rFonts w:cs="Arial"/>
                <w:color w:val="000000" w:themeColor="text1"/>
                <w:sz w:val="20"/>
              </w:rPr>
            </w:pPr>
            <w:r w:rsidRPr="00CC6553">
              <w:rPr>
                <w:rFonts w:cs="Arial"/>
                <w:color w:val="000000" w:themeColor="text1"/>
                <w:sz w:val="20"/>
              </w:rPr>
              <w:t>016</w:t>
            </w:r>
          </w:p>
        </w:tc>
        <w:tc>
          <w:tcPr>
            <w:tcW w:w="1521" w:type="pct"/>
          </w:tcPr>
          <w:p w14:paraId="1DF33DBA" w14:textId="28C2C7BF" w:rsidR="00897293" w:rsidRPr="00CC6553" w:rsidRDefault="00897293" w:rsidP="00B234F1">
            <w:pPr>
              <w:rPr>
                <w:rFonts w:cs="Arial"/>
                <w:color w:val="000000" w:themeColor="text1"/>
                <w:sz w:val="20"/>
              </w:rPr>
            </w:pPr>
            <w:r w:rsidRPr="00CC6553">
              <w:rPr>
                <w:rFonts w:cs="Arial"/>
                <w:color w:val="000000" w:themeColor="text1"/>
                <w:sz w:val="20"/>
              </w:rPr>
              <w:t>Mandating postural BP checks before any titration is a barrier to recent evidenced practice from STRONG-HF and the focused ESC update of rapid optimisation.</w:t>
            </w:r>
            <w:r w:rsidRPr="00CC6553">
              <w:rPr>
                <w:rFonts w:cs="Arial"/>
                <w:color w:val="000000" w:themeColor="text1"/>
                <w:sz w:val="20"/>
              </w:rPr>
              <w:br/>
              <w:t>Several services utilise remote titrations based on data uploaded by patients to digital apps or reported over the phone. This will create unnecessary challenges/barriers in optimisation of an asymptomatic patient.</w:t>
            </w:r>
          </w:p>
        </w:tc>
        <w:tc>
          <w:tcPr>
            <w:tcW w:w="2122" w:type="pct"/>
          </w:tcPr>
          <w:p w14:paraId="1793CC15" w14:textId="26384F50"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Thank you for your comment.  The committee agreed that it is important to measure blood pressure before and after each dose increment in order to manage postural hypotension and its consequences for example falls. This recommendation has been edited to included reference to a person taking their own blood pressure.  </w:t>
            </w:r>
          </w:p>
        </w:tc>
      </w:tr>
      <w:tr w:rsidR="00897293" w:rsidRPr="00CC6553" w14:paraId="384B6553" w14:textId="77777777" w:rsidTr="00897293">
        <w:trPr>
          <w:trHeight w:val="300"/>
        </w:trPr>
        <w:tc>
          <w:tcPr>
            <w:tcW w:w="109" w:type="pct"/>
          </w:tcPr>
          <w:p w14:paraId="227892E6" w14:textId="77777777" w:rsidR="00897293" w:rsidRPr="00CC6553" w:rsidRDefault="00897293" w:rsidP="00B234F1">
            <w:pPr>
              <w:rPr>
                <w:rFonts w:cs="Arial"/>
                <w:color w:val="000000" w:themeColor="text1"/>
                <w:sz w:val="20"/>
              </w:rPr>
            </w:pPr>
            <w:r w:rsidRPr="00CC6553">
              <w:rPr>
                <w:rFonts w:cs="Arial"/>
                <w:color w:val="000000" w:themeColor="text1"/>
                <w:sz w:val="20"/>
              </w:rPr>
              <w:t>247</w:t>
            </w:r>
          </w:p>
        </w:tc>
        <w:tc>
          <w:tcPr>
            <w:tcW w:w="143" w:type="pct"/>
          </w:tcPr>
          <w:p w14:paraId="06A8533B" w14:textId="6C6EB4B3"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028DB177" w14:textId="6E171B0E" w:rsidR="00897293" w:rsidRPr="00CC6553" w:rsidRDefault="00897293" w:rsidP="00B234F1">
            <w:pPr>
              <w:rPr>
                <w:rFonts w:cs="Arial"/>
                <w:bCs/>
                <w:iCs/>
                <w:color w:val="000000" w:themeColor="text1"/>
                <w:sz w:val="20"/>
              </w:rPr>
            </w:pPr>
            <w:r w:rsidRPr="00CC6553">
              <w:rPr>
                <w:rFonts w:cs="Arial"/>
                <w:color w:val="000000" w:themeColor="text1"/>
                <w:sz w:val="20"/>
              </w:rPr>
              <w:t xml:space="preserve">British Society for </w:t>
            </w:r>
            <w:r w:rsidRPr="00CC6553">
              <w:rPr>
                <w:rFonts w:cs="Arial"/>
                <w:color w:val="000000" w:themeColor="text1"/>
                <w:sz w:val="20"/>
              </w:rPr>
              <w:lastRenderedPageBreak/>
              <w:t>Heart Failure (BSHF)</w:t>
            </w:r>
          </w:p>
        </w:tc>
        <w:tc>
          <w:tcPr>
            <w:tcW w:w="279" w:type="pct"/>
          </w:tcPr>
          <w:p w14:paraId="10DDCA18" w14:textId="0775D4D0" w:rsidR="00897293" w:rsidRPr="00CC6553" w:rsidRDefault="00897293" w:rsidP="00B234F1">
            <w:pPr>
              <w:rPr>
                <w:rFonts w:cs="Arial"/>
                <w:color w:val="000000" w:themeColor="text1"/>
                <w:sz w:val="20"/>
              </w:rPr>
            </w:pPr>
            <w:r w:rsidRPr="00CC6553">
              <w:rPr>
                <w:rFonts w:cs="Arial"/>
                <w:color w:val="000000" w:themeColor="text1"/>
                <w:sz w:val="20"/>
              </w:rPr>
              <w:lastRenderedPageBreak/>
              <w:t>Guideline</w:t>
            </w:r>
          </w:p>
        </w:tc>
        <w:tc>
          <w:tcPr>
            <w:tcW w:w="214" w:type="pct"/>
          </w:tcPr>
          <w:p w14:paraId="279EC67A" w14:textId="4E71D241" w:rsidR="00897293" w:rsidRPr="00CC6553" w:rsidRDefault="00897293" w:rsidP="00B234F1">
            <w:pPr>
              <w:rPr>
                <w:rFonts w:cs="Arial"/>
                <w:color w:val="000000" w:themeColor="text1"/>
                <w:sz w:val="20"/>
              </w:rPr>
            </w:pPr>
            <w:r w:rsidRPr="00CC6553">
              <w:rPr>
                <w:rFonts w:cs="Arial"/>
                <w:color w:val="000000" w:themeColor="text1"/>
                <w:sz w:val="20"/>
              </w:rPr>
              <w:t>016</w:t>
            </w:r>
          </w:p>
        </w:tc>
        <w:tc>
          <w:tcPr>
            <w:tcW w:w="214" w:type="pct"/>
          </w:tcPr>
          <w:p w14:paraId="1130F2F1" w14:textId="7F9BE545" w:rsidR="00897293" w:rsidRPr="00CC6553" w:rsidRDefault="00897293" w:rsidP="00B234F1">
            <w:pPr>
              <w:rPr>
                <w:rFonts w:cs="Arial"/>
                <w:color w:val="000000" w:themeColor="text1"/>
                <w:sz w:val="20"/>
              </w:rPr>
            </w:pPr>
            <w:r w:rsidRPr="00CC6553">
              <w:rPr>
                <w:rFonts w:cs="Arial"/>
                <w:color w:val="000000" w:themeColor="text1"/>
                <w:sz w:val="20"/>
              </w:rPr>
              <w:t>016</w:t>
            </w:r>
          </w:p>
        </w:tc>
        <w:tc>
          <w:tcPr>
            <w:tcW w:w="1521" w:type="pct"/>
          </w:tcPr>
          <w:p w14:paraId="1DE4B902" w14:textId="53759FE2" w:rsidR="00897293" w:rsidRPr="00CC6553" w:rsidRDefault="00897293" w:rsidP="00B234F1">
            <w:pPr>
              <w:rPr>
                <w:rFonts w:cs="Arial"/>
                <w:color w:val="000000" w:themeColor="text1"/>
                <w:sz w:val="20"/>
              </w:rPr>
            </w:pPr>
            <w:r w:rsidRPr="00CC6553">
              <w:rPr>
                <w:rFonts w:cs="Arial"/>
                <w:color w:val="000000" w:themeColor="text1"/>
                <w:sz w:val="20"/>
              </w:rPr>
              <w:t xml:space="preserve">Mandating postural BP checks before any titration is potentially a barrier to services following the evidence around prompt titration. Many teams will now make remote titrations based on data uploaded by patients to digital apps or </w:t>
            </w:r>
            <w:r w:rsidRPr="00CC6553">
              <w:rPr>
                <w:rFonts w:cs="Arial"/>
                <w:color w:val="000000" w:themeColor="text1"/>
                <w:sz w:val="20"/>
              </w:rPr>
              <w:lastRenderedPageBreak/>
              <w:t>reported over the phone. This requirement makes this option far less feasible. Whilst teams doing this will have their own local protocols about safety in terms of who can be managed this way, and that must be considered, these options are based on the evidence from STRONG-HF and the focused ESC update.</w:t>
            </w:r>
          </w:p>
        </w:tc>
        <w:tc>
          <w:tcPr>
            <w:tcW w:w="2122" w:type="pct"/>
          </w:tcPr>
          <w:p w14:paraId="6A9A30B4" w14:textId="26462E54"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lastRenderedPageBreak/>
              <w:t xml:space="preserve">Thank you for your comment.  The committee agreed that it is important to measure blood pressure before </w:t>
            </w:r>
            <w:r w:rsidRPr="00CC6553">
              <w:rPr>
                <w:rFonts w:cs="Arial"/>
                <w:b w:val="0"/>
                <w:color w:val="000000" w:themeColor="text1"/>
                <w:sz w:val="20"/>
              </w:rPr>
              <w:lastRenderedPageBreak/>
              <w:t xml:space="preserve">and after each dose increment in order to manage postural hypotension and its consequences for example falls. This recommendation has been edited to included reference to a person taking their own blood pressure.  </w:t>
            </w:r>
          </w:p>
        </w:tc>
      </w:tr>
      <w:tr w:rsidR="00897293" w:rsidRPr="00CC6553" w14:paraId="093A9CCD" w14:textId="77777777" w:rsidTr="00897293">
        <w:trPr>
          <w:trHeight w:val="300"/>
        </w:trPr>
        <w:tc>
          <w:tcPr>
            <w:tcW w:w="109" w:type="pct"/>
          </w:tcPr>
          <w:p w14:paraId="3F7AE543"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248</w:t>
            </w:r>
          </w:p>
        </w:tc>
        <w:tc>
          <w:tcPr>
            <w:tcW w:w="143" w:type="pct"/>
          </w:tcPr>
          <w:p w14:paraId="68BA1973" w14:textId="0E3E4D74"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466F3003" w14:textId="072E1D15" w:rsidR="00897293" w:rsidRPr="00CC6553" w:rsidRDefault="00897293" w:rsidP="00B234F1">
            <w:pPr>
              <w:rPr>
                <w:rFonts w:cs="Arial"/>
                <w:bCs/>
                <w:iCs/>
                <w:color w:val="000000" w:themeColor="text1"/>
                <w:sz w:val="20"/>
              </w:rPr>
            </w:pPr>
            <w:r w:rsidRPr="00CC6553">
              <w:rPr>
                <w:rFonts w:cs="Arial"/>
                <w:color w:val="000000" w:themeColor="text1"/>
                <w:sz w:val="20"/>
              </w:rPr>
              <w:t>UK Clinical Pharmacy Association (UKCPA) – heart failure committee</w:t>
            </w:r>
          </w:p>
        </w:tc>
        <w:tc>
          <w:tcPr>
            <w:tcW w:w="279" w:type="pct"/>
          </w:tcPr>
          <w:p w14:paraId="3291B7C3" w14:textId="0F1E5C1D"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1B43710F" w14:textId="1AC081D4" w:rsidR="00897293" w:rsidRPr="00CC6553" w:rsidRDefault="00897293" w:rsidP="00B234F1">
            <w:pPr>
              <w:rPr>
                <w:rFonts w:cs="Arial"/>
                <w:color w:val="000000" w:themeColor="text1"/>
                <w:sz w:val="20"/>
              </w:rPr>
            </w:pPr>
            <w:r w:rsidRPr="00CC6553">
              <w:rPr>
                <w:rFonts w:cs="Arial"/>
                <w:color w:val="000000" w:themeColor="text1"/>
                <w:sz w:val="20"/>
              </w:rPr>
              <w:t>016</w:t>
            </w:r>
          </w:p>
        </w:tc>
        <w:tc>
          <w:tcPr>
            <w:tcW w:w="214" w:type="pct"/>
          </w:tcPr>
          <w:p w14:paraId="05550F4A" w14:textId="66416BD1" w:rsidR="00897293" w:rsidRPr="00CC6553" w:rsidRDefault="00897293" w:rsidP="00B234F1">
            <w:pPr>
              <w:rPr>
                <w:rFonts w:cs="Arial"/>
                <w:color w:val="000000" w:themeColor="text1"/>
                <w:sz w:val="20"/>
              </w:rPr>
            </w:pPr>
            <w:r w:rsidRPr="00CC6553">
              <w:rPr>
                <w:rFonts w:cs="Arial"/>
                <w:color w:val="000000" w:themeColor="text1"/>
                <w:sz w:val="20"/>
              </w:rPr>
              <w:t>016</w:t>
            </w:r>
          </w:p>
        </w:tc>
        <w:tc>
          <w:tcPr>
            <w:tcW w:w="1521" w:type="pct"/>
          </w:tcPr>
          <w:p w14:paraId="2B383E42" w14:textId="62839577" w:rsidR="00897293" w:rsidRPr="00CC6553" w:rsidRDefault="00897293" w:rsidP="00B234F1">
            <w:pPr>
              <w:rPr>
                <w:rFonts w:cs="Arial"/>
                <w:color w:val="000000" w:themeColor="text1"/>
                <w:sz w:val="20"/>
              </w:rPr>
            </w:pPr>
            <w:r w:rsidRPr="00CC6553">
              <w:rPr>
                <w:rFonts w:cs="Arial"/>
                <w:color w:val="000000" w:themeColor="text1"/>
                <w:sz w:val="20"/>
              </w:rPr>
              <w:t>Partially agree with the recommendation – we advise that the statement should be reserved for higher-risk individuals or when symptoms or signs suggest postural changes are clinically relevant.</w:t>
            </w:r>
          </w:p>
        </w:tc>
        <w:tc>
          <w:tcPr>
            <w:tcW w:w="2122" w:type="pct"/>
          </w:tcPr>
          <w:p w14:paraId="27B9428B" w14:textId="65620CC2"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Thank you for your comment.  The committee agreed that it is important to measure blood pressure before and after each dose increment in order to manage postural hypotension and its consequences for example falls. This recommendation has been edited to included reference to a person taking their own blood pressure.  </w:t>
            </w:r>
          </w:p>
        </w:tc>
      </w:tr>
      <w:tr w:rsidR="00897293" w:rsidRPr="00CC6553" w14:paraId="13AE9588" w14:textId="77777777" w:rsidTr="00897293">
        <w:trPr>
          <w:trHeight w:val="300"/>
        </w:trPr>
        <w:tc>
          <w:tcPr>
            <w:tcW w:w="109" w:type="pct"/>
          </w:tcPr>
          <w:p w14:paraId="289E10D5" w14:textId="77777777" w:rsidR="00897293" w:rsidRPr="00CC6553" w:rsidRDefault="00897293" w:rsidP="00B234F1">
            <w:pPr>
              <w:rPr>
                <w:rFonts w:cs="Arial"/>
                <w:color w:val="000000" w:themeColor="text1"/>
                <w:sz w:val="20"/>
              </w:rPr>
            </w:pPr>
            <w:r w:rsidRPr="00CC6553">
              <w:rPr>
                <w:rFonts w:cs="Arial"/>
                <w:color w:val="000000" w:themeColor="text1"/>
                <w:sz w:val="20"/>
              </w:rPr>
              <w:t>249</w:t>
            </w:r>
          </w:p>
        </w:tc>
        <w:tc>
          <w:tcPr>
            <w:tcW w:w="143" w:type="pct"/>
          </w:tcPr>
          <w:p w14:paraId="52F8833C" w14:textId="7837F638"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22CF760E" w14:textId="15EDB390" w:rsidR="00897293" w:rsidRPr="00CC6553" w:rsidRDefault="00897293" w:rsidP="00B234F1">
            <w:pPr>
              <w:rPr>
                <w:rFonts w:cs="Arial"/>
                <w:bCs/>
                <w:iCs/>
                <w:color w:val="000000" w:themeColor="text1"/>
                <w:sz w:val="20"/>
              </w:rPr>
            </w:pPr>
            <w:r w:rsidRPr="00CC6553">
              <w:rPr>
                <w:rFonts w:cs="Arial"/>
                <w:color w:val="000000" w:themeColor="text1"/>
                <w:sz w:val="20"/>
              </w:rPr>
              <w:t>Royal College of Nursing</w:t>
            </w:r>
          </w:p>
        </w:tc>
        <w:tc>
          <w:tcPr>
            <w:tcW w:w="279" w:type="pct"/>
          </w:tcPr>
          <w:p w14:paraId="0BF0C816" w14:textId="5B0E6078"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2F38B508" w14:textId="5197CE88" w:rsidR="00897293" w:rsidRPr="00CC6553" w:rsidRDefault="00897293" w:rsidP="00B234F1">
            <w:pPr>
              <w:rPr>
                <w:rFonts w:cs="Arial"/>
                <w:color w:val="000000" w:themeColor="text1"/>
                <w:sz w:val="20"/>
              </w:rPr>
            </w:pPr>
            <w:r w:rsidRPr="00CC6553">
              <w:rPr>
                <w:rFonts w:cs="Arial"/>
                <w:color w:val="000000" w:themeColor="text1"/>
                <w:sz w:val="20"/>
              </w:rPr>
              <w:t>016</w:t>
            </w:r>
          </w:p>
        </w:tc>
        <w:tc>
          <w:tcPr>
            <w:tcW w:w="214" w:type="pct"/>
          </w:tcPr>
          <w:p w14:paraId="2D85C0DC" w14:textId="47DB29AC" w:rsidR="00897293" w:rsidRPr="00CC6553" w:rsidRDefault="00897293" w:rsidP="00B234F1">
            <w:pPr>
              <w:rPr>
                <w:rFonts w:cs="Arial"/>
                <w:color w:val="000000" w:themeColor="text1"/>
                <w:sz w:val="20"/>
              </w:rPr>
            </w:pPr>
            <w:r w:rsidRPr="00CC6553">
              <w:rPr>
                <w:rFonts w:cs="Arial"/>
                <w:color w:val="000000" w:themeColor="text1"/>
                <w:sz w:val="20"/>
              </w:rPr>
              <w:t>016</w:t>
            </w:r>
          </w:p>
        </w:tc>
        <w:tc>
          <w:tcPr>
            <w:tcW w:w="1521" w:type="pct"/>
          </w:tcPr>
          <w:p w14:paraId="7F44804D" w14:textId="3DDA8566" w:rsidR="00897293" w:rsidRPr="00CC6553" w:rsidRDefault="00897293" w:rsidP="00B234F1">
            <w:pPr>
              <w:rPr>
                <w:rFonts w:cs="Arial"/>
                <w:color w:val="000000" w:themeColor="text1"/>
                <w:sz w:val="20"/>
              </w:rPr>
            </w:pPr>
            <w:r w:rsidRPr="00CC6553">
              <w:rPr>
                <w:rFonts w:cs="Arial"/>
                <w:color w:val="000000" w:themeColor="text1"/>
                <w:sz w:val="20"/>
              </w:rPr>
              <w:t>“Measure blood pressure when patient is sitting and standing before and after each dose increment” - This is not a modern approach as it would need face to face contact with the patients to do this accurately and safely. It is not in line with remote consultations.</w:t>
            </w:r>
          </w:p>
        </w:tc>
        <w:tc>
          <w:tcPr>
            <w:tcW w:w="2122" w:type="pct"/>
          </w:tcPr>
          <w:p w14:paraId="01FAF5A6" w14:textId="1398753E"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recommendation now cross refer to the NICE guideline on hypertension for how to measure blood pressure.</w:t>
            </w:r>
          </w:p>
        </w:tc>
      </w:tr>
      <w:tr w:rsidR="00897293" w:rsidRPr="00CC6553" w14:paraId="3C3AEA43" w14:textId="77777777" w:rsidTr="00897293">
        <w:trPr>
          <w:trHeight w:val="300"/>
        </w:trPr>
        <w:tc>
          <w:tcPr>
            <w:tcW w:w="109" w:type="pct"/>
          </w:tcPr>
          <w:p w14:paraId="2BAB4D0A" w14:textId="77777777" w:rsidR="00897293" w:rsidRPr="00CC6553" w:rsidRDefault="00897293" w:rsidP="00B234F1">
            <w:pPr>
              <w:rPr>
                <w:rFonts w:cs="Arial"/>
                <w:color w:val="000000" w:themeColor="text1"/>
                <w:sz w:val="20"/>
              </w:rPr>
            </w:pPr>
            <w:r w:rsidRPr="00CC6553">
              <w:rPr>
                <w:rFonts w:cs="Arial"/>
                <w:color w:val="000000" w:themeColor="text1"/>
                <w:sz w:val="20"/>
              </w:rPr>
              <w:t>250</w:t>
            </w:r>
          </w:p>
        </w:tc>
        <w:tc>
          <w:tcPr>
            <w:tcW w:w="143" w:type="pct"/>
          </w:tcPr>
          <w:p w14:paraId="65B73FD0" w14:textId="033C72B3"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4217FDD5" w14:textId="4108EBEF" w:rsidR="00897293" w:rsidRPr="00CC6553" w:rsidRDefault="00897293" w:rsidP="00B234F1">
            <w:pPr>
              <w:rPr>
                <w:rFonts w:cs="Arial"/>
                <w:bCs/>
                <w:iCs/>
                <w:color w:val="000000" w:themeColor="text1"/>
                <w:sz w:val="20"/>
              </w:rPr>
            </w:pPr>
            <w:r w:rsidRPr="00CC6553">
              <w:rPr>
                <w:rFonts w:cs="Arial"/>
                <w:color w:val="000000" w:themeColor="text1"/>
                <w:sz w:val="20"/>
              </w:rPr>
              <w:t>Cardiomyopathy UK</w:t>
            </w:r>
          </w:p>
        </w:tc>
        <w:tc>
          <w:tcPr>
            <w:tcW w:w="279" w:type="pct"/>
          </w:tcPr>
          <w:p w14:paraId="2D71A41B" w14:textId="0E4FFE6E"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7BB15D79" w14:textId="2DE07AD5" w:rsidR="00897293" w:rsidRPr="00CC6553" w:rsidRDefault="00897293" w:rsidP="00B234F1">
            <w:pPr>
              <w:rPr>
                <w:rFonts w:cs="Arial"/>
                <w:color w:val="000000" w:themeColor="text1"/>
                <w:sz w:val="20"/>
              </w:rPr>
            </w:pPr>
            <w:r w:rsidRPr="00CC6553">
              <w:rPr>
                <w:rFonts w:cs="Arial"/>
                <w:color w:val="000000" w:themeColor="text1"/>
                <w:sz w:val="20"/>
              </w:rPr>
              <w:t>016</w:t>
            </w:r>
          </w:p>
        </w:tc>
        <w:tc>
          <w:tcPr>
            <w:tcW w:w="214" w:type="pct"/>
          </w:tcPr>
          <w:p w14:paraId="5E5BD79A" w14:textId="17D5120D" w:rsidR="00897293" w:rsidRPr="00CC6553" w:rsidRDefault="00897293" w:rsidP="00B234F1">
            <w:pPr>
              <w:rPr>
                <w:rFonts w:cs="Arial"/>
                <w:color w:val="000000" w:themeColor="text1"/>
                <w:sz w:val="20"/>
              </w:rPr>
            </w:pPr>
            <w:r w:rsidRPr="00CC6553">
              <w:rPr>
                <w:rFonts w:cs="Arial"/>
                <w:color w:val="000000" w:themeColor="text1"/>
                <w:sz w:val="20"/>
              </w:rPr>
              <w:t>016 - 017</w:t>
            </w:r>
          </w:p>
        </w:tc>
        <w:tc>
          <w:tcPr>
            <w:tcW w:w="1521" w:type="pct"/>
          </w:tcPr>
          <w:p w14:paraId="046B1779" w14:textId="6D09D370" w:rsidR="00897293" w:rsidRPr="00CC6553" w:rsidRDefault="00897293" w:rsidP="00B234F1">
            <w:pPr>
              <w:rPr>
                <w:rFonts w:cs="Arial"/>
                <w:color w:val="000000" w:themeColor="text1"/>
                <w:sz w:val="20"/>
              </w:rPr>
            </w:pPr>
            <w:r w:rsidRPr="00CC6553">
              <w:rPr>
                <w:rFonts w:cs="Arial"/>
                <w:color w:val="000000" w:themeColor="text1"/>
                <w:sz w:val="20"/>
              </w:rPr>
              <w:t>The recommendation to measure blood pressure in three different positions before and after each dose increment seems questionable. Could put additional strain on patients and/or become a barrier e.g. for those who cannot adopt these positions. Suggest the wording is tweaked accordingly (e.g. add ‘wherever possible’ after ‘standing, sitting and lying on their back’)</w:t>
            </w:r>
            <w:r w:rsidRPr="00CC6553">
              <w:rPr>
                <w:rFonts w:cs="Arial"/>
                <w:color w:val="000000" w:themeColor="text1"/>
                <w:sz w:val="20"/>
              </w:rPr>
              <w:br/>
              <w:t>Will the blood pressure measurement require additional attendances at clinic? – Onerous on patients if so.</w:t>
            </w:r>
          </w:p>
        </w:tc>
        <w:tc>
          <w:tcPr>
            <w:tcW w:w="2122" w:type="pct"/>
          </w:tcPr>
          <w:p w14:paraId="1B703F59" w14:textId="32488D4F"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recommendation now cross refer to the NICE guideline on hypertension for how to measure blood pressure.</w:t>
            </w:r>
          </w:p>
        </w:tc>
      </w:tr>
      <w:tr w:rsidR="00897293" w:rsidRPr="00CC6553" w14:paraId="36138D1B" w14:textId="77777777" w:rsidTr="00897293">
        <w:trPr>
          <w:trHeight w:val="300"/>
        </w:trPr>
        <w:tc>
          <w:tcPr>
            <w:tcW w:w="109" w:type="pct"/>
          </w:tcPr>
          <w:p w14:paraId="3B39D745" w14:textId="77777777" w:rsidR="00897293" w:rsidRPr="00CC6553" w:rsidRDefault="00897293" w:rsidP="00B234F1">
            <w:pPr>
              <w:rPr>
                <w:rFonts w:cs="Arial"/>
                <w:color w:val="000000" w:themeColor="text1"/>
                <w:sz w:val="20"/>
              </w:rPr>
            </w:pPr>
            <w:r w:rsidRPr="00CC6553">
              <w:rPr>
                <w:rFonts w:cs="Arial"/>
                <w:color w:val="000000" w:themeColor="text1"/>
                <w:sz w:val="20"/>
              </w:rPr>
              <w:t>251</w:t>
            </w:r>
          </w:p>
        </w:tc>
        <w:tc>
          <w:tcPr>
            <w:tcW w:w="143" w:type="pct"/>
          </w:tcPr>
          <w:p w14:paraId="35043E1F" w14:textId="10159564"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7ECFECBF" w14:textId="2D016E65" w:rsidR="00897293" w:rsidRPr="00CC6553" w:rsidRDefault="00897293" w:rsidP="00B234F1">
            <w:pPr>
              <w:rPr>
                <w:rFonts w:cs="Arial"/>
                <w:bCs/>
                <w:iCs/>
                <w:color w:val="000000" w:themeColor="text1"/>
                <w:sz w:val="20"/>
              </w:rPr>
            </w:pPr>
            <w:r w:rsidRPr="00CC6553">
              <w:rPr>
                <w:rFonts w:cs="Arial"/>
                <w:color w:val="000000" w:themeColor="text1"/>
                <w:sz w:val="20"/>
              </w:rPr>
              <w:t>British Geriatrics Society</w:t>
            </w:r>
          </w:p>
        </w:tc>
        <w:tc>
          <w:tcPr>
            <w:tcW w:w="279" w:type="pct"/>
          </w:tcPr>
          <w:p w14:paraId="09BA5227" w14:textId="4B49BEF5"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4BEE51E6" w14:textId="672F8B4D" w:rsidR="00897293" w:rsidRPr="00CC6553" w:rsidRDefault="00897293" w:rsidP="00B234F1">
            <w:pPr>
              <w:rPr>
                <w:rFonts w:cs="Arial"/>
                <w:color w:val="000000" w:themeColor="text1"/>
                <w:sz w:val="20"/>
              </w:rPr>
            </w:pPr>
            <w:r w:rsidRPr="00CC6553">
              <w:rPr>
                <w:rFonts w:cs="Arial"/>
                <w:color w:val="000000" w:themeColor="text1"/>
                <w:sz w:val="20"/>
              </w:rPr>
              <w:t>016</w:t>
            </w:r>
          </w:p>
        </w:tc>
        <w:tc>
          <w:tcPr>
            <w:tcW w:w="214" w:type="pct"/>
          </w:tcPr>
          <w:p w14:paraId="10C8B315" w14:textId="2600020F" w:rsidR="00897293" w:rsidRPr="00CC6553" w:rsidRDefault="00897293" w:rsidP="00B234F1">
            <w:pPr>
              <w:rPr>
                <w:rFonts w:cs="Arial"/>
                <w:color w:val="000000" w:themeColor="text1"/>
                <w:sz w:val="20"/>
              </w:rPr>
            </w:pPr>
            <w:r w:rsidRPr="00CC6553">
              <w:rPr>
                <w:rFonts w:cs="Arial"/>
                <w:color w:val="000000" w:themeColor="text1"/>
                <w:sz w:val="20"/>
              </w:rPr>
              <w:t>016 - 019</w:t>
            </w:r>
          </w:p>
        </w:tc>
        <w:tc>
          <w:tcPr>
            <w:tcW w:w="1521" w:type="pct"/>
          </w:tcPr>
          <w:p w14:paraId="7E8AEDE3" w14:textId="2AF4D22A" w:rsidR="00897293" w:rsidRPr="00CC6553" w:rsidRDefault="00897293" w:rsidP="00B234F1">
            <w:pPr>
              <w:rPr>
                <w:rFonts w:cs="Arial"/>
                <w:color w:val="000000" w:themeColor="text1"/>
                <w:sz w:val="20"/>
              </w:rPr>
            </w:pPr>
            <w:r w:rsidRPr="00CC6553">
              <w:rPr>
                <w:rFonts w:cs="Arial"/>
                <w:color w:val="000000" w:themeColor="text1"/>
                <w:sz w:val="20"/>
              </w:rPr>
              <w:t xml:space="preserve">Rec 1.7.9: Whilst we strongly favour the proactive management of patients experiencing symptoms of orthostatic hypotension, there may not be resources to support this recommendation. Does the evidence favour this recommendation in </w:t>
            </w:r>
            <w:r w:rsidRPr="00CC6553">
              <w:rPr>
                <w:rFonts w:cs="Arial"/>
                <w:color w:val="000000" w:themeColor="text1"/>
                <w:sz w:val="20"/>
              </w:rPr>
              <w:lastRenderedPageBreak/>
              <w:t xml:space="preserve">asymptomatic patients or should a clinical judgement be made as to who would benefit from serial lying / sitting / standing BP eg frail patients, those at risk of falls, those experiencing postural symptoms etc </w:t>
            </w:r>
            <w:r w:rsidRPr="00CC6553">
              <w:rPr>
                <w:rFonts w:cs="Arial"/>
                <w:color w:val="000000" w:themeColor="text1"/>
                <w:sz w:val="20"/>
              </w:rPr>
              <w:br/>
              <w:t xml:space="preserve">Additionally, the phrasing is confusing and should start with supine (or sitting), followed by standing, to emphasise that this is looking for a postural BP drop. </w:t>
            </w:r>
            <w:r w:rsidRPr="00CC6553">
              <w:rPr>
                <w:rFonts w:cs="Arial"/>
                <w:color w:val="000000" w:themeColor="text1"/>
                <w:sz w:val="20"/>
              </w:rPr>
              <w:br/>
              <w:t>Some patients are uptitrating via virtual hubs and remote monitoring and this recommendation may be challenging for them.</w:t>
            </w:r>
          </w:p>
        </w:tc>
        <w:tc>
          <w:tcPr>
            <w:tcW w:w="2122" w:type="pct"/>
          </w:tcPr>
          <w:p w14:paraId="32D525B0" w14:textId="7FEABB5F"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lastRenderedPageBreak/>
              <w:t xml:space="preserve">Thank you for your comment.  Thank you for your comment.  The committee agreed that it is important </w:t>
            </w:r>
            <w:r w:rsidRPr="00CC6553">
              <w:rPr>
                <w:rFonts w:cs="Arial"/>
                <w:b w:val="0"/>
                <w:color w:val="000000" w:themeColor="text1"/>
                <w:sz w:val="20"/>
              </w:rPr>
              <w:lastRenderedPageBreak/>
              <w:t>to measure blood pressure before and after each dose increment in order to manage postural hypotension and its consequences for example falls. This recommendation has been edited to included reference to a person taking their own blood pressure.  The recommendation now cross refer to the NICE guideline on hypertension for how to measure blood pressure.</w:t>
            </w:r>
          </w:p>
        </w:tc>
      </w:tr>
      <w:tr w:rsidR="00897293" w:rsidRPr="00CC6553" w14:paraId="7431FD78" w14:textId="77777777" w:rsidTr="00897293">
        <w:trPr>
          <w:trHeight w:val="300"/>
        </w:trPr>
        <w:tc>
          <w:tcPr>
            <w:tcW w:w="109" w:type="pct"/>
          </w:tcPr>
          <w:p w14:paraId="2719192E"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252</w:t>
            </w:r>
          </w:p>
        </w:tc>
        <w:tc>
          <w:tcPr>
            <w:tcW w:w="143" w:type="pct"/>
          </w:tcPr>
          <w:p w14:paraId="08E7C16C" w14:textId="0013AE99"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3DF3F931" w14:textId="0E1DCE38"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53ABA60A" w14:textId="287CFB62"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7B0DB448" w14:textId="5DC4B935" w:rsidR="00897293" w:rsidRPr="00CC6553" w:rsidRDefault="00897293" w:rsidP="00B234F1">
            <w:pPr>
              <w:rPr>
                <w:rFonts w:cs="Arial"/>
                <w:color w:val="000000" w:themeColor="text1"/>
                <w:sz w:val="20"/>
              </w:rPr>
            </w:pPr>
            <w:r w:rsidRPr="00CC6553">
              <w:rPr>
                <w:rFonts w:cs="Arial"/>
                <w:color w:val="000000" w:themeColor="text1"/>
                <w:sz w:val="20"/>
              </w:rPr>
              <w:t>016</w:t>
            </w:r>
          </w:p>
        </w:tc>
        <w:tc>
          <w:tcPr>
            <w:tcW w:w="214" w:type="pct"/>
          </w:tcPr>
          <w:p w14:paraId="57CA2883" w14:textId="5F020F60" w:rsidR="00897293" w:rsidRPr="00CC6553" w:rsidRDefault="00897293" w:rsidP="00B234F1">
            <w:pPr>
              <w:rPr>
                <w:rFonts w:cs="Arial"/>
                <w:color w:val="000000" w:themeColor="text1"/>
                <w:sz w:val="20"/>
              </w:rPr>
            </w:pPr>
            <w:r w:rsidRPr="00CC6553">
              <w:rPr>
                <w:rFonts w:cs="Arial"/>
                <w:color w:val="000000" w:themeColor="text1"/>
                <w:sz w:val="20"/>
              </w:rPr>
              <w:t>016 - 020</w:t>
            </w:r>
          </w:p>
        </w:tc>
        <w:tc>
          <w:tcPr>
            <w:tcW w:w="1521" w:type="pct"/>
          </w:tcPr>
          <w:p w14:paraId="01811B43" w14:textId="6D14D001" w:rsidR="00897293" w:rsidRPr="00CC6553" w:rsidRDefault="00897293" w:rsidP="00B234F1">
            <w:pPr>
              <w:rPr>
                <w:rFonts w:cs="Arial"/>
                <w:color w:val="000000" w:themeColor="text1"/>
                <w:sz w:val="20"/>
              </w:rPr>
            </w:pPr>
            <w:r w:rsidRPr="00CC6553">
              <w:rPr>
                <w:rFonts w:cs="Arial"/>
                <w:color w:val="000000" w:themeColor="text1"/>
                <w:sz w:val="20"/>
              </w:rPr>
              <w:t>Section 1.7.9 ‘Measure blood pressure, both when the person is standing, and sitting or lying on their back, before and after each dose increment.’</w:t>
            </w:r>
            <w:r w:rsidRPr="00CC6553">
              <w:rPr>
                <w:rFonts w:cs="Arial"/>
                <w:color w:val="000000" w:themeColor="text1"/>
                <w:sz w:val="20"/>
              </w:rPr>
              <w:br/>
            </w:r>
            <w:r w:rsidRPr="00CC6553">
              <w:rPr>
                <w:rFonts w:cs="Arial"/>
                <w:color w:val="000000" w:themeColor="text1"/>
                <w:sz w:val="20"/>
              </w:rPr>
              <w:br/>
              <w:t>Concern:</w:t>
            </w:r>
            <w:r w:rsidRPr="00CC6553">
              <w:rPr>
                <w:rFonts w:cs="Arial"/>
                <w:color w:val="000000" w:themeColor="text1"/>
                <w:sz w:val="20"/>
              </w:rPr>
              <w:br/>
              <w:t xml:space="preserve">This comment appears to be only based on opinion rather than trial evidence and is not in keeping with standard practice Whilst this may be appropriate for some cases, many patients do not need this. </w:t>
            </w:r>
            <w:r w:rsidRPr="00CC6553">
              <w:rPr>
                <w:rFonts w:cs="Arial"/>
                <w:color w:val="000000" w:themeColor="text1"/>
                <w:sz w:val="20"/>
              </w:rPr>
              <w:br/>
              <w:t xml:space="preserve">Whilst STRONG HF recruited patients who had been hospitalised, it clearly demonstrated a real meaningful benefit of rapid up titration of foundation therapies, most of which was done in the post-acute (i.e. chronic) phase, and that this could be safely achieved (albeit in selected cases). This group of recently hospitalised patients will be higher risk than many seen in clinic. As such many clinicians will consider, in suitable patients, making more than one change to medication between visits. </w:t>
            </w:r>
            <w:r w:rsidRPr="00CC6553">
              <w:rPr>
                <w:rFonts w:cs="Arial"/>
                <w:color w:val="000000" w:themeColor="text1"/>
                <w:sz w:val="20"/>
              </w:rPr>
              <w:br/>
            </w:r>
            <w:r w:rsidRPr="00CC6553">
              <w:rPr>
                <w:rFonts w:cs="Arial"/>
                <w:color w:val="000000" w:themeColor="text1"/>
                <w:sz w:val="20"/>
              </w:rPr>
              <w:br/>
              <w:t xml:space="preserve">There is a real danger that in its current state this statement will adversely impact care delivery when we are trying to rapidly (safely) optimise drugs given this strategy has shown benefit. In addition, this at a time when we are encouraging patients to monitor home BP and use such data to help optimise care. This recommendation is based on opinion. For example, most trials of the major drugs </w:t>
            </w:r>
            <w:r w:rsidRPr="00CC6553">
              <w:rPr>
                <w:rFonts w:cs="Arial"/>
                <w:color w:val="000000" w:themeColor="text1"/>
                <w:sz w:val="20"/>
              </w:rPr>
              <w:lastRenderedPageBreak/>
              <w:t xml:space="preserve">that are now used to treat heart failure did not include this in trial design. </w:t>
            </w:r>
            <w:r w:rsidRPr="00CC6553">
              <w:rPr>
                <w:rFonts w:cs="Arial"/>
                <w:color w:val="000000" w:themeColor="text1"/>
                <w:sz w:val="20"/>
              </w:rPr>
              <w:br/>
            </w:r>
            <w:r w:rsidRPr="00CC6553">
              <w:rPr>
                <w:rFonts w:cs="Arial"/>
                <w:color w:val="000000" w:themeColor="text1"/>
                <w:sz w:val="20"/>
              </w:rPr>
              <w:br/>
              <w:t>I would prefer to see this removed. However, if it is to be kept in could this be refined, to state ‘There may be some patients when measurement of blood pressure, both when the person is standing, and sitting or lying on their back, before and after each dose increment may be considered. This might include patients with low blood pressure, greater degrees of frailty, or with potential symptoms of hypotension’.</w:t>
            </w:r>
          </w:p>
        </w:tc>
        <w:tc>
          <w:tcPr>
            <w:tcW w:w="2122" w:type="pct"/>
          </w:tcPr>
          <w:p w14:paraId="50FF7B82" w14:textId="45A30F28"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lastRenderedPageBreak/>
              <w:t xml:space="preserve">Thank you for your comment.  The committee agreed that it is important to measure blood pressure before and after each dose increment in order to manage postural hypotension and its consequences for example falls. This recommendation has been edited to included reference to a person taking their own blood pressure.  </w:t>
            </w:r>
            <w:r w:rsidRPr="6763097B">
              <w:rPr>
                <w:rFonts w:cs="Arial"/>
                <w:b w:val="0"/>
                <w:bCs w:val="0"/>
                <w:color w:val="000000" w:themeColor="text1"/>
                <w:sz w:val="20"/>
              </w:rPr>
              <w:t>We now also cross refer to the NICE guideline on hypertension on how to measure blood pressure.</w:t>
            </w:r>
          </w:p>
        </w:tc>
      </w:tr>
      <w:tr w:rsidR="00897293" w:rsidRPr="00CC6553" w14:paraId="3742A8F2" w14:textId="77777777" w:rsidTr="00897293">
        <w:trPr>
          <w:trHeight w:val="300"/>
        </w:trPr>
        <w:tc>
          <w:tcPr>
            <w:tcW w:w="109" w:type="pct"/>
          </w:tcPr>
          <w:p w14:paraId="3CD5E8B1" w14:textId="77777777" w:rsidR="00897293" w:rsidRPr="00CC6553" w:rsidRDefault="00897293" w:rsidP="00B234F1">
            <w:pPr>
              <w:rPr>
                <w:rFonts w:cs="Arial"/>
                <w:color w:val="000000" w:themeColor="text1"/>
                <w:sz w:val="20"/>
              </w:rPr>
            </w:pPr>
            <w:r w:rsidRPr="00CC6553">
              <w:rPr>
                <w:rFonts w:cs="Arial"/>
                <w:color w:val="000000" w:themeColor="text1"/>
                <w:sz w:val="20"/>
              </w:rPr>
              <w:t>253</w:t>
            </w:r>
          </w:p>
        </w:tc>
        <w:tc>
          <w:tcPr>
            <w:tcW w:w="143" w:type="pct"/>
          </w:tcPr>
          <w:p w14:paraId="754CB121" w14:textId="527CB969"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A342F3C" w14:textId="15E1E583" w:rsidR="00897293" w:rsidRPr="00CC6553" w:rsidRDefault="00897293" w:rsidP="00B234F1">
            <w:pPr>
              <w:rPr>
                <w:rFonts w:cs="Arial"/>
                <w:bCs/>
                <w:iCs/>
                <w:color w:val="000000" w:themeColor="text1"/>
                <w:sz w:val="20"/>
              </w:rPr>
            </w:pPr>
            <w:r w:rsidRPr="00CC6553">
              <w:rPr>
                <w:rFonts w:cs="Arial"/>
                <w:color w:val="000000" w:themeColor="text1"/>
                <w:sz w:val="20"/>
              </w:rPr>
              <w:t>First Community Health and Care</w:t>
            </w:r>
          </w:p>
        </w:tc>
        <w:tc>
          <w:tcPr>
            <w:tcW w:w="279" w:type="pct"/>
          </w:tcPr>
          <w:p w14:paraId="5F04C82B" w14:textId="162E8971"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557FFC60" w14:textId="125B6608" w:rsidR="00897293" w:rsidRPr="00CC6553" w:rsidRDefault="00897293" w:rsidP="00B234F1">
            <w:pPr>
              <w:rPr>
                <w:rFonts w:cs="Arial"/>
                <w:color w:val="000000" w:themeColor="text1"/>
                <w:sz w:val="20"/>
              </w:rPr>
            </w:pPr>
            <w:r w:rsidRPr="00CC6553">
              <w:rPr>
                <w:rFonts w:cs="Arial"/>
                <w:color w:val="000000" w:themeColor="text1"/>
                <w:sz w:val="20"/>
              </w:rPr>
              <w:t>016</w:t>
            </w:r>
          </w:p>
        </w:tc>
        <w:tc>
          <w:tcPr>
            <w:tcW w:w="214" w:type="pct"/>
          </w:tcPr>
          <w:p w14:paraId="2A01D827" w14:textId="5765FA4D" w:rsidR="00897293" w:rsidRPr="00CC6553" w:rsidRDefault="00897293" w:rsidP="00B234F1">
            <w:pPr>
              <w:rPr>
                <w:rFonts w:cs="Arial"/>
                <w:color w:val="000000" w:themeColor="text1"/>
                <w:sz w:val="20"/>
              </w:rPr>
            </w:pPr>
            <w:r w:rsidRPr="00CC6553">
              <w:rPr>
                <w:rFonts w:cs="Arial"/>
                <w:color w:val="000000" w:themeColor="text1"/>
                <w:sz w:val="20"/>
              </w:rPr>
              <w:t>016 - 020</w:t>
            </w:r>
          </w:p>
        </w:tc>
        <w:tc>
          <w:tcPr>
            <w:tcW w:w="1521" w:type="pct"/>
          </w:tcPr>
          <w:p w14:paraId="23CE0B83" w14:textId="0D2F54F3" w:rsidR="00897293" w:rsidRPr="00CC6553" w:rsidRDefault="00897293" w:rsidP="00B234F1">
            <w:pPr>
              <w:rPr>
                <w:rFonts w:cs="Arial"/>
                <w:color w:val="000000" w:themeColor="text1"/>
                <w:sz w:val="20"/>
              </w:rPr>
            </w:pPr>
            <w:r w:rsidRPr="00CC6553">
              <w:rPr>
                <w:rFonts w:cs="Arial"/>
                <w:color w:val="000000" w:themeColor="text1"/>
                <w:sz w:val="20"/>
              </w:rPr>
              <w:t>Rec 1.7.9 - This recommendation could have significant implications.  Following the Royal College of Physicians 2023 guidelines on recording a lying and standing blood pressure (BP) this would require a minimum 9 minutes additional time in a consultation to accommodate this.  In a busy clinic this will result in a reduction in how many patients can be seen.  If the test needs to be repeated this would have an even more significant impact on clinic capacity.   In addition, not all clinics have a couch where the patient can lay down.  The recommendation is also not supportive of the use of remote digital tools for BP monitoring to support effective and efficient up titration of medications. I would propose a recommendation where the patient is screened for symptoms of postural drop at each review and the lying and standing BP performed where indicated.</w:t>
            </w:r>
          </w:p>
        </w:tc>
        <w:tc>
          <w:tcPr>
            <w:tcW w:w="2122" w:type="pct"/>
          </w:tcPr>
          <w:p w14:paraId="329C7509" w14:textId="0CDD0B54"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Thank you for your comment.  The committee agreed that it is important to measure blood pressure before and after each dose increment in order to manage postural hypotension and its consequences for example falls. This recommendation has been edited to included reference to a person taking their own blood pressure.  </w:t>
            </w:r>
          </w:p>
        </w:tc>
      </w:tr>
      <w:tr w:rsidR="00897293" w:rsidRPr="00CC6553" w14:paraId="73E6FA83" w14:textId="77777777" w:rsidTr="00897293">
        <w:trPr>
          <w:trHeight w:val="300"/>
        </w:trPr>
        <w:tc>
          <w:tcPr>
            <w:tcW w:w="109" w:type="pct"/>
          </w:tcPr>
          <w:p w14:paraId="13581B1E" w14:textId="77777777" w:rsidR="00897293" w:rsidRPr="00CC6553" w:rsidRDefault="00897293" w:rsidP="00B234F1">
            <w:pPr>
              <w:rPr>
                <w:rFonts w:cs="Arial"/>
                <w:color w:val="000000" w:themeColor="text1"/>
                <w:sz w:val="20"/>
              </w:rPr>
            </w:pPr>
            <w:r w:rsidRPr="00CC6553">
              <w:rPr>
                <w:rFonts w:cs="Arial"/>
                <w:color w:val="000000" w:themeColor="text1"/>
                <w:sz w:val="20"/>
              </w:rPr>
              <w:t>254</w:t>
            </w:r>
          </w:p>
        </w:tc>
        <w:tc>
          <w:tcPr>
            <w:tcW w:w="143" w:type="pct"/>
          </w:tcPr>
          <w:p w14:paraId="36150126" w14:textId="01267530"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5ED9F1EF" w14:textId="6BDAB0E3" w:rsidR="00897293" w:rsidRPr="00CC6553" w:rsidRDefault="00897293" w:rsidP="00B234F1">
            <w:pPr>
              <w:rPr>
                <w:rFonts w:cs="Arial"/>
                <w:bCs/>
                <w:iCs/>
                <w:color w:val="000000" w:themeColor="text1"/>
                <w:sz w:val="20"/>
              </w:rPr>
            </w:pPr>
            <w:r w:rsidRPr="00CC6553">
              <w:rPr>
                <w:rFonts w:cs="Arial"/>
                <w:color w:val="000000" w:themeColor="text1"/>
                <w:sz w:val="20"/>
              </w:rPr>
              <w:t>Portsmouth Hospitals University NHS Trust</w:t>
            </w:r>
          </w:p>
        </w:tc>
        <w:tc>
          <w:tcPr>
            <w:tcW w:w="279" w:type="pct"/>
          </w:tcPr>
          <w:p w14:paraId="6A234393" w14:textId="78C6B6DB"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65E451DD" w14:textId="7A61DCCD" w:rsidR="00897293" w:rsidRPr="00CC6553" w:rsidRDefault="00897293" w:rsidP="00B234F1">
            <w:pPr>
              <w:rPr>
                <w:rFonts w:cs="Arial"/>
                <w:color w:val="000000" w:themeColor="text1"/>
                <w:sz w:val="20"/>
              </w:rPr>
            </w:pPr>
            <w:r w:rsidRPr="00CC6553">
              <w:rPr>
                <w:rFonts w:cs="Arial"/>
                <w:color w:val="000000" w:themeColor="text1"/>
                <w:sz w:val="20"/>
              </w:rPr>
              <w:t>016</w:t>
            </w:r>
          </w:p>
        </w:tc>
        <w:tc>
          <w:tcPr>
            <w:tcW w:w="214" w:type="pct"/>
          </w:tcPr>
          <w:p w14:paraId="032587F8" w14:textId="17609E62" w:rsidR="00897293" w:rsidRPr="00CC6553" w:rsidRDefault="00897293" w:rsidP="00B234F1">
            <w:pPr>
              <w:rPr>
                <w:rFonts w:cs="Arial"/>
                <w:color w:val="000000" w:themeColor="text1"/>
                <w:sz w:val="20"/>
              </w:rPr>
            </w:pPr>
            <w:r w:rsidRPr="00CC6553">
              <w:rPr>
                <w:rFonts w:cs="Arial"/>
                <w:color w:val="000000" w:themeColor="text1"/>
                <w:sz w:val="20"/>
              </w:rPr>
              <w:t>016 - 020</w:t>
            </w:r>
          </w:p>
        </w:tc>
        <w:tc>
          <w:tcPr>
            <w:tcW w:w="1521" w:type="pct"/>
          </w:tcPr>
          <w:p w14:paraId="51DDF229" w14:textId="70A8DD75" w:rsidR="00897293" w:rsidRPr="00CC6553" w:rsidRDefault="00897293" w:rsidP="00B234F1">
            <w:pPr>
              <w:rPr>
                <w:rFonts w:cs="Arial"/>
                <w:color w:val="000000" w:themeColor="text1"/>
                <w:sz w:val="20"/>
              </w:rPr>
            </w:pPr>
            <w:r w:rsidRPr="00CC6553">
              <w:rPr>
                <w:rFonts w:cs="Arial"/>
                <w:color w:val="000000" w:themeColor="text1"/>
                <w:sz w:val="20"/>
              </w:rPr>
              <w:t>Section 1.7.9 ‘Measure blood pressure, both when the person is standing, and sitting or lying on their back, before and after each dose increment.’</w:t>
            </w:r>
            <w:r w:rsidRPr="00CC6553">
              <w:rPr>
                <w:rFonts w:cs="Arial"/>
                <w:color w:val="000000" w:themeColor="text1"/>
                <w:sz w:val="20"/>
              </w:rPr>
              <w:br/>
            </w:r>
            <w:r w:rsidRPr="00CC6553">
              <w:rPr>
                <w:rFonts w:cs="Arial"/>
                <w:color w:val="000000" w:themeColor="text1"/>
                <w:sz w:val="20"/>
              </w:rPr>
              <w:br/>
              <w:t>Concern:</w:t>
            </w:r>
            <w:r w:rsidRPr="00CC6553">
              <w:rPr>
                <w:rFonts w:cs="Arial"/>
                <w:color w:val="000000" w:themeColor="text1"/>
                <w:sz w:val="20"/>
              </w:rPr>
              <w:br/>
              <w:t xml:space="preserve">This comment appears to be only based on opinion rather than trial evidence and is not in keeping with standard practice Whilst this may be appropriate for some cases, many patients do not need this. </w:t>
            </w:r>
            <w:r w:rsidRPr="00CC6553">
              <w:rPr>
                <w:rFonts w:cs="Arial"/>
                <w:color w:val="000000" w:themeColor="text1"/>
                <w:sz w:val="20"/>
              </w:rPr>
              <w:br/>
              <w:t xml:space="preserve">Whilst STRONG HF recruited patients who had been hospitalised, it clearly demonstrated a real meaningful benefit of rapid up titration of foundation therapies, most of which was done in the post-acute (i.e. chronic) phase, and that this could be safely achieved (albeit in selected cases). This group of recently hospitalised patients will be higher risk than many seen in clinic. As such many clinicians will consider, in suitable patients, making more than one change to </w:t>
            </w:r>
            <w:r w:rsidRPr="00CC6553">
              <w:rPr>
                <w:rFonts w:cs="Arial"/>
                <w:color w:val="000000" w:themeColor="text1"/>
                <w:sz w:val="20"/>
              </w:rPr>
              <w:lastRenderedPageBreak/>
              <w:t xml:space="preserve">medication between visits. </w:t>
            </w:r>
            <w:r w:rsidRPr="00CC6553">
              <w:rPr>
                <w:rFonts w:cs="Arial"/>
                <w:color w:val="000000" w:themeColor="text1"/>
                <w:sz w:val="20"/>
              </w:rPr>
              <w:br/>
            </w:r>
            <w:r w:rsidRPr="00CC6553">
              <w:rPr>
                <w:rFonts w:cs="Arial"/>
                <w:color w:val="000000" w:themeColor="text1"/>
                <w:sz w:val="20"/>
              </w:rPr>
              <w:br/>
              <w:t xml:space="preserve">There is a real danger that in its current state this statement will adversely impact care delivery when we are trying to rapidly (safely) optimise drugs given this strategy has shown benefit. In addition, this at a time when we are encouraging patients to monitor home BP and use such data to help optimise care. This recommendation is based on opinion. For example, most trials of the major drugs that are now used to treat heart failure did not include this in trial design. </w:t>
            </w:r>
            <w:r w:rsidRPr="00CC6553">
              <w:rPr>
                <w:rFonts w:cs="Arial"/>
                <w:color w:val="000000" w:themeColor="text1"/>
                <w:sz w:val="20"/>
              </w:rPr>
              <w:br/>
            </w:r>
            <w:r w:rsidRPr="00CC6553">
              <w:rPr>
                <w:rFonts w:cs="Arial"/>
                <w:color w:val="000000" w:themeColor="text1"/>
                <w:sz w:val="20"/>
              </w:rPr>
              <w:br/>
              <w:t>I would prefer to see this removed. However, if it is to be kept in could this be refined, to state ‘There may be some patients when measurement of blood pressure, both when the person is standing, and sitting or lying on their back, before and after each dose increment may be considered. This might include patients with low blood pressure, greater degrees of frailty, or with potential symptoms of hypotension’.</w:t>
            </w:r>
          </w:p>
        </w:tc>
        <w:tc>
          <w:tcPr>
            <w:tcW w:w="2122" w:type="pct"/>
          </w:tcPr>
          <w:p w14:paraId="4A9FEA29" w14:textId="0A0C0D4D"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lastRenderedPageBreak/>
              <w:t xml:space="preserve">Thank you for your comment.  The committee agreed that it is important to measure blood pressure before and after each dose increment in order to manage postural hypotension and its consequences for example falls. This recommendation has been edited to included reference to a person taking their own blood pressure.  </w:t>
            </w:r>
            <w:r w:rsidRPr="6763097B">
              <w:rPr>
                <w:rFonts w:cs="Arial"/>
                <w:b w:val="0"/>
                <w:bCs w:val="0"/>
                <w:color w:val="000000" w:themeColor="text1"/>
                <w:sz w:val="20"/>
              </w:rPr>
              <w:t>We now also cross refer to the NICE guideline on hypertension on how to measure blood pressure.</w:t>
            </w:r>
          </w:p>
        </w:tc>
      </w:tr>
      <w:tr w:rsidR="00897293" w:rsidRPr="00CC6553" w14:paraId="16026B33" w14:textId="77777777" w:rsidTr="00897293">
        <w:trPr>
          <w:trHeight w:val="300"/>
        </w:trPr>
        <w:tc>
          <w:tcPr>
            <w:tcW w:w="109" w:type="pct"/>
          </w:tcPr>
          <w:p w14:paraId="7F2568B3" w14:textId="77777777" w:rsidR="00897293" w:rsidRPr="00CC6553" w:rsidRDefault="00897293" w:rsidP="00B234F1">
            <w:pPr>
              <w:rPr>
                <w:rFonts w:cs="Arial"/>
                <w:color w:val="000000" w:themeColor="text1"/>
                <w:sz w:val="20"/>
              </w:rPr>
            </w:pPr>
            <w:r w:rsidRPr="00CC6553">
              <w:rPr>
                <w:rFonts w:cs="Arial"/>
                <w:color w:val="000000" w:themeColor="text1"/>
                <w:sz w:val="20"/>
              </w:rPr>
              <w:t>255</w:t>
            </w:r>
          </w:p>
        </w:tc>
        <w:tc>
          <w:tcPr>
            <w:tcW w:w="143" w:type="pct"/>
          </w:tcPr>
          <w:p w14:paraId="592E97A2" w14:textId="1944B2C3"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B7BFE63" w14:textId="7B8AB3FC" w:rsidR="00897293" w:rsidRPr="00CC6553" w:rsidRDefault="00897293" w:rsidP="00B234F1">
            <w:pPr>
              <w:rPr>
                <w:rFonts w:cs="Arial"/>
                <w:bCs/>
                <w:iCs/>
                <w:color w:val="000000" w:themeColor="text1"/>
                <w:sz w:val="20"/>
              </w:rPr>
            </w:pPr>
            <w:r w:rsidRPr="00CC6553">
              <w:rPr>
                <w:rFonts w:cs="Arial"/>
                <w:color w:val="000000" w:themeColor="text1"/>
                <w:sz w:val="20"/>
              </w:rPr>
              <w:t>NHS Surrey Heartlands Integrated Care Board (ICB)</w:t>
            </w:r>
          </w:p>
        </w:tc>
        <w:tc>
          <w:tcPr>
            <w:tcW w:w="279" w:type="pct"/>
          </w:tcPr>
          <w:p w14:paraId="0EDB0252" w14:textId="1327BFE3"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02F4BC10" w14:textId="76F92C52" w:rsidR="00897293" w:rsidRPr="00CC6553" w:rsidRDefault="00897293" w:rsidP="00B234F1">
            <w:pPr>
              <w:rPr>
                <w:rFonts w:cs="Arial"/>
                <w:color w:val="000000" w:themeColor="text1"/>
                <w:sz w:val="20"/>
              </w:rPr>
            </w:pPr>
            <w:r w:rsidRPr="00CC6553">
              <w:rPr>
                <w:rFonts w:cs="Arial"/>
                <w:color w:val="000000" w:themeColor="text1"/>
                <w:sz w:val="20"/>
              </w:rPr>
              <w:t>016 - 017</w:t>
            </w:r>
          </w:p>
        </w:tc>
        <w:tc>
          <w:tcPr>
            <w:tcW w:w="214" w:type="pct"/>
          </w:tcPr>
          <w:p w14:paraId="01DF751A" w14:textId="50264338"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749C1E44" w14:textId="66ED97E1" w:rsidR="00897293" w:rsidRPr="00CC6553" w:rsidRDefault="00897293" w:rsidP="00B234F1">
            <w:pPr>
              <w:rPr>
                <w:rFonts w:cs="Arial"/>
                <w:color w:val="000000" w:themeColor="text1"/>
                <w:sz w:val="20"/>
              </w:rPr>
            </w:pPr>
            <w:r w:rsidRPr="00CC6553">
              <w:rPr>
                <w:rFonts w:cs="Arial"/>
                <w:color w:val="000000" w:themeColor="text1"/>
                <w:sz w:val="20"/>
              </w:rPr>
              <w:t>Comment on Draft Guidance – Chronic Heart Failure Update 2025 Section: Recommendations – Use of ARNIs</w:t>
            </w:r>
            <w:r w:rsidRPr="00CC6553">
              <w:rPr>
                <w:rFonts w:cs="Arial"/>
                <w:color w:val="000000" w:themeColor="text1"/>
                <w:sz w:val="20"/>
              </w:rPr>
              <w:br/>
            </w:r>
            <w:r w:rsidRPr="00CC6553">
              <w:rPr>
                <w:rFonts w:cs="Arial"/>
                <w:color w:val="000000" w:themeColor="text1"/>
                <w:sz w:val="20"/>
              </w:rPr>
              <w:br/>
              <w:t>While the draft guidance recommends broader and earlier use of angiotensin receptor neprilysin inhibitors (ARNIs), we are concerned that the evidence base supporting this approach remains limited and less robust than for other cornerstone therapies in heart failure.</w:t>
            </w:r>
            <w:r w:rsidRPr="00CC6553">
              <w:rPr>
                <w:rFonts w:cs="Arial"/>
                <w:color w:val="000000" w:themeColor="text1"/>
                <w:sz w:val="20"/>
              </w:rPr>
              <w:br/>
            </w:r>
            <w:r w:rsidRPr="00CC6553">
              <w:rPr>
                <w:rFonts w:cs="Arial"/>
                <w:color w:val="000000" w:themeColor="text1"/>
                <w:sz w:val="20"/>
              </w:rPr>
              <w:br/>
              <w:t>The guidance appears to rely heavily on findings from PARADIGM-HF, a single pivotal trial. However, this study compared sacubitril/valsartan to enalapril under specific inclusion criteria, and its generalisability to real-world primary care settings—especially in frailer or more diverse populations—is questionable. Moreover, several meta-analyses include heterogeneous studies and varying comparator drugs, making it difficult to draw strong, practice-changing conclusions.</w:t>
            </w:r>
            <w:r w:rsidRPr="00CC6553">
              <w:rPr>
                <w:rFonts w:cs="Arial"/>
                <w:color w:val="000000" w:themeColor="text1"/>
                <w:sz w:val="20"/>
              </w:rPr>
              <w:br/>
            </w:r>
            <w:r w:rsidRPr="00CC6553">
              <w:rPr>
                <w:rFonts w:cs="Arial"/>
                <w:color w:val="000000" w:themeColor="text1"/>
                <w:sz w:val="20"/>
              </w:rPr>
              <w:br/>
              <w:t xml:space="preserve">We urge NICE to reassess whether current data justify recommending ARNIs in </w:t>
            </w:r>
            <w:r w:rsidRPr="00CC6553">
              <w:rPr>
                <w:rFonts w:cs="Arial"/>
                <w:color w:val="000000" w:themeColor="text1"/>
                <w:sz w:val="20"/>
              </w:rPr>
              <w:lastRenderedPageBreak/>
              <w:t>initial or early treatment combinations, particularly in patients who have not yet demonstrated non-response or intolerance to ACE inhibitors. More targeted studies and real-world data may be needed before endorsing such a shift.</w:t>
            </w:r>
          </w:p>
        </w:tc>
        <w:tc>
          <w:tcPr>
            <w:tcW w:w="2122" w:type="pct"/>
          </w:tcPr>
          <w:p w14:paraId="3EAD8B7D" w14:textId="301D4B46" w:rsidR="00897293" w:rsidRPr="009B3C47" w:rsidRDefault="00897293" w:rsidP="00B234F1">
            <w:pPr>
              <w:rPr>
                <w:rFonts w:eastAsia="Aptos" w:cs="Arial"/>
                <w:color w:val="000000" w:themeColor="text1"/>
                <w:sz w:val="20"/>
              </w:rPr>
            </w:pPr>
            <w:r w:rsidRPr="00CC6553">
              <w:rPr>
                <w:rFonts w:cs="Arial"/>
                <w:bCs/>
                <w:color w:val="000000" w:themeColor="text1"/>
                <w:sz w:val="20"/>
              </w:rPr>
              <w:lastRenderedPageBreak/>
              <w:t xml:space="preserve">Thank you for your comment. </w:t>
            </w:r>
            <w:r w:rsidRPr="009B3C47">
              <w:rPr>
                <w:rFonts w:eastAsia="Aptos" w:cs="Arial"/>
                <w:color w:val="000000" w:themeColor="text1"/>
                <w:sz w:val="20"/>
              </w:rPr>
              <w:t>The review protocol for this update specified that only randomised trial data would be included when assessing the clinical effectiveness as this provides the most robust source of data for comparing interventions. Thus, all relevant randomised controlle</w:t>
            </w:r>
          </w:p>
          <w:p w14:paraId="6E411704" w14:textId="6EDD9AFD" w:rsidR="00897293" w:rsidRPr="009B3C47" w:rsidRDefault="00897293" w:rsidP="00B234F1">
            <w:pPr>
              <w:rPr>
                <w:rFonts w:eastAsia="Aptos" w:cs="Arial"/>
                <w:color w:val="000000" w:themeColor="text1"/>
                <w:sz w:val="20"/>
              </w:rPr>
            </w:pPr>
            <w:r w:rsidRPr="009B3C47">
              <w:rPr>
                <w:rFonts w:eastAsia="Aptos" w:cs="Arial"/>
                <w:color w:val="000000" w:themeColor="text1"/>
                <w:sz w:val="20"/>
              </w:rPr>
              <w:t xml:space="preserve">d trials were included in the clinical evidence review and real-world data could not be incorporated. Any limitations in the evidence base </w:t>
            </w:r>
            <w:r>
              <w:rPr>
                <w:rFonts w:eastAsia="Aptos" w:cs="Arial"/>
                <w:color w:val="000000" w:themeColor="text1"/>
                <w:sz w:val="20"/>
              </w:rPr>
              <w:t>were</w:t>
            </w:r>
            <w:r w:rsidRPr="009B3C47">
              <w:rPr>
                <w:rFonts w:eastAsia="Aptos" w:cs="Arial"/>
                <w:color w:val="000000" w:themeColor="text1"/>
                <w:sz w:val="20"/>
              </w:rPr>
              <w:t xml:space="preserve"> carefully considered by the committee when discussing the evidence and drafting recommendations. </w:t>
            </w:r>
          </w:p>
          <w:p w14:paraId="7E208C56" w14:textId="44DE79AB" w:rsidR="00897293" w:rsidRPr="00CC6553" w:rsidRDefault="00897293" w:rsidP="6763097B">
            <w:pPr>
              <w:pStyle w:val="Heading1"/>
              <w:rPr>
                <w:rFonts w:cs="Arial"/>
                <w:b w:val="0"/>
                <w:bCs w:val="0"/>
                <w:color w:val="000000" w:themeColor="text1"/>
                <w:sz w:val="20"/>
              </w:rPr>
            </w:pPr>
            <w:r w:rsidRPr="6763097B">
              <w:rPr>
                <w:rFonts w:cs="Arial"/>
                <w:b w:val="0"/>
                <w:bCs w:val="0"/>
                <w:color w:val="000000" w:themeColor="text1"/>
                <w:sz w:val="20"/>
              </w:rPr>
              <w:lastRenderedPageBreak/>
              <w:t xml:space="preserve">Moreover real-world evidence from OpenSAFELY was used to reflect baseline risk of an English population in the economic model. Even in the more favourable scenarios for ARNI, at current prices, the economic modelling found it not cost-effective in people who can tolerate ACEI. </w:t>
            </w:r>
          </w:p>
          <w:p w14:paraId="244213E8" w14:textId="7B256834" w:rsidR="00897293" w:rsidRPr="00CC6553" w:rsidRDefault="00897293" w:rsidP="00A5768B">
            <w:pPr>
              <w:pStyle w:val="Heading1"/>
              <w:rPr>
                <w:rFonts w:cs="Arial"/>
                <w:color w:val="000000" w:themeColor="text1"/>
                <w:sz w:val="20"/>
              </w:rPr>
            </w:pPr>
          </w:p>
        </w:tc>
      </w:tr>
      <w:tr w:rsidR="00897293" w:rsidRPr="00CC6553" w14:paraId="743CCF36" w14:textId="77777777" w:rsidTr="00897293">
        <w:trPr>
          <w:trHeight w:val="300"/>
        </w:trPr>
        <w:tc>
          <w:tcPr>
            <w:tcW w:w="109" w:type="pct"/>
          </w:tcPr>
          <w:p w14:paraId="75D734AD"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256</w:t>
            </w:r>
          </w:p>
        </w:tc>
        <w:tc>
          <w:tcPr>
            <w:tcW w:w="143" w:type="pct"/>
          </w:tcPr>
          <w:p w14:paraId="5C0CD70B" w14:textId="43E87917"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73A2A71F" w14:textId="487A45D7" w:rsidR="00897293" w:rsidRPr="00CC6553" w:rsidRDefault="00897293" w:rsidP="00B234F1">
            <w:pPr>
              <w:rPr>
                <w:rFonts w:cs="Arial"/>
                <w:bCs/>
                <w:iCs/>
                <w:color w:val="000000" w:themeColor="text1"/>
                <w:sz w:val="20"/>
              </w:rPr>
            </w:pPr>
            <w:r w:rsidRPr="00CC6553">
              <w:rPr>
                <w:rFonts w:cs="Arial"/>
                <w:color w:val="000000" w:themeColor="text1"/>
                <w:sz w:val="20"/>
              </w:rPr>
              <w:t>NHS Surrey Heartlands Integrated Care Board (ICB)</w:t>
            </w:r>
          </w:p>
        </w:tc>
        <w:tc>
          <w:tcPr>
            <w:tcW w:w="279" w:type="pct"/>
          </w:tcPr>
          <w:p w14:paraId="41F24034" w14:textId="15D624D2"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0595F31F" w14:textId="534F4C5A" w:rsidR="00897293" w:rsidRPr="00CC6553" w:rsidRDefault="00897293" w:rsidP="00B234F1">
            <w:pPr>
              <w:rPr>
                <w:rFonts w:cs="Arial"/>
                <w:color w:val="000000" w:themeColor="text1"/>
                <w:sz w:val="20"/>
              </w:rPr>
            </w:pPr>
            <w:r w:rsidRPr="00CC6553">
              <w:rPr>
                <w:rFonts w:cs="Arial"/>
                <w:color w:val="000000" w:themeColor="text1"/>
                <w:sz w:val="20"/>
              </w:rPr>
              <w:t>016 - 017</w:t>
            </w:r>
          </w:p>
        </w:tc>
        <w:tc>
          <w:tcPr>
            <w:tcW w:w="214" w:type="pct"/>
          </w:tcPr>
          <w:p w14:paraId="649C92C6" w14:textId="2430FE26"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65B79DB4" w14:textId="0692CF66" w:rsidR="00897293" w:rsidRPr="00CC6553" w:rsidRDefault="00897293" w:rsidP="00B234F1">
            <w:pPr>
              <w:rPr>
                <w:rFonts w:cs="Arial"/>
                <w:color w:val="000000" w:themeColor="text1"/>
                <w:sz w:val="20"/>
              </w:rPr>
            </w:pPr>
            <w:r w:rsidRPr="00CC6553">
              <w:rPr>
                <w:rFonts w:cs="Arial"/>
                <w:color w:val="000000" w:themeColor="text1"/>
                <w:sz w:val="20"/>
              </w:rPr>
              <w:t>Comment on Draft Guidance – Chronic Heart Failure Update 2025 Section: Recommendations – Use of ARNIs (Draft NICE Guidance, June 2025)</w:t>
            </w:r>
            <w:r w:rsidRPr="00CC6553">
              <w:rPr>
                <w:rFonts w:cs="Arial"/>
                <w:color w:val="000000" w:themeColor="text1"/>
                <w:sz w:val="20"/>
              </w:rPr>
              <w:br/>
            </w:r>
            <w:r w:rsidRPr="00CC6553">
              <w:rPr>
                <w:rFonts w:cs="Arial"/>
                <w:color w:val="000000" w:themeColor="text1"/>
                <w:sz w:val="20"/>
              </w:rPr>
              <w:br/>
              <w:t>While the guidance advocates for earlier and wider use of angiotensin receptor neprilysin inhibitors (ARNIs), we remain concerned about the strength of the supporting evidence and how this recommendation may translate into practice. Much of the optimism around improved outcomes may reflect the fact that ARNI initiation and optimisation in clinical trials and specialist settings have been carried out by experienced heart failure nurses and multidisciplinary teams.</w:t>
            </w:r>
            <w:r w:rsidRPr="00CC6553">
              <w:rPr>
                <w:rFonts w:cs="Arial"/>
                <w:color w:val="000000" w:themeColor="text1"/>
                <w:sz w:val="20"/>
              </w:rPr>
              <w:br/>
            </w:r>
            <w:r w:rsidRPr="00CC6553">
              <w:rPr>
                <w:rFonts w:cs="Arial"/>
                <w:color w:val="000000" w:themeColor="text1"/>
                <w:sz w:val="20"/>
              </w:rPr>
              <w:br/>
              <w:t>In primary care, the reality is quite different. Generalist clinicians often face significant time and resource constraints that limit the capacity for optimal initiation and titration of cardiovascular medications. Without specialist input and structured protocols, there is a risk that ARNI therapy might be under-dosed, poorly monitored, or delayed—blunting its potential benefits. NICE should more clearly address the need for ongoing support, training, and resources to ensure safe and effective roll-out of ARNIs outside of specialist heart failure services</w:t>
            </w:r>
          </w:p>
        </w:tc>
        <w:tc>
          <w:tcPr>
            <w:tcW w:w="2122" w:type="pct"/>
          </w:tcPr>
          <w:p w14:paraId="7F7DEBA4" w14:textId="354EF562" w:rsidR="00897293" w:rsidRPr="00CC6553" w:rsidRDefault="00897293" w:rsidP="7D407D0E">
            <w:pPr>
              <w:rPr>
                <w:rFonts w:cs="Arial"/>
                <w:color w:val="000000" w:themeColor="text1"/>
                <w:sz w:val="20"/>
              </w:rPr>
            </w:pPr>
            <w:r w:rsidRPr="00CC6553">
              <w:rPr>
                <w:rFonts w:cs="Arial"/>
                <w:color w:val="000000" w:themeColor="text1"/>
                <w:sz w:val="20"/>
              </w:rPr>
              <w:t>Thank you for your comment.  The guideline recommendations enable primary care prescribers to consider seeking specialist advice before starting an ARNI but this does not preclude further input on titration and monitoring.   The committee agreed that most, if not all patients, would be under the care of specialist services if they require an ARNI.  If a patient is not, then local protocols should be developed in conjunction with local heart failure services that adequately support primary care.  The committee acknowledge the large variation in local resource provision, including the availability and accessibility of heart failure services.</w:t>
            </w:r>
          </w:p>
          <w:p w14:paraId="5029F22F" w14:textId="33D08EE5" w:rsidR="00897293" w:rsidRPr="00CC6553" w:rsidRDefault="00897293" w:rsidP="7D407D0E">
            <w:pPr>
              <w:spacing w:line="259" w:lineRule="auto"/>
              <w:rPr>
                <w:color w:val="000000" w:themeColor="text1"/>
                <w:highlight w:val="cyan"/>
              </w:rPr>
            </w:pPr>
          </w:p>
        </w:tc>
      </w:tr>
      <w:tr w:rsidR="00897293" w:rsidRPr="00CC6553" w14:paraId="5DC6D8AE" w14:textId="77777777" w:rsidTr="00897293">
        <w:trPr>
          <w:trHeight w:val="300"/>
        </w:trPr>
        <w:tc>
          <w:tcPr>
            <w:tcW w:w="109" w:type="pct"/>
          </w:tcPr>
          <w:p w14:paraId="5BE63829"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257</w:t>
            </w:r>
          </w:p>
        </w:tc>
        <w:tc>
          <w:tcPr>
            <w:tcW w:w="143" w:type="pct"/>
          </w:tcPr>
          <w:p w14:paraId="2A056C51" w14:textId="492B3C7E"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2D1916B9" w14:textId="1ABC8FB5"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368992FF" w14:textId="4EE1D5BD"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56D907AB" w14:textId="48D19C56" w:rsidR="00897293" w:rsidRPr="00CC6553" w:rsidRDefault="00897293" w:rsidP="00B234F1">
            <w:pPr>
              <w:rPr>
                <w:rFonts w:cs="Arial"/>
                <w:color w:val="000000" w:themeColor="text1"/>
                <w:sz w:val="20"/>
              </w:rPr>
            </w:pPr>
            <w:r w:rsidRPr="00CC6553">
              <w:rPr>
                <w:rFonts w:cs="Arial"/>
                <w:color w:val="000000" w:themeColor="text1"/>
                <w:sz w:val="20"/>
              </w:rPr>
              <w:t>017</w:t>
            </w:r>
          </w:p>
        </w:tc>
        <w:tc>
          <w:tcPr>
            <w:tcW w:w="214" w:type="pct"/>
          </w:tcPr>
          <w:p w14:paraId="5F080C74" w14:textId="2C675F91" w:rsidR="00897293" w:rsidRPr="00CC6553" w:rsidRDefault="00897293" w:rsidP="00B234F1">
            <w:pPr>
              <w:rPr>
                <w:rFonts w:cs="Arial"/>
                <w:color w:val="000000" w:themeColor="text1"/>
                <w:sz w:val="20"/>
              </w:rPr>
            </w:pPr>
            <w:r w:rsidRPr="00CC6553">
              <w:rPr>
                <w:rFonts w:cs="Arial"/>
                <w:color w:val="000000" w:themeColor="text1"/>
                <w:sz w:val="20"/>
              </w:rPr>
              <w:t>006</w:t>
            </w:r>
          </w:p>
        </w:tc>
        <w:tc>
          <w:tcPr>
            <w:tcW w:w="1521" w:type="pct"/>
          </w:tcPr>
          <w:p w14:paraId="52D2961B" w14:textId="14CA0CBA" w:rsidR="00897293" w:rsidRPr="00CC6553" w:rsidRDefault="00897293" w:rsidP="00B234F1">
            <w:pPr>
              <w:rPr>
                <w:rFonts w:cs="Arial"/>
                <w:color w:val="000000" w:themeColor="text1"/>
                <w:sz w:val="20"/>
              </w:rPr>
            </w:pPr>
            <w:r w:rsidRPr="00CC6553">
              <w:rPr>
                <w:rFonts w:cs="Arial"/>
                <w:color w:val="000000" w:themeColor="text1"/>
                <w:sz w:val="20"/>
              </w:rPr>
              <w:t>If the person’s resting heart rate is less than 60 beats per minute, use the result of a 12-lead ECG to differentiate AF from sinus rhythm, or sinus rhythm with bigeminy to aid decision making on whether to prescribe a beta-blocker. [2025] This recommendation is too vague – please consider adding the text in red.</w:t>
            </w:r>
          </w:p>
        </w:tc>
        <w:tc>
          <w:tcPr>
            <w:tcW w:w="2122" w:type="pct"/>
          </w:tcPr>
          <w:p w14:paraId="73D56D16" w14:textId="7758D65F"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A recommendation has been added to clarify what action should be taken based on the ECG.</w:t>
            </w:r>
          </w:p>
        </w:tc>
      </w:tr>
      <w:tr w:rsidR="00897293" w:rsidRPr="00CC6553" w14:paraId="69225E7A" w14:textId="77777777" w:rsidTr="00897293">
        <w:trPr>
          <w:trHeight w:val="300"/>
        </w:trPr>
        <w:tc>
          <w:tcPr>
            <w:tcW w:w="109" w:type="pct"/>
          </w:tcPr>
          <w:p w14:paraId="3073766F" w14:textId="77777777" w:rsidR="00897293" w:rsidRPr="00CC6553" w:rsidRDefault="00897293" w:rsidP="00B234F1">
            <w:pPr>
              <w:rPr>
                <w:rFonts w:cs="Arial"/>
                <w:color w:val="000000" w:themeColor="text1"/>
                <w:sz w:val="20"/>
              </w:rPr>
            </w:pPr>
            <w:r w:rsidRPr="00CC6553">
              <w:rPr>
                <w:rFonts w:cs="Arial"/>
                <w:color w:val="000000" w:themeColor="text1"/>
                <w:sz w:val="20"/>
              </w:rPr>
              <w:t>258</w:t>
            </w:r>
          </w:p>
        </w:tc>
        <w:tc>
          <w:tcPr>
            <w:tcW w:w="143" w:type="pct"/>
          </w:tcPr>
          <w:p w14:paraId="58935764" w14:textId="26570740"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278C73B7" w14:textId="73BDE742"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52400BE5" w14:textId="575DB3FB"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7E1536EA" w14:textId="40CE7854" w:rsidR="00897293" w:rsidRPr="00CC6553" w:rsidRDefault="00897293" w:rsidP="00B234F1">
            <w:pPr>
              <w:rPr>
                <w:rFonts w:cs="Arial"/>
                <w:color w:val="000000" w:themeColor="text1"/>
                <w:sz w:val="20"/>
              </w:rPr>
            </w:pPr>
            <w:r w:rsidRPr="00CC6553">
              <w:rPr>
                <w:rFonts w:cs="Arial"/>
                <w:color w:val="000000" w:themeColor="text1"/>
                <w:sz w:val="20"/>
              </w:rPr>
              <w:t>017</w:t>
            </w:r>
          </w:p>
        </w:tc>
        <w:tc>
          <w:tcPr>
            <w:tcW w:w="214" w:type="pct"/>
          </w:tcPr>
          <w:p w14:paraId="0EE8B056" w14:textId="4BEB07AE" w:rsidR="00897293" w:rsidRPr="00CC6553" w:rsidRDefault="00897293" w:rsidP="00B234F1">
            <w:pPr>
              <w:rPr>
                <w:rFonts w:cs="Arial"/>
                <w:color w:val="000000" w:themeColor="text1"/>
                <w:sz w:val="20"/>
              </w:rPr>
            </w:pPr>
            <w:r w:rsidRPr="00CC6553">
              <w:rPr>
                <w:rFonts w:cs="Arial"/>
                <w:color w:val="000000" w:themeColor="text1"/>
                <w:sz w:val="20"/>
              </w:rPr>
              <w:t>006</w:t>
            </w:r>
          </w:p>
        </w:tc>
        <w:tc>
          <w:tcPr>
            <w:tcW w:w="1521" w:type="pct"/>
          </w:tcPr>
          <w:p w14:paraId="0FC19A81" w14:textId="12927DE6" w:rsidR="00897293" w:rsidRPr="00CC6553" w:rsidRDefault="00897293" w:rsidP="00B234F1">
            <w:pPr>
              <w:rPr>
                <w:rFonts w:cs="Arial"/>
                <w:color w:val="000000" w:themeColor="text1"/>
                <w:sz w:val="20"/>
              </w:rPr>
            </w:pPr>
            <w:r w:rsidRPr="00CC6553">
              <w:rPr>
                <w:rFonts w:cs="Arial"/>
                <w:color w:val="000000" w:themeColor="text1"/>
                <w:sz w:val="20"/>
              </w:rPr>
              <w:t>Would suggest specifying ‘what result in the 12 Lead ECG ‘ e.g. rate</w:t>
            </w:r>
          </w:p>
        </w:tc>
        <w:tc>
          <w:tcPr>
            <w:tcW w:w="2122" w:type="pct"/>
          </w:tcPr>
          <w:p w14:paraId="1150F060" w14:textId="5417C7CA" w:rsidR="00897293" w:rsidRPr="00CC6553" w:rsidRDefault="00897293" w:rsidP="476BDDBF">
            <w:pPr>
              <w:pStyle w:val="Heading1"/>
              <w:rPr>
                <w:rFonts w:cs="Arial"/>
                <w:b w:val="0"/>
                <w:bCs w:val="0"/>
                <w:color w:val="000000" w:themeColor="text1"/>
                <w:sz w:val="20"/>
              </w:rPr>
            </w:pPr>
            <w:r w:rsidRPr="00CC6553">
              <w:rPr>
                <w:rFonts w:cs="Arial"/>
                <w:b w:val="0"/>
                <w:bCs w:val="0"/>
                <w:color w:val="000000" w:themeColor="text1"/>
                <w:sz w:val="20"/>
              </w:rPr>
              <w:t>Thank you for your comment.  This recommendation has been edited to clarify the action.</w:t>
            </w:r>
          </w:p>
        </w:tc>
      </w:tr>
      <w:tr w:rsidR="00897293" w:rsidRPr="00CC6553" w14:paraId="4B754FB4" w14:textId="77777777" w:rsidTr="00897293">
        <w:trPr>
          <w:trHeight w:val="300"/>
        </w:trPr>
        <w:tc>
          <w:tcPr>
            <w:tcW w:w="109" w:type="pct"/>
          </w:tcPr>
          <w:p w14:paraId="668F52B9" w14:textId="77777777" w:rsidR="00897293" w:rsidRPr="00CC6553" w:rsidRDefault="00897293" w:rsidP="00B234F1">
            <w:pPr>
              <w:rPr>
                <w:rFonts w:cs="Arial"/>
                <w:color w:val="000000" w:themeColor="text1"/>
                <w:sz w:val="20"/>
              </w:rPr>
            </w:pPr>
            <w:r w:rsidRPr="00CC6553">
              <w:rPr>
                <w:rFonts w:cs="Arial"/>
                <w:color w:val="000000" w:themeColor="text1"/>
                <w:sz w:val="20"/>
              </w:rPr>
              <w:t>259</w:t>
            </w:r>
          </w:p>
        </w:tc>
        <w:tc>
          <w:tcPr>
            <w:tcW w:w="143" w:type="pct"/>
          </w:tcPr>
          <w:p w14:paraId="23656C55" w14:textId="18F4924F"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04F9CCA7" w14:textId="799DAB8D" w:rsidR="00897293" w:rsidRPr="00CC6553" w:rsidRDefault="00897293" w:rsidP="00B234F1">
            <w:pPr>
              <w:rPr>
                <w:rFonts w:cs="Arial"/>
                <w:bCs/>
                <w:iCs/>
                <w:color w:val="000000" w:themeColor="text1"/>
                <w:sz w:val="20"/>
              </w:rPr>
            </w:pPr>
            <w:r w:rsidRPr="00CC6553">
              <w:rPr>
                <w:rFonts w:cs="Arial"/>
                <w:color w:val="000000" w:themeColor="text1"/>
                <w:sz w:val="20"/>
              </w:rPr>
              <w:t>Primary Care Cardiovascular Society (PCCS)</w:t>
            </w:r>
          </w:p>
        </w:tc>
        <w:tc>
          <w:tcPr>
            <w:tcW w:w="279" w:type="pct"/>
          </w:tcPr>
          <w:p w14:paraId="7E2CD8FD" w14:textId="30CB2BAC"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198D5634" w14:textId="7D572B3D" w:rsidR="00897293" w:rsidRPr="00CC6553" w:rsidRDefault="00897293" w:rsidP="00B234F1">
            <w:pPr>
              <w:rPr>
                <w:rFonts w:cs="Arial"/>
                <w:color w:val="000000" w:themeColor="text1"/>
                <w:sz w:val="20"/>
              </w:rPr>
            </w:pPr>
            <w:r w:rsidRPr="00CC6553">
              <w:rPr>
                <w:rFonts w:cs="Arial"/>
                <w:color w:val="000000" w:themeColor="text1"/>
                <w:sz w:val="20"/>
              </w:rPr>
              <w:t>017</w:t>
            </w:r>
          </w:p>
        </w:tc>
        <w:tc>
          <w:tcPr>
            <w:tcW w:w="214" w:type="pct"/>
          </w:tcPr>
          <w:p w14:paraId="5E30B8C5" w14:textId="1422C77D" w:rsidR="00897293" w:rsidRPr="00CC6553" w:rsidRDefault="00897293" w:rsidP="00B234F1">
            <w:pPr>
              <w:rPr>
                <w:rFonts w:cs="Arial"/>
                <w:color w:val="000000" w:themeColor="text1"/>
                <w:sz w:val="20"/>
              </w:rPr>
            </w:pPr>
            <w:r w:rsidRPr="00CC6553">
              <w:rPr>
                <w:rFonts w:cs="Arial"/>
                <w:color w:val="000000" w:themeColor="text1"/>
                <w:sz w:val="20"/>
              </w:rPr>
              <w:t>006</w:t>
            </w:r>
          </w:p>
        </w:tc>
        <w:tc>
          <w:tcPr>
            <w:tcW w:w="1521" w:type="pct"/>
          </w:tcPr>
          <w:p w14:paraId="0E2D3A08" w14:textId="154BB17F" w:rsidR="00897293" w:rsidRPr="00CC6553" w:rsidRDefault="00897293" w:rsidP="00B234F1">
            <w:pPr>
              <w:rPr>
                <w:rFonts w:cs="Arial"/>
                <w:color w:val="000000" w:themeColor="text1"/>
                <w:sz w:val="20"/>
              </w:rPr>
            </w:pPr>
            <w:r w:rsidRPr="00CC6553">
              <w:rPr>
                <w:rFonts w:cs="Arial"/>
                <w:color w:val="000000" w:themeColor="text1"/>
                <w:sz w:val="20"/>
              </w:rPr>
              <w:t>Be clear what the advice is re starting a beta-blocker or not</w:t>
            </w:r>
          </w:p>
        </w:tc>
        <w:tc>
          <w:tcPr>
            <w:tcW w:w="2122" w:type="pct"/>
          </w:tcPr>
          <w:p w14:paraId="7817FDEC" w14:textId="3A9978BF"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committee have added a recommendation on when not to offer a beta blocker.</w:t>
            </w:r>
          </w:p>
        </w:tc>
      </w:tr>
      <w:tr w:rsidR="00897293" w:rsidRPr="00CC6553" w14:paraId="326E6BF2" w14:textId="77777777" w:rsidTr="00897293">
        <w:trPr>
          <w:trHeight w:val="300"/>
        </w:trPr>
        <w:tc>
          <w:tcPr>
            <w:tcW w:w="109" w:type="pct"/>
          </w:tcPr>
          <w:p w14:paraId="6E7F87BA" w14:textId="77777777" w:rsidR="00897293" w:rsidRPr="00CC6553" w:rsidRDefault="00897293" w:rsidP="00B234F1">
            <w:pPr>
              <w:rPr>
                <w:rFonts w:cs="Arial"/>
                <w:color w:val="000000" w:themeColor="text1"/>
                <w:sz w:val="20"/>
              </w:rPr>
            </w:pPr>
            <w:r w:rsidRPr="00CC6553">
              <w:rPr>
                <w:rFonts w:cs="Arial"/>
                <w:color w:val="000000" w:themeColor="text1"/>
                <w:sz w:val="20"/>
              </w:rPr>
              <w:t>260</w:t>
            </w:r>
          </w:p>
        </w:tc>
        <w:tc>
          <w:tcPr>
            <w:tcW w:w="143" w:type="pct"/>
          </w:tcPr>
          <w:p w14:paraId="2D86D485" w14:textId="13E519A0"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2893C62A" w14:textId="5714C359" w:rsidR="00897293" w:rsidRPr="00CC6553" w:rsidRDefault="00897293" w:rsidP="00B234F1">
            <w:pPr>
              <w:rPr>
                <w:rFonts w:cs="Arial"/>
                <w:bCs/>
                <w:iCs/>
                <w:color w:val="000000" w:themeColor="text1"/>
                <w:sz w:val="20"/>
              </w:rPr>
            </w:pPr>
            <w:r w:rsidRPr="00CC6553">
              <w:rPr>
                <w:rFonts w:cs="Arial"/>
                <w:color w:val="000000" w:themeColor="text1"/>
                <w:sz w:val="20"/>
              </w:rPr>
              <w:t>UK Clinical Pharmacy Association (UKCPA) – heart failure committee</w:t>
            </w:r>
          </w:p>
        </w:tc>
        <w:tc>
          <w:tcPr>
            <w:tcW w:w="279" w:type="pct"/>
          </w:tcPr>
          <w:p w14:paraId="4825F68D" w14:textId="52971E53"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73704906" w14:textId="0A732CB3" w:rsidR="00897293" w:rsidRPr="00CC6553" w:rsidRDefault="00897293" w:rsidP="00B234F1">
            <w:pPr>
              <w:rPr>
                <w:rFonts w:cs="Arial"/>
                <w:color w:val="000000" w:themeColor="text1"/>
                <w:sz w:val="20"/>
              </w:rPr>
            </w:pPr>
            <w:r w:rsidRPr="00CC6553">
              <w:rPr>
                <w:rFonts w:cs="Arial"/>
                <w:color w:val="000000" w:themeColor="text1"/>
                <w:sz w:val="20"/>
              </w:rPr>
              <w:t>017</w:t>
            </w:r>
          </w:p>
        </w:tc>
        <w:tc>
          <w:tcPr>
            <w:tcW w:w="214" w:type="pct"/>
          </w:tcPr>
          <w:p w14:paraId="35AE6829" w14:textId="7F867AA2" w:rsidR="00897293" w:rsidRPr="00CC6553" w:rsidRDefault="00897293" w:rsidP="00B234F1">
            <w:pPr>
              <w:rPr>
                <w:rFonts w:cs="Arial"/>
                <w:color w:val="000000" w:themeColor="text1"/>
                <w:sz w:val="20"/>
              </w:rPr>
            </w:pPr>
            <w:r w:rsidRPr="00CC6553">
              <w:rPr>
                <w:rFonts w:cs="Arial"/>
                <w:color w:val="000000" w:themeColor="text1"/>
                <w:sz w:val="20"/>
              </w:rPr>
              <w:t>006</w:t>
            </w:r>
          </w:p>
        </w:tc>
        <w:tc>
          <w:tcPr>
            <w:tcW w:w="1521" w:type="pct"/>
          </w:tcPr>
          <w:p w14:paraId="7EDEC5D5" w14:textId="651B8E1D" w:rsidR="00897293" w:rsidRPr="00CC6553" w:rsidRDefault="00897293" w:rsidP="00B234F1">
            <w:pPr>
              <w:rPr>
                <w:rFonts w:cs="Arial"/>
                <w:color w:val="000000" w:themeColor="text1"/>
                <w:sz w:val="20"/>
              </w:rPr>
            </w:pPr>
            <w:r w:rsidRPr="00CC6553">
              <w:rPr>
                <w:rFonts w:cs="Arial"/>
                <w:color w:val="000000" w:themeColor="text1"/>
                <w:sz w:val="20"/>
              </w:rPr>
              <w:t>We support the recommendation</w:t>
            </w:r>
          </w:p>
        </w:tc>
        <w:tc>
          <w:tcPr>
            <w:tcW w:w="2122" w:type="pct"/>
          </w:tcPr>
          <w:p w14:paraId="43586D85" w14:textId="7E46DC7E"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w:t>
            </w:r>
          </w:p>
        </w:tc>
      </w:tr>
      <w:tr w:rsidR="00897293" w:rsidRPr="00CC6553" w14:paraId="760E89AA" w14:textId="77777777" w:rsidTr="00897293">
        <w:trPr>
          <w:trHeight w:val="300"/>
        </w:trPr>
        <w:tc>
          <w:tcPr>
            <w:tcW w:w="109" w:type="pct"/>
          </w:tcPr>
          <w:p w14:paraId="512FFA94" w14:textId="77777777" w:rsidR="00897293" w:rsidRPr="00CC6553" w:rsidRDefault="00897293" w:rsidP="00B234F1">
            <w:pPr>
              <w:rPr>
                <w:rFonts w:cs="Arial"/>
                <w:color w:val="000000" w:themeColor="text1"/>
                <w:sz w:val="20"/>
              </w:rPr>
            </w:pPr>
            <w:r w:rsidRPr="00CC6553">
              <w:rPr>
                <w:rFonts w:cs="Arial"/>
                <w:color w:val="000000" w:themeColor="text1"/>
                <w:sz w:val="20"/>
              </w:rPr>
              <w:t>261</w:t>
            </w:r>
          </w:p>
        </w:tc>
        <w:tc>
          <w:tcPr>
            <w:tcW w:w="143" w:type="pct"/>
          </w:tcPr>
          <w:p w14:paraId="38ACED89" w14:textId="6D27D2B6"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5D217E94" w14:textId="2BCB8AB4"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6901DD7D" w14:textId="3A94D529"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079AE991" w14:textId="7AC26174" w:rsidR="00897293" w:rsidRPr="00CC6553" w:rsidRDefault="00897293" w:rsidP="00B234F1">
            <w:pPr>
              <w:rPr>
                <w:rFonts w:cs="Arial"/>
                <w:color w:val="000000" w:themeColor="text1"/>
                <w:sz w:val="20"/>
              </w:rPr>
            </w:pPr>
            <w:r w:rsidRPr="00CC6553">
              <w:rPr>
                <w:rFonts w:cs="Arial"/>
                <w:color w:val="000000" w:themeColor="text1"/>
                <w:sz w:val="20"/>
              </w:rPr>
              <w:t>017</w:t>
            </w:r>
          </w:p>
        </w:tc>
        <w:tc>
          <w:tcPr>
            <w:tcW w:w="214" w:type="pct"/>
          </w:tcPr>
          <w:p w14:paraId="5CFF1B64" w14:textId="0E219DFF" w:rsidR="00897293" w:rsidRPr="00CC6553" w:rsidRDefault="00897293" w:rsidP="00B234F1">
            <w:pPr>
              <w:rPr>
                <w:rFonts w:cs="Arial"/>
                <w:color w:val="000000" w:themeColor="text1"/>
                <w:sz w:val="20"/>
              </w:rPr>
            </w:pPr>
            <w:r w:rsidRPr="00CC6553">
              <w:rPr>
                <w:rFonts w:cs="Arial"/>
                <w:color w:val="000000" w:themeColor="text1"/>
                <w:sz w:val="20"/>
              </w:rPr>
              <w:t>006 - 008</w:t>
            </w:r>
          </w:p>
        </w:tc>
        <w:tc>
          <w:tcPr>
            <w:tcW w:w="1521" w:type="pct"/>
          </w:tcPr>
          <w:p w14:paraId="41CAC29D" w14:textId="3AB7070B" w:rsidR="00897293" w:rsidRPr="00CC6553" w:rsidRDefault="00897293" w:rsidP="00B234F1">
            <w:pPr>
              <w:rPr>
                <w:rFonts w:cs="Arial"/>
                <w:color w:val="000000" w:themeColor="text1"/>
                <w:sz w:val="20"/>
              </w:rPr>
            </w:pPr>
            <w:r w:rsidRPr="00CC6553">
              <w:rPr>
                <w:rFonts w:cs="Arial"/>
                <w:color w:val="000000" w:themeColor="text1"/>
                <w:sz w:val="20"/>
              </w:rPr>
              <w:t>It is vital to differentiate the use of beta-blockers for patients with co-existent atrial fibrillation (AF) as opposed to sinus rhythm. In AF a low resting heart rate on ECG is likely to relate to even lower heart rates at night and a more lenient approach to heart rate control considered.</w:t>
            </w:r>
            <w:r w:rsidRPr="00CC6553">
              <w:rPr>
                <w:rFonts w:cs="Arial"/>
                <w:color w:val="000000" w:themeColor="text1"/>
                <w:sz w:val="20"/>
              </w:rPr>
              <w:br/>
            </w:r>
            <w:r w:rsidRPr="00CC6553">
              <w:rPr>
                <w:rFonts w:cs="Arial"/>
                <w:color w:val="000000" w:themeColor="text1"/>
                <w:sz w:val="20"/>
              </w:rPr>
              <w:br/>
              <w:t>In addition, when making statements like these it is important to provide the reader of the guideline a steer as to how the data will influence their decision making.</w:t>
            </w:r>
            <w:r w:rsidRPr="00CC6553">
              <w:rPr>
                <w:rFonts w:cs="Arial"/>
                <w:color w:val="000000" w:themeColor="text1"/>
                <w:sz w:val="20"/>
              </w:rPr>
              <w:br/>
            </w:r>
            <w:r w:rsidRPr="00CC6553">
              <w:rPr>
                <w:rFonts w:cs="Arial"/>
                <w:color w:val="000000" w:themeColor="text1"/>
                <w:sz w:val="20"/>
              </w:rPr>
              <w:br/>
              <w:t>If heart rate was &lt;60 bpm I am not sure I would give a beta blocker irrespective of what ECG showed. If it is to be kept in would it make more sense to say along the lines of: ‘Consider using an ECG to decide whether or not to….’.</w:t>
            </w:r>
          </w:p>
        </w:tc>
        <w:tc>
          <w:tcPr>
            <w:tcW w:w="2122" w:type="pct"/>
          </w:tcPr>
          <w:p w14:paraId="1A98E178" w14:textId="5AFA8B0B"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A recommendation has been added to clarify what action should be taken based on the ECG.</w:t>
            </w:r>
          </w:p>
        </w:tc>
      </w:tr>
      <w:tr w:rsidR="00897293" w:rsidRPr="00CC6553" w14:paraId="25146012" w14:textId="77777777" w:rsidTr="00897293">
        <w:trPr>
          <w:trHeight w:val="300"/>
        </w:trPr>
        <w:tc>
          <w:tcPr>
            <w:tcW w:w="109" w:type="pct"/>
          </w:tcPr>
          <w:p w14:paraId="26C42D21" w14:textId="77777777" w:rsidR="00897293" w:rsidRPr="00CC6553" w:rsidRDefault="00897293" w:rsidP="00B234F1">
            <w:pPr>
              <w:rPr>
                <w:rFonts w:cs="Arial"/>
                <w:color w:val="000000" w:themeColor="text1"/>
                <w:sz w:val="20"/>
              </w:rPr>
            </w:pPr>
            <w:r w:rsidRPr="00CC6553">
              <w:rPr>
                <w:rFonts w:cs="Arial"/>
                <w:color w:val="000000" w:themeColor="text1"/>
                <w:sz w:val="20"/>
              </w:rPr>
              <w:t>262</w:t>
            </w:r>
          </w:p>
        </w:tc>
        <w:tc>
          <w:tcPr>
            <w:tcW w:w="143" w:type="pct"/>
          </w:tcPr>
          <w:p w14:paraId="4F0413E5" w14:textId="1A960ECF"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A7C07EA" w14:textId="3FC0E0A9" w:rsidR="00897293" w:rsidRPr="00CC6553" w:rsidRDefault="00897293" w:rsidP="00B234F1">
            <w:pPr>
              <w:rPr>
                <w:rFonts w:cs="Arial"/>
                <w:bCs/>
                <w:iCs/>
                <w:color w:val="000000" w:themeColor="text1"/>
                <w:sz w:val="20"/>
              </w:rPr>
            </w:pPr>
            <w:r w:rsidRPr="00CC6553">
              <w:rPr>
                <w:rFonts w:cs="Arial"/>
                <w:color w:val="000000" w:themeColor="text1"/>
                <w:sz w:val="20"/>
              </w:rPr>
              <w:t xml:space="preserve">Portsmouth Hospitals </w:t>
            </w:r>
            <w:r w:rsidRPr="00CC6553">
              <w:rPr>
                <w:rFonts w:cs="Arial"/>
                <w:color w:val="000000" w:themeColor="text1"/>
                <w:sz w:val="20"/>
              </w:rPr>
              <w:lastRenderedPageBreak/>
              <w:t>University NHS Trust</w:t>
            </w:r>
          </w:p>
        </w:tc>
        <w:tc>
          <w:tcPr>
            <w:tcW w:w="279" w:type="pct"/>
          </w:tcPr>
          <w:p w14:paraId="3348800A" w14:textId="13E0F91B" w:rsidR="00897293" w:rsidRPr="00CC6553" w:rsidRDefault="00897293" w:rsidP="00B234F1">
            <w:pPr>
              <w:rPr>
                <w:rFonts w:cs="Arial"/>
                <w:color w:val="000000" w:themeColor="text1"/>
                <w:sz w:val="20"/>
              </w:rPr>
            </w:pPr>
            <w:r w:rsidRPr="00CC6553">
              <w:rPr>
                <w:rFonts w:cs="Arial"/>
                <w:color w:val="000000" w:themeColor="text1"/>
                <w:sz w:val="20"/>
              </w:rPr>
              <w:lastRenderedPageBreak/>
              <w:t>Guideline</w:t>
            </w:r>
          </w:p>
        </w:tc>
        <w:tc>
          <w:tcPr>
            <w:tcW w:w="214" w:type="pct"/>
          </w:tcPr>
          <w:p w14:paraId="7F64C5E9" w14:textId="38C13C87" w:rsidR="00897293" w:rsidRPr="00CC6553" w:rsidRDefault="00897293" w:rsidP="00B234F1">
            <w:pPr>
              <w:rPr>
                <w:rFonts w:cs="Arial"/>
                <w:color w:val="000000" w:themeColor="text1"/>
                <w:sz w:val="20"/>
              </w:rPr>
            </w:pPr>
            <w:r w:rsidRPr="00CC6553">
              <w:rPr>
                <w:rFonts w:cs="Arial"/>
                <w:color w:val="000000" w:themeColor="text1"/>
                <w:sz w:val="20"/>
              </w:rPr>
              <w:t>017</w:t>
            </w:r>
          </w:p>
        </w:tc>
        <w:tc>
          <w:tcPr>
            <w:tcW w:w="214" w:type="pct"/>
          </w:tcPr>
          <w:p w14:paraId="58098A62" w14:textId="683BD7F7" w:rsidR="00897293" w:rsidRPr="00CC6553" w:rsidRDefault="00897293" w:rsidP="00B234F1">
            <w:pPr>
              <w:rPr>
                <w:rFonts w:cs="Arial"/>
                <w:color w:val="000000" w:themeColor="text1"/>
                <w:sz w:val="20"/>
              </w:rPr>
            </w:pPr>
            <w:r w:rsidRPr="00CC6553">
              <w:rPr>
                <w:rFonts w:cs="Arial"/>
                <w:color w:val="000000" w:themeColor="text1"/>
                <w:sz w:val="20"/>
              </w:rPr>
              <w:t>006 - 008</w:t>
            </w:r>
          </w:p>
        </w:tc>
        <w:tc>
          <w:tcPr>
            <w:tcW w:w="1521" w:type="pct"/>
          </w:tcPr>
          <w:p w14:paraId="010EAC7E" w14:textId="5AD8FF29" w:rsidR="00897293" w:rsidRPr="00CC6553" w:rsidRDefault="00897293" w:rsidP="00B234F1">
            <w:pPr>
              <w:rPr>
                <w:rFonts w:cs="Arial"/>
                <w:color w:val="000000" w:themeColor="text1"/>
                <w:sz w:val="20"/>
              </w:rPr>
            </w:pPr>
            <w:r w:rsidRPr="00CC6553">
              <w:rPr>
                <w:rFonts w:cs="Arial"/>
                <w:color w:val="000000" w:themeColor="text1"/>
                <w:sz w:val="20"/>
              </w:rPr>
              <w:t xml:space="preserve">It is vital to differentiate the use of beta-blockers for patients with co-existent atrial fibrillation (AF) as opposed to sinus rhythm. In AF a low resting heart rate on ECG is likely to relate to even lower heart rates at night and a more lenient approach to </w:t>
            </w:r>
            <w:r w:rsidRPr="00CC6553">
              <w:rPr>
                <w:rFonts w:cs="Arial"/>
                <w:color w:val="000000" w:themeColor="text1"/>
                <w:sz w:val="20"/>
              </w:rPr>
              <w:lastRenderedPageBreak/>
              <w:t>heart rate control considered.</w:t>
            </w:r>
            <w:r w:rsidRPr="00CC6553">
              <w:rPr>
                <w:rFonts w:cs="Arial"/>
                <w:color w:val="000000" w:themeColor="text1"/>
                <w:sz w:val="20"/>
              </w:rPr>
              <w:br/>
            </w:r>
            <w:r w:rsidRPr="00CC6553">
              <w:rPr>
                <w:rFonts w:cs="Arial"/>
                <w:color w:val="000000" w:themeColor="text1"/>
                <w:sz w:val="20"/>
              </w:rPr>
              <w:br/>
              <w:t>In addition, when making statements like these it is important to provide the reader of the guideline a steer as to how the data will influence their decision making.</w:t>
            </w:r>
            <w:r w:rsidRPr="00CC6553">
              <w:rPr>
                <w:rFonts w:cs="Arial"/>
                <w:color w:val="000000" w:themeColor="text1"/>
                <w:sz w:val="20"/>
              </w:rPr>
              <w:br/>
            </w:r>
            <w:r w:rsidRPr="00CC6553">
              <w:rPr>
                <w:rFonts w:cs="Arial"/>
                <w:color w:val="000000" w:themeColor="text1"/>
                <w:sz w:val="20"/>
              </w:rPr>
              <w:br/>
              <w:t>If heart rate was &lt;60 bpm I am not sure I would give a beta blocker irrespective of what ECG showed. If it is to be kept in would it make more sense to say along the lines of: ‘Consider using an ECG to decide whether or not to….’.</w:t>
            </w:r>
          </w:p>
        </w:tc>
        <w:tc>
          <w:tcPr>
            <w:tcW w:w="2122" w:type="pct"/>
          </w:tcPr>
          <w:p w14:paraId="2AFC1DEA" w14:textId="3666FDF6"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lastRenderedPageBreak/>
              <w:t xml:space="preserve">Thank you for your comment.  A recommendation has been added to </w:t>
            </w:r>
            <w:r w:rsidRPr="00CC6553">
              <w:rPr>
                <w:rFonts w:cs="Arial"/>
                <w:b w:val="0"/>
                <w:color w:val="000000" w:themeColor="text1"/>
                <w:sz w:val="20"/>
              </w:rPr>
              <w:lastRenderedPageBreak/>
              <w:t>clarify what action should be taken based on the ECG.</w:t>
            </w:r>
          </w:p>
        </w:tc>
      </w:tr>
      <w:tr w:rsidR="00897293" w:rsidRPr="00CC6553" w14:paraId="3670E43C" w14:textId="77777777" w:rsidTr="00897293">
        <w:trPr>
          <w:trHeight w:val="300"/>
        </w:trPr>
        <w:tc>
          <w:tcPr>
            <w:tcW w:w="109" w:type="pct"/>
          </w:tcPr>
          <w:p w14:paraId="19B64B26"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263</w:t>
            </w:r>
          </w:p>
        </w:tc>
        <w:tc>
          <w:tcPr>
            <w:tcW w:w="143" w:type="pct"/>
          </w:tcPr>
          <w:p w14:paraId="016DC045" w14:textId="51C1BF54"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A75CF86" w14:textId="10D5E7E3" w:rsidR="00897293" w:rsidRPr="00CC6553" w:rsidRDefault="00897293" w:rsidP="00B234F1">
            <w:pPr>
              <w:rPr>
                <w:rFonts w:cs="Arial"/>
                <w:bCs/>
                <w:iCs/>
                <w:color w:val="000000" w:themeColor="text1"/>
                <w:sz w:val="20"/>
              </w:rPr>
            </w:pPr>
            <w:r w:rsidRPr="00CC6553">
              <w:rPr>
                <w:rFonts w:cs="Arial"/>
                <w:color w:val="000000" w:themeColor="text1"/>
                <w:sz w:val="20"/>
              </w:rPr>
              <w:t>Imperial College Healthcare NHS Trust</w:t>
            </w:r>
          </w:p>
        </w:tc>
        <w:tc>
          <w:tcPr>
            <w:tcW w:w="279" w:type="pct"/>
          </w:tcPr>
          <w:p w14:paraId="44A72F92" w14:textId="792DB84B"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5CD8C03D" w14:textId="6A04045D" w:rsidR="00897293" w:rsidRPr="00CC6553" w:rsidRDefault="00897293" w:rsidP="00B234F1">
            <w:pPr>
              <w:rPr>
                <w:rFonts w:cs="Arial"/>
                <w:color w:val="000000" w:themeColor="text1"/>
                <w:sz w:val="20"/>
              </w:rPr>
            </w:pPr>
            <w:r w:rsidRPr="00CC6553">
              <w:rPr>
                <w:rFonts w:cs="Arial"/>
                <w:color w:val="000000" w:themeColor="text1"/>
                <w:sz w:val="20"/>
              </w:rPr>
              <w:t>017</w:t>
            </w:r>
          </w:p>
        </w:tc>
        <w:tc>
          <w:tcPr>
            <w:tcW w:w="214" w:type="pct"/>
          </w:tcPr>
          <w:p w14:paraId="0253D9F4" w14:textId="37284C03" w:rsidR="00897293" w:rsidRPr="00CC6553" w:rsidRDefault="00897293" w:rsidP="00B234F1">
            <w:pPr>
              <w:rPr>
                <w:rFonts w:cs="Arial"/>
                <w:color w:val="000000" w:themeColor="text1"/>
                <w:sz w:val="20"/>
              </w:rPr>
            </w:pPr>
            <w:r w:rsidRPr="00CC6553">
              <w:rPr>
                <w:rFonts w:cs="Arial"/>
                <w:color w:val="000000" w:themeColor="text1"/>
                <w:sz w:val="20"/>
              </w:rPr>
              <w:t>009</w:t>
            </w:r>
          </w:p>
        </w:tc>
        <w:tc>
          <w:tcPr>
            <w:tcW w:w="1521" w:type="pct"/>
          </w:tcPr>
          <w:p w14:paraId="65DD076E" w14:textId="1FF8DBF8" w:rsidR="00897293" w:rsidRPr="00CC6553" w:rsidRDefault="00897293" w:rsidP="00B234F1">
            <w:pPr>
              <w:rPr>
                <w:rFonts w:cs="Arial"/>
                <w:color w:val="000000" w:themeColor="text1"/>
                <w:sz w:val="20"/>
              </w:rPr>
            </w:pPr>
            <w:r w:rsidRPr="00CC6553">
              <w:rPr>
                <w:rFonts w:cs="Arial"/>
                <w:color w:val="000000" w:themeColor="text1"/>
                <w:sz w:val="20"/>
              </w:rPr>
              <w:t>Re: ‘start low go slow’ - this is contrary to evidence in Strong HF and ESC guidance</w:t>
            </w:r>
          </w:p>
        </w:tc>
        <w:tc>
          <w:tcPr>
            <w:tcW w:w="2122" w:type="pct"/>
          </w:tcPr>
          <w:p w14:paraId="6B730417" w14:textId="076F931F"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This has been deleted.</w:t>
            </w:r>
          </w:p>
        </w:tc>
      </w:tr>
      <w:tr w:rsidR="00897293" w:rsidRPr="00CC6553" w14:paraId="7B77E18A" w14:textId="77777777" w:rsidTr="00897293">
        <w:trPr>
          <w:trHeight w:val="300"/>
        </w:trPr>
        <w:tc>
          <w:tcPr>
            <w:tcW w:w="109" w:type="pct"/>
          </w:tcPr>
          <w:p w14:paraId="23F0B1A2" w14:textId="77777777" w:rsidR="00897293" w:rsidRPr="00CC6553" w:rsidRDefault="00897293" w:rsidP="00B234F1">
            <w:pPr>
              <w:rPr>
                <w:rFonts w:cs="Arial"/>
                <w:color w:val="000000" w:themeColor="text1"/>
                <w:sz w:val="20"/>
              </w:rPr>
            </w:pPr>
            <w:r w:rsidRPr="00CC6553">
              <w:rPr>
                <w:rFonts w:cs="Arial"/>
                <w:color w:val="000000" w:themeColor="text1"/>
                <w:sz w:val="20"/>
              </w:rPr>
              <w:t>264</w:t>
            </w:r>
          </w:p>
        </w:tc>
        <w:tc>
          <w:tcPr>
            <w:tcW w:w="143" w:type="pct"/>
          </w:tcPr>
          <w:p w14:paraId="63DB538A" w14:textId="291B7A82"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7020BE1B" w14:textId="1E3796A9" w:rsidR="00897293" w:rsidRPr="00CC6553" w:rsidRDefault="00897293" w:rsidP="00B234F1">
            <w:pPr>
              <w:rPr>
                <w:rFonts w:cs="Arial"/>
                <w:bCs/>
                <w:iCs/>
                <w:color w:val="000000" w:themeColor="text1"/>
                <w:sz w:val="20"/>
              </w:rPr>
            </w:pPr>
            <w:r w:rsidRPr="00CC6553">
              <w:rPr>
                <w:rFonts w:cs="Arial"/>
                <w:color w:val="000000" w:themeColor="text1"/>
                <w:sz w:val="20"/>
              </w:rPr>
              <w:t>UK Clinical Pharmacy Association (UKCPA) – heart failure committee</w:t>
            </w:r>
          </w:p>
        </w:tc>
        <w:tc>
          <w:tcPr>
            <w:tcW w:w="279" w:type="pct"/>
          </w:tcPr>
          <w:p w14:paraId="3329FE02" w14:textId="559B852B"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6D02514A" w14:textId="4A50B02A" w:rsidR="00897293" w:rsidRPr="00CC6553" w:rsidRDefault="00897293" w:rsidP="00B234F1">
            <w:pPr>
              <w:rPr>
                <w:rFonts w:cs="Arial"/>
                <w:color w:val="000000" w:themeColor="text1"/>
                <w:sz w:val="20"/>
              </w:rPr>
            </w:pPr>
            <w:r w:rsidRPr="00CC6553">
              <w:rPr>
                <w:rFonts w:cs="Arial"/>
                <w:color w:val="000000" w:themeColor="text1"/>
                <w:sz w:val="20"/>
              </w:rPr>
              <w:t>017</w:t>
            </w:r>
          </w:p>
        </w:tc>
        <w:tc>
          <w:tcPr>
            <w:tcW w:w="214" w:type="pct"/>
          </w:tcPr>
          <w:p w14:paraId="0CF5776D" w14:textId="14832A88" w:rsidR="00897293" w:rsidRPr="00CC6553" w:rsidRDefault="00897293" w:rsidP="00B234F1">
            <w:pPr>
              <w:rPr>
                <w:rFonts w:cs="Arial"/>
                <w:color w:val="000000" w:themeColor="text1"/>
                <w:sz w:val="20"/>
              </w:rPr>
            </w:pPr>
            <w:r w:rsidRPr="00CC6553">
              <w:rPr>
                <w:rFonts w:cs="Arial"/>
                <w:color w:val="000000" w:themeColor="text1"/>
                <w:sz w:val="20"/>
              </w:rPr>
              <w:t>009</w:t>
            </w:r>
          </w:p>
        </w:tc>
        <w:tc>
          <w:tcPr>
            <w:tcW w:w="1521" w:type="pct"/>
          </w:tcPr>
          <w:p w14:paraId="3FF347AC" w14:textId="07034CC5" w:rsidR="00897293" w:rsidRPr="00CC6553" w:rsidRDefault="00897293" w:rsidP="00B234F1">
            <w:pPr>
              <w:rPr>
                <w:rFonts w:cs="Arial"/>
                <w:color w:val="000000" w:themeColor="text1"/>
                <w:sz w:val="20"/>
              </w:rPr>
            </w:pPr>
            <w:r w:rsidRPr="00CC6553">
              <w:rPr>
                <w:rFonts w:cs="Arial"/>
                <w:color w:val="000000" w:themeColor="text1"/>
                <w:sz w:val="20"/>
              </w:rPr>
              <w:t xml:space="preserve">Suggest rewording of statement ‘start low, go slow’ and rephrase ‘initiate beta blockers at a low dose and up-titrate as tolerated, aiming for target doses in a timely manner’ </w:t>
            </w:r>
            <w:r w:rsidRPr="00CC6553">
              <w:rPr>
                <w:rFonts w:cs="Arial"/>
                <w:color w:val="000000" w:themeColor="text1"/>
                <w:sz w:val="20"/>
              </w:rPr>
              <w:br/>
              <w:t>The start low, go slow may lead to delayed titration and under treatment in many patients. We need to emphasise early and rapid initiation and titration of therapies in heart failure to reduce mortality and morbidity.</w:t>
            </w:r>
            <w:r w:rsidRPr="00CC6553">
              <w:rPr>
                <w:rFonts w:cs="Arial"/>
                <w:color w:val="000000" w:themeColor="text1"/>
                <w:sz w:val="20"/>
              </w:rPr>
              <w:br/>
              <w:t>‘Start low, go slow’ approach should be applied to frail, older patients.</w:t>
            </w:r>
          </w:p>
        </w:tc>
        <w:tc>
          <w:tcPr>
            <w:tcW w:w="2122" w:type="pct"/>
          </w:tcPr>
          <w:p w14:paraId="7311585D" w14:textId="5E6BC701"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This has been deleted.</w:t>
            </w:r>
          </w:p>
        </w:tc>
      </w:tr>
      <w:tr w:rsidR="00897293" w:rsidRPr="00CC6553" w14:paraId="4B9DB50C" w14:textId="77777777" w:rsidTr="00897293">
        <w:trPr>
          <w:trHeight w:val="300"/>
        </w:trPr>
        <w:tc>
          <w:tcPr>
            <w:tcW w:w="109" w:type="pct"/>
          </w:tcPr>
          <w:p w14:paraId="411471C7" w14:textId="77777777" w:rsidR="00897293" w:rsidRPr="00CC6553" w:rsidRDefault="00897293" w:rsidP="00B234F1">
            <w:pPr>
              <w:rPr>
                <w:rFonts w:cs="Arial"/>
                <w:color w:val="000000" w:themeColor="text1"/>
                <w:sz w:val="20"/>
              </w:rPr>
            </w:pPr>
            <w:r w:rsidRPr="00CC6553">
              <w:rPr>
                <w:rFonts w:cs="Arial"/>
                <w:color w:val="000000" w:themeColor="text1"/>
                <w:sz w:val="20"/>
              </w:rPr>
              <w:t>265</w:t>
            </w:r>
          </w:p>
        </w:tc>
        <w:tc>
          <w:tcPr>
            <w:tcW w:w="143" w:type="pct"/>
          </w:tcPr>
          <w:p w14:paraId="485DC8DE" w14:textId="24A4DF3C"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50EFC3DD" w14:textId="6414C714" w:rsidR="00897293" w:rsidRPr="00CC6553" w:rsidRDefault="00897293" w:rsidP="00B234F1">
            <w:pPr>
              <w:rPr>
                <w:rFonts w:cs="Arial"/>
                <w:bCs/>
                <w:iCs/>
                <w:color w:val="000000" w:themeColor="text1"/>
                <w:sz w:val="20"/>
              </w:rPr>
            </w:pPr>
            <w:r w:rsidRPr="00CC6553">
              <w:rPr>
                <w:rFonts w:cs="Arial"/>
                <w:color w:val="000000" w:themeColor="text1"/>
                <w:sz w:val="20"/>
              </w:rPr>
              <w:t>UK Clinical Pharmacy Association (UKCPA) – heart failure committee</w:t>
            </w:r>
          </w:p>
        </w:tc>
        <w:tc>
          <w:tcPr>
            <w:tcW w:w="279" w:type="pct"/>
          </w:tcPr>
          <w:p w14:paraId="1939DF9C" w14:textId="0C2632A5"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5C4433D8" w14:textId="30719864" w:rsidR="00897293" w:rsidRPr="00CC6553" w:rsidRDefault="00897293" w:rsidP="00B234F1">
            <w:pPr>
              <w:rPr>
                <w:rFonts w:cs="Arial"/>
                <w:color w:val="000000" w:themeColor="text1"/>
                <w:sz w:val="20"/>
              </w:rPr>
            </w:pPr>
            <w:r w:rsidRPr="00CC6553">
              <w:rPr>
                <w:rFonts w:cs="Arial"/>
                <w:color w:val="000000" w:themeColor="text1"/>
                <w:sz w:val="20"/>
              </w:rPr>
              <w:t>017</w:t>
            </w:r>
          </w:p>
        </w:tc>
        <w:tc>
          <w:tcPr>
            <w:tcW w:w="214" w:type="pct"/>
          </w:tcPr>
          <w:p w14:paraId="3F85CCF2" w14:textId="10F013DD" w:rsidR="00897293" w:rsidRPr="00CC6553" w:rsidRDefault="00897293" w:rsidP="00B234F1">
            <w:pPr>
              <w:rPr>
                <w:rFonts w:cs="Arial"/>
                <w:color w:val="000000" w:themeColor="text1"/>
                <w:sz w:val="20"/>
              </w:rPr>
            </w:pPr>
            <w:r w:rsidRPr="00CC6553">
              <w:rPr>
                <w:rFonts w:cs="Arial"/>
                <w:color w:val="000000" w:themeColor="text1"/>
                <w:sz w:val="20"/>
              </w:rPr>
              <w:t>012</w:t>
            </w:r>
          </w:p>
        </w:tc>
        <w:tc>
          <w:tcPr>
            <w:tcW w:w="1521" w:type="pct"/>
          </w:tcPr>
          <w:p w14:paraId="0B1433D6" w14:textId="6536CF76" w:rsidR="00897293" w:rsidRPr="00CC6553" w:rsidRDefault="00897293" w:rsidP="00B234F1">
            <w:pPr>
              <w:rPr>
                <w:rFonts w:cs="Arial"/>
                <w:color w:val="000000" w:themeColor="text1"/>
                <w:sz w:val="20"/>
              </w:rPr>
            </w:pPr>
            <w:r w:rsidRPr="00CC6553">
              <w:rPr>
                <w:rFonts w:cs="Arial"/>
                <w:color w:val="000000" w:themeColor="text1"/>
                <w:sz w:val="20"/>
              </w:rPr>
              <w:t>We support the recommendation</w:t>
            </w:r>
          </w:p>
        </w:tc>
        <w:tc>
          <w:tcPr>
            <w:tcW w:w="2122" w:type="pct"/>
          </w:tcPr>
          <w:p w14:paraId="21155D01" w14:textId="1724951C"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w:t>
            </w:r>
          </w:p>
        </w:tc>
      </w:tr>
      <w:tr w:rsidR="00897293" w:rsidRPr="00CC6553" w14:paraId="2383E85F" w14:textId="77777777" w:rsidTr="00897293">
        <w:trPr>
          <w:trHeight w:val="300"/>
        </w:trPr>
        <w:tc>
          <w:tcPr>
            <w:tcW w:w="109" w:type="pct"/>
          </w:tcPr>
          <w:p w14:paraId="7C376459" w14:textId="77777777" w:rsidR="00897293" w:rsidRPr="00CC6553" w:rsidRDefault="00897293" w:rsidP="00B234F1">
            <w:pPr>
              <w:rPr>
                <w:rFonts w:cs="Arial"/>
                <w:color w:val="000000" w:themeColor="text1"/>
                <w:sz w:val="20"/>
              </w:rPr>
            </w:pPr>
            <w:r w:rsidRPr="00CC6553">
              <w:rPr>
                <w:rFonts w:cs="Arial"/>
                <w:color w:val="000000" w:themeColor="text1"/>
                <w:sz w:val="20"/>
              </w:rPr>
              <w:t>266</w:t>
            </w:r>
          </w:p>
        </w:tc>
        <w:tc>
          <w:tcPr>
            <w:tcW w:w="143" w:type="pct"/>
          </w:tcPr>
          <w:p w14:paraId="7411A61C" w14:textId="02C1DB54"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41E8312" w14:textId="6207E9D9" w:rsidR="00897293" w:rsidRPr="00CC6553" w:rsidRDefault="00897293" w:rsidP="00B234F1">
            <w:pPr>
              <w:rPr>
                <w:rFonts w:cs="Arial"/>
                <w:bCs/>
                <w:iCs/>
                <w:color w:val="000000" w:themeColor="text1"/>
                <w:sz w:val="20"/>
              </w:rPr>
            </w:pPr>
            <w:r w:rsidRPr="00CC6553">
              <w:rPr>
                <w:rFonts w:cs="Arial"/>
                <w:color w:val="000000" w:themeColor="text1"/>
                <w:sz w:val="20"/>
              </w:rPr>
              <w:t>UK Clinical Pharmacy Association (UKCPA) – heart failure committee</w:t>
            </w:r>
          </w:p>
        </w:tc>
        <w:tc>
          <w:tcPr>
            <w:tcW w:w="279" w:type="pct"/>
          </w:tcPr>
          <w:p w14:paraId="01972FF8" w14:textId="64A31CD9"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2017FC30" w14:textId="60969AB4" w:rsidR="00897293" w:rsidRPr="00CC6553" w:rsidRDefault="00897293" w:rsidP="00B234F1">
            <w:pPr>
              <w:rPr>
                <w:rFonts w:cs="Arial"/>
                <w:color w:val="000000" w:themeColor="text1"/>
                <w:sz w:val="20"/>
              </w:rPr>
            </w:pPr>
            <w:r w:rsidRPr="00CC6553">
              <w:rPr>
                <w:rFonts w:cs="Arial"/>
                <w:color w:val="000000" w:themeColor="text1"/>
                <w:sz w:val="20"/>
              </w:rPr>
              <w:t>017</w:t>
            </w:r>
          </w:p>
        </w:tc>
        <w:tc>
          <w:tcPr>
            <w:tcW w:w="214" w:type="pct"/>
          </w:tcPr>
          <w:p w14:paraId="53326EAA" w14:textId="0CB9DE7C" w:rsidR="00897293" w:rsidRPr="00CC6553" w:rsidRDefault="00897293" w:rsidP="00B234F1">
            <w:pPr>
              <w:rPr>
                <w:rFonts w:cs="Arial"/>
                <w:color w:val="000000" w:themeColor="text1"/>
                <w:sz w:val="20"/>
              </w:rPr>
            </w:pPr>
            <w:r w:rsidRPr="00CC6553">
              <w:rPr>
                <w:rFonts w:cs="Arial"/>
                <w:color w:val="000000" w:themeColor="text1"/>
                <w:sz w:val="20"/>
              </w:rPr>
              <w:t>023</w:t>
            </w:r>
          </w:p>
        </w:tc>
        <w:tc>
          <w:tcPr>
            <w:tcW w:w="1521" w:type="pct"/>
          </w:tcPr>
          <w:p w14:paraId="50CC620F" w14:textId="65779852" w:rsidR="00897293" w:rsidRPr="00CC6553" w:rsidRDefault="00897293" w:rsidP="00B234F1">
            <w:pPr>
              <w:rPr>
                <w:rFonts w:cs="Arial"/>
                <w:color w:val="000000" w:themeColor="text1"/>
                <w:sz w:val="20"/>
              </w:rPr>
            </w:pPr>
            <w:r w:rsidRPr="00CC6553">
              <w:rPr>
                <w:rFonts w:cs="Arial"/>
                <w:color w:val="000000" w:themeColor="text1"/>
                <w:sz w:val="20"/>
              </w:rPr>
              <w:t>1.7.16 (proposed) - Digoxin has been included in this section, however there is no mention of monitoring SGLT2 inhibitors.</w:t>
            </w:r>
            <w:r w:rsidRPr="00CC6553">
              <w:rPr>
                <w:rFonts w:cs="Arial"/>
                <w:color w:val="000000" w:themeColor="text1"/>
                <w:sz w:val="20"/>
              </w:rPr>
              <w:br/>
              <w:t>For completion, a section on this should be added.</w:t>
            </w:r>
            <w:r w:rsidRPr="00CC6553">
              <w:rPr>
                <w:rFonts w:cs="Arial"/>
                <w:color w:val="000000" w:themeColor="text1"/>
                <w:sz w:val="20"/>
              </w:rPr>
              <w:br/>
            </w:r>
            <w:r w:rsidRPr="00CC6553">
              <w:rPr>
                <w:rFonts w:cs="Arial"/>
                <w:color w:val="000000" w:themeColor="text1"/>
                <w:sz w:val="20"/>
              </w:rPr>
              <w:br/>
              <w:t>Suggestion:</w:t>
            </w:r>
            <w:r w:rsidRPr="00CC6553">
              <w:rPr>
                <w:rFonts w:cs="Arial"/>
                <w:color w:val="000000" w:themeColor="text1"/>
                <w:sz w:val="20"/>
              </w:rPr>
              <w:br/>
              <w:t xml:space="preserve">Before prescribing measure the patient’s renal function, liver function and exclude </w:t>
            </w:r>
            <w:r w:rsidRPr="00CC6553">
              <w:rPr>
                <w:rFonts w:cs="Arial"/>
                <w:color w:val="000000" w:themeColor="text1"/>
                <w:sz w:val="20"/>
              </w:rPr>
              <w:lastRenderedPageBreak/>
              <w:t xml:space="preserve">undiagnosed diabetes. </w:t>
            </w:r>
            <w:r w:rsidRPr="00CC6553">
              <w:rPr>
                <w:rFonts w:cs="Arial"/>
                <w:color w:val="000000" w:themeColor="text1"/>
                <w:sz w:val="20"/>
              </w:rPr>
              <w:br/>
              <w:t>SGLT2 inhibitors can cause an additive effect with insulin and insulin secretagogues, such as sulphonylureas, which may cause hypoglycaemia. Dosage adjustments of these medicines may be required in patients with diabetes.</w:t>
            </w:r>
            <w:r w:rsidRPr="00CC6553">
              <w:rPr>
                <w:rFonts w:cs="Arial"/>
                <w:color w:val="000000" w:themeColor="text1"/>
                <w:sz w:val="20"/>
              </w:rPr>
              <w:br/>
              <w:t xml:space="preserve">There may be initial transient increases in creatinine up to 12 weeks after initiation. This is not a reason to stop or withhold medication. </w:t>
            </w:r>
            <w:r w:rsidRPr="00CC6553">
              <w:rPr>
                <w:rFonts w:cs="Arial"/>
                <w:color w:val="000000" w:themeColor="text1"/>
                <w:sz w:val="20"/>
              </w:rPr>
              <w:br/>
              <w:t>In case of intercurrent conditions that may lead to volume depletion (e.g. gastrointestinal illness), careful monitoring of volume status is recommended and patients should be counselled about the importance of “sick-day rules” and when to temporarily withhold medication.   Treatment should be restarted once the patient's condition has stabilised and they are eating normally for at least 24 hours.</w:t>
            </w:r>
          </w:p>
        </w:tc>
        <w:tc>
          <w:tcPr>
            <w:tcW w:w="2122" w:type="pct"/>
          </w:tcPr>
          <w:p w14:paraId="4BDAC9FE" w14:textId="21E81D1A"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lastRenderedPageBreak/>
              <w:t xml:space="preserve">Thank you for your comment.  The monitoring of SGLT2 inhibitors is covered in section 1.7 and 1.8.  NICE is currently updating its guidance on the management of diabetes (medicines update) which </w:t>
            </w:r>
            <w:r w:rsidRPr="00CC6553">
              <w:rPr>
                <w:rFonts w:cs="Arial"/>
                <w:b w:val="0"/>
                <w:color w:val="000000" w:themeColor="text1"/>
                <w:sz w:val="20"/>
              </w:rPr>
              <w:lastRenderedPageBreak/>
              <w:t xml:space="preserve">will include recommendation for people with CHF and diabetes </w:t>
            </w:r>
            <w:hyperlink r:id="rId41" w:history="1">
              <w:r w:rsidRPr="00CC6553">
                <w:rPr>
                  <w:rStyle w:val="Hyperlink"/>
                  <w:rFonts w:cs="Arial"/>
                  <w:b w:val="0"/>
                  <w:color w:val="000000" w:themeColor="text1"/>
                  <w:sz w:val="20"/>
                </w:rPr>
                <w:t>Project information | Type 2 diabetes in adults: management (medicines update) | Guidance | NICE</w:t>
              </w:r>
            </w:hyperlink>
          </w:p>
        </w:tc>
      </w:tr>
      <w:tr w:rsidR="00897293" w:rsidRPr="00CC6553" w14:paraId="513C6B0C" w14:textId="77777777" w:rsidTr="00897293">
        <w:trPr>
          <w:trHeight w:val="300"/>
        </w:trPr>
        <w:tc>
          <w:tcPr>
            <w:tcW w:w="109" w:type="pct"/>
          </w:tcPr>
          <w:p w14:paraId="167648D9"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267</w:t>
            </w:r>
          </w:p>
        </w:tc>
        <w:tc>
          <w:tcPr>
            <w:tcW w:w="143" w:type="pct"/>
          </w:tcPr>
          <w:p w14:paraId="52D5797C" w14:textId="73035C59"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2A25CEA" w14:textId="62FAC215"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09D3792B" w14:textId="48F4944B"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10DC1947" w14:textId="69E9D3F7" w:rsidR="00897293" w:rsidRPr="00CC6553" w:rsidRDefault="00897293" w:rsidP="00B234F1">
            <w:pPr>
              <w:rPr>
                <w:rFonts w:cs="Arial"/>
                <w:color w:val="000000" w:themeColor="text1"/>
                <w:sz w:val="20"/>
              </w:rPr>
            </w:pPr>
            <w:r w:rsidRPr="00CC6553">
              <w:rPr>
                <w:rFonts w:cs="Arial"/>
                <w:color w:val="000000" w:themeColor="text1"/>
                <w:sz w:val="20"/>
              </w:rPr>
              <w:t>018</w:t>
            </w:r>
          </w:p>
        </w:tc>
        <w:tc>
          <w:tcPr>
            <w:tcW w:w="214" w:type="pct"/>
          </w:tcPr>
          <w:p w14:paraId="66C2642D" w14:textId="4A7598F3" w:rsidR="00897293" w:rsidRPr="00CC6553" w:rsidRDefault="00897293" w:rsidP="00B234F1">
            <w:pPr>
              <w:rPr>
                <w:rFonts w:cs="Arial"/>
                <w:color w:val="000000" w:themeColor="text1"/>
                <w:sz w:val="20"/>
              </w:rPr>
            </w:pPr>
            <w:r w:rsidRPr="00CC6553">
              <w:rPr>
                <w:rFonts w:cs="Arial"/>
                <w:color w:val="000000" w:themeColor="text1"/>
                <w:sz w:val="20"/>
              </w:rPr>
              <w:t>002 - 008</w:t>
            </w:r>
          </w:p>
        </w:tc>
        <w:tc>
          <w:tcPr>
            <w:tcW w:w="1521" w:type="pct"/>
          </w:tcPr>
          <w:p w14:paraId="4A89F2B5" w14:textId="1C798389" w:rsidR="00897293" w:rsidRPr="00CC6553" w:rsidRDefault="00897293" w:rsidP="00B234F1">
            <w:pPr>
              <w:rPr>
                <w:rFonts w:cs="Arial"/>
                <w:color w:val="000000" w:themeColor="text1"/>
                <w:sz w:val="20"/>
              </w:rPr>
            </w:pPr>
            <w:r w:rsidRPr="00CC6553">
              <w:rPr>
                <w:rFonts w:cs="Arial"/>
                <w:color w:val="000000" w:themeColor="text1"/>
                <w:sz w:val="20"/>
              </w:rPr>
              <w:t xml:space="preserve">1.8.1 Monitor all people with chronic heart failure. </w:t>
            </w:r>
            <w:r w:rsidRPr="00CC6553">
              <w:rPr>
                <w:rFonts w:cs="Arial"/>
                <w:color w:val="000000" w:themeColor="text1"/>
                <w:sz w:val="20"/>
              </w:rPr>
              <w:br/>
            </w:r>
            <w:r w:rsidRPr="00CC6553">
              <w:rPr>
                <w:rFonts w:cs="Arial"/>
                <w:color w:val="000000" w:themeColor="text1"/>
                <w:sz w:val="20"/>
              </w:rPr>
              <w:br/>
              <w:t>Comment:</w:t>
            </w:r>
            <w:r w:rsidRPr="00CC6553">
              <w:rPr>
                <w:rFonts w:cs="Arial"/>
                <w:color w:val="000000" w:themeColor="text1"/>
                <w:sz w:val="20"/>
              </w:rPr>
              <w:br/>
              <w:t>After an assessment of renal function, should ‘consider haemoglobin and iron status’ be included here?</w:t>
            </w:r>
          </w:p>
        </w:tc>
        <w:tc>
          <w:tcPr>
            <w:tcW w:w="2122" w:type="pct"/>
          </w:tcPr>
          <w:p w14:paraId="2930D3DC" w14:textId="71DC8746"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committee has edited the recommendation in accordance with your suggestion.</w:t>
            </w:r>
          </w:p>
        </w:tc>
      </w:tr>
      <w:tr w:rsidR="00897293" w:rsidRPr="00CC6553" w14:paraId="4BDAE8E4" w14:textId="77777777" w:rsidTr="00897293">
        <w:trPr>
          <w:trHeight w:val="300"/>
        </w:trPr>
        <w:tc>
          <w:tcPr>
            <w:tcW w:w="109" w:type="pct"/>
          </w:tcPr>
          <w:p w14:paraId="15E39A2E" w14:textId="77777777" w:rsidR="00897293" w:rsidRPr="00CC6553" w:rsidRDefault="00897293" w:rsidP="00B234F1">
            <w:pPr>
              <w:rPr>
                <w:rFonts w:cs="Arial"/>
                <w:color w:val="000000" w:themeColor="text1"/>
                <w:sz w:val="20"/>
              </w:rPr>
            </w:pPr>
            <w:r w:rsidRPr="00CC6553">
              <w:rPr>
                <w:rFonts w:cs="Arial"/>
                <w:color w:val="000000" w:themeColor="text1"/>
                <w:sz w:val="20"/>
              </w:rPr>
              <w:t>268</w:t>
            </w:r>
          </w:p>
        </w:tc>
        <w:tc>
          <w:tcPr>
            <w:tcW w:w="143" w:type="pct"/>
          </w:tcPr>
          <w:p w14:paraId="579EA2FD" w14:textId="7CB7EFC3"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7BDF9A4D" w14:textId="381B7554" w:rsidR="00897293" w:rsidRPr="00CC6553" w:rsidRDefault="00897293" w:rsidP="00B234F1">
            <w:pPr>
              <w:rPr>
                <w:rFonts w:cs="Arial"/>
                <w:bCs/>
                <w:iCs/>
                <w:color w:val="000000" w:themeColor="text1"/>
                <w:sz w:val="20"/>
              </w:rPr>
            </w:pPr>
            <w:r w:rsidRPr="00CC6553">
              <w:rPr>
                <w:rFonts w:cs="Arial"/>
                <w:color w:val="000000" w:themeColor="text1"/>
                <w:sz w:val="20"/>
              </w:rPr>
              <w:t>Portsmouth Hospitals University NHS Trust</w:t>
            </w:r>
          </w:p>
        </w:tc>
        <w:tc>
          <w:tcPr>
            <w:tcW w:w="279" w:type="pct"/>
          </w:tcPr>
          <w:p w14:paraId="4C2F665F" w14:textId="48C11C42"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517721A7" w14:textId="3365FEB9" w:rsidR="00897293" w:rsidRPr="00CC6553" w:rsidRDefault="00897293" w:rsidP="00B234F1">
            <w:pPr>
              <w:rPr>
                <w:rFonts w:cs="Arial"/>
                <w:color w:val="000000" w:themeColor="text1"/>
                <w:sz w:val="20"/>
              </w:rPr>
            </w:pPr>
            <w:r w:rsidRPr="00CC6553">
              <w:rPr>
                <w:rFonts w:cs="Arial"/>
                <w:color w:val="000000" w:themeColor="text1"/>
                <w:sz w:val="20"/>
              </w:rPr>
              <w:t>018</w:t>
            </w:r>
          </w:p>
        </w:tc>
        <w:tc>
          <w:tcPr>
            <w:tcW w:w="214" w:type="pct"/>
          </w:tcPr>
          <w:p w14:paraId="6252E705" w14:textId="6AE9C483" w:rsidR="00897293" w:rsidRPr="00CC6553" w:rsidRDefault="00897293" w:rsidP="00B234F1">
            <w:pPr>
              <w:rPr>
                <w:rFonts w:cs="Arial"/>
                <w:color w:val="000000" w:themeColor="text1"/>
                <w:sz w:val="20"/>
              </w:rPr>
            </w:pPr>
            <w:r w:rsidRPr="00CC6553">
              <w:rPr>
                <w:rFonts w:cs="Arial"/>
                <w:color w:val="000000" w:themeColor="text1"/>
                <w:sz w:val="20"/>
              </w:rPr>
              <w:t>002 - 008</w:t>
            </w:r>
          </w:p>
        </w:tc>
        <w:tc>
          <w:tcPr>
            <w:tcW w:w="1521" w:type="pct"/>
          </w:tcPr>
          <w:p w14:paraId="2175A57A" w14:textId="2524D678" w:rsidR="00897293" w:rsidRPr="00CC6553" w:rsidRDefault="00897293" w:rsidP="00B234F1">
            <w:pPr>
              <w:rPr>
                <w:rFonts w:cs="Arial"/>
                <w:color w:val="000000" w:themeColor="text1"/>
                <w:sz w:val="20"/>
              </w:rPr>
            </w:pPr>
            <w:r w:rsidRPr="00CC6553">
              <w:rPr>
                <w:rFonts w:cs="Arial"/>
                <w:color w:val="000000" w:themeColor="text1"/>
                <w:sz w:val="20"/>
              </w:rPr>
              <w:t xml:space="preserve">1.8.1 Monitor all people with chronic heart failure. </w:t>
            </w:r>
            <w:r w:rsidRPr="00CC6553">
              <w:rPr>
                <w:rFonts w:cs="Arial"/>
                <w:color w:val="000000" w:themeColor="text1"/>
                <w:sz w:val="20"/>
              </w:rPr>
              <w:br/>
            </w:r>
            <w:r w:rsidRPr="00CC6553">
              <w:rPr>
                <w:rFonts w:cs="Arial"/>
                <w:color w:val="000000" w:themeColor="text1"/>
                <w:sz w:val="20"/>
              </w:rPr>
              <w:br/>
              <w:t>Comment:</w:t>
            </w:r>
            <w:r w:rsidRPr="00CC6553">
              <w:rPr>
                <w:rFonts w:cs="Arial"/>
                <w:color w:val="000000" w:themeColor="text1"/>
                <w:sz w:val="20"/>
              </w:rPr>
              <w:br/>
              <w:t>After an assessment of renal function, should ‘consider haemoglobin and iron status’ be included here?</w:t>
            </w:r>
          </w:p>
        </w:tc>
        <w:tc>
          <w:tcPr>
            <w:tcW w:w="2122" w:type="pct"/>
          </w:tcPr>
          <w:p w14:paraId="3959FA0F" w14:textId="7D898C1E"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committee has edited the recommendation in accordance with your suggestion.</w:t>
            </w:r>
          </w:p>
        </w:tc>
      </w:tr>
      <w:tr w:rsidR="00897293" w:rsidRPr="00CC6553" w14:paraId="45EB9898" w14:textId="77777777" w:rsidTr="00897293">
        <w:trPr>
          <w:trHeight w:val="300"/>
        </w:trPr>
        <w:tc>
          <w:tcPr>
            <w:tcW w:w="109" w:type="pct"/>
          </w:tcPr>
          <w:p w14:paraId="28254BB2" w14:textId="77777777" w:rsidR="00897293" w:rsidRPr="00CC6553" w:rsidRDefault="00897293" w:rsidP="00B234F1">
            <w:pPr>
              <w:rPr>
                <w:rFonts w:cs="Arial"/>
                <w:color w:val="000000" w:themeColor="text1"/>
                <w:sz w:val="20"/>
              </w:rPr>
            </w:pPr>
            <w:r w:rsidRPr="00CC6553">
              <w:rPr>
                <w:rFonts w:cs="Arial"/>
                <w:color w:val="000000" w:themeColor="text1"/>
                <w:sz w:val="20"/>
              </w:rPr>
              <w:t>269</w:t>
            </w:r>
          </w:p>
        </w:tc>
        <w:tc>
          <w:tcPr>
            <w:tcW w:w="143" w:type="pct"/>
          </w:tcPr>
          <w:p w14:paraId="39D5AF7A" w14:textId="11447D42"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55B99D8E" w14:textId="0B860148"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4CDE404E" w14:textId="2EEBD264"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0555C383" w14:textId="27F318C0" w:rsidR="00897293" w:rsidRPr="00CC6553" w:rsidRDefault="00897293" w:rsidP="00B234F1">
            <w:pPr>
              <w:rPr>
                <w:rFonts w:cs="Arial"/>
                <w:color w:val="000000" w:themeColor="text1"/>
                <w:sz w:val="20"/>
              </w:rPr>
            </w:pPr>
            <w:r w:rsidRPr="00CC6553">
              <w:rPr>
                <w:rFonts w:cs="Arial"/>
                <w:color w:val="000000" w:themeColor="text1"/>
                <w:sz w:val="20"/>
              </w:rPr>
              <w:t>018</w:t>
            </w:r>
          </w:p>
        </w:tc>
        <w:tc>
          <w:tcPr>
            <w:tcW w:w="214" w:type="pct"/>
          </w:tcPr>
          <w:p w14:paraId="463A1D88" w14:textId="34095019" w:rsidR="00897293" w:rsidRPr="00CC6553" w:rsidRDefault="00897293" w:rsidP="00B234F1">
            <w:pPr>
              <w:rPr>
                <w:rFonts w:cs="Arial"/>
                <w:color w:val="000000" w:themeColor="text1"/>
                <w:sz w:val="20"/>
              </w:rPr>
            </w:pPr>
            <w:r w:rsidRPr="00CC6553">
              <w:rPr>
                <w:rFonts w:cs="Arial"/>
                <w:color w:val="000000" w:themeColor="text1"/>
                <w:sz w:val="20"/>
              </w:rPr>
              <w:t>024</w:t>
            </w:r>
          </w:p>
        </w:tc>
        <w:tc>
          <w:tcPr>
            <w:tcW w:w="1521" w:type="pct"/>
          </w:tcPr>
          <w:p w14:paraId="3E8BB2F0" w14:textId="64529A75" w:rsidR="00897293" w:rsidRPr="00CC6553" w:rsidRDefault="00897293" w:rsidP="00B234F1">
            <w:pPr>
              <w:rPr>
                <w:rFonts w:cs="Arial"/>
                <w:color w:val="000000" w:themeColor="text1"/>
                <w:sz w:val="20"/>
              </w:rPr>
            </w:pPr>
            <w:r w:rsidRPr="00CC6553">
              <w:rPr>
                <w:rFonts w:cs="Arial"/>
                <w:color w:val="000000" w:themeColor="text1"/>
                <w:sz w:val="20"/>
              </w:rPr>
              <w:t>I do not think it is practical or evidence-based to use NT proBNP for monitoring heart failure or guiding treatment escalation</w:t>
            </w:r>
          </w:p>
        </w:tc>
        <w:tc>
          <w:tcPr>
            <w:tcW w:w="2122" w:type="pct"/>
          </w:tcPr>
          <w:p w14:paraId="105C7470" w14:textId="5C969B63"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scope of this update was the pharmacological management of chronic heart failure https://www.nice.org.uk/guidance/gid-ng10405/documents/final-scope and the committee is therefore only able to make editorial changes or minimal changes for consistency or clarification to recommendations on areas outside of this.</w:t>
            </w:r>
          </w:p>
        </w:tc>
      </w:tr>
      <w:tr w:rsidR="00897293" w:rsidRPr="00CC6553" w14:paraId="6EE8AC31" w14:textId="77777777" w:rsidTr="00897293">
        <w:trPr>
          <w:trHeight w:val="300"/>
        </w:trPr>
        <w:tc>
          <w:tcPr>
            <w:tcW w:w="109" w:type="pct"/>
          </w:tcPr>
          <w:p w14:paraId="7A49E9FD"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270</w:t>
            </w:r>
          </w:p>
        </w:tc>
        <w:tc>
          <w:tcPr>
            <w:tcW w:w="143" w:type="pct"/>
          </w:tcPr>
          <w:p w14:paraId="00A288E6" w14:textId="4FFC705E"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766A87F0" w14:textId="226F9546" w:rsidR="00897293" w:rsidRPr="00CC6553" w:rsidRDefault="00897293" w:rsidP="00B234F1">
            <w:pPr>
              <w:rPr>
                <w:rFonts w:cs="Arial"/>
                <w:bCs/>
                <w:iCs/>
                <w:color w:val="000000" w:themeColor="text1"/>
                <w:sz w:val="20"/>
              </w:rPr>
            </w:pPr>
            <w:r w:rsidRPr="00CC6553">
              <w:rPr>
                <w:rFonts w:cs="Arial"/>
                <w:color w:val="000000" w:themeColor="text1"/>
                <w:sz w:val="20"/>
              </w:rPr>
              <w:t>Royal College of General Practitioners</w:t>
            </w:r>
          </w:p>
        </w:tc>
        <w:tc>
          <w:tcPr>
            <w:tcW w:w="279" w:type="pct"/>
          </w:tcPr>
          <w:p w14:paraId="6FEDFEB8" w14:textId="2DBE7114"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1851B9E1" w14:textId="7E04CD26" w:rsidR="00897293" w:rsidRPr="00CC6553" w:rsidRDefault="00897293" w:rsidP="00B234F1">
            <w:pPr>
              <w:rPr>
                <w:rFonts w:cs="Arial"/>
                <w:color w:val="000000" w:themeColor="text1"/>
                <w:sz w:val="20"/>
              </w:rPr>
            </w:pPr>
            <w:r w:rsidRPr="00CC6553">
              <w:rPr>
                <w:rFonts w:cs="Arial"/>
                <w:color w:val="000000" w:themeColor="text1"/>
                <w:sz w:val="20"/>
              </w:rPr>
              <w:t>018</w:t>
            </w:r>
          </w:p>
        </w:tc>
        <w:tc>
          <w:tcPr>
            <w:tcW w:w="214" w:type="pct"/>
          </w:tcPr>
          <w:p w14:paraId="1254A8E9" w14:textId="193F368C"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54E0A0A6" w14:textId="291C698F" w:rsidR="00897293" w:rsidRPr="00CC6553" w:rsidRDefault="00897293" w:rsidP="00B234F1">
            <w:pPr>
              <w:rPr>
                <w:rFonts w:cs="Arial"/>
                <w:color w:val="000000" w:themeColor="text1"/>
                <w:sz w:val="20"/>
              </w:rPr>
            </w:pPr>
            <w:r w:rsidRPr="00CC6553">
              <w:rPr>
                <w:rFonts w:cs="Arial"/>
                <w:color w:val="000000" w:themeColor="text1"/>
                <w:sz w:val="20"/>
              </w:rPr>
              <w:t>While the guidance rightly emphasises regular monitoring, additional advice on how to involve primary care in routine follow-up (e.g., use of remote monitoring tools) could support implementation.</w:t>
            </w:r>
          </w:p>
        </w:tc>
        <w:tc>
          <w:tcPr>
            <w:tcW w:w="2122" w:type="pct"/>
          </w:tcPr>
          <w:p w14:paraId="487FEE60" w14:textId="1B92D056"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scope of this update was the pharmacological management of chronic heart failure https://www.nice.org.uk/guidance/gid-ng10405/documents/final-scope and the committee is therefore only able to make editorial changes or minimal changes for consistency or clarification to recommendations on areas outside of this.</w:t>
            </w:r>
          </w:p>
        </w:tc>
      </w:tr>
      <w:tr w:rsidR="00897293" w:rsidRPr="00CC6553" w14:paraId="0C6C0F9F" w14:textId="77777777" w:rsidTr="00897293">
        <w:trPr>
          <w:trHeight w:val="300"/>
        </w:trPr>
        <w:tc>
          <w:tcPr>
            <w:tcW w:w="109" w:type="pct"/>
          </w:tcPr>
          <w:p w14:paraId="6F22D367" w14:textId="77777777" w:rsidR="00897293" w:rsidRPr="00CC6553" w:rsidRDefault="00897293" w:rsidP="00B234F1">
            <w:pPr>
              <w:rPr>
                <w:rFonts w:cs="Arial"/>
                <w:color w:val="000000" w:themeColor="text1"/>
                <w:sz w:val="20"/>
              </w:rPr>
            </w:pPr>
            <w:r w:rsidRPr="00CC6553">
              <w:rPr>
                <w:rFonts w:cs="Arial"/>
                <w:color w:val="000000" w:themeColor="text1"/>
                <w:sz w:val="20"/>
              </w:rPr>
              <w:t>271</w:t>
            </w:r>
          </w:p>
        </w:tc>
        <w:tc>
          <w:tcPr>
            <w:tcW w:w="143" w:type="pct"/>
          </w:tcPr>
          <w:p w14:paraId="2614FD26" w14:textId="420A5E7A"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0E404F7C" w14:textId="22D74BC2" w:rsidR="00897293" w:rsidRPr="00CC6553" w:rsidRDefault="00897293" w:rsidP="00B234F1">
            <w:pPr>
              <w:rPr>
                <w:rFonts w:cs="Arial"/>
                <w:bCs/>
                <w:iCs/>
                <w:color w:val="000000" w:themeColor="text1"/>
                <w:sz w:val="20"/>
              </w:rPr>
            </w:pPr>
            <w:r w:rsidRPr="00CC6553">
              <w:rPr>
                <w:rFonts w:cs="Arial"/>
                <w:color w:val="000000" w:themeColor="text1"/>
                <w:sz w:val="20"/>
              </w:rPr>
              <w:t>Royal College of Nursing</w:t>
            </w:r>
          </w:p>
        </w:tc>
        <w:tc>
          <w:tcPr>
            <w:tcW w:w="279" w:type="pct"/>
          </w:tcPr>
          <w:p w14:paraId="5435EFC2" w14:textId="3882185C"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343BC9A8" w14:textId="71ED54D0" w:rsidR="00897293" w:rsidRPr="00CC6553" w:rsidRDefault="00897293" w:rsidP="00B234F1">
            <w:pPr>
              <w:rPr>
                <w:rFonts w:cs="Arial"/>
                <w:color w:val="000000" w:themeColor="text1"/>
                <w:sz w:val="20"/>
              </w:rPr>
            </w:pPr>
            <w:r w:rsidRPr="00CC6553">
              <w:rPr>
                <w:rFonts w:cs="Arial"/>
                <w:color w:val="000000" w:themeColor="text1"/>
                <w:sz w:val="20"/>
              </w:rPr>
              <w:t>019</w:t>
            </w:r>
          </w:p>
        </w:tc>
        <w:tc>
          <w:tcPr>
            <w:tcW w:w="214" w:type="pct"/>
          </w:tcPr>
          <w:p w14:paraId="74B4063F" w14:textId="38DBB622" w:rsidR="00897293" w:rsidRPr="00CC6553" w:rsidRDefault="00897293" w:rsidP="00B234F1">
            <w:pPr>
              <w:rPr>
                <w:rFonts w:cs="Arial"/>
                <w:color w:val="000000" w:themeColor="text1"/>
                <w:sz w:val="20"/>
              </w:rPr>
            </w:pPr>
            <w:r w:rsidRPr="00CC6553">
              <w:rPr>
                <w:rFonts w:cs="Arial"/>
                <w:color w:val="000000" w:themeColor="text1"/>
                <w:sz w:val="20"/>
              </w:rPr>
              <w:t>002</w:t>
            </w:r>
          </w:p>
        </w:tc>
        <w:tc>
          <w:tcPr>
            <w:tcW w:w="1521" w:type="pct"/>
          </w:tcPr>
          <w:p w14:paraId="3960A562" w14:textId="5FE718E1" w:rsidR="00897293" w:rsidRPr="00CC6553" w:rsidRDefault="00897293" w:rsidP="00B234F1">
            <w:pPr>
              <w:rPr>
                <w:rFonts w:cs="Arial"/>
                <w:color w:val="000000" w:themeColor="text1"/>
                <w:sz w:val="20"/>
              </w:rPr>
            </w:pPr>
            <w:r w:rsidRPr="00CC6553">
              <w:rPr>
                <w:rFonts w:cs="Arial"/>
                <w:color w:val="000000" w:themeColor="text1"/>
                <w:sz w:val="20"/>
              </w:rPr>
              <w:t>Diuretics - A very simple section for what can be a complicated thing - more detail / guidance could be used here.</w:t>
            </w:r>
          </w:p>
        </w:tc>
        <w:tc>
          <w:tcPr>
            <w:tcW w:w="2122" w:type="pct"/>
          </w:tcPr>
          <w:p w14:paraId="4BB57C3D" w14:textId="15C960FC"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scope of this update was the pharmacological management of chronic heart failure https://www.nice.org.uk/guidance/gid-ng10405/documents/final-scope and the committee is therefore only able to make editorial changes or minimal changes for consistency or clarification to recommendations on areas outside of this.</w:t>
            </w:r>
          </w:p>
        </w:tc>
      </w:tr>
      <w:tr w:rsidR="00897293" w:rsidRPr="00CC6553" w14:paraId="57806E89" w14:textId="77777777" w:rsidTr="00897293">
        <w:trPr>
          <w:trHeight w:val="300"/>
        </w:trPr>
        <w:tc>
          <w:tcPr>
            <w:tcW w:w="109" w:type="pct"/>
          </w:tcPr>
          <w:p w14:paraId="28A009F9" w14:textId="77777777" w:rsidR="00897293" w:rsidRPr="00CC6553" w:rsidRDefault="00897293" w:rsidP="00B234F1">
            <w:pPr>
              <w:rPr>
                <w:rFonts w:cs="Arial"/>
                <w:color w:val="000000" w:themeColor="text1"/>
                <w:sz w:val="20"/>
              </w:rPr>
            </w:pPr>
            <w:r w:rsidRPr="00CC6553">
              <w:rPr>
                <w:rFonts w:cs="Arial"/>
                <w:color w:val="000000" w:themeColor="text1"/>
                <w:sz w:val="20"/>
              </w:rPr>
              <w:t>272</w:t>
            </w:r>
          </w:p>
        </w:tc>
        <w:tc>
          <w:tcPr>
            <w:tcW w:w="143" w:type="pct"/>
          </w:tcPr>
          <w:p w14:paraId="1EAB6CAD" w14:textId="3FB26A79"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3174ECCF" w14:textId="3AAB6BAA" w:rsidR="00897293" w:rsidRPr="00CC6553" w:rsidRDefault="00897293" w:rsidP="00B234F1">
            <w:pPr>
              <w:rPr>
                <w:rFonts w:cs="Arial"/>
                <w:bCs/>
                <w:iCs/>
                <w:color w:val="000000" w:themeColor="text1"/>
                <w:sz w:val="20"/>
              </w:rPr>
            </w:pPr>
            <w:r w:rsidRPr="00CC6553">
              <w:rPr>
                <w:rFonts w:cs="Arial"/>
                <w:color w:val="000000" w:themeColor="text1"/>
                <w:sz w:val="20"/>
              </w:rPr>
              <w:t>UK Clinical Pharmacy Association (UKCPA) – heart failure committee</w:t>
            </w:r>
          </w:p>
        </w:tc>
        <w:tc>
          <w:tcPr>
            <w:tcW w:w="279" w:type="pct"/>
          </w:tcPr>
          <w:p w14:paraId="6DAD915F" w14:textId="5D4E2C14"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36AED0FD" w14:textId="1AFDD482" w:rsidR="00897293" w:rsidRPr="00CC6553" w:rsidRDefault="00897293" w:rsidP="00B234F1">
            <w:pPr>
              <w:rPr>
                <w:rFonts w:cs="Arial"/>
                <w:color w:val="000000" w:themeColor="text1"/>
                <w:sz w:val="20"/>
              </w:rPr>
            </w:pPr>
            <w:r w:rsidRPr="00CC6553">
              <w:rPr>
                <w:rFonts w:cs="Arial"/>
                <w:color w:val="000000" w:themeColor="text1"/>
                <w:sz w:val="20"/>
              </w:rPr>
              <w:t>019</w:t>
            </w:r>
          </w:p>
        </w:tc>
        <w:tc>
          <w:tcPr>
            <w:tcW w:w="214" w:type="pct"/>
          </w:tcPr>
          <w:p w14:paraId="6B944DE7" w14:textId="16CE3F85" w:rsidR="00897293" w:rsidRPr="00CC6553" w:rsidRDefault="00897293" w:rsidP="00B234F1">
            <w:pPr>
              <w:rPr>
                <w:rFonts w:cs="Arial"/>
                <w:color w:val="000000" w:themeColor="text1"/>
                <w:sz w:val="20"/>
              </w:rPr>
            </w:pPr>
            <w:r w:rsidRPr="00CC6553">
              <w:rPr>
                <w:rFonts w:cs="Arial"/>
                <w:color w:val="000000" w:themeColor="text1"/>
                <w:sz w:val="20"/>
              </w:rPr>
              <w:t>003</w:t>
            </w:r>
          </w:p>
        </w:tc>
        <w:tc>
          <w:tcPr>
            <w:tcW w:w="1521" w:type="pct"/>
          </w:tcPr>
          <w:p w14:paraId="337D8883" w14:textId="01677EF4" w:rsidR="00897293" w:rsidRPr="00CC6553" w:rsidRDefault="00897293" w:rsidP="00B234F1">
            <w:pPr>
              <w:rPr>
                <w:rFonts w:cs="Arial"/>
                <w:color w:val="000000" w:themeColor="text1"/>
                <w:sz w:val="20"/>
              </w:rPr>
            </w:pPr>
            <w:r w:rsidRPr="00CC6553">
              <w:rPr>
                <w:rFonts w:cs="Arial"/>
                <w:color w:val="000000" w:themeColor="text1"/>
                <w:sz w:val="20"/>
              </w:rPr>
              <w:t>We believe this should be in core treatment.</w:t>
            </w:r>
            <w:r w:rsidRPr="00CC6553">
              <w:rPr>
                <w:rFonts w:cs="Arial"/>
                <w:color w:val="000000" w:themeColor="text1"/>
                <w:sz w:val="20"/>
              </w:rPr>
              <w:br/>
              <w:t>Needs to mention that in diuretic resistant patients, combination diuretics may be required with a loop diuretic and thiazide/thiazide-like diuretic in addition to an MRA and SGLT2i under specialist supervision</w:t>
            </w:r>
          </w:p>
        </w:tc>
        <w:tc>
          <w:tcPr>
            <w:tcW w:w="2122" w:type="pct"/>
          </w:tcPr>
          <w:p w14:paraId="71EACB26" w14:textId="6B01D5CB"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Thank you for your comment.  The scope of this update was the pharmacological management of chronic heart failure https://www.nice.org.uk/guidance/gid-ng10405/documents/final-scope and the committee is therefore only able to make editorial changes or minimal changes for consistency or </w:t>
            </w:r>
            <w:r w:rsidRPr="00CC6553">
              <w:rPr>
                <w:rFonts w:cs="Arial"/>
                <w:b w:val="0"/>
                <w:color w:val="000000" w:themeColor="text1"/>
                <w:sz w:val="20"/>
              </w:rPr>
              <w:lastRenderedPageBreak/>
              <w:t>clarification to recommendations on areas outside of this.</w:t>
            </w:r>
          </w:p>
        </w:tc>
      </w:tr>
      <w:tr w:rsidR="00897293" w:rsidRPr="00CC6553" w14:paraId="7C29EE42" w14:textId="77777777" w:rsidTr="00897293">
        <w:trPr>
          <w:trHeight w:val="300"/>
        </w:trPr>
        <w:tc>
          <w:tcPr>
            <w:tcW w:w="109" w:type="pct"/>
          </w:tcPr>
          <w:p w14:paraId="751D4FD0"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273</w:t>
            </w:r>
          </w:p>
        </w:tc>
        <w:tc>
          <w:tcPr>
            <w:tcW w:w="143" w:type="pct"/>
          </w:tcPr>
          <w:p w14:paraId="008BDACC" w14:textId="7A7DFB81"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0557DE2" w14:textId="4E266BCA" w:rsidR="00897293" w:rsidRPr="00CC6553" w:rsidRDefault="00897293" w:rsidP="00B234F1">
            <w:pPr>
              <w:rPr>
                <w:rFonts w:cs="Arial"/>
                <w:bCs/>
                <w:iCs/>
                <w:color w:val="000000" w:themeColor="text1"/>
                <w:sz w:val="20"/>
              </w:rPr>
            </w:pPr>
            <w:r w:rsidRPr="00CC6553">
              <w:rPr>
                <w:rFonts w:cs="Arial"/>
                <w:color w:val="000000" w:themeColor="text1"/>
                <w:sz w:val="20"/>
              </w:rPr>
              <w:t>UK Clinical Pharmacy Association (UKCPA) – heart failure committee</w:t>
            </w:r>
          </w:p>
        </w:tc>
        <w:tc>
          <w:tcPr>
            <w:tcW w:w="279" w:type="pct"/>
          </w:tcPr>
          <w:p w14:paraId="3ACAFC4D" w14:textId="3302075D"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183DF9F8" w14:textId="6FE15299" w:rsidR="00897293" w:rsidRPr="00CC6553" w:rsidRDefault="00897293" w:rsidP="00B234F1">
            <w:pPr>
              <w:rPr>
                <w:rFonts w:cs="Arial"/>
                <w:color w:val="000000" w:themeColor="text1"/>
                <w:sz w:val="20"/>
              </w:rPr>
            </w:pPr>
            <w:r w:rsidRPr="00CC6553">
              <w:rPr>
                <w:rFonts w:cs="Arial"/>
                <w:color w:val="000000" w:themeColor="text1"/>
                <w:sz w:val="20"/>
              </w:rPr>
              <w:t>019</w:t>
            </w:r>
          </w:p>
        </w:tc>
        <w:tc>
          <w:tcPr>
            <w:tcW w:w="214" w:type="pct"/>
          </w:tcPr>
          <w:p w14:paraId="1CAB4EC0" w14:textId="322AB34A" w:rsidR="00897293" w:rsidRPr="00CC6553" w:rsidRDefault="00897293" w:rsidP="00B234F1">
            <w:pPr>
              <w:rPr>
                <w:rFonts w:cs="Arial"/>
                <w:color w:val="000000" w:themeColor="text1"/>
                <w:sz w:val="20"/>
              </w:rPr>
            </w:pPr>
            <w:r w:rsidRPr="00CC6553">
              <w:rPr>
                <w:rFonts w:cs="Arial"/>
                <w:color w:val="000000" w:themeColor="text1"/>
                <w:sz w:val="20"/>
              </w:rPr>
              <w:t>007</w:t>
            </w:r>
          </w:p>
        </w:tc>
        <w:tc>
          <w:tcPr>
            <w:tcW w:w="1521" w:type="pct"/>
          </w:tcPr>
          <w:p w14:paraId="72F8E34E" w14:textId="2B2CF387" w:rsidR="00897293" w:rsidRPr="00CC6553" w:rsidRDefault="00897293" w:rsidP="00B234F1">
            <w:pPr>
              <w:rPr>
                <w:rFonts w:cs="Arial"/>
                <w:color w:val="000000" w:themeColor="text1"/>
                <w:sz w:val="20"/>
              </w:rPr>
            </w:pPr>
            <w:r w:rsidRPr="00CC6553">
              <w:rPr>
                <w:rFonts w:cs="Arial"/>
                <w:color w:val="000000" w:themeColor="text1"/>
                <w:sz w:val="20"/>
              </w:rPr>
              <w:t>Ensure a clear indication and intended duration is documented as per the local shared care protocol</w:t>
            </w:r>
          </w:p>
        </w:tc>
        <w:tc>
          <w:tcPr>
            <w:tcW w:w="2122" w:type="pct"/>
          </w:tcPr>
          <w:p w14:paraId="51351315" w14:textId="26BD8640"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scope of this update was the pharmacological management of chronic heart failure https://www.nice.org.uk/guidance/gid-ng10405/documents/final-scope and the committee is therefore only able to make editorial changes or minimal changes for consistency or clarification to recommendations on areas outside of this.</w:t>
            </w:r>
          </w:p>
        </w:tc>
      </w:tr>
      <w:tr w:rsidR="00897293" w:rsidRPr="00CC6553" w14:paraId="5853F773" w14:textId="77777777" w:rsidTr="00897293">
        <w:trPr>
          <w:trHeight w:val="300"/>
        </w:trPr>
        <w:tc>
          <w:tcPr>
            <w:tcW w:w="109" w:type="pct"/>
          </w:tcPr>
          <w:p w14:paraId="6FA64DD0" w14:textId="77777777" w:rsidR="00897293" w:rsidRPr="00CC6553" w:rsidRDefault="00897293" w:rsidP="00B234F1">
            <w:pPr>
              <w:rPr>
                <w:rFonts w:cs="Arial"/>
                <w:color w:val="000000" w:themeColor="text1"/>
                <w:sz w:val="20"/>
              </w:rPr>
            </w:pPr>
            <w:r w:rsidRPr="00CC6553">
              <w:rPr>
                <w:rFonts w:cs="Arial"/>
                <w:color w:val="000000" w:themeColor="text1"/>
                <w:sz w:val="20"/>
              </w:rPr>
              <w:t>274</w:t>
            </w:r>
          </w:p>
        </w:tc>
        <w:tc>
          <w:tcPr>
            <w:tcW w:w="143" w:type="pct"/>
          </w:tcPr>
          <w:p w14:paraId="5A041DDF" w14:textId="76874D1E"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AFAD0D8" w14:textId="3FA67840" w:rsidR="00897293" w:rsidRPr="00CC6553" w:rsidRDefault="00897293" w:rsidP="00B234F1">
            <w:pPr>
              <w:rPr>
                <w:rFonts w:cs="Arial"/>
                <w:bCs/>
                <w:iCs/>
                <w:color w:val="000000" w:themeColor="text1"/>
                <w:sz w:val="20"/>
              </w:rPr>
            </w:pPr>
            <w:r w:rsidRPr="00CC6553">
              <w:rPr>
                <w:rFonts w:cs="Arial"/>
                <w:color w:val="000000" w:themeColor="text1"/>
                <w:sz w:val="20"/>
              </w:rPr>
              <w:t>Royal College of Nursing</w:t>
            </w:r>
          </w:p>
        </w:tc>
        <w:tc>
          <w:tcPr>
            <w:tcW w:w="279" w:type="pct"/>
          </w:tcPr>
          <w:p w14:paraId="332AF0B2" w14:textId="70600EEE"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1160AAD1" w14:textId="3029BEF1" w:rsidR="00897293" w:rsidRPr="00CC6553" w:rsidRDefault="00897293" w:rsidP="00B234F1">
            <w:pPr>
              <w:rPr>
                <w:rFonts w:cs="Arial"/>
                <w:color w:val="000000" w:themeColor="text1"/>
                <w:sz w:val="20"/>
              </w:rPr>
            </w:pPr>
            <w:r w:rsidRPr="00CC6553">
              <w:rPr>
                <w:rFonts w:cs="Arial"/>
                <w:color w:val="000000" w:themeColor="text1"/>
                <w:sz w:val="20"/>
              </w:rPr>
              <w:t>020</w:t>
            </w:r>
          </w:p>
        </w:tc>
        <w:tc>
          <w:tcPr>
            <w:tcW w:w="214" w:type="pct"/>
          </w:tcPr>
          <w:p w14:paraId="4485D8B6" w14:textId="4C8EEE67" w:rsidR="00897293" w:rsidRPr="00CC6553" w:rsidRDefault="00897293" w:rsidP="00B234F1">
            <w:pPr>
              <w:rPr>
                <w:rFonts w:cs="Arial"/>
                <w:color w:val="000000" w:themeColor="text1"/>
                <w:sz w:val="20"/>
              </w:rPr>
            </w:pPr>
            <w:r w:rsidRPr="00CC6553">
              <w:rPr>
                <w:rFonts w:cs="Arial"/>
                <w:color w:val="000000" w:themeColor="text1"/>
                <w:sz w:val="20"/>
              </w:rPr>
              <w:t>002</w:t>
            </w:r>
          </w:p>
        </w:tc>
        <w:tc>
          <w:tcPr>
            <w:tcW w:w="1521" w:type="pct"/>
          </w:tcPr>
          <w:p w14:paraId="5DD78E37" w14:textId="225CD0DE" w:rsidR="00897293" w:rsidRPr="00CC6553" w:rsidRDefault="00897293" w:rsidP="00B234F1">
            <w:pPr>
              <w:rPr>
                <w:rFonts w:cs="Arial"/>
                <w:color w:val="000000" w:themeColor="text1"/>
                <w:sz w:val="20"/>
              </w:rPr>
            </w:pPr>
            <w:r w:rsidRPr="00CC6553">
              <w:rPr>
                <w:rFonts w:cs="Arial"/>
                <w:color w:val="000000" w:themeColor="text1"/>
                <w:sz w:val="20"/>
              </w:rPr>
              <w:t>Depression section - should add anxiety here as well. They are not the same thing</w:t>
            </w:r>
          </w:p>
        </w:tc>
        <w:tc>
          <w:tcPr>
            <w:tcW w:w="2122" w:type="pct"/>
          </w:tcPr>
          <w:p w14:paraId="3177B47D" w14:textId="206E8D56"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scope of this update was the pharmacological management of chronic heart failure https://www.nice.org.uk/guidance/gid-ng10405/documents/final-scope and the committee is therefore only able to make editorial changes or minimal changes for consistency or clarification to recommendations on areas outside of this.</w:t>
            </w:r>
          </w:p>
        </w:tc>
      </w:tr>
      <w:tr w:rsidR="00897293" w:rsidRPr="00CC6553" w14:paraId="3441DD84" w14:textId="77777777" w:rsidTr="00897293">
        <w:trPr>
          <w:trHeight w:val="300"/>
        </w:trPr>
        <w:tc>
          <w:tcPr>
            <w:tcW w:w="109" w:type="pct"/>
          </w:tcPr>
          <w:p w14:paraId="2848E107" w14:textId="77777777" w:rsidR="00897293" w:rsidRPr="00CC6553" w:rsidRDefault="00897293" w:rsidP="00B234F1">
            <w:pPr>
              <w:rPr>
                <w:rFonts w:cs="Arial"/>
                <w:color w:val="000000" w:themeColor="text1"/>
                <w:sz w:val="20"/>
              </w:rPr>
            </w:pPr>
            <w:r w:rsidRPr="00CC6553">
              <w:rPr>
                <w:rFonts w:cs="Arial"/>
                <w:color w:val="000000" w:themeColor="text1"/>
                <w:sz w:val="20"/>
              </w:rPr>
              <w:t>275</w:t>
            </w:r>
          </w:p>
        </w:tc>
        <w:tc>
          <w:tcPr>
            <w:tcW w:w="143" w:type="pct"/>
          </w:tcPr>
          <w:p w14:paraId="0EED92C0" w14:textId="5DC59A41"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4B2394FC" w14:textId="00BBA601"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2F175B18" w14:textId="39DC278A"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2E0E6F80" w14:textId="4DE5B54C" w:rsidR="00897293" w:rsidRPr="00CC6553" w:rsidRDefault="00897293" w:rsidP="00B234F1">
            <w:pPr>
              <w:rPr>
                <w:rFonts w:cs="Arial"/>
                <w:color w:val="000000" w:themeColor="text1"/>
                <w:sz w:val="20"/>
              </w:rPr>
            </w:pPr>
            <w:r w:rsidRPr="00CC6553">
              <w:rPr>
                <w:rFonts w:cs="Arial"/>
                <w:color w:val="000000" w:themeColor="text1"/>
                <w:sz w:val="20"/>
              </w:rPr>
              <w:t>021</w:t>
            </w:r>
          </w:p>
        </w:tc>
        <w:tc>
          <w:tcPr>
            <w:tcW w:w="214" w:type="pct"/>
          </w:tcPr>
          <w:p w14:paraId="7AD85BC9" w14:textId="0068F397" w:rsidR="00897293" w:rsidRPr="00CC6553" w:rsidRDefault="00897293" w:rsidP="00B234F1">
            <w:pPr>
              <w:rPr>
                <w:rFonts w:cs="Arial"/>
                <w:color w:val="000000" w:themeColor="text1"/>
                <w:sz w:val="20"/>
              </w:rPr>
            </w:pPr>
            <w:r w:rsidRPr="00CC6553">
              <w:rPr>
                <w:rFonts w:cs="Arial"/>
                <w:color w:val="000000" w:themeColor="text1"/>
                <w:sz w:val="20"/>
              </w:rPr>
              <w:t>005</w:t>
            </w:r>
          </w:p>
        </w:tc>
        <w:tc>
          <w:tcPr>
            <w:tcW w:w="1521" w:type="pct"/>
          </w:tcPr>
          <w:p w14:paraId="59462980" w14:textId="55558633" w:rsidR="00897293" w:rsidRPr="00CC6553" w:rsidRDefault="00897293" w:rsidP="00B234F1">
            <w:pPr>
              <w:rPr>
                <w:rFonts w:cs="Arial"/>
                <w:color w:val="000000" w:themeColor="text1"/>
                <w:sz w:val="20"/>
              </w:rPr>
            </w:pPr>
            <w:r w:rsidRPr="00CC6553">
              <w:rPr>
                <w:rFonts w:cs="Arial"/>
                <w:color w:val="000000" w:themeColor="text1"/>
                <w:sz w:val="20"/>
              </w:rPr>
              <w:t xml:space="preserve">Cardiac transplantation - Consider specialist referral for transplantation for people with severe refractory symptoms or refractory cardiogenic shock (without providing some clarity regarding indications and contra-indication, this can lead to inappropriate referrals based on this recommendation and the vagueness may also lead to delays in referral). Perhaps  citing an educational piece (Bhagra SK, Pettit S, Parameshwar JCardiac transplantation: indications, eligibility and current outcomesHeart 2019;105:252-260.) and the mnemonic I NEED HELP (Baumwol J. “I Need Help”—A mnemonic to aid timely referral in advanced heart failure. J. </w:t>
            </w:r>
            <w:r w:rsidRPr="00CC6553">
              <w:rPr>
                <w:rFonts w:cs="Arial"/>
                <w:color w:val="000000" w:themeColor="text1"/>
                <w:sz w:val="20"/>
              </w:rPr>
              <w:lastRenderedPageBreak/>
              <w:t>Heart Lung Transplant. 2017;36:593–594.) can add value to the existing recommendation.</w:t>
            </w:r>
          </w:p>
        </w:tc>
        <w:tc>
          <w:tcPr>
            <w:tcW w:w="2122" w:type="pct"/>
          </w:tcPr>
          <w:p w14:paraId="73B2FA86" w14:textId="6CC19B48"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lastRenderedPageBreak/>
              <w:t xml:space="preserve">Thank you for your comment.  The scope of this update was the pharmacological management of chronic heart failure https://www.nice.org.uk/guidance/gid-ng10405/documents/final-scope and the committee is therefore only able to make editorial changes or </w:t>
            </w:r>
            <w:r w:rsidRPr="00CC6553">
              <w:rPr>
                <w:rFonts w:cs="Arial"/>
                <w:b w:val="0"/>
                <w:color w:val="000000" w:themeColor="text1"/>
                <w:sz w:val="20"/>
              </w:rPr>
              <w:lastRenderedPageBreak/>
              <w:t>minimal changes for consistency or clarification to recommendations on areas outside of this.</w:t>
            </w:r>
          </w:p>
        </w:tc>
      </w:tr>
      <w:tr w:rsidR="00897293" w:rsidRPr="00CC6553" w14:paraId="68FF3532" w14:textId="77777777" w:rsidTr="00897293">
        <w:trPr>
          <w:trHeight w:val="300"/>
        </w:trPr>
        <w:tc>
          <w:tcPr>
            <w:tcW w:w="109" w:type="pct"/>
          </w:tcPr>
          <w:p w14:paraId="5DDBEE16"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276</w:t>
            </w:r>
          </w:p>
        </w:tc>
        <w:tc>
          <w:tcPr>
            <w:tcW w:w="143" w:type="pct"/>
          </w:tcPr>
          <w:p w14:paraId="5949B9BA" w14:textId="4D0A4206"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7C66F872" w14:textId="1070F4CE" w:rsidR="00897293" w:rsidRPr="00CC6553" w:rsidRDefault="00897293" w:rsidP="00B234F1">
            <w:pPr>
              <w:rPr>
                <w:rFonts w:cs="Arial"/>
                <w:bCs/>
                <w:iCs/>
                <w:color w:val="000000" w:themeColor="text1"/>
                <w:sz w:val="20"/>
              </w:rPr>
            </w:pPr>
            <w:r w:rsidRPr="00CC6553">
              <w:rPr>
                <w:rFonts w:cs="Arial"/>
                <w:color w:val="000000" w:themeColor="text1"/>
                <w:sz w:val="20"/>
              </w:rPr>
              <w:t>Alliance for Heart Failure</w:t>
            </w:r>
          </w:p>
        </w:tc>
        <w:tc>
          <w:tcPr>
            <w:tcW w:w="279" w:type="pct"/>
          </w:tcPr>
          <w:p w14:paraId="1556327D" w14:textId="455A3A40"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26DBAFAA" w14:textId="31797F0B" w:rsidR="00897293" w:rsidRPr="00CC6553" w:rsidRDefault="00897293" w:rsidP="00B234F1">
            <w:pPr>
              <w:rPr>
                <w:rFonts w:cs="Arial"/>
                <w:color w:val="000000" w:themeColor="text1"/>
                <w:sz w:val="20"/>
              </w:rPr>
            </w:pPr>
            <w:r w:rsidRPr="00CC6553">
              <w:rPr>
                <w:rFonts w:cs="Arial"/>
                <w:color w:val="000000" w:themeColor="text1"/>
                <w:sz w:val="20"/>
              </w:rPr>
              <w:t>021</w:t>
            </w:r>
          </w:p>
        </w:tc>
        <w:tc>
          <w:tcPr>
            <w:tcW w:w="214" w:type="pct"/>
          </w:tcPr>
          <w:p w14:paraId="54EEE6D2" w14:textId="1D0BA203" w:rsidR="00897293" w:rsidRPr="00CC6553" w:rsidRDefault="00897293" w:rsidP="00B234F1">
            <w:pPr>
              <w:rPr>
                <w:rFonts w:cs="Arial"/>
                <w:color w:val="000000" w:themeColor="text1"/>
                <w:sz w:val="20"/>
              </w:rPr>
            </w:pPr>
            <w:r w:rsidRPr="00CC6553">
              <w:rPr>
                <w:rFonts w:cs="Arial"/>
                <w:color w:val="000000" w:themeColor="text1"/>
                <w:sz w:val="20"/>
              </w:rPr>
              <w:t>010</w:t>
            </w:r>
          </w:p>
        </w:tc>
        <w:tc>
          <w:tcPr>
            <w:tcW w:w="1521" w:type="pct"/>
          </w:tcPr>
          <w:p w14:paraId="6C19ECDD" w14:textId="62531ED6" w:rsidR="00897293" w:rsidRPr="00CC6553" w:rsidRDefault="00897293" w:rsidP="00B234F1">
            <w:pPr>
              <w:rPr>
                <w:rFonts w:cs="Arial"/>
                <w:color w:val="000000" w:themeColor="text1"/>
                <w:sz w:val="20"/>
              </w:rPr>
            </w:pPr>
            <w:r w:rsidRPr="00CC6553">
              <w:rPr>
                <w:rFonts w:cs="Arial"/>
                <w:color w:val="000000" w:themeColor="text1"/>
                <w:sz w:val="20"/>
              </w:rPr>
              <w:t>Members of the Alliance are disappointed that there is no reference to the recent Diagnostic Guidance DG61 (2024) on ‘Heart failure algorithms for remote monitoring in people with cardiac implantable electronic devices’. This is a critical piece of guidance that warrants inclusion in the guidelines on the basis of the positive, evidence-based recommendation.</w:t>
            </w:r>
            <w:r w:rsidRPr="00CC6553">
              <w:rPr>
                <w:rFonts w:cs="Arial"/>
                <w:color w:val="000000" w:themeColor="text1"/>
                <w:sz w:val="20"/>
              </w:rPr>
              <w:br/>
            </w:r>
            <w:r w:rsidRPr="00CC6553">
              <w:rPr>
                <w:rFonts w:cs="Arial"/>
                <w:color w:val="000000" w:themeColor="text1"/>
                <w:sz w:val="20"/>
              </w:rPr>
              <w:br/>
              <w:t xml:space="preserve">‘Use HeartLogic and TriageHF as options for algorithm-based remote monitoring in people with cardiac implantable electronic devices (CIEDs) who have heart failure.” </w:t>
            </w:r>
            <w:r w:rsidRPr="00CC6553">
              <w:rPr>
                <w:rFonts w:cs="Arial"/>
                <w:color w:val="000000" w:themeColor="text1"/>
                <w:sz w:val="20"/>
              </w:rPr>
              <w:br/>
            </w:r>
            <w:r w:rsidRPr="00CC6553">
              <w:rPr>
                <w:rFonts w:cs="Arial"/>
                <w:color w:val="000000" w:themeColor="text1"/>
                <w:sz w:val="20"/>
              </w:rPr>
              <w:br/>
              <w:t xml:space="preserve">www.nice.org.uk/guidance/dg61/chapter/1-recommendations </w:t>
            </w:r>
            <w:r w:rsidRPr="00CC6553">
              <w:rPr>
                <w:rFonts w:cs="Arial"/>
                <w:color w:val="000000" w:themeColor="text1"/>
                <w:sz w:val="20"/>
              </w:rPr>
              <w:br/>
            </w:r>
            <w:r w:rsidRPr="00CC6553">
              <w:rPr>
                <w:rFonts w:cs="Arial"/>
                <w:color w:val="000000" w:themeColor="text1"/>
                <w:sz w:val="20"/>
              </w:rPr>
              <w:br/>
              <w:t xml:space="preserve">NICE has previously stated that incorporating technology appraisal recommendations into clinical guidelines will improve user experience, increase guidance adoption and improve patient outcomes. As the majority of medical devices are assessed via the MedTech Guidance/HealthTech Guidance route, it is important that this is recognised and addressed by ensuring that these other guidance programmes are considered for inclusion within Clinical Guidelines to ensure that medical device adoption is not disproportionately impacted. This will help NICE attain the goal of increasing guidance adoption and improving patient outcomes. </w:t>
            </w:r>
            <w:r w:rsidRPr="00CC6553">
              <w:rPr>
                <w:rFonts w:cs="Arial"/>
                <w:color w:val="000000" w:themeColor="text1"/>
                <w:sz w:val="20"/>
              </w:rPr>
              <w:br/>
            </w:r>
            <w:r w:rsidRPr="00CC6553">
              <w:rPr>
                <w:rFonts w:cs="Arial"/>
                <w:color w:val="000000" w:themeColor="text1"/>
                <w:sz w:val="20"/>
              </w:rPr>
              <w:br/>
              <w:t>We request that the DG61 recommendation and link is incorporated into the guideline section on ‘Implantable cardioverter defibrillators and cardiac resynchronisation therapy’.</w:t>
            </w:r>
          </w:p>
        </w:tc>
        <w:tc>
          <w:tcPr>
            <w:tcW w:w="2122" w:type="pct"/>
          </w:tcPr>
          <w:p w14:paraId="39A0CDAD" w14:textId="3DAD2A2B"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Thank you for your comment.  </w:t>
            </w:r>
            <w:r w:rsidRPr="00FB2C07">
              <w:rPr>
                <w:rFonts w:cs="Arial"/>
                <w:b w:val="0"/>
                <w:color w:val="000000" w:themeColor="text1"/>
                <w:sz w:val="20"/>
              </w:rPr>
              <w:t xml:space="preserve">The scope of this update was the pharmacological management of chronic heart failure </w:t>
            </w:r>
            <w:hyperlink r:id="rId42" w:history="1">
              <w:r w:rsidRPr="004424F5">
                <w:rPr>
                  <w:rStyle w:val="Hyperlink"/>
                  <w:rFonts w:cs="Arial"/>
                  <w:b w:val="0"/>
                  <w:sz w:val="20"/>
                </w:rPr>
                <w:t>https://www.nice.org.uk/guidance/gid-ng10405/documents/final-scope</w:t>
              </w:r>
            </w:hyperlink>
            <w:r>
              <w:rPr>
                <w:rFonts w:cs="Arial"/>
                <w:b w:val="0"/>
                <w:color w:val="000000" w:themeColor="text1"/>
                <w:sz w:val="20"/>
              </w:rPr>
              <w:t xml:space="preserve"> and the committee were therefore unable to add recommendations on diagnosis and monitoring.</w:t>
            </w:r>
          </w:p>
        </w:tc>
      </w:tr>
      <w:tr w:rsidR="00897293" w:rsidRPr="00CC6553" w14:paraId="14ED1B0F" w14:textId="77777777" w:rsidTr="00897293">
        <w:trPr>
          <w:trHeight w:val="300"/>
        </w:trPr>
        <w:tc>
          <w:tcPr>
            <w:tcW w:w="109" w:type="pct"/>
          </w:tcPr>
          <w:p w14:paraId="21A8A6B8" w14:textId="77777777" w:rsidR="00897293" w:rsidRPr="00CC6553" w:rsidRDefault="00897293" w:rsidP="00B234F1">
            <w:pPr>
              <w:rPr>
                <w:rFonts w:cs="Arial"/>
                <w:color w:val="000000" w:themeColor="text1"/>
                <w:sz w:val="20"/>
              </w:rPr>
            </w:pPr>
            <w:r w:rsidRPr="00CC6553">
              <w:rPr>
                <w:rFonts w:cs="Arial"/>
                <w:color w:val="000000" w:themeColor="text1"/>
                <w:sz w:val="20"/>
              </w:rPr>
              <w:t>277</w:t>
            </w:r>
          </w:p>
        </w:tc>
        <w:tc>
          <w:tcPr>
            <w:tcW w:w="143" w:type="pct"/>
          </w:tcPr>
          <w:p w14:paraId="5E10955E" w14:textId="29D2D81A"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3D3F1DA7" w14:textId="18B9278D" w:rsidR="00897293" w:rsidRPr="00CC6553" w:rsidRDefault="00897293" w:rsidP="00B234F1">
            <w:pPr>
              <w:rPr>
                <w:rFonts w:cs="Arial"/>
                <w:bCs/>
                <w:iCs/>
                <w:color w:val="000000" w:themeColor="text1"/>
                <w:sz w:val="20"/>
              </w:rPr>
            </w:pPr>
            <w:r w:rsidRPr="00CC6553">
              <w:rPr>
                <w:rFonts w:cs="Arial"/>
                <w:color w:val="000000" w:themeColor="text1"/>
                <w:sz w:val="20"/>
              </w:rPr>
              <w:t>Medtronic</w:t>
            </w:r>
          </w:p>
        </w:tc>
        <w:tc>
          <w:tcPr>
            <w:tcW w:w="279" w:type="pct"/>
          </w:tcPr>
          <w:p w14:paraId="396155BA" w14:textId="122F185A"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6622940A" w14:textId="33C5FD27" w:rsidR="00897293" w:rsidRPr="00CC6553" w:rsidRDefault="00897293" w:rsidP="00B234F1">
            <w:pPr>
              <w:rPr>
                <w:rFonts w:cs="Arial"/>
                <w:color w:val="000000" w:themeColor="text1"/>
                <w:sz w:val="20"/>
              </w:rPr>
            </w:pPr>
            <w:r w:rsidRPr="00CC6553">
              <w:rPr>
                <w:rFonts w:cs="Arial"/>
                <w:color w:val="000000" w:themeColor="text1"/>
                <w:sz w:val="20"/>
              </w:rPr>
              <w:t>021</w:t>
            </w:r>
          </w:p>
        </w:tc>
        <w:tc>
          <w:tcPr>
            <w:tcW w:w="214" w:type="pct"/>
          </w:tcPr>
          <w:p w14:paraId="57962ACF" w14:textId="4D8D8D72" w:rsidR="00897293" w:rsidRPr="00CC6553" w:rsidRDefault="00897293" w:rsidP="00B234F1">
            <w:pPr>
              <w:rPr>
                <w:rFonts w:cs="Arial"/>
                <w:color w:val="000000" w:themeColor="text1"/>
                <w:sz w:val="20"/>
              </w:rPr>
            </w:pPr>
            <w:r w:rsidRPr="00CC6553">
              <w:rPr>
                <w:rFonts w:cs="Arial"/>
                <w:color w:val="000000" w:themeColor="text1"/>
                <w:sz w:val="20"/>
              </w:rPr>
              <w:t>010</w:t>
            </w:r>
          </w:p>
        </w:tc>
        <w:tc>
          <w:tcPr>
            <w:tcW w:w="1521" w:type="pct"/>
          </w:tcPr>
          <w:p w14:paraId="36F5259C" w14:textId="4A7824CE" w:rsidR="00897293" w:rsidRPr="00CC6553" w:rsidRDefault="00897293" w:rsidP="00B234F1">
            <w:pPr>
              <w:rPr>
                <w:rFonts w:cs="Arial"/>
                <w:color w:val="000000" w:themeColor="text1"/>
                <w:sz w:val="20"/>
              </w:rPr>
            </w:pPr>
            <w:r w:rsidRPr="00CC6553">
              <w:rPr>
                <w:rFonts w:cs="Arial"/>
                <w:color w:val="000000" w:themeColor="text1"/>
                <w:sz w:val="20"/>
              </w:rPr>
              <w:t xml:space="preserve">Rec.1.10.3. We welcome the improved wording on this recommendation to include a full statement on NICE TA314. We are disappointed, however, that there is no reference to the recent Diagnostic Guidance DG61 (2024) on ‘Heart failure algorithms for remote monitoring in people with cardiac implantable electronic </w:t>
            </w:r>
            <w:r w:rsidRPr="00CC6553">
              <w:rPr>
                <w:rFonts w:cs="Arial"/>
                <w:color w:val="000000" w:themeColor="text1"/>
                <w:sz w:val="20"/>
              </w:rPr>
              <w:lastRenderedPageBreak/>
              <w:t xml:space="preserve">devices’. We consider this to be a critical piece of guidance that warrants inclusion in the guideline on the basis of the positive, evidence-based recommendation that is directly application for this heart failure patient population: </w:t>
            </w:r>
            <w:r w:rsidRPr="00CC6553">
              <w:rPr>
                <w:rFonts w:cs="Arial"/>
                <w:color w:val="000000" w:themeColor="text1"/>
                <w:sz w:val="20"/>
              </w:rPr>
              <w:br/>
            </w:r>
            <w:r w:rsidRPr="00CC6553">
              <w:rPr>
                <w:rFonts w:cs="Arial"/>
                <w:color w:val="000000" w:themeColor="text1"/>
                <w:sz w:val="20"/>
              </w:rPr>
              <w:br/>
              <w:t xml:space="preserve">“Use HeartLogic and TriageHF as options for algorithm-based remote monitoring in people with cardiac implantable electronic devices (CIEDs) who have heart failure.” https://www.nice.org.uk/guidance/dg61/chapter/1-Recommendations </w:t>
            </w:r>
            <w:r w:rsidRPr="00CC6553">
              <w:rPr>
                <w:rFonts w:cs="Arial"/>
                <w:color w:val="000000" w:themeColor="text1"/>
                <w:sz w:val="20"/>
              </w:rPr>
              <w:br/>
            </w:r>
            <w:r w:rsidRPr="00CC6553">
              <w:rPr>
                <w:rFonts w:cs="Arial"/>
                <w:color w:val="000000" w:themeColor="text1"/>
                <w:sz w:val="20"/>
              </w:rPr>
              <w:br/>
              <w:t>In their interim methods and process update, NICE state that by incorporating technology appraisal recommendations into clinical guidelines, this will improve user experience, increase guidance adoption, and ultimately improve patient outcomes. As the majority of medical devices are assessed via the MedTech Guidance/HealthTech Guidance route, it is important that this is recognised and addressed by ensuring that these other guidance programmes are equally considered for inclusion within Clinical Guidelines, and that medical device adoption is not disproportionately impacted. This will help NICE attain the goal of increasing guidance adoption and improving patient outcomes.</w:t>
            </w:r>
            <w:r w:rsidRPr="00CC6553">
              <w:rPr>
                <w:rFonts w:cs="Arial"/>
                <w:color w:val="000000" w:themeColor="text1"/>
                <w:sz w:val="20"/>
              </w:rPr>
              <w:br/>
            </w:r>
            <w:r w:rsidRPr="00CC6553">
              <w:rPr>
                <w:rFonts w:cs="Arial"/>
                <w:color w:val="000000" w:themeColor="text1"/>
                <w:sz w:val="20"/>
              </w:rPr>
              <w:br/>
              <w:t xml:space="preserve">We would also like to take the opportunity to highlight strong alignment of DG61 with the NHS 10-year Health Plan key shifts: </w:t>
            </w:r>
            <w:r w:rsidRPr="00CC6553">
              <w:rPr>
                <w:rFonts w:cs="Arial"/>
                <w:color w:val="000000" w:themeColor="text1"/>
                <w:sz w:val="20"/>
              </w:rPr>
              <w:br/>
              <w:t>Moving care from hospitals to communities. TriageHF is a key enabler of this shift by providing remote monitoring of heart failure and preventing hospital admissions.</w:t>
            </w:r>
            <w:r w:rsidRPr="00CC6553">
              <w:rPr>
                <w:rFonts w:cs="Arial"/>
                <w:color w:val="000000" w:themeColor="text1"/>
                <w:sz w:val="20"/>
              </w:rPr>
              <w:br/>
              <w:t xml:space="preserve">Making better use of technology. TriageHF uses algorithm-based technology that automatically detects the early signs of worsening heart failure and sends an alert to the healthcare professional. More widespread adoption of this technology will have a positive impact on both patients and the healthcare system as a whole. </w:t>
            </w:r>
            <w:r w:rsidRPr="00CC6553">
              <w:rPr>
                <w:rFonts w:cs="Arial"/>
                <w:color w:val="000000" w:themeColor="text1"/>
                <w:sz w:val="20"/>
              </w:rPr>
              <w:br/>
              <w:t>Focus on prevention, not just treatment. Evidence for TriageHF shows that this technology can detect the signs of worsening heart failure that could lead to hospitalisation or an unscheduled clinic visit, thereby reducing the need for healthcare resources.</w:t>
            </w:r>
            <w:r w:rsidRPr="00CC6553">
              <w:rPr>
                <w:rFonts w:cs="Arial"/>
                <w:color w:val="000000" w:themeColor="text1"/>
                <w:sz w:val="20"/>
              </w:rPr>
              <w:br/>
            </w:r>
            <w:r w:rsidRPr="00CC6553">
              <w:rPr>
                <w:rFonts w:cs="Arial"/>
                <w:color w:val="000000" w:themeColor="text1"/>
                <w:sz w:val="20"/>
              </w:rPr>
              <w:br/>
              <w:t xml:space="preserve">Taken together, there is a strong case for inclusion of DG61 embedded within the </w:t>
            </w:r>
            <w:r w:rsidRPr="00CC6553">
              <w:rPr>
                <w:rFonts w:cs="Arial"/>
                <w:color w:val="000000" w:themeColor="text1"/>
                <w:sz w:val="20"/>
              </w:rPr>
              <w:lastRenderedPageBreak/>
              <w:t xml:space="preserve">Chronic Heart Failure Guideline. </w:t>
            </w:r>
            <w:r w:rsidRPr="00CC6553">
              <w:rPr>
                <w:rFonts w:cs="Arial"/>
                <w:color w:val="000000" w:themeColor="text1"/>
                <w:sz w:val="20"/>
              </w:rPr>
              <w:br/>
            </w:r>
            <w:r w:rsidRPr="00CC6553">
              <w:rPr>
                <w:rFonts w:cs="Arial"/>
                <w:color w:val="000000" w:themeColor="text1"/>
                <w:sz w:val="20"/>
              </w:rPr>
              <w:br/>
              <w:t>To rectify this issue, we request that the DG61 recommendation and link is incorporated into the Guideline section on ‘Implantable cardioverter defibrillators and cardiac resynchronisation therapy’.</w:t>
            </w:r>
          </w:p>
        </w:tc>
        <w:tc>
          <w:tcPr>
            <w:tcW w:w="2122" w:type="pct"/>
          </w:tcPr>
          <w:p w14:paraId="75B0A66A" w14:textId="37378631"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lastRenderedPageBreak/>
              <w:t xml:space="preserve">Thank you for your comment.  </w:t>
            </w:r>
            <w:r w:rsidRPr="00FB2C07">
              <w:rPr>
                <w:rFonts w:cs="Arial"/>
                <w:b w:val="0"/>
                <w:color w:val="000000" w:themeColor="text1"/>
                <w:sz w:val="20"/>
              </w:rPr>
              <w:t xml:space="preserve">The scope of this update was the pharmacological management of chronic heart failure </w:t>
            </w:r>
            <w:hyperlink r:id="rId43" w:history="1">
              <w:r w:rsidRPr="004424F5">
                <w:rPr>
                  <w:rStyle w:val="Hyperlink"/>
                  <w:rFonts w:cs="Arial"/>
                  <w:b w:val="0"/>
                  <w:sz w:val="20"/>
                </w:rPr>
                <w:t>https://www.nice.org.uk/guidance/gid-ng10405/documents/final-scope</w:t>
              </w:r>
            </w:hyperlink>
            <w:r>
              <w:rPr>
                <w:rFonts w:cs="Arial"/>
                <w:b w:val="0"/>
                <w:color w:val="000000" w:themeColor="text1"/>
                <w:sz w:val="20"/>
              </w:rPr>
              <w:t xml:space="preserve"> and the committee were therefore unable to add recommendations on diagnosis and monitoring.</w:t>
            </w:r>
          </w:p>
        </w:tc>
      </w:tr>
      <w:tr w:rsidR="00897293" w:rsidRPr="00CC6553" w14:paraId="16C523BF" w14:textId="77777777" w:rsidTr="00897293">
        <w:trPr>
          <w:trHeight w:val="300"/>
        </w:trPr>
        <w:tc>
          <w:tcPr>
            <w:tcW w:w="109" w:type="pct"/>
          </w:tcPr>
          <w:p w14:paraId="6733CD50"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278</w:t>
            </w:r>
          </w:p>
        </w:tc>
        <w:tc>
          <w:tcPr>
            <w:tcW w:w="143" w:type="pct"/>
          </w:tcPr>
          <w:p w14:paraId="49585F1D" w14:textId="7E28DD3B"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5E45A856" w14:textId="00BC1DF1" w:rsidR="00897293" w:rsidRPr="00CC6553" w:rsidRDefault="00897293" w:rsidP="00B234F1">
            <w:pPr>
              <w:rPr>
                <w:rFonts w:cs="Arial"/>
                <w:bCs/>
                <w:iCs/>
                <w:color w:val="000000" w:themeColor="text1"/>
                <w:sz w:val="20"/>
              </w:rPr>
            </w:pPr>
            <w:r w:rsidRPr="00CC6553">
              <w:rPr>
                <w:rFonts w:cs="Arial"/>
                <w:color w:val="000000" w:themeColor="text1"/>
                <w:sz w:val="20"/>
              </w:rPr>
              <w:t>British Association for Nutrition and Lifestyle Medicine (BANT)    -   registered as stakeholder under previous name  British Association for Applied Nutrition and Nutritional Therapy</w:t>
            </w:r>
          </w:p>
        </w:tc>
        <w:tc>
          <w:tcPr>
            <w:tcW w:w="279" w:type="pct"/>
          </w:tcPr>
          <w:p w14:paraId="3157CC0D" w14:textId="4BD5639E"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103BDC47" w14:textId="545B7FA9" w:rsidR="00897293" w:rsidRPr="00CC6553" w:rsidRDefault="00897293" w:rsidP="00B234F1">
            <w:pPr>
              <w:rPr>
                <w:rFonts w:cs="Arial"/>
                <w:color w:val="000000" w:themeColor="text1"/>
                <w:sz w:val="20"/>
              </w:rPr>
            </w:pPr>
            <w:r w:rsidRPr="00CC6553">
              <w:rPr>
                <w:rFonts w:cs="Arial"/>
                <w:color w:val="000000" w:themeColor="text1"/>
                <w:sz w:val="20"/>
              </w:rPr>
              <w:t>022</w:t>
            </w:r>
          </w:p>
        </w:tc>
        <w:tc>
          <w:tcPr>
            <w:tcW w:w="214" w:type="pct"/>
          </w:tcPr>
          <w:p w14:paraId="637E4331" w14:textId="553D64D6" w:rsidR="00897293" w:rsidRPr="00CC6553" w:rsidRDefault="00897293" w:rsidP="00B234F1">
            <w:pPr>
              <w:rPr>
                <w:rFonts w:cs="Arial"/>
                <w:color w:val="000000" w:themeColor="text1"/>
                <w:sz w:val="20"/>
              </w:rPr>
            </w:pPr>
            <w:r w:rsidRPr="00CC6553">
              <w:rPr>
                <w:rFonts w:cs="Arial"/>
                <w:color w:val="000000" w:themeColor="text1"/>
                <w:sz w:val="20"/>
              </w:rPr>
              <w:t>008</w:t>
            </w:r>
          </w:p>
        </w:tc>
        <w:tc>
          <w:tcPr>
            <w:tcW w:w="1521" w:type="pct"/>
          </w:tcPr>
          <w:p w14:paraId="7DE49FDD" w14:textId="2F525BE8" w:rsidR="00897293" w:rsidRPr="00CC6553" w:rsidRDefault="00897293" w:rsidP="00B234F1">
            <w:pPr>
              <w:rPr>
                <w:rFonts w:cs="Arial"/>
                <w:color w:val="000000" w:themeColor="text1"/>
                <w:sz w:val="20"/>
              </w:rPr>
            </w:pPr>
            <w:r w:rsidRPr="00CC6553">
              <w:rPr>
                <w:rFonts w:cs="Arial"/>
                <w:color w:val="000000" w:themeColor="text1"/>
                <w:sz w:val="20"/>
              </w:rPr>
              <w:t>Rehabilitation must include dietary as well exercise recommendations so we recommend should read:</w:t>
            </w:r>
            <w:r w:rsidRPr="00CC6553">
              <w:rPr>
                <w:rFonts w:cs="Arial"/>
                <w:color w:val="000000" w:themeColor="text1"/>
                <w:sz w:val="20"/>
              </w:rPr>
              <w:br/>
            </w:r>
            <w:r w:rsidRPr="00CC6553">
              <w:rPr>
                <w:rFonts w:cs="Arial"/>
                <w:color w:val="000000" w:themeColor="text1"/>
                <w:sz w:val="20"/>
              </w:rPr>
              <w:br/>
              <w:t xml:space="preserve">“Offer people with heart failure a personalised diet and exercise-based cardiac rehabilitation programme” </w:t>
            </w:r>
            <w:r w:rsidRPr="00CC6553">
              <w:rPr>
                <w:rFonts w:cs="Arial"/>
                <w:color w:val="000000" w:themeColor="text1"/>
                <w:sz w:val="20"/>
              </w:rPr>
              <w:br/>
            </w:r>
            <w:r w:rsidRPr="00CC6553">
              <w:rPr>
                <w:rFonts w:cs="Arial"/>
                <w:color w:val="000000" w:themeColor="text1"/>
                <w:sz w:val="20"/>
              </w:rPr>
              <w:br/>
              <w:t xml:space="preserve">Refs:  </w:t>
            </w:r>
            <w:r w:rsidRPr="00CC6553">
              <w:rPr>
                <w:rFonts w:cs="Arial"/>
                <w:color w:val="000000" w:themeColor="text1"/>
                <w:sz w:val="20"/>
              </w:rPr>
              <w:br/>
            </w:r>
            <w:r w:rsidRPr="00CC6553">
              <w:rPr>
                <w:rFonts w:cs="Arial"/>
                <w:color w:val="000000" w:themeColor="text1"/>
                <w:sz w:val="20"/>
              </w:rPr>
              <w:br/>
              <w:t>Billingsley HE, Hummel SL, Carbone S. The role of diet and nutrition in heart failure: A state-of-the-art narrative review. Prog Cardiovasc Dis. 2020 Sep-Oct;63(5):538-551. doi: 10.1016/j.pcad.2020.08.004. Epub 2020 Aug 14. PMID: 32798501; PMCID: PMC7686142.</w:t>
            </w:r>
            <w:r w:rsidRPr="00CC6553">
              <w:rPr>
                <w:rFonts w:cs="Arial"/>
                <w:color w:val="000000" w:themeColor="text1"/>
                <w:sz w:val="20"/>
              </w:rPr>
              <w:br/>
            </w:r>
            <w:r w:rsidRPr="00CC6553">
              <w:rPr>
                <w:rFonts w:cs="Arial"/>
                <w:color w:val="000000" w:themeColor="text1"/>
                <w:sz w:val="20"/>
              </w:rPr>
              <w:br/>
              <w:t>Bohmke NJ, Billingsley HE, Kirkman DL, Carbone S. Nonpharmacological Strategies in Heart Failure with Preserved Ejection Fraction. Cardiol Clin. 2022 Nov;40(4):491-506. doi: 10.1016/j.ccl.2022.06.003. Epub 2022 Sep 15. PMID: 36210133; PMCID: PMC10280381.</w:t>
            </w:r>
            <w:r w:rsidRPr="00CC6553">
              <w:rPr>
                <w:rFonts w:cs="Arial"/>
                <w:color w:val="000000" w:themeColor="text1"/>
                <w:sz w:val="20"/>
              </w:rPr>
              <w:br/>
            </w:r>
            <w:r w:rsidRPr="00CC6553">
              <w:rPr>
                <w:rFonts w:cs="Arial"/>
                <w:color w:val="000000" w:themeColor="text1"/>
                <w:sz w:val="20"/>
              </w:rPr>
              <w:br/>
              <w:t>Ataran A, Pompian A, Hajirezaei H, Lodhi R, Javaheri A. Fueling the Heart: What Are the Optimal Dietary Strategies in Heart Failure? Nutrients. 2024 Sep 18;16(18):3157. doi: 10.3390/nu16183157. PMID: 39339757; PMCID: PMC11434961.</w:t>
            </w:r>
            <w:r w:rsidRPr="00CC6553">
              <w:rPr>
                <w:rFonts w:cs="Arial"/>
                <w:color w:val="000000" w:themeColor="text1"/>
                <w:sz w:val="20"/>
              </w:rPr>
              <w:br/>
            </w:r>
          </w:p>
        </w:tc>
        <w:tc>
          <w:tcPr>
            <w:tcW w:w="2122" w:type="pct"/>
          </w:tcPr>
          <w:p w14:paraId="46D5E529" w14:textId="1CB2D3F8"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scope of this update was the pharmacological management of chronic heart failure https://www.nice.org.uk/guidance/gid-ng10405/documents/final-scope and the committee is therefore only able to make editorial changes or minimal changes for consistency or clarification to recommendations on areas outside of this.</w:t>
            </w:r>
          </w:p>
        </w:tc>
      </w:tr>
      <w:tr w:rsidR="00897293" w:rsidRPr="00CC6553" w14:paraId="34134EC7" w14:textId="77777777" w:rsidTr="00897293">
        <w:trPr>
          <w:trHeight w:val="300"/>
        </w:trPr>
        <w:tc>
          <w:tcPr>
            <w:tcW w:w="109" w:type="pct"/>
          </w:tcPr>
          <w:p w14:paraId="23F925AA" w14:textId="77777777" w:rsidR="00897293" w:rsidRPr="00CC6553" w:rsidRDefault="00897293" w:rsidP="00B234F1">
            <w:pPr>
              <w:rPr>
                <w:rFonts w:cs="Arial"/>
                <w:color w:val="000000" w:themeColor="text1"/>
                <w:sz w:val="20"/>
              </w:rPr>
            </w:pPr>
            <w:r w:rsidRPr="00CC6553">
              <w:rPr>
                <w:rFonts w:cs="Arial"/>
                <w:color w:val="000000" w:themeColor="text1"/>
                <w:sz w:val="20"/>
              </w:rPr>
              <w:t>279</w:t>
            </w:r>
          </w:p>
        </w:tc>
        <w:tc>
          <w:tcPr>
            <w:tcW w:w="143" w:type="pct"/>
          </w:tcPr>
          <w:p w14:paraId="2826A4FB" w14:textId="059C97EB"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D93E9D4" w14:textId="637CD488" w:rsidR="00897293" w:rsidRPr="00CC6553" w:rsidRDefault="00897293" w:rsidP="00B234F1">
            <w:pPr>
              <w:rPr>
                <w:rFonts w:cs="Arial"/>
                <w:bCs/>
                <w:iCs/>
                <w:color w:val="000000" w:themeColor="text1"/>
                <w:sz w:val="20"/>
              </w:rPr>
            </w:pPr>
            <w:r w:rsidRPr="00CC6553">
              <w:rPr>
                <w:rFonts w:cs="Arial"/>
                <w:color w:val="000000" w:themeColor="text1"/>
                <w:sz w:val="20"/>
              </w:rPr>
              <w:t xml:space="preserve">UK Clinical Pharmacy Association (UKCPA) – </w:t>
            </w:r>
            <w:r w:rsidRPr="00CC6553">
              <w:rPr>
                <w:rFonts w:cs="Arial"/>
                <w:color w:val="000000" w:themeColor="text1"/>
                <w:sz w:val="20"/>
              </w:rPr>
              <w:lastRenderedPageBreak/>
              <w:t>heart failure committee</w:t>
            </w:r>
          </w:p>
        </w:tc>
        <w:tc>
          <w:tcPr>
            <w:tcW w:w="279" w:type="pct"/>
          </w:tcPr>
          <w:p w14:paraId="5E7E5024" w14:textId="46F24E28" w:rsidR="00897293" w:rsidRPr="00CC6553" w:rsidRDefault="00897293" w:rsidP="00B234F1">
            <w:pPr>
              <w:rPr>
                <w:rFonts w:cs="Arial"/>
                <w:color w:val="000000" w:themeColor="text1"/>
                <w:sz w:val="20"/>
              </w:rPr>
            </w:pPr>
            <w:r w:rsidRPr="00CC6553">
              <w:rPr>
                <w:rFonts w:cs="Arial"/>
                <w:color w:val="000000" w:themeColor="text1"/>
                <w:sz w:val="20"/>
              </w:rPr>
              <w:lastRenderedPageBreak/>
              <w:t>Guideline</w:t>
            </w:r>
          </w:p>
        </w:tc>
        <w:tc>
          <w:tcPr>
            <w:tcW w:w="214" w:type="pct"/>
          </w:tcPr>
          <w:p w14:paraId="2ED56519" w14:textId="58AD2BD2" w:rsidR="00897293" w:rsidRPr="00CC6553" w:rsidRDefault="00897293" w:rsidP="00B234F1">
            <w:pPr>
              <w:rPr>
                <w:rFonts w:cs="Arial"/>
                <w:color w:val="000000" w:themeColor="text1"/>
                <w:sz w:val="20"/>
              </w:rPr>
            </w:pPr>
            <w:r w:rsidRPr="00CC6553">
              <w:rPr>
                <w:rFonts w:cs="Arial"/>
                <w:color w:val="000000" w:themeColor="text1"/>
                <w:sz w:val="20"/>
              </w:rPr>
              <w:t>022</w:t>
            </w:r>
          </w:p>
        </w:tc>
        <w:tc>
          <w:tcPr>
            <w:tcW w:w="214" w:type="pct"/>
          </w:tcPr>
          <w:p w14:paraId="4B9438C3" w14:textId="06770896" w:rsidR="00897293" w:rsidRPr="00CC6553" w:rsidRDefault="00897293" w:rsidP="00B234F1">
            <w:pPr>
              <w:rPr>
                <w:rFonts w:cs="Arial"/>
                <w:color w:val="000000" w:themeColor="text1"/>
                <w:sz w:val="20"/>
              </w:rPr>
            </w:pPr>
            <w:r w:rsidRPr="00CC6553">
              <w:rPr>
                <w:rFonts w:cs="Arial"/>
                <w:color w:val="000000" w:themeColor="text1"/>
                <w:sz w:val="20"/>
              </w:rPr>
              <w:t>008</w:t>
            </w:r>
          </w:p>
        </w:tc>
        <w:tc>
          <w:tcPr>
            <w:tcW w:w="1521" w:type="pct"/>
          </w:tcPr>
          <w:p w14:paraId="10527206" w14:textId="586C3BC8" w:rsidR="00897293" w:rsidRPr="00CC6553" w:rsidRDefault="00897293" w:rsidP="00B234F1">
            <w:pPr>
              <w:rPr>
                <w:rFonts w:cs="Arial"/>
                <w:color w:val="000000" w:themeColor="text1"/>
                <w:sz w:val="20"/>
              </w:rPr>
            </w:pPr>
            <w:r w:rsidRPr="00CC6553">
              <w:rPr>
                <w:rFonts w:cs="Arial"/>
                <w:color w:val="000000" w:themeColor="text1"/>
                <w:sz w:val="20"/>
              </w:rPr>
              <w:t>We support the recommendation</w:t>
            </w:r>
          </w:p>
        </w:tc>
        <w:tc>
          <w:tcPr>
            <w:tcW w:w="2122" w:type="pct"/>
          </w:tcPr>
          <w:p w14:paraId="45ED1A35" w14:textId="5A98DC8F"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w:t>
            </w:r>
          </w:p>
        </w:tc>
      </w:tr>
      <w:tr w:rsidR="00897293" w:rsidRPr="00CC6553" w14:paraId="670A89FF" w14:textId="77777777" w:rsidTr="00897293">
        <w:trPr>
          <w:trHeight w:val="300"/>
        </w:trPr>
        <w:tc>
          <w:tcPr>
            <w:tcW w:w="109" w:type="pct"/>
          </w:tcPr>
          <w:p w14:paraId="63C1F4DE" w14:textId="77777777" w:rsidR="00897293" w:rsidRPr="00CC6553" w:rsidRDefault="00897293" w:rsidP="00B234F1">
            <w:pPr>
              <w:rPr>
                <w:rFonts w:cs="Arial"/>
                <w:color w:val="000000" w:themeColor="text1"/>
                <w:sz w:val="20"/>
              </w:rPr>
            </w:pPr>
            <w:r w:rsidRPr="00CC6553">
              <w:rPr>
                <w:rFonts w:cs="Arial"/>
                <w:color w:val="000000" w:themeColor="text1"/>
                <w:sz w:val="20"/>
              </w:rPr>
              <w:t>280</w:t>
            </w:r>
          </w:p>
        </w:tc>
        <w:tc>
          <w:tcPr>
            <w:tcW w:w="143" w:type="pct"/>
          </w:tcPr>
          <w:p w14:paraId="22DBDAEB" w14:textId="19F3B490"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76A1CEB" w14:textId="3562C8B6" w:rsidR="00897293" w:rsidRPr="00CC6553" w:rsidRDefault="00897293" w:rsidP="00B234F1">
            <w:pPr>
              <w:rPr>
                <w:rFonts w:cs="Arial"/>
                <w:bCs/>
                <w:iCs/>
                <w:color w:val="000000" w:themeColor="text1"/>
                <w:sz w:val="20"/>
              </w:rPr>
            </w:pPr>
            <w:r w:rsidRPr="00CC6553">
              <w:rPr>
                <w:rFonts w:cs="Arial"/>
                <w:color w:val="000000" w:themeColor="text1"/>
                <w:sz w:val="20"/>
              </w:rPr>
              <w:t>Royal College of Nursing</w:t>
            </w:r>
          </w:p>
        </w:tc>
        <w:tc>
          <w:tcPr>
            <w:tcW w:w="279" w:type="pct"/>
          </w:tcPr>
          <w:p w14:paraId="6CE4625F" w14:textId="29BAC423"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109ED226" w14:textId="7D033A45" w:rsidR="00897293" w:rsidRPr="00CC6553" w:rsidRDefault="00897293" w:rsidP="00B234F1">
            <w:pPr>
              <w:rPr>
                <w:rFonts w:cs="Arial"/>
                <w:color w:val="000000" w:themeColor="text1"/>
                <w:sz w:val="20"/>
              </w:rPr>
            </w:pPr>
            <w:r w:rsidRPr="00CC6553">
              <w:rPr>
                <w:rFonts w:cs="Arial"/>
                <w:color w:val="000000" w:themeColor="text1"/>
                <w:sz w:val="20"/>
              </w:rPr>
              <w:t>022</w:t>
            </w:r>
          </w:p>
        </w:tc>
        <w:tc>
          <w:tcPr>
            <w:tcW w:w="214" w:type="pct"/>
          </w:tcPr>
          <w:p w14:paraId="37F0A431" w14:textId="7FDF54CF" w:rsidR="00897293" w:rsidRPr="00CC6553" w:rsidRDefault="00897293" w:rsidP="00B234F1">
            <w:pPr>
              <w:rPr>
                <w:rFonts w:cs="Arial"/>
                <w:color w:val="000000" w:themeColor="text1"/>
                <w:sz w:val="20"/>
              </w:rPr>
            </w:pPr>
            <w:r w:rsidRPr="00CC6553">
              <w:rPr>
                <w:rFonts w:cs="Arial"/>
                <w:color w:val="000000" w:themeColor="text1"/>
                <w:sz w:val="20"/>
              </w:rPr>
              <w:t>008</w:t>
            </w:r>
          </w:p>
        </w:tc>
        <w:tc>
          <w:tcPr>
            <w:tcW w:w="1521" w:type="pct"/>
          </w:tcPr>
          <w:p w14:paraId="25D7C1F8" w14:textId="35C59132" w:rsidR="00897293" w:rsidRPr="00CC6553" w:rsidRDefault="00897293" w:rsidP="00B234F1">
            <w:pPr>
              <w:rPr>
                <w:rFonts w:cs="Arial"/>
                <w:color w:val="000000" w:themeColor="text1"/>
                <w:sz w:val="20"/>
              </w:rPr>
            </w:pPr>
            <w:r w:rsidRPr="00CC6553">
              <w:rPr>
                <w:rFonts w:cs="Arial"/>
                <w:color w:val="000000" w:themeColor="text1"/>
                <w:sz w:val="20"/>
              </w:rPr>
              <w:t>In terms of cardiac rehabilitation:</w:t>
            </w:r>
            <w:r w:rsidRPr="00CC6553">
              <w:rPr>
                <w:rFonts w:cs="Arial"/>
                <w:color w:val="000000" w:themeColor="text1"/>
                <w:sz w:val="20"/>
              </w:rPr>
              <w:br/>
            </w:r>
            <w:r w:rsidRPr="00CC6553">
              <w:rPr>
                <w:rFonts w:cs="Arial"/>
                <w:color w:val="000000" w:themeColor="text1"/>
                <w:sz w:val="20"/>
              </w:rPr>
              <w:br/>
              <w:t>•  1.11.1 Offer people with heart failure a personalised, exercise-based cardiac rehabilitation programme. The programme should include a psychological and educational component.</w:t>
            </w:r>
          </w:p>
        </w:tc>
        <w:tc>
          <w:tcPr>
            <w:tcW w:w="2122" w:type="pct"/>
          </w:tcPr>
          <w:p w14:paraId="61391C96" w14:textId="06404F6D" w:rsidR="00897293" w:rsidRPr="00CC6553" w:rsidRDefault="00897293" w:rsidP="009B3C47">
            <w:pPr>
              <w:rPr>
                <w:rFonts w:cs="Arial"/>
                <w:b/>
                <w:color w:val="000000" w:themeColor="text1"/>
                <w:sz w:val="20"/>
              </w:rPr>
            </w:pPr>
            <w:r w:rsidRPr="00CC6553">
              <w:rPr>
                <w:rFonts w:cs="Arial"/>
                <w:color w:val="000000" w:themeColor="text1"/>
                <w:sz w:val="20"/>
              </w:rPr>
              <w:t>Thank you for your comment.  The scope of this update was the pharmacological management of chronic heart failure https://www.nice.org.uk/guidance/gid-ng10405/documents/final-scope and the committee is therefore only able to make editorial changes or minimal changes for consistency or clarification</w:t>
            </w:r>
            <w:r w:rsidRPr="009B3C47">
              <w:rPr>
                <w:rFonts w:cs="Arial"/>
                <w:color w:val="000000" w:themeColor="text1"/>
                <w:sz w:val="20"/>
              </w:rPr>
              <w:t xml:space="preserve"> </w:t>
            </w:r>
            <w:r w:rsidRPr="00CC6553">
              <w:rPr>
                <w:rFonts w:cs="Arial"/>
                <w:color w:val="000000" w:themeColor="text1"/>
                <w:sz w:val="20"/>
              </w:rPr>
              <w:t>to recommendations on areas outside of this</w:t>
            </w:r>
            <w:r w:rsidRPr="009B3C47">
              <w:rPr>
                <w:rFonts w:cs="Arial"/>
                <w:color w:val="000000" w:themeColor="text1"/>
                <w:sz w:val="20"/>
              </w:rPr>
              <w:t>.</w:t>
            </w:r>
          </w:p>
        </w:tc>
      </w:tr>
      <w:tr w:rsidR="00897293" w:rsidRPr="00CC6553" w14:paraId="4EEDE9FC" w14:textId="77777777" w:rsidTr="00897293">
        <w:trPr>
          <w:trHeight w:val="300"/>
        </w:trPr>
        <w:tc>
          <w:tcPr>
            <w:tcW w:w="109" w:type="pct"/>
          </w:tcPr>
          <w:p w14:paraId="1A5CDDDF" w14:textId="77777777" w:rsidR="00897293" w:rsidRPr="00CC6553" w:rsidRDefault="00897293" w:rsidP="00B234F1">
            <w:pPr>
              <w:rPr>
                <w:rFonts w:cs="Arial"/>
                <w:color w:val="000000" w:themeColor="text1"/>
                <w:sz w:val="20"/>
              </w:rPr>
            </w:pPr>
            <w:r w:rsidRPr="00CC6553">
              <w:rPr>
                <w:rFonts w:cs="Arial"/>
                <w:color w:val="000000" w:themeColor="text1"/>
                <w:sz w:val="20"/>
              </w:rPr>
              <w:t>281</w:t>
            </w:r>
          </w:p>
        </w:tc>
        <w:tc>
          <w:tcPr>
            <w:tcW w:w="143" w:type="pct"/>
          </w:tcPr>
          <w:p w14:paraId="77B86C81" w14:textId="775FF8B6"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79278F6A" w14:textId="37D55E3F" w:rsidR="00897293" w:rsidRPr="00CC6553" w:rsidRDefault="00897293" w:rsidP="00B234F1">
            <w:pPr>
              <w:rPr>
                <w:rFonts w:cs="Arial"/>
                <w:bCs/>
                <w:iCs/>
                <w:color w:val="000000" w:themeColor="text1"/>
                <w:sz w:val="20"/>
              </w:rPr>
            </w:pPr>
            <w:r w:rsidRPr="00CC6553">
              <w:rPr>
                <w:rFonts w:cs="Arial"/>
                <w:color w:val="000000" w:themeColor="text1"/>
                <w:sz w:val="20"/>
              </w:rPr>
              <w:t>British Association for Nutrition and Lifestyle Medicine (BANT)    -   registered as stakeholder under previous name  British Association for Applied Nutrition and Nutritional Therapy</w:t>
            </w:r>
          </w:p>
        </w:tc>
        <w:tc>
          <w:tcPr>
            <w:tcW w:w="279" w:type="pct"/>
          </w:tcPr>
          <w:p w14:paraId="7DB5CDC4" w14:textId="0F8D61BE"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42A3C693" w14:textId="3DEB7B1C" w:rsidR="00897293" w:rsidRPr="00CC6553" w:rsidRDefault="00897293" w:rsidP="00B234F1">
            <w:pPr>
              <w:rPr>
                <w:rFonts w:cs="Arial"/>
                <w:color w:val="000000" w:themeColor="text1"/>
                <w:sz w:val="20"/>
              </w:rPr>
            </w:pPr>
            <w:r w:rsidRPr="00CC6553">
              <w:rPr>
                <w:rFonts w:cs="Arial"/>
                <w:color w:val="000000" w:themeColor="text1"/>
                <w:sz w:val="20"/>
              </w:rPr>
              <w:t>022</w:t>
            </w:r>
          </w:p>
        </w:tc>
        <w:tc>
          <w:tcPr>
            <w:tcW w:w="214" w:type="pct"/>
          </w:tcPr>
          <w:p w14:paraId="2005BE4F" w14:textId="0DDEA6C9" w:rsidR="00897293" w:rsidRPr="00CC6553" w:rsidRDefault="00897293" w:rsidP="00B234F1">
            <w:pPr>
              <w:rPr>
                <w:rFonts w:cs="Arial"/>
                <w:color w:val="000000" w:themeColor="text1"/>
                <w:sz w:val="20"/>
              </w:rPr>
            </w:pPr>
            <w:r w:rsidRPr="00CC6553">
              <w:rPr>
                <w:rFonts w:cs="Arial"/>
                <w:color w:val="000000" w:themeColor="text1"/>
                <w:sz w:val="20"/>
              </w:rPr>
              <w:t>019</w:t>
            </w:r>
          </w:p>
        </w:tc>
        <w:tc>
          <w:tcPr>
            <w:tcW w:w="1521" w:type="pct"/>
          </w:tcPr>
          <w:p w14:paraId="1762AC6D" w14:textId="31B116AE" w:rsidR="00897293" w:rsidRPr="00CC6553" w:rsidRDefault="00897293" w:rsidP="00B234F1">
            <w:pPr>
              <w:rPr>
                <w:rFonts w:cs="Arial"/>
                <w:color w:val="000000" w:themeColor="text1"/>
                <w:sz w:val="20"/>
              </w:rPr>
            </w:pPr>
            <w:r w:rsidRPr="00CC6553">
              <w:rPr>
                <w:rFonts w:cs="Arial"/>
                <w:color w:val="000000" w:themeColor="text1"/>
                <w:sz w:val="20"/>
              </w:rPr>
              <w:t xml:space="preserve">Insert new:  </w:t>
            </w:r>
            <w:r w:rsidRPr="00CC6553">
              <w:rPr>
                <w:rFonts w:cs="Arial"/>
                <w:color w:val="000000" w:themeColor="text1"/>
                <w:sz w:val="20"/>
              </w:rPr>
              <w:br/>
            </w:r>
            <w:r w:rsidRPr="00CC6553">
              <w:rPr>
                <w:rFonts w:cs="Arial"/>
                <w:color w:val="000000" w:themeColor="text1"/>
                <w:sz w:val="20"/>
              </w:rPr>
              <w:br/>
              <w:t>See NICE’s Non-alcoholic fatty liver disease (NAFLD): assessment and management (NG49)  [shortly to be updated by new NICE guidance on Metabolic Dysfunction-Associated Steatotic Liver Disease (MASLD) – in development]   for nutrition and lifestyle guidance</w:t>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t>Refs:</w:t>
            </w:r>
            <w:r w:rsidRPr="00CC6553">
              <w:rPr>
                <w:rFonts w:cs="Arial"/>
                <w:color w:val="000000" w:themeColor="text1"/>
                <w:sz w:val="20"/>
              </w:rPr>
              <w:br/>
            </w:r>
            <w:r w:rsidRPr="00CC6553">
              <w:rPr>
                <w:rFonts w:cs="Arial"/>
                <w:color w:val="000000" w:themeColor="text1"/>
                <w:sz w:val="20"/>
              </w:rPr>
              <w:br/>
              <w:t>Wegermann K, Chouairi F, Karachaliou GS, Ahlers C, Au S, Miller K, Biering-Sørensen T, Abdelmalek MF, Diehl AM, Moylan CA, Fudim M. Incident heart failure is common and underrecognized in patients with biopsy-proven metabolic dysfunction-associated steatotic liver disease. Eur J Heart Fail. 2025 May 19. doi: 10.1002/ejhf.3697. Epub ahead of print. PMID: 40389356.</w:t>
            </w:r>
            <w:r w:rsidRPr="00CC6553">
              <w:rPr>
                <w:rFonts w:cs="Arial"/>
                <w:color w:val="000000" w:themeColor="text1"/>
                <w:sz w:val="20"/>
              </w:rPr>
              <w:br/>
            </w:r>
            <w:r w:rsidRPr="00CC6553">
              <w:rPr>
                <w:rFonts w:cs="Arial"/>
                <w:color w:val="000000" w:themeColor="text1"/>
                <w:sz w:val="20"/>
              </w:rPr>
              <w:br/>
              <w:t xml:space="preserve">Møller S, Kimer N, Hove JD, Barløse M, Gluud LL. Cardiovascular disease and metabolic dysfunction-associated steatotic liver disease: pathophysiology and diagnostic aspects. Eur J Prev Cardiol. 2025 Mar 3:zwae306. doi: </w:t>
            </w:r>
            <w:r w:rsidRPr="00CC6553">
              <w:rPr>
                <w:rFonts w:cs="Arial"/>
                <w:color w:val="000000" w:themeColor="text1"/>
                <w:sz w:val="20"/>
              </w:rPr>
              <w:lastRenderedPageBreak/>
              <w:t>10.1093/eurjpc/zwae306. Epub ahead of print. PMID: 40037299.</w:t>
            </w:r>
            <w:r w:rsidRPr="00CC6553">
              <w:rPr>
                <w:rFonts w:cs="Arial"/>
                <w:color w:val="000000" w:themeColor="text1"/>
                <w:sz w:val="20"/>
              </w:rPr>
              <w:br/>
            </w:r>
            <w:r w:rsidRPr="00CC6553">
              <w:rPr>
                <w:rFonts w:cs="Arial"/>
                <w:color w:val="000000" w:themeColor="text1"/>
                <w:sz w:val="20"/>
              </w:rPr>
              <w:br/>
              <w:t>Cheung J, Cheung BM, Yiu KH, Tse HF, Chan YH. Role of metabolic dysfunction-associated fatty liver disease in atrial fibrillation and heart failure: molecular and clinical aspects. Front Cardiovasc Med. 2025 Apr 8;12:1573841. doi: 10.3389/fcvm.2025.1573841. PMID: 40264510; PMCID: PMC12011764.</w:t>
            </w:r>
          </w:p>
        </w:tc>
        <w:tc>
          <w:tcPr>
            <w:tcW w:w="2122" w:type="pct"/>
          </w:tcPr>
          <w:p w14:paraId="598C8EF3" w14:textId="77777777" w:rsidR="00897293" w:rsidRPr="00A5768B" w:rsidRDefault="00897293" w:rsidP="00B234F1">
            <w:pPr>
              <w:tabs>
                <w:tab w:val="left" w:pos="2700"/>
              </w:tabs>
              <w:rPr>
                <w:color w:val="000000" w:themeColor="text1"/>
                <w:sz w:val="20"/>
              </w:rPr>
            </w:pPr>
            <w:r w:rsidRPr="009B3C47">
              <w:rPr>
                <w:color w:val="000000" w:themeColor="text1"/>
                <w:sz w:val="20"/>
              </w:rPr>
              <w:lastRenderedPageBreak/>
              <w:t>Thank you for your comment.  Section 1.11 is on cardiac rehabilitation and we have therefore not cross referred to this guidance here.</w:t>
            </w:r>
          </w:p>
        </w:tc>
      </w:tr>
      <w:tr w:rsidR="00897293" w:rsidRPr="00CC6553" w14:paraId="47064BBD" w14:textId="77777777" w:rsidTr="00897293">
        <w:trPr>
          <w:trHeight w:val="300"/>
        </w:trPr>
        <w:tc>
          <w:tcPr>
            <w:tcW w:w="109" w:type="pct"/>
          </w:tcPr>
          <w:p w14:paraId="183650ED" w14:textId="77777777" w:rsidR="00897293" w:rsidRPr="00CC6553" w:rsidRDefault="00897293" w:rsidP="00B234F1">
            <w:pPr>
              <w:rPr>
                <w:rFonts w:cs="Arial"/>
                <w:color w:val="000000" w:themeColor="text1"/>
                <w:sz w:val="20"/>
              </w:rPr>
            </w:pPr>
            <w:r w:rsidRPr="00CC6553">
              <w:rPr>
                <w:rFonts w:cs="Arial"/>
                <w:color w:val="000000" w:themeColor="text1"/>
                <w:sz w:val="20"/>
              </w:rPr>
              <w:t>282</w:t>
            </w:r>
          </w:p>
        </w:tc>
        <w:tc>
          <w:tcPr>
            <w:tcW w:w="143" w:type="pct"/>
          </w:tcPr>
          <w:p w14:paraId="76CB488B" w14:textId="71BFEABF"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FAB0264" w14:textId="6A9DA3E9" w:rsidR="00897293" w:rsidRPr="00CC6553" w:rsidRDefault="00897293" w:rsidP="00B234F1">
            <w:pPr>
              <w:rPr>
                <w:rFonts w:cs="Arial"/>
                <w:bCs/>
                <w:iCs/>
                <w:color w:val="000000" w:themeColor="text1"/>
                <w:sz w:val="20"/>
              </w:rPr>
            </w:pPr>
            <w:r w:rsidRPr="00CC6553">
              <w:rPr>
                <w:rFonts w:cs="Arial"/>
                <w:color w:val="000000" w:themeColor="text1"/>
                <w:sz w:val="20"/>
              </w:rPr>
              <w:t>Royal College of General Practitioners</w:t>
            </w:r>
          </w:p>
        </w:tc>
        <w:tc>
          <w:tcPr>
            <w:tcW w:w="279" w:type="pct"/>
          </w:tcPr>
          <w:p w14:paraId="0E87A6F3" w14:textId="3CA60BAB"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051C6C0F" w14:textId="491A79C9" w:rsidR="00897293" w:rsidRPr="00CC6553" w:rsidRDefault="00897293" w:rsidP="00B234F1">
            <w:pPr>
              <w:rPr>
                <w:rFonts w:cs="Arial"/>
                <w:color w:val="000000" w:themeColor="text1"/>
                <w:sz w:val="20"/>
              </w:rPr>
            </w:pPr>
            <w:r w:rsidRPr="00CC6553">
              <w:rPr>
                <w:rFonts w:cs="Arial"/>
                <w:color w:val="000000" w:themeColor="text1"/>
                <w:sz w:val="20"/>
              </w:rPr>
              <w:t>022</w:t>
            </w:r>
          </w:p>
        </w:tc>
        <w:tc>
          <w:tcPr>
            <w:tcW w:w="214" w:type="pct"/>
          </w:tcPr>
          <w:p w14:paraId="2E6A1C45" w14:textId="17BEE59F"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37CB4BF9" w14:textId="117BB0D3" w:rsidR="00897293" w:rsidRPr="00CC6553" w:rsidRDefault="00897293" w:rsidP="00B234F1">
            <w:pPr>
              <w:rPr>
                <w:rFonts w:cs="Arial"/>
                <w:color w:val="000000" w:themeColor="text1"/>
                <w:sz w:val="20"/>
              </w:rPr>
            </w:pPr>
            <w:r w:rsidRPr="00CC6553">
              <w:rPr>
                <w:rFonts w:cs="Arial"/>
                <w:color w:val="000000" w:themeColor="text1"/>
                <w:sz w:val="20"/>
              </w:rPr>
              <w:t>We recommend highlighting the importance of tailored cardiac rehabilitation access for people in rural areas or with limited mobility, possibly via home-based or virtual rehabilitation programmes.</w:t>
            </w:r>
          </w:p>
        </w:tc>
        <w:tc>
          <w:tcPr>
            <w:tcW w:w="2122" w:type="pct"/>
          </w:tcPr>
          <w:p w14:paraId="0D2E5F2F" w14:textId="16FCFD4A"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scope of this update was the pharmacological management of chronic heart failure https://www.nice.org.uk/guidance/gid-ng10405/documents/final-scope and the committee is therefore only able to make editorial changes or minimal changes for consistency or clarification to recommendations on areas outside of this.</w:t>
            </w:r>
          </w:p>
        </w:tc>
      </w:tr>
      <w:tr w:rsidR="00897293" w:rsidRPr="00CC6553" w14:paraId="78E7D61B" w14:textId="77777777" w:rsidTr="00897293">
        <w:trPr>
          <w:trHeight w:val="300"/>
        </w:trPr>
        <w:tc>
          <w:tcPr>
            <w:tcW w:w="109" w:type="pct"/>
          </w:tcPr>
          <w:p w14:paraId="57947E4E" w14:textId="77777777" w:rsidR="00897293" w:rsidRPr="00CC6553" w:rsidRDefault="00897293" w:rsidP="00B234F1">
            <w:pPr>
              <w:rPr>
                <w:rFonts w:cs="Arial"/>
                <w:color w:val="000000" w:themeColor="text1"/>
                <w:sz w:val="20"/>
              </w:rPr>
            </w:pPr>
            <w:r w:rsidRPr="00CC6553">
              <w:rPr>
                <w:rFonts w:cs="Arial"/>
                <w:color w:val="000000" w:themeColor="text1"/>
                <w:sz w:val="20"/>
              </w:rPr>
              <w:t>283</w:t>
            </w:r>
          </w:p>
        </w:tc>
        <w:tc>
          <w:tcPr>
            <w:tcW w:w="143" w:type="pct"/>
          </w:tcPr>
          <w:p w14:paraId="76BE5EB5" w14:textId="513B3AA2"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004446EF" w14:textId="68454A97"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5661F7FE" w14:textId="454B78B8"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0773BBD2" w14:textId="7B62F9F7" w:rsidR="00897293" w:rsidRPr="00CC6553" w:rsidRDefault="00897293" w:rsidP="00B234F1">
            <w:pPr>
              <w:rPr>
                <w:rFonts w:cs="Arial"/>
                <w:color w:val="000000" w:themeColor="text1"/>
                <w:sz w:val="20"/>
              </w:rPr>
            </w:pPr>
            <w:r w:rsidRPr="00CC6553">
              <w:rPr>
                <w:rFonts w:cs="Arial"/>
                <w:color w:val="000000" w:themeColor="text1"/>
                <w:sz w:val="20"/>
              </w:rPr>
              <w:t>023</w:t>
            </w:r>
          </w:p>
        </w:tc>
        <w:tc>
          <w:tcPr>
            <w:tcW w:w="214" w:type="pct"/>
          </w:tcPr>
          <w:p w14:paraId="7DF92267" w14:textId="1F1C71BE" w:rsidR="00897293" w:rsidRPr="00CC6553" w:rsidRDefault="00897293" w:rsidP="00B234F1">
            <w:pPr>
              <w:rPr>
                <w:rFonts w:cs="Arial"/>
                <w:color w:val="000000" w:themeColor="text1"/>
                <w:sz w:val="20"/>
              </w:rPr>
            </w:pPr>
            <w:r w:rsidRPr="00CC6553">
              <w:rPr>
                <w:rFonts w:cs="Arial"/>
                <w:color w:val="000000" w:themeColor="text1"/>
                <w:sz w:val="20"/>
              </w:rPr>
              <w:t>011</w:t>
            </w:r>
          </w:p>
        </w:tc>
        <w:tc>
          <w:tcPr>
            <w:tcW w:w="1521" w:type="pct"/>
          </w:tcPr>
          <w:p w14:paraId="59A9D5AF" w14:textId="214446FD" w:rsidR="00897293" w:rsidRPr="00CC6553" w:rsidRDefault="00897293" w:rsidP="00B234F1">
            <w:pPr>
              <w:rPr>
                <w:rFonts w:cs="Arial"/>
                <w:color w:val="000000" w:themeColor="text1"/>
                <w:sz w:val="20"/>
              </w:rPr>
            </w:pPr>
            <w:r w:rsidRPr="00CC6553">
              <w:rPr>
                <w:rFonts w:cs="Arial"/>
                <w:color w:val="000000" w:themeColor="text1"/>
                <w:sz w:val="20"/>
              </w:rPr>
              <w:t>It could be argued that not everyone diagnosed with heart failure are symptomatic. Patients may have worse EF and high mortality risk, however NYHA I</w:t>
            </w:r>
          </w:p>
        </w:tc>
        <w:tc>
          <w:tcPr>
            <w:tcW w:w="2122" w:type="pct"/>
          </w:tcPr>
          <w:p w14:paraId="6377759C" w14:textId="32D4AE3A"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Thank you for your comment.  The guideline adapts the Universal definition of heart failure </w:t>
            </w:r>
            <w:hyperlink r:id="rId44" w:history="1">
              <w:r w:rsidRPr="00CC6553">
                <w:rPr>
                  <w:rStyle w:val="Hyperlink"/>
                  <w:rFonts w:cs="Arial"/>
                  <w:b w:val="0"/>
                  <w:color w:val="000000" w:themeColor="text1"/>
                  <w:sz w:val="20"/>
                </w:rPr>
                <w:t>https://pubmed.ncbi.nlm.nih.gov/33605000/</w:t>
              </w:r>
            </w:hyperlink>
            <w:r w:rsidRPr="00CC6553">
              <w:rPr>
                <w:rFonts w:cs="Arial"/>
                <w:b w:val="0"/>
                <w:color w:val="000000" w:themeColor="text1"/>
                <w:sz w:val="20"/>
              </w:rPr>
              <w:t xml:space="preserve"> which restricts the definition of the syndrome of HF to being a symptomatic clinical condition</w:t>
            </w:r>
          </w:p>
        </w:tc>
      </w:tr>
      <w:tr w:rsidR="00897293" w:rsidRPr="00CC6553" w14:paraId="64B02CB2" w14:textId="77777777" w:rsidTr="00897293">
        <w:trPr>
          <w:trHeight w:val="300"/>
        </w:trPr>
        <w:tc>
          <w:tcPr>
            <w:tcW w:w="109" w:type="pct"/>
          </w:tcPr>
          <w:p w14:paraId="710DD459" w14:textId="77777777" w:rsidR="00897293" w:rsidRPr="00CC6553" w:rsidRDefault="00897293" w:rsidP="00B234F1">
            <w:pPr>
              <w:rPr>
                <w:rFonts w:cs="Arial"/>
                <w:color w:val="000000" w:themeColor="text1"/>
                <w:sz w:val="20"/>
              </w:rPr>
            </w:pPr>
            <w:r w:rsidRPr="00CC6553">
              <w:rPr>
                <w:rFonts w:cs="Arial"/>
                <w:color w:val="000000" w:themeColor="text1"/>
                <w:sz w:val="20"/>
              </w:rPr>
              <w:t>284</w:t>
            </w:r>
          </w:p>
        </w:tc>
        <w:tc>
          <w:tcPr>
            <w:tcW w:w="143" w:type="pct"/>
          </w:tcPr>
          <w:p w14:paraId="3A9854FE" w14:textId="53641DE4"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01015517" w14:textId="42DBA6B1"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2B2A0B67" w14:textId="7F96BF98"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0704432B" w14:textId="55412E9E" w:rsidR="00897293" w:rsidRPr="00CC6553" w:rsidRDefault="00897293" w:rsidP="00B234F1">
            <w:pPr>
              <w:rPr>
                <w:rFonts w:cs="Arial"/>
                <w:color w:val="000000" w:themeColor="text1"/>
                <w:sz w:val="20"/>
              </w:rPr>
            </w:pPr>
            <w:r w:rsidRPr="00CC6553">
              <w:rPr>
                <w:rFonts w:cs="Arial"/>
                <w:color w:val="000000" w:themeColor="text1"/>
                <w:sz w:val="20"/>
              </w:rPr>
              <w:t>026</w:t>
            </w:r>
          </w:p>
        </w:tc>
        <w:tc>
          <w:tcPr>
            <w:tcW w:w="214" w:type="pct"/>
          </w:tcPr>
          <w:p w14:paraId="499171F2" w14:textId="40A63BBD" w:rsidR="00897293" w:rsidRPr="00CC6553" w:rsidRDefault="00897293" w:rsidP="00B234F1">
            <w:pPr>
              <w:rPr>
                <w:rFonts w:cs="Arial"/>
                <w:color w:val="000000" w:themeColor="text1"/>
                <w:sz w:val="20"/>
              </w:rPr>
            </w:pPr>
            <w:r w:rsidRPr="00CC6553">
              <w:rPr>
                <w:rFonts w:cs="Arial"/>
                <w:color w:val="000000" w:themeColor="text1"/>
                <w:sz w:val="20"/>
              </w:rPr>
              <w:t>011 - 012</w:t>
            </w:r>
          </w:p>
        </w:tc>
        <w:tc>
          <w:tcPr>
            <w:tcW w:w="1521" w:type="pct"/>
          </w:tcPr>
          <w:p w14:paraId="6BCD1E46" w14:textId="444EA16B" w:rsidR="00897293" w:rsidRPr="00CC6553" w:rsidRDefault="00897293" w:rsidP="00B234F1">
            <w:pPr>
              <w:rPr>
                <w:rFonts w:cs="Arial"/>
                <w:color w:val="000000" w:themeColor="text1"/>
                <w:sz w:val="20"/>
              </w:rPr>
            </w:pPr>
            <w:r w:rsidRPr="00CC6553">
              <w:rPr>
                <w:rFonts w:cs="Arial"/>
                <w:color w:val="000000" w:themeColor="text1"/>
                <w:sz w:val="20"/>
              </w:rPr>
              <w:t>I understand the position of NICE re: cost effectiveness, but given that Entresto will be coming off patent in the next 12 months or so – can consideration be given to inclusion in the 4 pillars as described above?</w:t>
            </w:r>
          </w:p>
        </w:tc>
        <w:tc>
          <w:tcPr>
            <w:tcW w:w="2122" w:type="pct"/>
          </w:tcPr>
          <w:p w14:paraId="370F655B" w14:textId="50A5EC81"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Thank you for your comment. </w:t>
            </w:r>
            <w:r w:rsidRPr="00CC6553">
              <w:rPr>
                <w:rFonts w:cs="Arial"/>
                <w:b w:val="0"/>
                <w:color w:val="000000" w:themeColor="text1"/>
                <w:sz w:val="20"/>
              </w:rPr>
              <w:br/>
              <w:t xml:space="preserve">Although the initial patent has recently ended, secondary patents are still in place until 2036. Hence, it is uncertain when generic versions of ARNI will enter the market and what their price will be. It is anticipated that, when this occurs, </w:t>
            </w:r>
            <w:r w:rsidRPr="00CC6553">
              <w:rPr>
                <w:rFonts w:cs="Arial"/>
                <w:b w:val="0"/>
                <w:color w:val="000000" w:themeColor="text1"/>
                <w:sz w:val="20"/>
              </w:rPr>
              <w:lastRenderedPageBreak/>
              <w:t xml:space="preserve">the guideline model will be re-run with the new prices and the recommendations will be updated. </w:t>
            </w:r>
          </w:p>
        </w:tc>
      </w:tr>
      <w:tr w:rsidR="00897293" w:rsidRPr="00CC6553" w14:paraId="510A8660" w14:textId="77777777" w:rsidTr="00897293">
        <w:trPr>
          <w:trHeight w:val="300"/>
        </w:trPr>
        <w:tc>
          <w:tcPr>
            <w:tcW w:w="109" w:type="pct"/>
          </w:tcPr>
          <w:p w14:paraId="55AFA44B"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285</w:t>
            </w:r>
          </w:p>
        </w:tc>
        <w:tc>
          <w:tcPr>
            <w:tcW w:w="143" w:type="pct"/>
          </w:tcPr>
          <w:p w14:paraId="4E3EC635" w14:textId="179364F5"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5946CDD9" w14:textId="0C94D1BD" w:rsidR="00897293" w:rsidRPr="00CC6553" w:rsidRDefault="00897293" w:rsidP="00B234F1">
            <w:pPr>
              <w:rPr>
                <w:rFonts w:cs="Arial"/>
                <w:bCs/>
                <w:iCs/>
                <w:color w:val="000000" w:themeColor="text1"/>
                <w:sz w:val="20"/>
              </w:rPr>
            </w:pPr>
            <w:r w:rsidRPr="00CC6553">
              <w:rPr>
                <w:rFonts w:cs="Arial"/>
                <w:color w:val="000000" w:themeColor="text1"/>
                <w:sz w:val="20"/>
              </w:rPr>
              <w:t>Pharmacosmos UK Ltd</w:t>
            </w:r>
          </w:p>
        </w:tc>
        <w:tc>
          <w:tcPr>
            <w:tcW w:w="279" w:type="pct"/>
          </w:tcPr>
          <w:p w14:paraId="0C53DB92" w14:textId="443F051E"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081B2C6F" w14:textId="40B43859" w:rsidR="00897293" w:rsidRPr="00CC6553" w:rsidRDefault="00897293" w:rsidP="00B234F1">
            <w:pPr>
              <w:rPr>
                <w:rFonts w:cs="Arial"/>
                <w:color w:val="000000" w:themeColor="text1"/>
                <w:sz w:val="20"/>
              </w:rPr>
            </w:pPr>
            <w:r w:rsidRPr="00CC6553">
              <w:rPr>
                <w:rFonts w:cs="Arial"/>
                <w:color w:val="000000" w:themeColor="text1"/>
                <w:sz w:val="20"/>
              </w:rPr>
              <w:t>027</w:t>
            </w:r>
          </w:p>
        </w:tc>
        <w:tc>
          <w:tcPr>
            <w:tcW w:w="214" w:type="pct"/>
          </w:tcPr>
          <w:p w14:paraId="1584613D" w14:textId="5CE2901D" w:rsidR="00897293" w:rsidRPr="00CC6553" w:rsidRDefault="00897293" w:rsidP="00B234F1">
            <w:pPr>
              <w:rPr>
                <w:rFonts w:cs="Arial"/>
                <w:color w:val="000000" w:themeColor="text1"/>
                <w:sz w:val="20"/>
              </w:rPr>
            </w:pPr>
            <w:r w:rsidRPr="00CC6553">
              <w:rPr>
                <w:rFonts w:cs="Arial"/>
                <w:color w:val="000000" w:themeColor="text1"/>
                <w:sz w:val="20"/>
              </w:rPr>
              <w:t>004 - 005</w:t>
            </w:r>
          </w:p>
        </w:tc>
        <w:tc>
          <w:tcPr>
            <w:tcW w:w="1521" w:type="pct"/>
          </w:tcPr>
          <w:p w14:paraId="12931C82" w14:textId="4B3E434B" w:rsidR="00897293" w:rsidRPr="00CC6553" w:rsidRDefault="00897293" w:rsidP="00B234F1">
            <w:pPr>
              <w:rPr>
                <w:rFonts w:cs="Arial"/>
                <w:color w:val="000000" w:themeColor="text1"/>
                <w:sz w:val="20"/>
              </w:rPr>
            </w:pPr>
            <w:r w:rsidRPr="00CC6553">
              <w:rPr>
                <w:rFonts w:cs="Arial"/>
                <w:color w:val="000000" w:themeColor="text1"/>
                <w:sz w:val="20"/>
              </w:rPr>
              <w:t>We believe there is sufficient evidence published to assess the safety endpoints of IV iron.</w:t>
            </w:r>
            <w:r w:rsidRPr="00CC6553">
              <w:rPr>
                <w:rFonts w:cs="Arial"/>
                <w:color w:val="000000" w:themeColor="text1"/>
                <w:sz w:val="20"/>
              </w:rPr>
              <w:br/>
              <w:t>A recent meta-analysis (Anker et al. 2025) including 7,175 patients identified no safety concerns with infections or other serious adverse events, for which rates were similar in the control and IV iron groups. Those randomized to IV iron or a control group had a similar incidence of infection (odds ratio (OR) = 1.02 (95% CI = 0.66–1.59)) and serious adverse events (OR = 0.91 (95% CI = 0.70–1.15)).The IRONMAN (Kalra et al 2022) trial showed trends toward fewer infection-related events with IV ferric derisomaltose (Monofer) (a pre-specified endpoint), and no differences were identified in serious adverse events between the Monofer group and the usual care group. There was one notable interesting observation in the reduction of cardiac serious adverse events in the Monofer group. [Monofer 200 (36%) Usual care 243 (43%) Difference (95% CI) -7.00 (-12.69 to -1.32) p value: 0.016] Table S5 in the supplementary table of the IRONMAN publication gives a full breakdown of all adverse events</w:t>
            </w:r>
          </w:p>
        </w:tc>
        <w:tc>
          <w:tcPr>
            <w:tcW w:w="2122" w:type="pct"/>
          </w:tcPr>
          <w:p w14:paraId="30B9554F" w14:textId="0B592C05"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statement that there was limited reporting of adverse events has been deleted.</w:t>
            </w:r>
          </w:p>
        </w:tc>
      </w:tr>
      <w:tr w:rsidR="00897293" w:rsidRPr="00CC6553" w14:paraId="4A31525F" w14:textId="77777777" w:rsidTr="00897293">
        <w:trPr>
          <w:trHeight w:val="300"/>
        </w:trPr>
        <w:tc>
          <w:tcPr>
            <w:tcW w:w="109" w:type="pct"/>
          </w:tcPr>
          <w:p w14:paraId="1BD1E014" w14:textId="77777777" w:rsidR="00897293" w:rsidRPr="00CC6553" w:rsidRDefault="00897293" w:rsidP="00B234F1">
            <w:pPr>
              <w:rPr>
                <w:rFonts w:cs="Arial"/>
                <w:color w:val="000000" w:themeColor="text1"/>
                <w:sz w:val="20"/>
              </w:rPr>
            </w:pPr>
            <w:r w:rsidRPr="00CC6553">
              <w:rPr>
                <w:rFonts w:cs="Arial"/>
                <w:color w:val="000000" w:themeColor="text1"/>
                <w:sz w:val="20"/>
              </w:rPr>
              <w:t>286</w:t>
            </w:r>
          </w:p>
        </w:tc>
        <w:tc>
          <w:tcPr>
            <w:tcW w:w="143" w:type="pct"/>
          </w:tcPr>
          <w:p w14:paraId="5D8E1284" w14:textId="2035CBD5"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2E693516" w14:textId="4AD97A07" w:rsidR="00897293" w:rsidRPr="00CC6553" w:rsidRDefault="00897293" w:rsidP="00B234F1">
            <w:pPr>
              <w:rPr>
                <w:rFonts w:cs="Arial"/>
                <w:bCs/>
                <w:iCs/>
                <w:color w:val="000000" w:themeColor="text1"/>
                <w:sz w:val="20"/>
              </w:rPr>
            </w:pPr>
            <w:r w:rsidRPr="00CC6553">
              <w:rPr>
                <w:rFonts w:cs="Arial"/>
                <w:color w:val="000000" w:themeColor="text1"/>
                <w:sz w:val="20"/>
              </w:rPr>
              <w:t>Pharmacosmos UK Ltd</w:t>
            </w:r>
          </w:p>
        </w:tc>
        <w:tc>
          <w:tcPr>
            <w:tcW w:w="279" w:type="pct"/>
          </w:tcPr>
          <w:p w14:paraId="15264C62" w14:textId="142B3B9B"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794D18B3" w14:textId="599A73B6" w:rsidR="00897293" w:rsidRPr="00CC6553" w:rsidRDefault="00897293" w:rsidP="00B234F1">
            <w:pPr>
              <w:rPr>
                <w:rFonts w:cs="Arial"/>
                <w:color w:val="000000" w:themeColor="text1"/>
                <w:sz w:val="20"/>
              </w:rPr>
            </w:pPr>
            <w:r w:rsidRPr="00CC6553">
              <w:rPr>
                <w:rFonts w:cs="Arial"/>
                <w:color w:val="000000" w:themeColor="text1"/>
                <w:sz w:val="20"/>
              </w:rPr>
              <w:t>027</w:t>
            </w:r>
          </w:p>
        </w:tc>
        <w:tc>
          <w:tcPr>
            <w:tcW w:w="214" w:type="pct"/>
          </w:tcPr>
          <w:p w14:paraId="1DB987B6" w14:textId="1555F51F" w:rsidR="00897293" w:rsidRPr="00CC6553" w:rsidRDefault="00897293" w:rsidP="00B234F1">
            <w:pPr>
              <w:rPr>
                <w:rFonts w:cs="Arial"/>
                <w:color w:val="000000" w:themeColor="text1"/>
                <w:sz w:val="20"/>
              </w:rPr>
            </w:pPr>
            <w:r w:rsidRPr="00CC6553">
              <w:rPr>
                <w:rFonts w:cs="Arial"/>
                <w:color w:val="000000" w:themeColor="text1"/>
                <w:sz w:val="20"/>
              </w:rPr>
              <w:t>004 - 006</w:t>
            </w:r>
          </w:p>
        </w:tc>
        <w:tc>
          <w:tcPr>
            <w:tcW w:w="1521" w:type="pct"/>
          </w:tcPr>
          <w:p w14:paraId="71980E2E" w14:textId="1DA95E3C" w:rsidR="00897293" w:rsidRPr="00CC6553" w:rsidRDefault="00897293" w:rsidP="00B234F1">
            <w:pPr>
              <w:rPr>
                <w:rFonts w:cs="Arial"/>
                <w:color w:val="000000" w:themeColor="text1"/>
                <w:sz w:val="20"/>
              </w:rPr>
            </w:pPr>
            <w:r w:rsidRPr="00CC6553">
              <w:rPr>
                <w:rFonts w:cs="Arial"/>
                <w:color w:val="000000" w:themeColor="text1"/>
                <w:sz w:val="20"/>
              </w:rPr>
              <w:t>“Why the committee made the recommendations” –The statement related to hypophosphataemia could be incorrectly assumed to be applicable to all IV irons.  It should be clarified that the observed risk of hypophosphatemia relates specifically to ferric carboxymaltose rather than IV iron as a class. The MHRA safety alert (November 2020) highlights this ferric carboxymaltose (Ferinject/Feristark) specific risk of symptomatic hypophosphataemia leading to osteomalacia and fractures.</w:t>
            </w:r>
            <w:r w:rsidRPr="00CC6553">
              <w:rPr>
                <w:rFonts w:cs="Arial"/>
                <w:color w:val="000000" w:themeColor="text1"/>
                <w:sz w:val="20"/>
              </w:rPr>
              <w:br/>
              <w:t>This is further supported by the Ferinject SPC Feristark SPC (Summary of Product Characteristics) update which reinforces formulation-specific monitoring: ‘Serum phosphate should be monitored in patients who receive multiple administrations at higher doses or long-term treatment, and those with existing risk factors for hypophosphataemia. In case of persisting hypophosphataemia, treatment with ferric carboxymaltose should be re-evaluated.’</w:t>
            </w:r>
            <w:r w:rsidRPr="00CC6553">
              <w:rPr>
                <w:rFonts w:cs="Arial"/>
                <w:color w:val="000000" w:themeColor="text1"/>
                <w:sz w:val="20"/>
              </w:rPr>
              <w:br/>
              <w:t xml:space="preserve">This distinction is clinically important, as the hypophosphatemia risk profile is not </w:t>
            </w:r>
            <w:r w:rsidRPr="00CC6553">
              <w:rPr>
                <w:rFonts w:cs="Arial"/>
                <w:color w:val="000000" w:themeColor="text1"/>
                <w:sz w:val="20"/>
              </w:rPr>
              <w:lastRenderedPageBreak/>
              <w:t>shared uniformly across all IV iron formulations. Clinicians should be made aware of this through clinical guidelines as seen in Pavord et al. Br J Haematol 2020, Snook et al. Gut 2021, Babittt et al. Kidney Int 2021, Gordon et al. J Crohns Colitis 2023, Bhandari et al. BMC Nephrol 2024. It is important to communicate this as heart-failure specialists look after complex patients, frequently with co-morbidities that may put patients at risk. This differentiation has also been confirmed in the head-to-head PHOSPHARE studies (Wolf et al. 2020, Zoller et al. 2022) which demonstrated a significantly higher incidence of hypophosphatemia with ferric carboxymaltose (Ferinject/Feristark) compared to alternative formulations such as Ferric Derisomaltose (Monofer).</w:t>
            </w:r>
            <w:r w:rsidRPr="00CC6553">
              <w:rPr>
                <w:rFonts w:cs="Arial"/>
                <w:color w:val="000000" w:themeColor="text1"/>
                <w:sz w:val="20"/>
              </w:rPr>
              <w:br/>
              <w:t>We would ask that it is clarified in this section that the risk of moderate – severe hypophosphataemia and associated warnings are in relation specifically to ferric carboxymaltose (Ferinject/Feristark)</w:t>
            </w:r>
          </w:p>
        </w:tc>
        <w:tc>
          <w:tcPr>
            <w:tcW w:w="2122" w:type="pct"/>
          </w:tcPr>
          <w:p w14:paraId="7164FC56" w14:textId="0FEF8F37" w:rsidR="00897293" w:rsidRPr="00CC6553" w:rsidRDefault="00897293" w:rsidP="00B234F1">
            <w:pPr>
              <w:pStyle w:val="Heading1"/>
              <w:rPr>
                <w:rFonts w:cs="Arial"/>
                <w:b w:val="0"/>
                <w:color w:val="000000" w:themeColor="text1"/>
                <w:sz w:val="20"/>
              </w:rPr>
            </w:pPr>
            <w:r w:rsidRPr="00CC6553">
              <w:rPr>
                <w:rFonts w:cs="Arial"/>
                <w:b w:val="0"/>
                <w:bCs w:val="0"/>
                <w:color w:val="000000" w:themeColor="text1"/>
                <w:sz w:val="20"/>
              </w:rPr>
              <w:lastRenderedPageBreak/>
              <w:t xml:space="preserve">Thank you for your comment. This statement as well as section 1.1.12 of evidence review C have been amended to clarify hypophosphataemia occurred in response to ferric carboxymaltose. </w:t>
            </w:r>
          </w:p>
        </w:tc>
      </w:tr>
      <w:tr w:rsidR="00897293" w:rsidRPr="00CC6553" w14:paraId="430E6CAE" w14:textId="77777777" w:rsidTr="00897293">
        <w:trPr>
          <w:trHeight w:val="300"/>
        </w:trPr>
        <w:tc>
          <w:tcPr>
            <w:tcW w:w="109" w:type="pct"/>
          </w:tcPr>
          <w:p w14:paraId="6131EC56" w14:textId="77777777" w:rsidR="00897293" w:rsidRPr="00CC6553" w:rsidRDefault="00897293" w:rsidP="00B234F1">
            <w:pPr>
              <w:rPr>
                <w:rFonts w:cs="Arial"/>
                <w:color w:val="000000" w:themeColor="text1"/>
                <w:sz w:val="20"/>
              </w:rPr>
            </w:pPr>
            <w:r w:rsidRPr="00CC6553">
              <w:rPr>
                <w:rFonts w:cs="Arial"/>
                <w:color w:val="000000" w:themeColor="text1"/>
                <w:sz w:val="20"/>
              </w:rPr>
              <w:t>287</w:t>
            </w:r>
          </w:p>
        </w:tc>
        <w:tc>
          <w:tcPr>
            <w:tcW w:w="143" w:type="pct"/>
          </w:tcPr>
          <w:p w14:paraId="534499AD" w14:textId="0590F194"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09C8540C" w14:textId="24905CB6"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654D0DCC" w14:textId="51417075"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58174936" w14:textId="56841723" w:rsidR="00897293" w:rsidRPr="00CC6553" w:rsidRDefault="00897293" w:rsidP="00B234F1">
            <w:pPr>
              <w:rPr>
                <w:rFonts w:cs="Arial"/>
                <w:color w:val="000000" w:themeColor="text1"/>
                <w:sz w:val="20"/>
              </w:rPr>
            </w:pPr>
            <w:r w:rsidRPr="00CC6553">
              <w:rPr>
                <w:rFonts w:cs="Arial"/>
                <w:color w:val="000000" w:themeColor="text1"/>
                <w:sz w:val="20"/>
              </w:rPr>
              <w:t>027</w:t>
            </w:r>
          </w:p>
        </w:tc>
        <w:tc>
          <w:tcPr>
            <w:tcW w:w="214" w:type="pct"/>
          </w:tcPr>
          <w:p w14:paraId="1060915C" w14:textId="2478835E" w:rsidR="00897293" w:rsidRPr="00CC6553" w:rsidRDefault="00897293" w:rsidP="00B234F1">
            <w:pPr>
              <w:rPr>
                <w:rFonts w:cs="Arial"/>
                <w:color w:val="000000" w:themeColor="text1"/>
                <w:sz w:val="20"/>
              </w:rPr>
            </w:pPr>
            <w:r w:rsidRPr="00CC6553">
              <w:rPr>
                <w:rFonts w:cs="Arial"/>
                <w:color w:val="000000" w:themeColor="text1"/>
                <w:sz w:val="20"/>
              </w:rPr>
              <w:t>004 - 008</w:t>
            </w:r>
          </w:p>
        </w:tc>
        <w:tc>
          <w:tcPr>
            <w:tcW w:w="1521" w:type="pct"/>
          </w:tcPr>
          <w:p w14:paraId="63B529BF" w14:textId="2EA873B5" w:rsidR="00897293" w:rsidRPr="00CC6553" w:rsidRDefault="00897293" w:rsidP="00B234F1">
            <w:pPr>
              <w:rPr>
                <w:rFonts w:cs="Arial"/>
                <w:color w:val="000000" w:themeColor="text1"/>
                <w:sz w:val="20"/>
              </w:rPr>
            </w:pPr>
            <w:r w:rsidRPr="00CC6553">
              <w:rPr>
                <w:rFonts w:cs="Arial"/>
                <w:color w:val="000000" w:themeColor="text1"/>
                <w:sz w:val="20"/>
              </w:rPr>
              <w:t>Response to comment that ‘There was limited reported of adverse events’</w:t>
            </w:r>
            <w:r w:rsidRPr="00CC6553">
              <w:rPr>
                <w:rFonts w:cs="Arial"/>
                <w:color w:val="000000" w:themeColor="text1"/>
                <w:sz w:val="20"/>
              </w:rPr>
              <w:br/>
            </w:r>
            <w:r w:rsidRPr="00CC6553">
              <w:rPr>
                <w:rFonts w:cs="Arial"/>
                <w:color w:val="000000" w:themeColor="text1"/>
                <w:sz w:val="20"/>
              </w:rPr>
              <w:br/>
              <w:t>Response</w:t>
            </w:r>
            <w:r w:rsidRPr="00CC6553">
              <w:rPr>
                <w:rFonts w:cs="Arial"/>
                <w:color w:val="000000" w:themeColor="text1"/>
                <w:sz w:val="20"/>
              </w:rPr>
              <w:br/>
              <w:t>In IRONMAN there are detailed reporting of adverse events - see Lancet paper 2022, table 3 with SAEs split according to the MEDRA organ classification. No excess of SAEs were seen and there were statistically fewer cardiac SAEs with IV ferric derisomaltose (FDI) as compared to usual care [FDI 200 (36%) Usual care 243 (43%) Difference (95% CI) -7.00 (-12.69 to -1.32) p value: 0.016]. Table S5 in the supplementary data (see Lancet) of IRONMAN publication gives a comprehensive breakdown of all adverse events.</w:t>
            </w:r>
            <w:r w:rsidRPr="00CC6553">
              <w:rPr>
                <w:rFonts w:cs="Arial"/>
                <w:color w:val="000000" w:themeColor="text1"/>
                <w:sz w:val="20"/>
              </w:rPr>
              <w:br/>
            </w:r>
            <w:r w:rsidRPr="00CC6553">
              <w:rPr>
                <w:rFonts w:cs="Arial"/>
                <w:color w:val="000000" w:themeColor="text1"/>
                <w:sz w:val="20"/>
              </w:rPr>
              <w:br/>
              <w:t>In addition, serious infection was a pre-specified safety end point. Indeed this is one of the first times a trial of IV iron to prospectively evaluated this. There is no suggestion of excess risk of serious infection with FDI as compared to usual care (indeed numerally fewer events – Foley et al. Eur J Heart Failure 2024).</w:t>
            </w:r>
            <w:r w:rsidRPr="00CC6553">
              <w:rPr>
                <w:rFonts w:cs="Arial"/>
                <w:color w:val="000000" w:themeColor="text1"/>
                <w:sz w:val="20"/>
              </w:rPr>
              <w:br/>
            </w:r>
            <w:r w:rsidRPr="00CC6553">
              <w:rPr>
                <w:rFonts w:cs="Arial"/>
                <w:color w:val="000000" w:themeColor="text1"/>
                <w:sz w:val="20"/>
              </w:rPr>
              <w:br/>
              <w:t xml:space="preserve">The majority of the other IV iron trials in heart failure do report adverse events. These are included in the recent meta-analysis by Anker et al (Nature Medicine 2025) see appendix extended figure 6B. This meta-analysis included 7,175 </w:t>
            </w:r>
            <w:r w:rsidRPr="00CC6553">
              <w:rPr>
                <w:rFonts w:cs="Arial"/>
                <w:color w:val="000000" w:themeColor="text1"/>
                <w:sz w:val="20"/>
              </w:rPr>
              <w:lastRenderedPageBreak/>
              <w:t>patients and no safety concerns were identified with respect to  infections or other serious adverse events (rates similar in the control/usual care and IV iron groups).</w:t>
            </w:r>
          </w:p>
        </w:tc>
        <w:tc>
          <w:tcPr>
            <w:tcW w:w="2122" w:type="pct"/>
          </w:tcPr>
          <w:p w14:paraId="380F6E7C" w14:textId="655F4EC2"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lastRenderedPageBreak/>
              <w:t>Thank you for your comment.  The statement that there was limited reporting of adverse events has been deleted.</w:t>
            </w:r>
          </w:p>
        </w:tc>
      </w:tr>
      <w:tr w:rsidR="00897293" w:rsidRPr="00CC6553" w14:paraId="145870F6" w14:textId="77777777" w:rsidTr="00897293">
        <w:trPr>
          <w:trHeight w:val="300"/>
        </w:trPr>
        <w:tc>
          <w:tcPr>
            <w:tcW w:w="109" w:type="pct"/>
          </w:tcPr>
          <w:p w14:paraId="1B6C1CB0" w14:textId="77777777" w:rsidR="00897293" w:rsidRPr="00CC6553" w:rsidRDefault="00897293" w:rsidP="00B234F1">
            <w:pPr>
              <w:rPr>
                <w:rFonts w:cs="Arial"/>
                <w:color w:val="000000" w:themeColor="text1"/>
                <w:sz w:val="20"/>
              </w:rPr>
            </w:pPr>
            <w:r w:rsidRPr="00CC6553">
              <w:rPr>
                <w:rFonts w:cs="Arial"/>
                <w:color w:val="000000" w:themeColor="text1"/>
                <w:sz w:val="20"/>
              </w:rPr>
              <w:t>288</w:t>
            </w:r>
          </w:p>
        </w:tc>
        <w:tc>
          <w:tcPr>
            <w:tcW w:w="143" w:type="pct"/>
          </w:tcPr>
          <w:p w14:paraId="1D955EBC" w14:textId="46B2644C"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06602120" w14:textId="0F6BA9F8" w:rsidR="00897293" w:rsidRPr="00CC6553" w:rsidRDefault="00897293" w:rsidP="00B234F1">
            <w:pPr>
              <w:rPr>
                <w:rFonts w:cs="Arial"/>
                <w:bCs/>
                <w:iCs/>
                <w:color w:val="000000" w:themeColor="text1"/>
                <w:sz w:val="20"/>
              </w:rPr>
            </w:pPr>
            <w:r w:rsidRPr="00CC6553">
              <w:rPr>
                <w:rFonts w:cs="Arial"/>
                <w:color w:val="000000" w:themeColor="text1"/>
                <w:sz w:val="20"/>
              </w:rPr>
              <w:t>Portsmouth Hospitals University NHS Trust</w:t>
            </w:r>
          </w:p>
        </w:tc>
        <w:tc>
          <w:tcPr>
            <w:tcW w:w="279" w:type="pct"/>
          </w:tcPr>
          <w:p w14:paraId="30E37F66" w14:textId="5C7A4A7C"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229B3D6E" w14:textId="5A885CB9" w:rsidR="00897293" w:rsidRPr="00CC6553" w:rsidRDefault="00897293" w:rsidP="00B234F1">
            <w:pPr>
              <w:rPr>
                <w:rFonts w:cs="Arial"/>
                <w:color w:val="000000" w:themeColor="text1"/>
                <w:sz w:val="20"/>
              </w:rPr>
            </w:pPr>
            <w:r w:rsidRPr="00CC6553">
              <w:rPr>
                <w:rFonts w:cs="Arial"/>
                <w:color w:val="000000" w:themeColor="text1"/>
                <w:sz w:val="20"/>
              </w:rPr>
              <w:t>027</w:t>
            </w:r>
          </w:p>
        </w:tc>
        <w:tc>
          <w:tcPr>
            <w:tcW w:w="214" w:type="pct"/>
          </w:tcPr>
          <w:p w14:paraId="3890627A" w14:textId="3C5A11B4" w:rsidR="00897293" w:rsidRPr="00CC6553" w:rsidRDefault="00897293" w:rsidP="00B234F1">
            <w:pPr>
              <w:rPr>
                <w:rFonts w:cs="Arial"/>
                <w:color w:val="000000" w:themeColor="text1"/>
                <w:sz w:val="20"/>
              </w:rPr>
            </w:pPr>
            <w:r w:rsidRPr="00CC6553">
              <w:rPr>
                <w:rFonts w:cs="Arial"/>
                <w:color w:val="000000" w:themeColor="text1"/>
                <w:sz w:val="20"/>
              </w:rPr>
              <w:t>004 - 008</w:t>
            </w:r>
          </w:p>
        </w:tc>
        <w:tc>
          <w:tcPr>
            <w:tcW w:w="1521" w:type="pct"/>
          </w:tcPr>
          <w:p w14:paraId="161EC108" w14:textId="30643FF3" w:rsidR="00897293" w:rsidRPr="00CC6553" w:rsidRDefault="00897293" w:rsidP="00B234F1">
            <w:pPr>
              <w:rPr>
                <w:rFonts w:cs="Arial"/>
                <w:color w:val="000000" w:themeColor="text1"/>
                <w:sz w:val="20"/>
              </w:rPr>
            </w:pPr>
            <w:r w:rsidRPr="00CC6553">
              <w:rPr>
                <w:rFonts w:cs="Arial"/>
                <w:color w:val="000000" w:themeColor="text1"/>
                <w:sz w:val="20"/>
              </w:rPr>
              <w:t>Response to comment that ‘There was limited reported of adverse events’</w:t>
            </w:r>
            <w:r w:rsidRPr="00CC6553">
              <w:rPr>
                <w:rFonts w:cs="Arial"/>
                <w:color w:val="000000" w:themeColor="text1"/>
                <w:sz w:val="20"/>
              </w:rPr>
              <w:br/>
            </w:r>
            <w:r w:rsidRPr="00CC6553">
              <w:rPr>
                <w:rFonts w:cs="Arial"/>
                <w:color w:val="000000" w:themeColor="text1"/>
                <w:sz w:val="20"/>
              </w:rPr>
              <w:br/>
              <w:t>Response</w:t>
            </w:r>
            <w:r w:rsidRPr="00CC6553">
              <w:rPr>
                <w:rFonts w:cs="Arial"/>
                <w:color w:val="000000" w:themeColor="text1"/>
                <w:sz w:val="20"/>
              </w:rPr>
              <w:br/>
              <w:t>In IRONMAN there are detailed reporting of adverse events - see Lancet paper 2022, table 3 with SAEs split according to the MEDRA organ classification. No excess of SAEs were seen and there were statistically fewer cardiac SAEs with IV ferric derisomaltose (FDI) as compared to usual care [FDI 200 (36%) Usual care 243 (43%) Difference (95% CI) -7.00 (-12.69 to -1.32) p value: 0.016]. Table S5 in the supplementary data (see Lancet) of IRONMAN publication gives a comprehensive breakdown of all adverse events.</w:t>
            </w:r>
            <w:r w:rsidRPr="00CC6553">
              <w:rPr>
                <w:rFonts w:cs="Arial"/>
                <w:color w:val="000000" w:themeColor="text1"/>
                <w:sz w:val="20"/>
              </w:rPr>
              <w:br/>
            </w:r>
            <w:r w:rsidRPr="00CC6553">
              <w:rPr>
                <w:rFonts w:cs="Arial"/>
                <w:color w:val="000000" w:themeColor="text1"/>
                <w:sz w:val="20"/>
              </w:rPr>
              <w:br/>
              <w:t>In addition, serious infection was a pre-specified safety end point. Indeed this is one of the first times a trial of IV iron to prospectively evaluated this. There is no suggestion of excess risk of serious infection with FDI as compared to usual care (indeed numerally fewer events – Foley et al. Eur J Heart Failure 2024).</w:t>
            </w:r>
            <w:r w:rsidRPr="00CC6553">
              <w:rPr>
                <w:rFonts w:cs="Arial"/>
                <w:color w:val="000000" w:themeColor="text1"/>
                <w:sz w:val="20"/>
              </w:rPr>
              <w:br/>
            </w:r>
            <w:r w:rsidRPr="00CC6553">
              <w:rPr>
                <w:rFonts w:cs="Arial"/>
                <w:color w:val="000000" w:themeColor="text1"/>
                <w:sz w:val="20"/>
              </w:rPr>
              <w:br/>
              <w:t>The majority of the other IV iron trials in heart failure do report adverse events. These are included in the recent meta-analysis by Anker et al (Nature Medicine 2025) see appendix extended figure 6B. This meta-analysis included 7,175 patients and no safety concerns were identified with respect to  infections or other serious adverse events (rates similar in the control/usual care and IV iron groups).</w:t>
            </w:r>
          </w:p>
        </w:tc>
        <w:tc>
          <w:tcPr>
            <w:tcW w:w="2122" w:type="pct"/>
          </w:tcPr>
          <w:p w14:paraId="34E01A29" w14:textId="5D7A58E9"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statement that there was limited reporting of adverse events has been deleted.</w:t>
            </w:r>
          </w:p>
        </w:tc>
      </w:tr>
      <w:tr w:rsidR="00897293" w:rsidRPr="00CC6553" w14:paraId="5030B61A" w14:textId="77777777" w:rsidTr="00897293">
        <w:trPr>
          <w:trHeight w:val="300"/>
        </w:trPr>
        <w:tc>
          <w:tcPr>
            <w:tcW w:w="109" w:type="pct"/>
          </w:tcPr>
          <w:p w14:paraId="1FF24D95" w14:textId="77777777" w:rsidR="00897293" w:rsidRPr="00CC6553" w:rsidRDefault="00897293" w:rsidP="00B234F1">
            <w:pPr>
              <w:rPr>
                <w:rFonts w:cs="Arial"/>
                <w:color w:val="000000" w:themeColor="text1"/>
                <w:sz w:val="20"/>
              </w:rPr>
            </w:pPr>
            <w:r w:rsidRPr="00CC6553">
              <w:rPr>
                <w:rFonts w:cs="Arial"/>
                <w:color w:val="000000" w:themeColor="text1"/>
                <w:sz w:val="20"/>
              </w:rPr>
              <w:t>289</w:t>
            </w:r>
          </w:p>
        </w:tc>
        <w:tc>
          <w:tcPr>
            <w:tcW w:w="143" w:type="pct"/>
          </w:tcPr>
          <w:p w14:paraId="2D971A28" w14:textId="723AA811"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8D33FE2" w14:textId="4F4E9953"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7B468249" w14:textId="155CD674"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5B012BC5" w14:textId="259BD6B1" w:rsidR="00897293" w:rsidRPr="00CC6553" w:rsidRDefault="00897293" w:rsidP="00B234F1">
            <w:pPr>
              <w:rPr>
                <w:rFonts w:cs="Arial"/>
                <w:color w:val="000000" w:themeColor="text1"/>
                <w:sz w:val="20"/>
              </w:rPr>
            </w:pPr>
            <w:r w:rsidRPr="00CC6553">
              <w:rPr>
                <w:rFonts w:cs="Arial"/>
                <w:color w:val="000000" w:themeColor="text1"/>
                <w:sz w:val="20"/>
              </w:rPr>
              <w:t>027</w:t>
            </w:r>
          </w:p>
        </w:tc>
        <w:tc>
          <w:tcPr>
            <w:tcW w:w="214" w:type="pct"/>
          </w:tcPr>
          <w:p w14:paraId="56F90B24" w14:textId="668800C4" w:rsidR="00897293" w:rsidRPr="00CC6553" w:rsidRDefault="00897293" w:rsidP="00B234F1">
            <w:pPr>
              <w:rPr>
                <w:rFonts w:cs="Arial"/>
                <w:color w:val="000000" w:themeColor="text1"/>
                <w:sz w:val="20"/>
              </w:rPr>
            </w:pPr>
            <w:r w:rsidRPr="00CC6553">
              <w:rPr>
                <w:rFonts w:cs="Arial"/>
                <w:color w:val="000000" w:themeColor="text1"/>
                <w:sz w:val="20"/>
              </w:rPr>
              <w:t>005 - 006</w:t>
            </w:r>
          </w:p>
        </w:tc>
        <w:tc>
          <w:tcPr>
            <w:tcW w:w="1521" w:type="pct"/>
          </w:tcPr>
          <w:p w14:paraId="2B2D5778" w14:textId="0A924F73" w:rsidR="00897293" w:rsidRPr="00CC6553" w:rsidRDefault="00897293" w:rsidP="00B234F1">
            <w:pPr>
              <w:rPr>
                <w:rFonts w:cs="Arial"/>
                <w:color w:val="000000" w:themeColor="text1"/>
                <w:sz w:val="20"/>
              </w:rPr>
            </w:pPr>
            <w:r w:rsidRPr="00CC6553">
              <w:rPr>
                <w:rFonts w:cs="Arial"/>
                <w:color w:val="000000" w:themeColor="text1"/>
                <w:sz w:val="20"/>
              </w:rPr>
              <w:t>Response to comment re: hypophoasphataemia</w:t>
            </w:r>
            <w:r w:rsidRPr="00CC6553">
              <w:rPr>
                <w:rFonts w:cs="Arial"/>
                <w:color w:val="000000" w:themeColor="text1"/>
                <w:sz w:val="20"/>
              </w:rPr>
              <w:br/>
            </w:r>
            <w:r w:rsidRPr="00CC6553">
              <w:rPr>
                <w:rFonts w:cs="Arial"/>
                <w:color w:val="000000" w:themeColor="text1"/>
                <w:sz w:val="20"/>
              </w:rPr>
              <w:br/>
              <w:t>This was one sub study, in a relatively small number of patients, from Heart FID and involved ferric carboxymaltose (FCM). There have been a number of studies, outside of heart failure, that show this is primarily an issue with FCM. It would be appropriate to highlight that this has primarily be seen with FCM as opposed to IV iron as a class in the guideline.</w:t>
            </w:r>
            <w:r w:rsidRPr="00CC6553">
              <w:rPr>
                <w:rFonts w:cs="Arial"/>
                <w:color w:val="000000" w:themeColor="text1"/>
                <w:sz w:val="20"/>
              </w:rPr>
              <w:br/>
            </w:r>
            <w:r w:rsidRPr="00CC6553">
              <w:rPr>
                <w:rFonts w:cs="Arial"/>
                <w:color w:val="000000" w:themeColor="text1"/>
                <w:sz w:val="20"/>
              </w:rPr>
              <w:br/>
              <w:t>The committee do note this in the evidence review IV iron document.</w:t>
            </w:r>
          </w:p>
        </w:tc>
        <w:tc>
          <w:tcPr>
            <w:tcW w:w="2122" w:type="pct"/>
          </w:tcPr>
          <w:p w14:paraId="058165F2" w14:textId="0A8C7539" w:rsidR="00897293" w:rsidRPr="00CC6553" w:rsidRDefault="00897293" w:rsidP="00B234F1">
            <w:pPr>
              <w:pStyle w:val="Heading1"/>
              <w:rPr>
                <w:rFonts w:cs="Arial"/>
                <w:b w:val="0"/>
                <w:color w:val="000000" w:themeColor="text1"/>
                <w:sz w:val="20"/>
              </w:rPr>
            </w:pPr>
            <w:r w:rsidRPr="00CC6553">
              <w:rPr>
                <w:rFonts w:cs="Arial"/>
                <w:b w:val="0"/>
                <w:bCs w:val="0"/>
                <w:color w:val="000000" w:themeColor="text1"/>
                <w:sz w:val="20"/>
              </w:rPr>
              <w:t xml:space="preserve">Thank you for your comment. This statement as well as section 1.1.12 of evidence review C have been amended to clarify hypophosphataemia occurred in response to ferric carboxymaltose and not IV iron as a class. </w:t>
            </w:r>
          </w:p>
        </w:tc>
      </w:tr>
      <w:tr w:rsidR="00897293" w:rsidRPr="00CC6553" w14:paraId="27471882" w14:textId="77777777" w:rsidTr="00897293">
        <w:trPr>
          <w:trHeight w:val="300"/>
        </w:trPr>
        <w:tc>
          <w:tcPr>
            <w:tcW w:w="109" w:type="pct"/>
          </w:tcPr>
          <w:p w14:paraId="77C6DE55"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290</w:t>
            </w:r>
          </w:p>
        </w:tc>
        <w:tc>
          <w:tcPr>
            <w:tcW w:w="143" w:type="pct"/>
          </w:tcPr>
          <w:p w14:paraId="234C4962" w14:textId="29FEA600"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40A7FAA9" w14:textId="10F6113E" w:rsidR="00897293" w:rsidRPr="00CC6553" w:rsidRDefault="00897293" w:rsidP="00B234F1">
            <w:pPr>
              <w:rPr>
                <w:rFonts w:cs="Arial"/>
                <w:bCs/>
                <w:iCs/>
                <w:color w:val="000000" w:themeColor="text1"/>
                <w:sz w:val="20"/>
              </w:rPr>
            </w:pPr>
            <w:r w:rsidRPr="00CC6553">
              <w:rPr>
                <w:rFonts w:cs="Arial"/>
                <w:color w:val="000000" w:themeColor="text1"/>
                <w:sz w:val="20"/>
              </w:rPr>
              <w:t>Portsmouth Hospitals University NHS Trust</w:t>
            </w:r>
          </w:p>
        </w:tc>
        <w:tc>
          <w:tcPr>
            <w:tcW w:w="279" w:type="pct"/>
          </w:tcPr>
          <w:p w14:paraId="0747F8DE" w14:textId="29CB9D72"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6F231D75" w14:textId="0363D903" w:rsidR="00897293" w:rsidRPr="00CC6553" w:rsidRDefault="00897293" w:rsidP="00B234F1">
            <w:pPr>
              <w:rPr>
                <w:rFonts w:cs="Arial"/>
                <w:color w:val="000000" w:themeColor="text1"/>
                <w:sz w:val="20"/>
              </w:rPr>
            </w:pPr>
            <w:r w:rsidRPr="00CC6553">
              <w:rPr>
                <w:rFonts w:cs="Arial"/>
                <w:color w:val="000000" w:themeColor="text1"/>
                <w:sz w:val="20"/>
              </w:rPr>
              <w:t>027</w:t>
            </w:r>
          </w:p>
        </w:tc>
        <w:tc>
          <w:tcPr>
            <w:tcW w:w="214" w:type="pct"/>
          </w:tcPr>
          <w:p w14:paraId="312E1647" w14:textId="2888FD37" w:rsidR="00897293" w:rsidRPr="00CC6553" w:rsidRDefault="00897293" w:rsidP="00B234F1">
            <w:pPr>
              <w:rPr>
                <w:rFonts w:cs="Arial"/>
                <w:color w:val="000000" w:themeColor="text1"/>
                <w:sz w:val="20"/>
              </w:rPr>
            </w:pPr>
            <w:r w:rsidRPr="00CC6553">
              <w:rPr>
                <w:rFonts w:cs="Arial"/>
                <w:color w:val="000000" w:themeColor="text1"/>
                <w:sz w:val="20"/>
              </w:rPr>
              <w:t>005 - 006</w:t>
            </w:r>
          </w:p>
        </w:tc>
        <w:tc>
          <w:tcPr>
            <w:tcW w:w="1521" w:type="pct"/>
          </w:tcPr>
          <w:p w14:paraId="50197689" w14:textId="2A66F881" w:rsidR="00897293" w:rsidRPr="00CC6553" w:rsidRDefault="00897293" w:rsidP="00B234F1">
            <w:pPr>
              <w:rPr>
                <w:rFonts w:cs="Arial"/>
                <w:color w:val="000000" w:themeColor="text1"/>
                <w:sz w:val="20"/>
              </w:rPr>
            </w:pPr>
            <w:r w:rsidRPr="00CC6553">
              <w:rPr>
                <w:rFonts w:cs="Arial"/>
                <w:color w:val="000000" w:themeColor="text1"/>
                <w:sz w:val="20"/>
              </w:rPr>
              <w:t>Response to comment re: hypophoasphataemia</w:t>
            </w:r>
            <w:r w:rsidRPr="00CC6553">
              <w:rPr>
                <w:rFonts w:cs="Arial"/>
                <w:color w:val="000000" w:themeColor="text1"/>
                <w:sz w:val="20"/>
              </w:rPr>
              <w:br/>
            </w:r>
            <w:r w:rsidRPr="00CC6553">
              <w:rPr>
                <w:rFonts w:cs="Arial"/>
                <w:color w:val="000000" w:themeColor="text1"/>
                <w:sz w:val="20"/>
              </w:rPr>
              <w:br/>
              <w:t>This was one sub study, in a relatively small number of patients, from Heart FID and involved ferric carboxymaltose (FCM). There have been a number of studies, outside of heart failure, that show this is primarily an issue with FCM. It would be appropriate to highlight that this has primarily be seen with FCM as opposed to IV iron as a class in the guideline.</w:t>
            </w:r>
            <w:r w:rsidRPr="00CC6553">
              <w:rPr>
                <w:rFonts w:cs="Arial"/>
                <w:color w:val="000000" w:themeColor="text1"/>
                <w:sz w:val="20"/>
              </w:rPr>
              <w:br/>
            </w:r>
            <w:r w:rsidRPr="00CC6553">
              <w:rPr>
                <w:rFonts w:cs="Arial"/>
                <w:color w:val="000000" w:themeColor="text1"/>
                <w:sz w:val="20"/>
              </w:rPr>
              <w:br/>
              <w:t>The committee do note this in the evidence review IV iron document.</w:t>
            </w:r>
          </w:p>
        </w:tc>
        <w:tc>
          <w:tcPr>
            <w:tcW w:w="2122" w:type="pct"/>
          </w:tcPr>
          <w:p w14:paraId="7BE55050" w14:textId="2CE07688" w:rsidR="00897293" w:rsidRPr="00CC6553" w:rsidRDefault="00897293" w:rsidP="00B234F1">
            <w:pPr>
              <w:pStyle w:val="Heading1"/>
              <w:rPr>
                <w:rFonts w:cs="Arial"/>
                <w:b w:val="0"/>
                <w:color w:val="000000" w:themeColor="text1"/>
                <w:sz w:val="20"/>
              </w:rPr>
            </w:pPr>
            <w:r w:rsidRPr="00CC6553">
              <w:rPr>
                <w:rFonts w:cs="Arial"/>
                <w:b w:val="0"/>
                <w:bCs w:val="0"/>
                <w:color w:val="000000" w:themeColor="text1"/>
                <w:sz w:val="20"/>
              </w:rPr>
              <w:t xml:space="preserve">Thank you for your comment. This statement as well as section 1.1.12 of evidence review C have been amended to clarify hypophosphataemia occurred in response to ferric carboxymaltose and not IV iron as a class. </w:t>
            </w:r>
          </w:p>
        </w:tc>
      </w:tr>
      <w:tr w:rsidR="00897293" w:rsidRPr="00CC6553" w14:paraId="182926F9" w14:textId="77777777" w:rsidTr="00897293">
        <w:trPr>
          <w:trHeight w:val="300"/>
        </w:trPr>
        <w:tc>
          <w:tcPr>
            <w:tcW w:w="109" w:type="pct"/>
          </w:tcPr>
          <w:p w14:paraId="6D83E80C" w14:textId="77777777" w:rsidR="00897293" w:rsidRPr="00CC6553" w:rsidRDefault="00897293" w:rsidP="00B234F1">
            <w:pPr>
              <w:rPr>
                <w:rFonts w:cs="Arial"/>
                <w:color w:val="000000" w:themeColor="text1"/>
                <w:sz w:val="20"/>
              </w:rPr>
            </w:pPr>
            <w:r w:rsidRPr="00CC6553">
              <w:rPr>
                <w:rFonts w:cs="Arial"/>
                <w:color w:val="000000" w:themeColor="text1"/>
                <w:sz w:val="20"/>
              </w:rPr>
              <w:t>291</w:t>
            </w:r>
          </w:p>
        </w:tc>
        <w:tc>
          <w:tcPr>
            <w:tcW w:w="143" w:type="pct"/>
          </w:tcPr>
          <w:p w14:paraId="786A16BB" w14:textId="4B583851"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8F7063D" w14:textId="127551E5"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57B700D7" w14:textId="39D38932"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22A8182A" w14:textId="03431630" w:rsidR="00897293" w:rsidRPr="00CC6553" w:rsidRDefault="00897293" w:rsidP="00B234F1">
            <w:pPr>
              <w:rPr>
                <w:rFonts w:cs="Arial"/>
                <w:color w:val="000000" w:themeColor="text1"/>
                <w:sz w:val="20"/>
              </w:rPr>
            </w:pPr>
            <w:r w:rsidRPr="00CC6553">
              <w:rPr>
                <w:rFonts w:cs="Arial"/>
                <w:color w:val="000000" w:themeColor="text1"/>
                <w:sz w:val="20"/>
              </w:rPr>
              <w:t>027</w:t>
            </w:r>
          </w:p>
        </w:tc>
        <w:tc>
          <w:tcPr>
            <w:tcW w:w="214" w:type="pct"/>
          </w:tcPr>
          <w:p w14:paraId="25B3D7DB" w14:textId="3FB6ECCE" w:rsidR="00897293" w:rsidRPr="00CC6553" w:rsidRDefault="00897293" w:rsidP="00B234F1">
            <w:pPr>
              <w:rPr>
                <w:rFonts w:cs="Arial"/>
                <w:color w:val="000000" w:themeColor="text1"/>
                <w:sz w:val="20"/>
              </w:rPr>
            </w:pPr>
            <w:r w:rsidRPr="00CC6553">
              <w:rPr>
                <w:rFonts w:cs="Arial"/>
                <w:color w:val="000000" w:themeColor="text1"/>
                <w:sz w:val="20"/>
              </w:rPr>
              <w:t>009 - 012 &amp;</w:t>
            </w:r>
            <w:r w:rsidRPr="00CC6553">
              <w:rPr>
                <w:rFonts w:cs="Arial"/>
                <w:color w:val="000000" w:themeColor="text1"/>
                <w:sz w:val="20"/>
              </w:rPr>
              <w:br/>
              <w:t>019 - 022</w:t>
            </w:r>
          </w:p>
        </w:tc>
        <w:tc>
          <w:tcPr>
            <w:tcW w:w="1521" w:type="pct"/>
          </w:tcPr>
          <w:p w14:paraId="7F6CA2CE" w14:textId="7CAD9E74" w:rsidR="00897293" w:rsidRPr="00CC6553" w:rsidRDefault="00897293" w:rsidP="00B234F1">
            <w:pPr>
              <w:rPr>
                <w:rFonts w:cs="Arial"/>
                <w:color w:val="000000" w:themeColor="text1"/>
                <w:sz w:val="20"/>
              </w:rPr>
            </w:pPr>
            <w:r w:rsidRPr="00CC6553">
              <w:rPr>
                <w:rFonts w:cs="Arial"/>
                <w:color w:val="000000" w:themeColor="text1"/>
                <w:sz w:val="20"/>
              </w:rPr>
              <w:t>As per comments number 6 and 7</w:t>
            </w:r>
          </w:p>
        </w:tc>
        <w:tc>
          <w:tcPr>
            <w:tcW w:w="2122" w:type="pct"/>
          </w:tcPr>
          <w:p w14:paraId="05AEA629" w14:textId="4A442BFC" w:rsidR="00897293" w:rsidRPr="00CC6553" w:rsidRDefault="00897293" w:rsidP="21434BE0">
            <w:pPr>
              <w:pStyle w:val="Heading1"/>
              <w:rPr>
                <w:rFonts w:cs="Arial"/>
                <w:b w:val="0"/>
                <w:bCs w:val="0"/>
                <w:color w:val="000000" w:themeColor="text1"/>
                <w:sz w:val="20"/>
              </w:rPr>
            </w:pPr>
            <w:r w:rsidRPr="00CC6553">
              <w:rPr>
                <w:rFonts w:cs="Arial"/>
                <w:b w:val="0"/>
                <w:bCs w:val="0"/>
                <w:color w:val="000000" w:themeColor="text1"/>
                <w:sz w:val="20"/>
              </w:rPr>
              <w:t>We are sorry but we are unsure what comments you are referring to</w:t>
            </w:r>
          </w:p>
        </w:tc>
      </w:tr>
      <w:tr w:rsidR="00897293" w:rsidRPr="00CC6553" w14:paraId="7F61A608" w14:textId="77777777" w:rsidTr="00897293">
        <w:trPr>
          <w:trHeight w:val="300"/>
        </w:trPr>
        <w:tc>
          <w:tcPr>
            <w:tcW w:w="109" w:type="pct"/>
          </w:tcPr>
          <w:p w14:paraId="7DC8DB25" w14:textId="77777777" w:rsidR="00897293" w:rsidRPr="00CC6553" w:rsidRDefault="00897293" w:rsidP="00B234F1">
            <w:pPr>
              <w:rPr>
                <w:rFonts w:cs="Arial"/>
                <w:color w:val="000000" w:themeColor="text1"/>
                <w:sz w:val="20"/>
              </w:rPr>
            </w:pPr>
            <w:r w:rsidRPr="00CC6553">
              <w:rPr>
                <w:rFonts w:cs="Arial"/>
                <w:color w:val="000000" w:themeColor="text1"/>
                <w:sz w:val="20"/>
              </w:rPr>
              <w:t>292</w:t>
            </w:r>
          </w:p>
        </w:tc>
        <w:tc>
          <w:tcPr>
            <w:tcW w:w="143" w:type="pct"/>
          </w:tcPr>
          <w:p w14:paraId="1D8C1F97" w14:textId="1CD8292C"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23A4B528" w14:textId="4B002155" w:rsidR="00897293" w:rsidRPr="00CC6553" w:rsidRDefault="00897293" w:rsidP="00B234F1">
            <w:pPr>
              <w:rPr>
                <w:rFonts w:cs="Arial"/>
                <w:bCs/>
                <w:iCs/>
                <w:color w:val="000000" w:themeColor="text1"/>
                <w:sz w:val="20"/>
              </w:rPr>
            </w:pPr>
            <w:r w:rsidRPr="00CC6553">
              <w:rPr>
                <w:rFonts w:cs="Arial"/>
                <w:color w:val="000000" w:themeColor="text1"/>
                <w:sz w:val="20"/>
              </w:rPr>
              <w:t>Portsmouth Hospitals University NHS Trust</w:t>
            </w:r>
          </w:p>
        </w:tc>
        <w:tc>
          <w:tcPr>
            <w:tcW w:w="279" w:type="pct"/>
          </w:tcPr>
          <w:p w14:paraId="00C67615" w14:textId="258FBEE1"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58ACC018" w14:textId="169A8D8A" w:rsidR="00897293" w:rsidRPr="00CC6553" w:rsidRDefault="00897293" w:rsidP="00B234F1">
            <w:pPr>
              <w:rPr>
                <w:rFonts w:cs="Arial"/>
                <w:color w:val="000000" w:themeColor="text1"/>
                <w:sz w:val="20"/>
              </w:rPr>
            </w:pPr>
            <w:r w:rsidRPr="00CC6553">
              <w:rPr>
                <w:rFonts w:cs="Arial"/>
                <w:color w:val="000000" w:themeColor="text1"/>
                <w:sz w:val="20"/>
              </w:rPr>
              <w:t>027</w:t>
            </w:r>
          </w:p>
        </w:tc>
        <w:tc>
          <w:tcPr>
            <w:tcW w:w="214" w:type="pct"/>
          </w:tcPr>
          <w:p w14:paraId="765248F6" w14:textId="4234ABC4" w:rsidR="00897293" w:rsidRPr="00CC6553" w:rsidRDefault="00897293" w:rsidP="00B234F1">
            <w:pPr>
              <w:rPr>
                <w:rFonts w:cs="Arial"/>
                <w:color w:val="000000" w:themeColor="text1"/>
                <w:sz w:val="20"/>
              </w:rPr>
            </w:pPr>
            <w:r w:rsidRPr="00CC6553">
              <w:rPr>
                <w:rFonts w:cs="Arial"/>
                <w:color w:val="000000" w:themeColor="text1"/>
                <w:sz w:val="20"/>
              </w:rPr>
              <w:t>009 - 012 &amp;</w:t>
            </w:r>
            <w:r w:rsidRPr="00CC6553">
              <w:rPr>
                <w:rFonts w:cs="Arial"/>
                <w:color w:val="000000" w:themeColor="text1"/>
                <w:sz w:val="20"/>
              </w:rPr>
              <w:br/>
              <w:t>019 - 022</w:t>
            </w:r>
          </w:p>
        </w:tc>
        <w:tc>
          <w:tcPr>
            <w:tcW w:w="1521" w:type="pct"/>
          </w:tcPr>
          <w:p w14:paraId="4DC5EE6B" w14:textId="79AE66BA" w:rsidR="00897293" w:rsidRPr="00CC6553" w:rsidRDefault="00897293" w:rsidP="00B234F1">
            <w:pPr>
              <w:rPr>
                <w:rFonts w:cs="Arial"/>
                <w:color w:val="000000" w:themeColor="text1"/>
                <w:sz w:val="20"/>
              </w:rPr>
            </w:pPr>
            <w:r w:rsidRPr="00CC6553">
              <w:rPr>
                <w:rFonts w:cs="Arial"/>
                <w:color w:val="000000" w:themeColor="text1"/>
                <w:sz w:val="20"/>
              </w:rPr>
              <w:t>As per comments number 6 and 7</w:t>
            </w:r>
          </w:p>
        </w:tc>
        <w:tc>
          <w:tcPr>
            <w:tcW w:w="2122" w:type="pct"/>
          </w:tcPr>
          <w:p w14:paraId="54158983" w14:textId="6034EDBC" w:rsidR="00897293" w:rsidRPr="00CC6553" w:rsidRDefault="00897293" w:rsidP="21434BE0">
            <w:pPr>
              <w:pStyle w:val="Heading1"/>
              <w:rPr>
                <w:rFonts w:cs="Arial"/>
                <w:b w:val="0"/>
                <w:bCs w:val="0"/>
                <w:color w:val="000000" w:themeColor="text1"/>
                <w:sz w:val="20"/>
              </w:rPr>
            </w:pPr>
            <w:r w:rsidRPr="00CC6553">
              <w:rPr>
                <w:rFonts w:cs="Arial"/>
                <w:b w:val="0"/>
                <w:bCs w:val="0"/>
                <w:color w:val="000000" w:themeColor="text1"/>
                <w:sz w:val="20"/>
              </w:rPr>
              <w:t>We are sorry but we are unsure what comments you are referring to</w:t>
            </w:r>
          </w:p>
        </w:tc>
      </w:tr>
      <w:tr w:rsidR="00897293" w:rsidRPr="00CC6553" w14:paraId="1CB44F5B" w14:textId="77777777" w:rsidTr="00897293">
        <w:trPr>
          <w:trHeight w:val="300"/>
        </w:trPr>
        <w:tc>
          <w:tcPr>
            <w:tcW w:w="109" w:type="pct"/>
          </w:tcPr>
          <w:p w14:paraId="602B6C94" w14:textId="77777777" w:rsidR="00897293" w:rsidRPr="00CC6553" w:rsidRDefault="00897293" w:rsidP="00B234F1">
            <w:pPr>
              <w:rPr>
                <w:rFonts w:cs="Arial"/>
                <w:color w:val="000000" w:themeColor="text1"/>
                <w:sz w:val="20"/>
              </w:rPr>
            </w:pPr>
            <w:r w:rsidRPr="00CC6553">
              <w:rPr>
                <w:rFonts w:cs="Arial"/>
                <w:color w:val="000000" w:themeColor="text1"/>
                <w:sz w:val="20"/>
              </w:rPr>
              <w:t>293</w:t>
            </w:r>
          </w:p>
        </w:tc>
        <w:tc>
          <w:tcPr>
            <w:tcW w:w="143" w:type="pct"/>
          </w:tcPr>
          <w:p w14:paraId="7CF1445A" w14:textId="32A7D652"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4ED821B0" w14:textId="6BD5DF3A" w:rsidR="00897293" w:rsidRPr="00CC6553" w:rsidRDefault="00897293" w:rsidP="00B234F1">
            <w:pPr>
              <w:rPr>
                <w:rFonts w:cs="Arial"/>
                <w:bCs/>
                <w:iCs/>
                <w:color w:val="000000" w:themeColor="text1"/>
                <w:sz w:val="20"/>
              </w:rPr>
            </w:pPr>
            <w:r w:rsidRPr="00CC6553">
              <w:rPr>
                <w:rFonts w:cs="Arial"/>
                <w:color w:val="000000" w:themeColor="text1"/>
                <w:sz w:val="20"/>
              </w:rPr>
              <w:t>Pharmacosmos UK Ltd</w:t>
            </w:r>
          </w:p>
        </w:tc>
        <w:tc>
          <w:tcPr>
            <w:tcW w:w="279" w:type="pct"/>
          </w:tcPr>
          <w:p w14:paraId="5491337B" w14:textId="06E1B34D"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6170C7A7" w14:textId="1BA854EF" w:rsidR="00897293" w:rsidRPr="00CC6553" w:rsidRDefault="00897293" w:rsidP="00B234F1">
            <w:pPr>
              <w:rPr>
                <w:rFonts w:cs="Arial"/>
                <w:color w:val="000000" w:themeColor="text1"/>
                <w:sz w:val="20"/>
              </w:rPr>
            </w:pPr>
            <w:r w:rsidRPr="00CC6553">
              <w:rPr>
                <w:rFonts w:cs="Arial"/>
                <w:color w:val="000000" w:themeColor="text1"/>
                <w:sz w:val="20"/>
              </w:rPr>
              <w:t>027</w:t>
            </w:r>
          </w:p>
        </w:tc>
        <w:tc>
          <w:tcPr>
            <w:tcW w:w="214" w:type="pct"/>
          </w:tcPr>
          <w:p w14:paraId="3EA846EE" w14:textId="23CF2500" w:rsidR="00897293" w:rsidRPr="00CC6553" w:rsidRDefault="00897293" w:rsidP="00B234F1">
            <w:pPr>
              <w:rPr>
                <w:rFonts w:cs="Arial"/>
                <w:color w:val="000000" w:themeColor="text1"/>
                <w:sz w:val="20"/>
              </w:rPr>
            </w:pPr>
            <w:r w:rsidRPr="00CC6553">
              <w:rPr>
                <w:rFonts w:cs="Arial"/>
                <w:color w:val="000000" w:themeColor="text1"/>
                <w:sz w:val="20"/>
              </w:rPr>
              <w:t>019 - 022</w:t>
            </w:r>
          </w:p>
        </w:tc>
        <w:tc>
          <w:tcPr>
            <w:tcW w:w="1521" w:type="pct"/>
          </w:tcPr>
          <w:p w14:paraId="58B5FC90" w14:textId="5CCB321C" w:rsidR="00897293" w:rsidRPr="00CC6553" w:rsidRDefault="00897293" w:rsidP="00B234F1">
            <w:pPr>
              <w:rPr>
                <w:rFonts w:cs="Arial"/>
                <w:color w:val="000000" w:themeColor="text1"/>
                <w:sz w:val="20"/>
              </w:rPr>
            </w:pPr>
            <w:r w:rsidRPr="00CC6553">
              <w:rPr>
                <w:rFonts w:cs="Arial"/>
                <w:color w:val="000000" w:themeColor="text1"/>
                <w:sz w:val="20"/>
              </w:rPr>
              <w:t>We agree that data in the HFpEF population is limited and an area for further research, however both AFFIRM-HF and IRONMAN included HFmrEF patients. In the IRONMAN (Kalra et al 2022) study 50% of the population had an ejection fraction of &gt;35% and the inclusion criteria allowed for EF&lt;45%. The ESC guidelines have included a recommendation for both HFrEF and HFmrEF on the basis on the clinical trial data from these analyses, and would ask that the committee reconsider their recommendation to only include HFrEF patients, and instead apply the recommendations to both HFrEF and HFmrEF</w:t>
            </w:r>
          </w:p>
        </w:tc>
        <w:tc>
          <w:tcPr>
            <w:tcW w:w="2122" w:type="pct"/>
          </w:tcPr>
          <w:p w14:paraId="5FA5D17E" w14:textId="77509D64" w:rsidR="00897293" w:rsidRPr="00CC6553" w:rsidRDefault="00897293" w:rsidP="14DE5554">
            <w:pPr>
              <w:pStyle w:val="Heading1"/>
              <w:rPr>
                <w:rFonts w:cs="Arial"/>
                <w:b w:val="0"/>
                <w:bCs w:val="0"/>
                <w:color w:val="000000" w:themeColor="text1"/>
                <w:sz w:val="20"/>
              </w:rPr>
            </w:pPr>
            <w:r w:rsidRPr="00CC6553">
              <w:rPr>
                <w:rFonts w:cs="Arial"/>
                <w:b w:val="0"/>
                <w:bCs w:val="0"/>
                <w:color w:val="000000" w:themeColor="text1"/>
                <w:sz w:val="20"/>
              </w:rPr>
              <w:t>Thank you for your comment. The recommendations made reflect the clinical and cost-effectiveness evidence which focussed largely on a population with HFrEF (please see table 2 in Evidence Review C for baseline LVEF value</w:t>
            </w:r>
            <w:r>
              <w:rPr>
                <w:rFonts w:cs="Arial"/>
                <w:b w:val="0"/>
                <w:bCs w:val="0"/>
                <w:color w:val="000000" w:themeColor="text1"/>
                <w:sz w:val="20"/>
              </w:rPr>
              <w:t>). No recommendation could therefore be made for HFmrEF but the committee has made a research recommendation.</w:t>
            </w:r>
          </w:p>
        </w:tc>
      </w:tr>
      <w:tr w:rsidR="00897293" w:rsidRPr="00CC6553" w14:paraId="046730C0" w14:textId="77777777" w:rsidTr="00897293">
        <w:trPr>
          <w:trHeight w:val="300"/>
        </w:trPr>
        <w:tc>
          <w:tcPr>
            <w:tcW w:w="109" w:type="pct"/>
          </w:tcPr>
          <w:p w14:paraId="4C550AE2" w14:textId="77777777" w:rsidR="00897293" w:rsidRPr="00CC6553" w:rsidRDefault="00897293" w:rsidP="00B234F1">
            <w:pPr>
              <w:rPr>
                <w:rFonts w:cs="Arial"/>
                <w:color w:val="000000" w:themeColor="text1"/>
                <w:sz w:val="20"/>
              </w:rPr>
            </w:pPr>
            <w:r w:rsidRPr="00CC6553">
              <w:rPr>
                <w:rFonts w:cs="Arial"/>
                <w:color w:val="000000" w:themeColor="text1"/>
                <w:sz w:val="20"/>
              </w:rPr>
              <w:t>294</w:t>
            </w:r>
          </w:p>
        </w:tc>
        <w:tc>
          <w:tcPr>
            <w:tcW w:w="143" w:type="pct"/>
          </w:tcPr>
          <w:p w14:paraId="758F5C1C" w14:textId="7A4E5674"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7CDA07A" w14:textId="2A578AC4" w:rsidR="00897293" w:rsidRPr="00CC6553" w:rsidRDefault="00897293" w:rsidP="00B234F1">
            <w:pPr>
              <w:rPr>
                <w:rFonts w:cs="Arial"/>
                <w:bCs/>
                <w:iCs/>
                <w:color w:val="000000" w:themeColor="text1"/>
                <w:sz w:val="20"/>
              </w:rPr>
            </w:pPr>
            <w:r w:rsidRPr="00CC6553">
              <w:rPr>
                <w:rFonts w:cs="Arial"/>
                <w:color w:val="000000" w:themeColor="text1"/>
                <w:sz w:val="20"/>
              </w:rPr>
              <w:t>Bayer plc</w:t>
            </w:r>
          </w:p>
        </w:tc>
        <w:tc>
          <w:tcPr>
            <w:tcW w:w="279" w:type="pct"/>
          </w:tcPr>
          <w:p w14:paraId="46921700" w14:textId="7B7346F5"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6D893B0E" w14:textId="10762955" w:rsidR="00897293" w:rsidRPr="00CC6553" w:rsidRDefault="00897293" w:rsidP="00B234F1">
            <w:pPr>
              <w:rPr>
                <w:rFonts w:cs="Arial"/>
                <w:color w:val="000000" w:themeColor="text1"/>
                <w:sz w:val="20"/>
              </w:rPr>
            </w:pPr>
            <w:r w:rsidRPr="00CC6553">
              <w:rPr>
                <w:rFonts w:cs="Arial"/>
                <w:color w:val="000000" w:themeColor="text1"/>
                <w:sz w:val="20"/>
              </w:rPr>
              <w:t>029</w:t>
            </w:r>
          </w:p>
        </w:tc>
        <w:tc>
          <w:tcPr>
            <w:tcW w:w="214" w:type="pct"/>
          </w:tcPr>
          <w:p w14:paraId="44AB830B" w14:textId="201C4CF7" w:rsidR="00897293" w:rsidRPr="00CC6553" w:rsidRDefault="00897293" w:rsidP="00B234F1">
            <w:pPr>
              <w:rPr>
                <w:rFonts w:cs="Arial"/>
                <w:color w:val="000000" w:themeColor="text1"/>
                <w:sz w:val="20"/>
              </w:rPr>
            </w:pPr>
            <w:r w:rsidRPr="00CC6553">
              <w:rPr>
                <w:rFonts w:cs="Arial"/>
                <w:color w:val="000000" w:themeColor="text1"/>
                <w:sz w:val="20"/>
              </w:rPr>
              <w:t>007 - 009</w:t>
            </w:r>
          </w:p>
        </w:tc>
        <w:tc>
          <w:tcPr>
            <w:tcW w:w="1521" w:type="pct"/>
          </w:tcPr>
          <w:p w14:paraId="02CF19B0" w14:textId="26727FAE" w:rsidR="00897293" w:rsidRPr="00CC6553" w:rsidRDefault="00897293" w:rsidP="00B234F1">
            <w:pPr>
              <w:rPr>
                <w:rFonts w:cs="Arial"/>
                <w:color w:val="000000" w:themeColor="text1"/>
                <w:sz w:val="20"/>
              </w:rPr>
            </w:pPr>
            <w:r w:rsidRPr="00CC6553">
              <w:rPr>
                <w:rFonts w:cs="Arial"/>
                <w:color w:val="000000" w:themeColor="text1"/>
                <w:sz w:val="20"/>
              </w:rPr>
              <w:t xml:space="preserve">There was no cost-effectiveness evidence, but the only MRAs currently licenced for this indication, </w:t>
            </w:r>
            <w:r w:rsidRPr="00CC6553">
              <w:rPr>
                <w:rFonts w:cs="Arial"/>
                <w:color w:val="000000" w:themeColor="text1"/>
                <w:sz w:val="20"/>
              </w:rPr>
              <w:br/>
              <w:t>eplerenone and spironolactone, are relatively cheaply in their generic form.</w:t>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lastRenderedPageBreak/>
              <w:br/>
              <w:t>Bayer supports the inclusion of recommendations for the use of MRAs in the management of HFpEF and HFmrEF, given the emerging evidence of benefit in this population. However, we suggest a clarification to the licensing status of the referenced agents to ensure alignment with regulatory guidance and to support accurate prescribing.</w:t>
            </w:r>
            <w:r w:rsidRPr="00CC6553">
              <w:rPr>
                <w:rFonts w:cs="Arial"/>
                <w:color w:val="000000" w:themeColor="text1"/>
                <w:sz w:val="20"/>
              </w:rPr>
              <w:br/>
              <w:t>The statement appears to inaccurately describe the licensing status of eplerenone and spironolactone in the context of HFpEF and HFmrEF. According to the respective Summary of Product Characteristics (SmPCs):</w:t>
            </w:r>
            <w:r w:rsidRPr="00CC6553">
              <w:rPr>
                <w:rFonts w:cs="Arial"/>
                <w:color w:val="000000" w:themeColor="text1"/>
                <w:sz w:val="20"/>
              </w:rPr>
              <w:br/>
              <w:t>Spironolactone is licensed for use in severe heart failure (NYHA class III–IV), based on the RALES trial, which enrolled patients with LVEF ≤35% and a history of NYHA class IV symptoms within six months (eMC, 2024b; Pitt et al., 1999).</w:t>
            </w:r>
            <w:r w:rsidRPr="00CC6553">
              <w:rPr>
                <w:rFonts w:cs="Arial"/>
                <w:color w:val="000000" w:themeColor="text1"/>
                <w:sz w:val="20"/>
              </w:rPr>
              <w:br/>
              <w:t>Eplerenone is licensed for:</w:t>
            </w:r>
            <w:r w:rsidRPr="00CC6553">
              <w:rPr>
                <w:rFonts w:cs="Arial"/>
                <w:color w:val="000000" w:themeColor="text1"/>
                <w:sz w:val="20"/>
              </w:rPr>
              <w:br/>
              <w:t>Post-myocardial infarction patients with LVEF ≤40% and clinical signs of heart failure (EPHESUS trial) (Pitt et al., 2003).</w:t>
            </w:r>
            <w:r w:rsidRPr="00CC6553">
              <w:rPr>
                <w:rFonts w:cs="Arial"/>
                <w:color w:val="000000" w:themeColor="text1"/>
                <w:sz w:val="20"/>
              </w:rPr>
              <w:br/>
              <w:t>Stable chronic HFrEF with mild symptoms (NYHA class II) and LVEF ≤30%, or ≤35% with QRS &gt;130 ms (EMPHASIS-HF trial) (Zannad et al., 2011; eMC, 2024a).</w:t>
            </w:r>
            <w:r w:rsidRPr="00CC6553">
              <w:rPr>
                <w:rFonts w:cs="Arial"/>
                <w:color w:val="000000" w:themeColor="text1"/>
                <w:sz w:val="20"/>
              </w:rPr>
              <w:br/>
            </w:r>
            <w:r w:rsidRPr="00CC6553">
              <w:rPr>
                <w:rFonts w:cs="Arial"/>
                <w:color w:val="000000" w:themeColor="text1"/>
                <w:sz w:val="20"/>
              </w:rPr>
              <w:br/>
              <w:t>Neither agent is currently licensed for HFpEF or HFmrEF, nor is HFpEF or HFmrEF data included in the evidence supporting the indications for these medicines. The reference to these MRAs as “licensed for this indication” may therefore be misleading and could benefit from clarification to reflect their actual regulatory status.</w:t>
            </w:r>
            <w:r w:rsidRPr="00CC6553">
              <w:rPr>
                <w:rFonts w:cs="Arial"/>
                <w:color w:val="000000" w:themeColor="text1"/>
                <w:sz w:val="20"/>
              </w:rPr>
              <w:br/>
            </w:r>
            <w:r w:rsidRPr="00CC6553">
              <w:rPr>
                <w:rFonts w:cs="Arial"/>
                <w:color w:val="000000" w:themeColor="text1"/>
                <w:sz w:val="20"/>
              </w:rPr>
              <w:br/>
              <w:t xml:space="preserve">Whilst spironolactone and eplerenone are currently being used for managing HFpEF and HFmrEF off-label, we suggest that this statement (page 29, lines 7-9 of draft guideline) is removed from the guideline due to the poor quality of evidence supporting the use of spironolactone in HFpEF and HFmrEF, little or no evidence on eplerenone and with due consideration that finerenone is the subject of an ongoing health </w:t>
            </w:r>
            <w:r w:rsidRPr="001928AF">
              <w:rPr>
                <w:rFonts w:cs="Arial"/>
                <w:color w:val="000000" w:themeColor="text1"/>
                <w:sz w:val="20"/>
              </w:rPr>
              <w:t xml:space="preserve">technology guidance in development with </w:t>
            </w:r>
            <w:r w:rsidRPr="001928AF">
              <w:rPr>
                <w:rFonts w:cs="Arial"/>
                <w:color w:val="000000" w:themeColor="text1"/>
                <w:sz w:val="20"/>
                <w:u w:val="single"/>
              </w:rPr>
              <w:t>[This text was identified as confidential and has been removed].</w:t>
            </w:r>
            <w:r w:rsidRPr="00CC6553">
              <w:rPr>
                <w:rFonts w:cs="Arial"/>
                <w:color w:val="000000" w:themeColor="text1"/>
                <w:sz w:val="20"/>
              </w:rPr>
              <w:br/>
            </w:r>
            <w:r w:rsidRPr="00CC6553">
              <w:rPr>
                <w:rFonts w:cs="Arial"/>
                <w:color w:val="000000" w:themeColor="text1"/>
                <w:sz w:val="20"/>
              </w:rPr>
              <w:lastRenderedPageBreak/>
              <w:br/>
              <w:t>References</w:t>
            </w:r>
            <w:r w:rsidRPr="00CC6553">
              <w:rPr>
                <w:rFonts w:cs="Arial"/>
                <w:color w:val="000000" w:themeColor="text1"/>
                <w:sz w:val="20"/>
              </w:rPr>
              <w:br/>
              <w:t>electronic Medicines Compendium (eMC), 2024a. Eplerenone 25 mg film-coated tablets – Summary of Product Characteristics (SmPC). [online] Available at: https://www.medicines.org.uk/emc/product/15063/smpc [Accessed 25 Jun 2025].</w:t>
            </w:r>
            <w:r w:rsidRPr="00CC6553">
              <w:rPr>
                <w:rFonts w:cs="Arial"/>
                <w:color w:val="000000" w:themeColor="text1"/>
                <w:sz w:val="20"/>
              </w:rPr>
              <w:br/>
              <w:t>electronic Medicines Compendium (eMC), 2024b. Spironolactone 25 mg tablets – Summary of Product Characteristics (SmPC). [online] Available at: https://www.medicines.org.uk/emc/product/1619/smpc [Accessed 25 Jun 2025].</w:t>
            </w:r>
            <w:r w:rsidRPr="00CC6553">
              <w:rPr>
                <w:rFonts w:cs="Arial"/>
                <w:color w:val="000000" w:themeColor="text1"/>
                <w:sz w:val="20"/>
              </w:rPr>
              <w:br/>
              <w:t>Pitt, B. et al., 1999. The effect of spironolactone on morbidity and mortality in patients with severe heart failure. New England Journal of Medicine, 341(10), pp.709–717.</w:t>
            </w:r>
            <w:r w:rsidRPr="00CC6553">
              <w:rPr>
                <w:rFonts w:cs="Arial"/>
                <w:color w:val="000000" w:themeColor="text1"/>
                <w:sz w:val="20"/>
              </w:rPr>
              <w:br/>
              <w:t>Pitt, B. et al., 2003. Eplerenone, a selective aldosterone blocker, in patients with left ventricular dysfunction after myocardial infarction. New England Journal of Medicine, 348(14), pp.1309–1321.</w:t>
            </w:r>
            <w:r w:rsidRPr="00CC6553">
              <w:rPr>
                <w:rFonts w:cs="Arial"/>
                <w:color w:val="000000" w:themeColor="text1"/>
                <w:sz w:val="20"/>
              </w:rPr>
              <w:br/>
              <w:t>Zannad, F. et al., 2011. Eplerenone in patients with systolic heart failure and mild symptoms. New England Journal of Medicine, 364(1), pp.11–21</w:t>
            </w:r>
          </w:p>
        </w:tc>
        <w:tc>
          <w:tcPr>
            <w:tcW w:w="2122" w:type="pct"/>
          </w:tcPr>
          <w:p w14:paraId="5D726844" w14:textId="25F9C266" w:rsidR="00897293" w:rsidRPr="00CC6553" w:rsidRDefault="00897293" w:rsidP="001E40CC">
            <w:pPr>
              <w:pStyle w:val="Heading1"/>
              <w:spacing w:line="259" w:lineRule="auto"/>
              <w:rPr>
                <w:rFonts w:cs="Arial"/>
                <w:b w:val="0"/>
                <w:bCs w:val="0"/>
                <w:color w:val="000000" w:themeColor="text1"/>
                <w:sz w:val="20"/>
              </w:rPr>
            </w:pPr>
            <w:r w:rsidRPr="00CC6553">
              <w:rPr>
                <w:rFonts w:cs="Arial"/>
                <w:b w:val="0"/>
                <w:bCs w:val="0"/>
                <w:color w:val="000000" w:themeColor="text1"/>
                <w:sz w:val="20"/>
              </w:rPr>
              <w:lastRenderedPageBreak/>
              <w:t xml:space="preserve">Thank you for your comment.  </w:t>
            </w:r>
          </w:p>
          <w:p w14:paraId="0916EA4C" w14:textId="77777777" w:rsidR="00897293" w:rsidRPr="00CC6553" w:rsidRDefault="00897293" w:rsidP="001E40CC">
            <w:pPr>
              <w:pStyle w:val="Heading1"/>
              <w:spacing w:line="259" w:lineRule="auto"/>
              <w:rPr>
                <w:rFonts w:cs="Arial"/>
                <w:b w:val="0"/>
                <w:bCs w:val="0"/>
                <w:color w:val="000000" w:themeColor="text1"/>
                <w:sz w:val="20"/>
              </w:rPr>
            </w:pPr>
          </w:p>
          <w:p w14:paraId="7A2C4097" w14:textId="66E79362" w:rsidR="00897293" w:rsidRPr="00CC6553" w:rsidRDefault="00897293" w:rsidP="001E40CC">
            <w:pPr>
              <w:pStyle w:val="Heading1"/>
              <w:spacing w:line="259" w:lineRule="auto"/>
              <w:rPr>
                <w:rFonts w:cs="Arial"/>
                <w:b w:val="0"/>
                <w:color w:val="000000" w:themeColor="text1"/>
                <w:sz w:val="20"/>
              </w:rPr>
            </w:pPr>
            <w:r w:rsidRPr="00CC6553">
              <w:rPr>
                <w:rFonts w:cs="Arial"/>
                <w:b w:val="0"/>
                <w:color w:val="000000" w:themeColor="text1"/>
                <w:sz w:val="20"/>
              </w:rPr>
              <w:t xml:space="preserve">Spirolactone is licensed for congestive heart failure which we </w:t>
            </w:r>
            <w:r w:rsidRPr="00CC6553">
              <w:rPr>
                <w:rFonts w:cs="Arial"/>
                <w:b w:val="0"/>
                <w:color w:val="000000" w:themeColor="text1"/>
                <w:sz w:val="20"/>
              </w:rPr>
              <w:lastRenderedPageBreak/>
              <w:t xml:space="preserve">included within economic modelling as a scenario and found spirolactone to be considered cost-effective based on the £20,000 per QALY threshold. The rationale has been updated to “There was no cost-effectiveness evidence, but spironolactone, is relatively cheap in its generic form.” </w:t>
            </w:r>
            <w:r w:rsidRPr="00CC6553">
              <w:rPr>
                <w:rFonts w:cs="Arial"/>
                <w:b w:val="0"/>
                <w:bCs w:val="0"/>
                <w:color w:val="000000" w:themeColor="text1"/>
                <w:sz w:val="20"/>
              </w:rPr>
              <w:t xml:space="preserve">To remove the terms around licensing to avoid confusion. </w:t>
            </w:r>
          </w:p>
          <w:p w14:paraId="1635CD08" w14:textId="482A4367" w:rsidR="00897293" w:rsidRPr="00CC6553" w:rsidRDefault="00897293" w:rsidP="001E40CC">
            <w:pPr>
              <w:pStyle w:val="Heading1"/>
              <w:spacing w:line="259" w:lineRule="auto"/>
              <w:rPr>
                <w:rFonts w:cs="Arial"/>
                <w:b w:val="0"/>
                <w:bCs w:val="0"/>
                <w:color w:val="000000" w:themeColor="text1"/>
                <w:sz w:val="20"/>
              </w:rPr>
            </w:pPr>
          </w:p>
          <w:p w14:paraId="290778C9" w14:textId="77777777" w:rsidR="00897293" w:rsidRPr="00CC6553" w:rsidRDefault="00897293" w:rsidP="001E40CC">
            <w:pPr>
              <w:pStyle w:val="Heading1"/>
              <w:spacing w:line="259" w:lineRule="auto"/>
              <w:rPr>
                <w:rFonts w:cs="Arial"/>
                <w:b w:val="0"/>
                <w:bCs w:val="0"/>
                <w:color w:val="000000" w:themeColor="text1"/>
                <w:sz w:val="20"/>
              </w:rPr>
            </w:pPr>
          </w:p>
          <w:p w14:paraId="1EB1786F" w14:textId="6823E615" w:rsidR="00897293" w:rsidRPr="00CC6553" w:rsidRDefault="00897293" w:rsidP="001E40CC">
            <w:pPr>
              <w:pStyle w:val="Heading1"/>
              <w:spacing w:line="259" w:lineRule="auto"/>
              <w:rPr>
                <w:rFonts w:cs="Arial"/>
                <w:b w:val="0"/>
                <w:bCs w:val="0"/>
                <w:color w:val="000000" w:themeColor="text1"/>
                <w:sz w:val="20"/>
              </w:rPr>
            </w:pPr>
            <w:r w:rsidRPr="00CC6553">
              <w:rPr>
                <w:rFonts w:cs="Arial"/>
                <w:b w:val="0"/>
                <w:bCs w:val="0"/>
                <w:color w:val="000000" w:themeColor="text1"/>
                <w:sz w:val="20"/>
              </w:rPr>
              <w:t xml:space="preserve">Thank-you for your comments. As eplerenone is licensed for CHF with reduced ejection fraction, we have reconsidered the inclusion of trials investigating eplerenone in evidence review D. </w:t>
            </w:r>
            <w:r w:rsidRPr="009B3C47">
              <w:rPr>
                <w:rFonts w:cs="Arial"/>
                <w:b w:val="0"/>
                <w:bCs w:val="0"/>
                <w:color w:val="000000" w:themeColor="text1"/>
                <w:sz w:val="20"/>
              </w:rPr>
              <w:t>Accordingly, the evidence review has been amended to remove RCTs investigating eplerenone</w:t>
            </w:r>
          </w:p>
          <w:p w14:paraId="79AADD40" w14:textId="77777777" w:rsidR="00897293" w:rsidRPr="00CC6553" w:rsidRDefault="00897293" w:rsidP="001E40CC">
            <w:pPr>
              <w:pStyle w:val="Heading1"/>
              <w:spacing w:line="259" w:lineRule="auto"/>
              <w:rPr>
                <w:rFonts w:cs="Arial"/>
                <w:b w:val="0"/>
                <w:bCs w:val="0"/>
                <w:color w:val="000000" w:themeColor="text1"/>
                <w:sz w:val="20"/>
              </w:rPr>
            </w:pPr>
            <w:r w:rsidRPr="00CC6553">
              <w:rPr>
                <w:rFonts w:cs="Arial"/>
                <w:b w:val="0"/>
                <w:bCs w:val="0"/>
                <w:color w:val="000000" w:themeColor="text1"/>
                <w:sz w:val="20"/>
              </w:rPr>
              <w:t xml:space="preserve"> </w:t>
            </w:r>
          </w:p>
          <w:p w14:paraId="2AF6CDCC" w14:textId="77777777" w:rsidR="00897293" w:rsidRPr="00CC6553" w:rsidRDefault="00897293" w:rsidP="001E40CC">
            <w:pPr>
              <w:pStyle w:val="Heading1"/>
              <w:spacing w:line="259" w:lineRule="auto"/>
              <w:rPr>
                <w:rFonts w:cs="Arial"/>
                <w:b w:val="0"/>
                <w:bCs w:val="0"/>
                <w:color w:val="000000" w:themeColor="text1"/>
                <w:sz w:val="20"/>
              </w:rPr>
            </w:pPr>
          </w:p>
          <w:p w14:paraId="69E9F81C" w14:textId="5941D42A" w:rsidR="00897293" w:rsidRPr="00CC6553" w:rsidRDefault="00897293" w:rsidP="001E40CC">
            <w:pPr>
              <w:pStyle w:val="Heading1"/>
              <w:spacing w:line="259" w:lineRule="auto"/>
              <w:rPr>
                <w:color w:val="000000" w:themeColor="text1"/>
              </w:rPr>
            </w:pPr>
            <w:r w:rsidRPr="00CC6553">
              <w:rPr>
                <w:rFonts w:cs="Arial"/>
                <w:b w:val="0"/>
                <w:bCs w:val="0"/>
                <w:color w:val="000000" w:themeColor="text1"/>
                <w:sz w:val="20"/>
              </w:rPr>
              <w:t xml:space="preserve">The evidence presented in evidence reviews B and D includes interventions using spironolactone and finerenone.  </w:t>
            </w:r>
          </w:p>
        </w:tc>
      </w:tr>
      <w:tr w:rsidR="00897293" w:rsidRPr="00CC6553" w14:paraId="79C4C844" w14:textId="77777777" w:rsidTr="00897293">
        <w:trPr>
          <w:trHeight w:val="300"/>
        </w:trPr>
        <w:tc>
          <w:tcPr>
            <w:tcW w:w="109" w:type="pct"/>
          </w:tcPr>
          <w:p w14:paraId="05C5DC7E"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295</w:t>
            </w:r>
          </w:p>
        </w:tc>
        <w:tc>
          <w:tcPr>
            <w:tcW w:w="143" w:type="pct"/>
          </w:tcPr>
          <w:p w14:paraId="12A87DBB" w14:textId="2E2E6C92"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4EC2C00" w14:textId="4607E7BE" w:rsidR="00897293" w:rsidRPr="00CC6553" w:rsidRDefault="00897293" w:rsidP="00B234F1">
            <w:pPr>
              <w:rPr>
                <w:rFonts w:cs="Arial"/>
                <w:bCs/>
                <w:iCs/>
                <w:color w:val="000000" w:themeColor="text1"/>
                <w:sz w:val="20"/>
              </w:rPr>
            </w:pPr>
            <w:r w:rsidRPr="00CC6553">
              <w:rPr>
                <w:rFonts w:cs="Arial"/>
                <w:color w:val="000000" w:themeColor="text1"/>
                <w:sz w:val="20"/>
              </w:rPr>
              <w:t>NHS Surrey Heartlands Integrated Care Board (ICB)</w:t>
            </w:r>
          </w:p>
        </w:tc>
        <w:tc>
          <w:tcPr>
            <w:tcW w:w="279" w:type="pct"/>
          </w:tcPr>
          <w:p w14:paraId="5360D743" w14:textId="38524189"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452F0852" w14:textId="46A8F29F" w:rsidR="00897293" w:rsidRPr="00CC6553" w:rsidRDefault="00897293" w:rsidP="00B234F1">
            <w:pPr>
              <w:rPr>
                <w:rFonts w:cs="Arial"/>
                <w:color w:val="000000" w:themeColor="text1"/>
                <w:sz w:val="20"/>
              </w:rPr>
            </w:pPr>
            <w:r w:rsidRPr="00CC6553">
              <w:rPr>
                <w:rFonts w:cs="Arial"/>
                <w:color w:val="000000" w:themeColor="text1"/>
                <w:sz w:val="20"/>
              </w:rPr>
              <w:t>031</w:t>
            </w:r>
          </w:p>
        </w:tc>
        <w:tc>
          <w:tcPr>
            <w:tcW w:w="214" w:type="pct"/>
          </w:tcPr>
          <w:p w14:paraId="385F099B" w14:textId="5A708D09" w:rsidR="00897293" w:rsidRPr="00CC6553" w:rsidRDefault="00897293" w:rsidP="00B234F1">
            <w:pPr>
              <w:rPr>
                <w:rFonts w:cs="Arial"/>
                <w:color w:val="000000" w:themeColor="text1"/>
                <w:sz w:val="20"/>
              </w:rPr>
            </w:pPr>
            <w:r w:rsidRPr="00CC6553">
              <w:rPr>
                <w:rFonts w:cs="Arial"/>
                <w:color w:val="000000" w:themeColor="text1"/>
                <w:sz w:val="20"/>
              </w:rPr>
              <w:t>024 - 029</w:t>
            </w:r>
          </w:p>
        </w:tc>
        <w:tc>
          <w:tcPr>
            <w:tcW w:w="1521" w:type="pct"/>
          </w:tcPr>
          <w:p w14:paraId="310054A7" w14:textId="2ADF72DB" w:rsidR="00897293" w:rsidRPr="00CC6553" w:rsidRDefault="00897293" w:rsidP="00B234F1">
            <w:pPr>
              <w:rPr>
                <w:rFonts w:cs="Arial"/>
                <w:color w:val="000000" w:themeColor="text1"/>
                <w:sz w:val="20"/>
              </w:rPr>
            </w:pPr>
            <w:r w:rsidRPr="00CC6553">
              <w:rPr>
                <w:rFonts w:cs="Arial"/>
                <w:color w:val="000000" w:themeColor="text1"/>
                <w:sz w:val="20"/>
              </w:rPr>
              <w:t>Comment on Draft Guidance – Chronic Heart Failure Update 2025 Section: Recommendations – Early Initiation of Cornerstone Therapies (Draft NICE Guidance, June 2025)</w:t>
            </w:r>
            <w:r w:rsidRPr="00CC6553">
              <w:rPr>
                <w:rFonts w:cs="Arial"/>
                <w:color w:val="000000" w:themeColor="text1"/>
                <w:sz w:val="20"/>
              </w:rPr>
              <w:br/>
            </w:r>
            <w:r w:rsidRPr="00CC6553">
              <w:rPr>
                <w:rFonts w:cs="Arial"/>
                <w:color w:val="000000" w:themeColor="text1"/>
                <w:sz w:val="20"/>
              </w:rPr>
              <w:br/>
              <w:t>The recommendation to begin multiple heart failure therapies in parallel—including ACE inhibitors, beta-blockers, MRAs, SGLT2 inhibitors, and possibly ARNIs—is appropriate for patients who are being closely monitored in hospital or specialist settings. These environments provide the clinical oversight needed for safe titration, management of side effects, and rapid intervention if complications arise.</w:t>
            </w:r>
            <w:r w:rsidRPr="00CC6553">
              <w:rPr>
                <w:rFonts w:cs="Arial"/>
                <w:color w:val="000000" w:themeColor="text1"/>
                <w:sz w:val="20"/>
              </w:rPr>
              <w:br/>
            </w:r>
            <w:r w:rsidRPr="00CC6553">
              <w:rPr>
                <w:rFonts w:cs="Arial"/>
                <w:color w:val="000000" w:themeColor="text1"/>
                <w:sz w:val="20"/>
              </w:rPr>
              <w:br/>
              <w:t xml:space="preserve">However, for patients who are discharged shortly after initiation or whose treatment begins in outpatient or primary care settings, this approach may carry significant risk. In such cases, rapid multi-drug initiation without the infrastructure for careful follow-up has led to poor outcomes in our clinical experience. Patients can present in distress due to hypotension, renal dysfunction, or other avoidable </w:t>
            </w:r>
            <w:r w:rsidRPr="00CC6553">
              <w:rPr>
                <w:rFonts w:cs="Arial"/>
                <w:color w:val="000000" w:themeColor="text1"/>
                <w:sz w:val="20"/>
              </w:rPr>
              <w:lastRenderedPageBreak/>
              <w:t>complications when therapy is escalated too quickly in settings without specialist support.</w:t>
            </w:r>
            <w:r w:rsidRPr="00CC6553">
              <w:rPr>
                <w:rFonts w:cs="Arial"/>
                <w:color w:val="000000" w:themeColor="text1"/>
                <w:sz w:val="20"/>
              </w:rPr>
              <w:br/>
            </w:r>
            <w:r w:rsidRPr="00CC6553">
              <w:rPr>
                <w:rFonts w:cs="Arial"/>
                <w:color w:val="000000" w:themeColor="text1"/>
                <w:sz w:val="20"/>
              </w:rPr>
              <w:br/>
              <w:t>This experience has led to increased caution among heart failure specialists. We urge NICE to incorporate clearer guidance on the settings appropriate for aggressive therapy initiation, and to develop a framework for safer titration protocols in lower-resource outpatient environments. This would help avoid harm and maintain the intended benefits of early treatment.</w:t>
            </w:r>
          </w:p>
        </w:tc>
        <w:tc>
          <w:tcPr>
            <w:tcW w:w="2122" w:type="pct"/>
          </w:tcPr>
          <w:p w14:paraId="74BC603C" w14:textId="105DE7FF" w:rsidR="00897293" w:rsidRPr="00CC6553" w:rsidRDefault="00897293" w:rsidP="476BDDBF">
            <w:pPr>
              <w:rPr>
                <w:color w:val="000000" w:themeColor="text1"/>
              </w:rPr>
            </w:pPr>
            <w:r w:rsidRPr="009B3C47">
              <w:rPr>
                <w:color w:val="000000" w:themeColor="text1"/>
                <w:sz w:val="20"/>
              </w:rPr>
              <w:lastRenderedPageBreak/>
              <w:t>Thank you for your comment.</w:t>
            </w:r>
            <w:r w:rsidRPr="00CC6553">
              <w:rPr>
                <w:color w:val="000000" w:themeColor="text1"/>
              </w:rPr>
              <w:t xml:space="preserve">  </w:t>
            </w:r>
            <w:r w:rsidRPr="009B3C47">
              <w:rPr>
                <w:rFonts w:cs="Arial"/>
                <w:color w:val="000000" w:themeColor="text1"/>
                <w:sz w:val="20"/>
              </w:rPr>
              <w:t xml:space="preserve">This section of the guideline is describing how clinical practice will change based on the recommendations.  These recommend that factors such as medical history, frailty status, prognosis and preferences are taken into account when choosing specific medicines and medicine combinations and when optimising these.  Rapid multi-drug initiation may not always be appropriate.  </w:t>
            </w:r>
            <w:r w:rsidRPr="009B3C47">
              <w:rPr>
                <w:rFonts w:eastAsia="Segoe UI" w:cs="Arial"/>
                <w:color w:val="000000" w:themeColor="text1"/>
                <w:sz w:val="20"/>
              </w:rPr>
              <w:t xml:space="preserve">The committee acknowledged the variation in resources and that this as well as patient profile would </w:t>
            </w:r>
            <w:r w:rsidRPr="009B3C47">
              <w:rPr>
                <w:rFonts w:eastAsia="Segoe UI" w:cs="Arial"/>
                <w:color w:val="000000" w:themeColor="text1"/>
                <w:sz w:val="20"/>
              </w:rPr>
              <w:lastRenderedPageBreak/>
              <w:t>dramatically impact the degree to which all 4 pillars can be initiated and then titrated. If local resources are inadequate, the this document should be used to trigger discussion with commissioners such that these guidelines can be appropriately and safely implemented.</w:t>
            </w:r>
            <w:r w:rsidRPr="009B3C47">
              <w:rPr>
                <w:rFonts w:cs="Arial"/>
                <w:color w:val="000000" w:themeColor="text1"/>
                <w:sz w:val="20"/>
              </w:rPr>
              <w:t xml:space="preserve"> The recommendations do not preclude specialist advice being sought by primary care prescribers.</w:t>
            </w:r>
            <w:r w:rsidRPr="00CC6553">
              <w:rPr>
                <w:color w:val="000000" w:themeColor="text1"/>
              </w:rPr>
              <w:t xml:space="preserve">  </w:t>
            </w:r>
          </w:p>
        </w:tc>
      </w:tr>
      <w:tr w:rsidR="00897293" w:rsidRPr="00CC6553" w14:paraId="5C164BEF" w14:textId="77777777" w:rsidTr="00897293">
        <w:trPr>
          <w:trHeight w:val="300"/>
        </w:trPr>
        <w:tc>
          <w:tcPr>
            <w:tcW w:w="109" w:type="pct"/>
          </w:tcPr>
          <w:p w14:paraId="0D43DD41"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296</w:t>
            </w:r>
          </w:p>
        </w:tc>
        <w:tc>
          <w:tcPr>
            <w:tcW w:w="143" w:type="pct"/>
          </w:tcPr>
          <w:p w14:paraId="7F8BC686" w14:textId="5945F434"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304C008F" w14:textId="6BB65504" w:rsidR="00897293" w:rsidRPr="00CC6553" w:rsidRDefault="00897293" w:rsidP="00B234F1">
            <w:pPr>
              <w:rPr>
                <w:rFonts w:cs="Arial"/>
                <w:bCs/>
                <w:iCs/>
                <w:color w:val="000000" w:themeColor="text1"/>
                <w:sz w:val="20"/>
              </w:rPr>
            </w:pPr>
            <w:r w:rsidRPr="00CC6553">
              <w:rPr>
                <w:rFonts w:cs="Arial"/>
                <w:color w:val="000000" w:themeColor="text1"/>
                <w:sz w:val="20"/>
              </w:rPr>
              <w:t>Teva UK</w:t>
            </w:r>
          </w:p>
        </w:tc>
        <w:tc>
          <w:tcPr>
            <w:tcW w:w="279" w:type="pct"/>
          </w:tcPr>
          <w:p w14:paraId="6EBE4DC8" w14:textId="4CE86A65"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15BAD7B6" w14:textId="0B468CEC" w:rsidR="00897293" w:rsidRPr="00CC6553" w:rsidRDefault="00897293" w:rsidP="00B234F1">
            <w:pPr>
              <w:rPr>
                <w:rFonts w:cs="Arial"/>
                <w:color w:val="000000" w:themeColor="text1"/>
                <w:sz w:val="20"/>
              </w:rPr>
            </w:pPr>
            <w:r w:rsidRPr="00CC6553">
              <w:rPr>
                <w:rFonts w:cs="Arial"/>
                <w:color w:val="000000" w:themeColor="text1"/>
                <w:sz w:val="20"/>
              </w:rPr>
              <w:t>031 -</w:t>
            </w:r>
            <w:r w:rsidRPr="00CC6553">
              <w:rPr>
                <w:rFonts w:cs="Arial"/>
                <w:color w:val="000000" w:themeColor="text1"/>
                <w:sz w:val="20"/>
              </w:rPr>
              <w:br/>
              <w:t>032</w:t>
            </w:r>
          </w:p>
        </w:tc>
        <w:tc>
          <w:tcPr>
            <w:tcW w:w="214" w:type="pct"/>
          </w:tcPr>
          <w:p w14:paraId="3BF223E1" w14:textId="2C98E040" w:rsidR="00897293" w:rsidRPr="00CC6553" w:rsidRDefault="00897293" w:rsidP="00B234F1">
            <w:pPr>
              <w:rPr>
                <w:rFonts w:cs="Arial"/>
                <w:color w:val="000000" w:themeColor="text1"/>
                <w:sz w:val="20"/>
              </w:rPr>
            </w:pPr>
            <w:r w:rsidRPr="00CC6553">
              <w:rPr>
                <w:rFonts w:cs="Arial"/>
                <w:color w:val="000000" w:themeColor="text1"/>
                <w:sz w:val="20"/>
              </w:rPr>
              <w:t>024 – 029, 001 - 002</w:t>
            </w:r>
          </w:p>
        </w:tc>
        <w:tc>
          <w:tcPr>
            <w:tcW w:w="1521" w:type="pct"/>
          </w:tcPr>
          <w:p w14:paraId="53574282" w14:textId="5F0BA15A" w:rsidR="00897293" w:rsidRPr="00CC6553" w:rsidRDefault="00897293" w:rsidP="00B234F1">
            <w:pPr>
              <w:rPr>
                <w:rFonts w:cs="Arial"/>
                <w:color w:val="000000" w:themeColor="text1"/>
                <w:sz w:val="20"/>
              </w:rPr>
            </w:pPr>
            <w:r w:rsidRPr="00CC6553">
              <w:rPr>
                <w:rFonts w:cs="Arial"/>
                <w:color w:val="000000" w:themeColor="text1"/>
                <w:sz w:val="20"/>
              </w:rPr>
              <w:t xml:space="preserve">We agree that healthcare professionals should not be required to fully titrate one class of medicine before initiating another treatment class based on the benefits vs risks outlined. </w:t>
            </w:r>
            <w:r w:rsidRPr="00CC6553">
              <w:rPr>
                <w:rFonts w:cs="Arial"/>
                <w:color w:val="000000" w:themeColor="text1"/>
                <w:sz w:val="20"/>
              </w:rPr>
              <w:br/>
              <w:t>We do not suspect significant challenges given the guideline is now aligning with the European Society of Cardiology Guidelines and current UK clinical practice, including the NICE TAGs for SGLT2 inhibitors, which have already been in place for some time. Furthermore, we believe that reducing the steps and time it takes to fully optimise a patient on treatment with the new approach will deliver efficiency gains in instances where patients are being initiated on treatment vs current practice. NICE and commissioners should consider how these resource efficiencies can be “re-invested`” into reviewing patients who were initiated on treatment under current standard of care and offering reviews to ensure treatment is optimised in line with proposed guidelines.</w:t>
            </w:r>
          </w:p>
        </w:tc>
        <w:tc>
          <w:tcPr>
            <w:tcW w:w="2122" w:type="pct"/>
          </w:tcPr>
          <w:p w14:paraId="559F51E9" w14:textId="09D232F9"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Thank you for your comment.  The committee agree that it is important people </w:t>
            </w:r>
            <w:r w:rsidRPr="00CC6553">
              <w:rPr>
                <w:rFonts w:cs="Arial"/>
                <w:b w:val="0"/>
                <w:bCs w:val="0"/>
                <w:color w:val="000000" w:themeColor="text1"/>
                <w:sz w:val="20"/>
              </w:rPr>
              <w:t xml:space="preserve">initiated on treatment under current standard of care should be optimised as indicated by the recommendation in the guideline. </w:t>
            </w:r>
          </w:p>
        </w:tc>
      </w:tr>
      <w:tr w:rsidR="00897293" w:rsidRPr="00CC6553" w14:paraId="662554F2" w14:textId="77777777" w:rsidTr="00897293">
        <w:trPr>
          <w:trHeight w:val="300"/>
        </w:trPr>
        <w:tc>
          <w:tcPr>
            <w:tcW w:w="109" w:type="pct"/>
          </w:tcPr>
          <w:p w14:paraId="5E6BE611" w14:textId="77777777" w:rsidR="00897293" w:rsidRPr="00CC6553" w:rsidRDefault="00897293" w:rsidP="00B234F1">
            <w:pPr>
              <w:rPr>
                <w:rFonts w:cs="Arial"/>
                <w:color w:val="000000" w:themeColor="text1"/>
                <w:sz w:val="20"/>
              </w:rPr>
            </w:pPr>
            <w:r w:rsidRPr="00CC6553">
              <w:rPr>
                <w:rFonts w:cs="Arial"/>
                <w:color w:val="000000" w:themeColor="text1"/>
                <w:sz w:val="20"/>
              </w:rPr>
              <w:t>297</w:t>
            </w:r>
          </w:p>
        </w:tc>
        <w:tc>
          <w:tcPr>
            <w:tcW w:w="143" w:type="pct"/>
          </w:tcPr>
          <w:p w14:paraId="6C65F6A3" w14:textId="44BC1B30"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EB3AA9A" w14:textId="7F6BDA93"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6DA49243" w14:textId="67AD26F2"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5D8BF6A5" w14:textId="78BC0154" w:rsidR="00897293" w:rsidRPr="00CC6553" w:rsidRDefault="00897293" w:rsidP="00B234F1">
            <w:pPr>
              <w:rPr>
                <w:rFonts w:cs="Arial"/>
                <w:color w:val="000000" w:themeColor="text1"/>
                <w:sz w:val="20"/>
              </w:rPr>
            </w:pPr>
            <w:r w:rsidRPr="00CC6553">
              <w:rPr>
                <w:rFonts w:cs="Arial"/>
                <w:color w:val="000000" w:themeColor="text1"/>
                <w:sz w:val="20"/>
              </w:rPr>
              <w:t>032</w:t>
            </w:r>
          </w:p>
        </w:tc>
        <w:tc>
          <w:tcPr>
            <w:tcW w:w="214" w:type="pct"/>
          </w:tcPr>
          <w:p w14:paraId="5D81FDC4" w14:textId="5F8BF78A" w:rsidR="00897293" w:rsidRPr="00CC6553" w:rsidRDefault="00897293" w:rsidP="00B234F1">
            <w:pPr>
              <w:rPr>
                <w:rFonts w:cs="Arial"/>
                <w:color w:val="000000" w:themeColor="text1"/>
                <w:sz w:val="20"/>
              </w:rPr>
            </w:pPr>
            <w:r w:rsidRPr="00CC6553">
              <w:rPr>
                <w:rFonts w:cs="Arial"/>
                <w:color w:val="000000" w:themeColor="text1"/>
                <w:sz w:val="20"/>
              </w:rPr>
              <w:t>015</w:t>
            </w:r>
          </w:p>
        </w:tc>
        <w:tc>
          <w:tcPr>
            <w:tcW w:w="1521" w:type="pct"/>
          </w:tcPr>
          <w:p w14:paraId="5EF142A2" w14:textId="17A44513" w:rsidR="00897293" w:rsidRPr="00CC6553" w:rsidRDefault="00897293" w:rsidP="00B234F1">
            <w:pPr>
              <w:rPr>
                <w:rFonts w:cs="Arial"/>
                <w:color w:val="000000" w:themeColor="text1"/>
                <w:sz w:val="20"/>
              </w:rPr>
            </w:pPr>
            <w:r w:rsidRPr="00CC6553">
              <w:rPr>
                <w:rFonts w:cs="Arial"/>
                <w:color w:val="000000" w:themeColor="text1"/>
                <w:sz w:val="20"/>
              </w:rPr>
              <w:t>Define what untreated means, or refer to list made on 1.2.7</w:t>
            </w:r>
          </w:p>
        </w:tc>
        <w:tc>
          <w:tcPr>
            <w:tcW w:w="2122" w:type="pct"/>
          </w:tcPr>
          <w:p w14:paraId="68963969" w14:textId="12F7908B"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Thank you for your comment.  The committee agreed that it would be unclear to cross reference this recommendation as it is only for a subset of people. </w:t>
            </w:r>
          </w:p>
        </w:tc>
      </w:tr>
      <w:tr w:rsidR="00897293" w:rsidRPr="00CC6553" w14:paraId="692B1D27" w14:textId="77777777" w:rsidTr="00897293">
        <w:trPr>
          <w:trHeight w:val="300"/>
        </w:trPr>
        <w:tc>
          <w:tcPr>
            <w:tcW w:w="109" w:type="pct"/>
          </w:tcPr>
          <w:p w14:paraId="4138C605" w14:textId="77777777" w:rsidR="00897293" w:rsidRPr="00CC6553" w:rsidRDefault="00897293" w:rsidP="00B234F1">
            <w:pPr>
              <w:rPr>
                <w:rFonts w:cs="Arial"/>
                <w:color w:val="000000" w:themeColor="text1"/>
                <w:sz w:val="20"/>
              </w:rPr>
            </w:pPr>
            <w:r w:rsidRPr="00CC6553">
              <w:rPr>
                <w:rFonts w:cs="Arial"/>
                <w:color w:val="000000" w:themeColor="text1"/>
                <w:sz w:val="20"/>
              </w:rPr>
              <w:t>298</w:t>
            </w:r>
          </w:p>
        </w:tc>
        <w:tc>
          <w:tcPr>
            <w:tcW w:w="143" w:type="pct"/>
          </w:tcPr>
          <w:p w14:paraId="3A117C31" w14:textId="13FA9883"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4BD63D7D" w14:textId="0FB98C52"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7501CE81" w14:textId="5C48D824"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615C32DB" w14:textId="7198B950" w:rsidR="00897293" w:rsidRPr="00CC6553" w:rsidRDefault="00897293" w:rsidP="00B234F1">
            <w:pPr>
              <w:rPr>
                <w:rFonts w:cs="Arial"/>
                <w:color w:val="000000" w:themeColor="text1"/>
                <w:sz w:val="20"/>
              </w:rPr>
            </w:pPr>
            <w:r w:rsidRPr="00CC6553">
              <w:rPr>
                <w:rFonts w:cs="Arial"/>
                <w:color w:val="000000" w:themeColor="text1"/>
                <w:sz w:val="20"/>
              </w:rPr>
              <w:t>034</w:t>
            </w:r>
          </w:p>
        </w:tc>
        <w:tc>
          <w:tcPr>
            <w:tcW w:w="214" w:type="pct"/>
          </w:tcPr>
          <w:p w14:paraId="2917EF79" w14:textId="0B0A22E8"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164ACEB9" w14:textId="1EE9E70A" w:rsidR="00897293" w:rsidRPr="00CC6553" w:rsidRDefault="00897293" w:rsidP="00B234F1">
            <w:pPr>
              <w:rPr>
                <w:rFonts w:cs="Arial"/>
                <w:color w:val="000000" w:themeColor="text1"/>
                <w:sz w:val="20"/>
              </w:rPr>
            </w:pPr>
            <w:r w:rsidRPr="00CC6553">
              <w:rPr>
                <w:rFonts w:cs="Arial"/>
                <w:color w:val="000000" w:themeColor="text1"/>
                <w:sz w:val="20"/>
              </w:rPr>
              <w:t xml:space="preserve">Section 1.7.12 - Does assessing clinical status include discussion of side effects? People affected by cardiomyopathy in our community have highlighted to us that beta blocker side effects can have negative impacts on their health and wellbeing, </w:t>
            </w:r>
            <w:r w:rsidRPr="00CC6553">
              <w:rPr>
                <w:rFonts w:cs="Arial"/>
                <w:color w:val="000000" w:themeColor="text1"/>
                <w:sz w:val="20"/>
              </w:rPr>
              <w:lastRenderedPageBreak/>
              <w:t xml:space="preserve">such as significantly increased fatigue or negative impacts on IBS. </w:t>
            </w:r>
            <w:r w:rsidRPr="00CC6553">
              <w:rPr>
                <w:rFonts w:cs="Arial"/>
                <w:color w:val="000000" w:themeColor="text1"/>
                <w:sz w:val="20"/>
              </w:rPr>
              <w:br/>
            </w:r>
            <w:r w:rsidRPr="00CC6553">
              <w:rPr>
                <w:rFonts w:cs="Arial"/>
                <w:color w:val="000000" w:themeColor="text1"/>
                <w:sz w:val="20"/>
              </w:rPr>
              <w:br/>
              <w:t>For example:</w:t>
            </w:r>
            <w:r w:rsidRPr="00CC6553">
              <w:rPr>
                <w:rFonts w:cs="Arial"/>
                <w:color w:val="000000" w:themeColor="text1"/>
                <w:sz w:val="20"/>
              </w:rPr>
              <w:br/>
              <w:t>“I changed to a Beta Blocker which has even worse side effects.  This is essential medication for me but the side effects of both these medications blight my life hugely… My quality of life is totally undermined by these side effects.”</w:t>
            </w:r>
            <w:r w:rsidRPr="00CC6553">
              <w:rPr>
                <w:rFonts w:cs="Arial"/>
                <w:color w:val="000000" w:themeColor="text1"/>
                <w:sz w:val="20"/>
              </w:rPr>
              <w:br/>
            </w:r>
            <w:r w:rsidRPr="00CC6553">
              <w:rPr>
                <w:rFonts w:cs="Arial"/>
                <w:color w:val="000000" w:themeColor="text1"/>
                <w:sz w:val="20"/>
              </w:rPr>
              <w:br/>
              <w:t xml:space="preserve">We would suggest that discussion of side effects is made more explicit in this section. E.g. change to Assess heart rate, clinical status and any side effects before starting treatment and after each dose increment. </w:t>
            </w:r>
            <w:r w:rsidRPr="00CC6553">
              <w:rPr>
                <w:rFonts w:cs="Arial"/>
                <w:color w:val="000000" w:themeColor="text1"/>
                <w:sz w:val="20"/>
              </w:rPr>
              <w:br/>
              <w:t>We feel this is particularly important given the sex differences that mean that women are more often prescribed beta-blockers than men, may not benefit from the standardised dosage, and too often don’t feel listened to/heard when they report problems/side effects.</w:t>
            </w:r>
          </w:p>
        </w:tc>
        <w:tc>
          <w:tcPr>
            <w:tcW w:w="2122" w:type="pct"/>
          </w:tcPr>
          <w:p w14:paraId="4EE959E9" w14:textId="02DC72BF" w:rsidR="00897293" w:rsidRPr="009B3C47" w:rsidRDefault="00897293" w:rsidP="476BDDBF">
            <w:pPr>
              <w:rPr>
                <w:color w:val="000000" w:themeColor="text1"/>
                <w:sz w:val="20"/>
              </w:rPr>
            </w:pPr>
            <w:r w:rsidRPr="009B3C47">
              <w:rPr>
                <w:color w:val="000000" w:themeColor="text1"/>
                <w:sz w:val="20"/>
              </w:rPr>
              <w:lastRenderedPageBreak/>
              <w:t xml:space="preserve">Thank you for your comment.  The term clinical status has been changed to assess heart rate, blood </w:t>
            </w:r>
            <w:r w:rsidRPr="009B3C47">
              <w:rPr>
                <w:color w:val="000000" w:themeColor="text1"/>
                <w:sz w:val="20"/>
              </w:rPr>
              <w:lastRenderedPageBreak/>
              <w:t>pressure, symptoms and medication side effects.</w:t>
            </w:r>
          </w:p>
        </w:tc>
      </w:tr>
      <w:tr w:rsidR="00897293" w:rsidRPr="00CC6553" w14:paraId="4235B7C4" w14:textId="77777777" w:rsidTr="00897293">
        <w:trPr>
          <w:trHeight w:val="300"/>
        </w:trPr>
        <w:tc>
          <w:tcPr>
            <w:tcW w:w="109" w:type="pct"/>
          </w:tcPr>
          <w:p w14:paraId="360A5562"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299</w:t>
            </w:r>
          </w:p>
        </w:tc>
        <w:tc>
          <w:tcPr>
            <w:tcW w:w="143" w:type="pct"/>
          </w:tcPr>
          <w:p w14:paraId="457A5FE0" w14:textId="0E512C6C"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02BCF4F6" w14:textId="5B21F124" w:rsidR="00897293" w:rsidRPr="00CC6553" w:rsidRDefault="00897293" w:rsidP="00B234F1">
            <w:pPr>
              <w:rPr>
                <w:rFonts w:cs="Arial"/>
                <w:bCs/>
                <w:iCs/>
                <w:color w:val="000000" w:themeColor="text1"/>
                <w:sz w:val="20"/>
              </w:rPr>
            </w:pPr>
            <w:r w:rsidRPr="00CC6553">
              <w:rPr>
                <w:rFonts w:cs="Arial"/>
                <w:color w:val="000000" w:themeColor="text1"/>
                <w:sz w:val="20"/>
              </w:rPr>
              <w:t>Cardiomyopathy UK</w:t>
            </w:r>
          </w:p>
        </w:tc>
        <w:tc>
          <w:tcPr>
            <w:tcW w:w="279" w:type="pct"/>
          </w:tcPr>
          <w:p w14:paraId="260E3A04" w14:textId="402CDDFA"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0AD46B39" w14:textId="144C88E1" w:rsidR="00897293" w:rsidRPr="00CC6553" w:rsidRDefault="00897293" w:rsidP="00B234F1">
            <w:pPr>
              <w:rPr>
                <w:rFonts w:cs="Arial"/>
                <w:color w:val="000000" w:themeColor="text1"/>
                <w:sz w:val="20"/>
              </w:rPr>
            </w:pPr>
            <w:r w:rsidRPr="00CC6553">
              <w:rPr>
                <w:rFonts w:cs="Arial"/>
                <w:color w:val="000000" w:themeColor="text1"/>
                <w:sz w:val="20"/>
              </w:rPr>
              <w:t>034</w:t>
            </w:r>
          </w:p>
        </w:tc>
        <w:tc>
          <w:tcPr>
            <w:tcW w:w="214" w:type="pct"/>
          </w:tcPr>
          <w:p w14:paraId="122223EE" w14:textId="572BD709"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42C91A1B" w14:textId="47E5500E" w:rsidR="00897293" w:rsidRPr="00CC6553" w:rsidRDefault="00897293" w:rsidP="00B234F1">
            <w:pPr>
              <w:rPr>
                <w:rFonts w:cs="Arial"/>
                <w:color w:val="000000" w:themeColor="text1"/>
                <w:sz w:val="20"/>
              </w:rPr>
            </w:pPr>
            <w:r w:rsidRPr="00CC6553">
              <w:rPr>
                <w:rFonts w:cs="Arial"/>
                <w:color w:val="000000" w:themeColor="text1"/>
                <w:sz w:val="20"/>
              </w:rPr>
              <w:t xml:space="preserve">1.7.12 - Does assessing clinical status include discussion of side effects? People affected by cardiomyopathy in our community have highlighted to us that beta blocker side effects can have negative impacts on their health and wellbeing, such as significantly increased fatigue or negative impacts on IBS. </w:t>
            </w:r>
            <w:r w:rsidRPr="00CC6553">
              <w:rPr>
                <w:rFonts w:cs="Arial"/>
                <w:color w:val="000000" w:themeColor="text1"/>
                <w:sz w:val="20"/>
              </w:rPr>
              <w:br/>
            </w:r>
            <w:r w:rsidRPr="00CC6553">
              <w:rPr>
                <w:rFonts w:cs="Arial"/>
                <w:color w:val="000000" w:themeColor="text1"/>
                <w:sz w:val="20"/>
              </w:rPr>
              <w:br/>
              <w:t>For example:</w:t>
            </w:r>
            <w:r w:rsidRPr="00CC6553">
              <w:rPr>
                <w:rFonts w:cs="Arial"/>
                <w:color w:val="000000" w:themeColor="text1"/>
                <w:sz w:val="20"/>
              </w:rPr>
              <w:br/>
              <w:t>“I changed to a Beta Blocker which has even worse side effects.  This is essential medication for me but the side effects of both these medications blight my life hugely… My quality of life is totally undermined by these side effects.”</w:t>
            </w:r>
            <w:r w:rsidRPr="00CC6553">
              <w:rPr>
                <w:rFonts w:cs="Arial"/>
                <w:color w:val="000000" w:themeColor="text1"/>
                <w:sz w:val="20"/>
              </w:rPr>
              <w:br/>
            </w:r>
            <w:r w:rsidRPr="00CC6553">
              <w:rPr>
                <w:rFonts w:cs="Arial"/>
                <w:color w:val="000000" w:themeColor="text1"/>
                <w:sz w:val="20"/>
              </w:rPr>
              <w:br/>
              <w:t xml:space="preserve">We would suggest that discussion of side effects is made more explicit in this section. E.g. change to Assess heart rate, clinical status and any side effects before starting treatment and after each dose increment. </w:t>
            </w:r>
            <w:r w:rsidRPr="00CC6553">
              <w:rPr>
                <w:rFonts w:cs="Arial"/>
                <w:color w:val="000000" w:themeColor="text1"/>
                <w:sz w:val="20"/>
              </w:rPr>
              <w:br/>
              <w:t>We feel this is particularly important given the sex differences that mean that women are more often prescribed beta-blockers than men, may not benefit from the standardised dosage, and too often don’t feel listened to/heard when they report problems/side effects.</w:t>
            </w:r>
          </w:p>
        </w:tc>
        <w:tc>
          <w:tcPr>
            <w:tcW w:w="2122" w:type="pct"/>
          </w:tcPr>
          <w:p w14:paraId="126CAB43" w14:textId="11970167" w:rsidR="00897293" w:rsidRPr="009B3C47" w:rsidRDefault="00897293" w:rsidP="476BDDBF">
            <w:pPr>
              <w:rPr>
                <w:color w:val="000000" w:themeColor="text1"/>
                <w:sz w:val="20"/>
              </w:rPr>
            </w:pPr>
            <w:r w:rsidRPr="009B3C47">
              <w:rPr>
                <w:color w:val="000000" w:themeColor="text1"/>
                <w:sz w:val="20"/>
              </w:rPr>
              <w:t>Thank you for your comment.  The term clinical status has been changed to assess heart rate, blood pressure, symptoms and medication side effects.</w:t>
            </w:r>
          </w:p>
          <w:p w14:paraId="37FB63F0" w14:textId="77777777" w:rsidR="00897293" w:rsidRPr="00CC6553" w:rsidRDefault="00897293" w:rsidP="5D2ACDBA">
            <w:pPr>
              <w:rPr>
                <w:color w:val="000000" w:themeColor="text1"/>
              </w:rPr>
            </w:pPr>
          </w:p>
        </w:tc>
      </w:tr>
      <w:tr w:rsidR="00897293" w:rsidRPr="00CC6553" w14:paraId="00C817D7" w14:textId="77777777" w:rsidTr="00897293">
        <w:trPr>
          <w:trHeight w:val="300"/>
        </w:trPr>
        <w:tc>
          <w:tcPr>
            <w:tcW w:w="109" w:type="pct"/>
          </w:tcPr>
          <w:p w14:paraId="21D7C248"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300</w:t>
            </w:r>
          </w:p>
        </w:tc>
        <w:tc>
          <w:tcPr>
            <w:tcW w:w="143" w:type="pct"/>
          </w:tcPr>
          <w:p w14:paraId="6D450318" w14:textId="433D167B"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0B949FBD" w14:textId="19944E05"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5FC0DE6A" w14:textId="6981C76B"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052170A9" w14:textId="32CC3727" w:rsidR="00897293" w:rsidRPr="00CC6553" w:rsidRDefault="00897293" w:rsidP="00B234F1">
            <w:pPr>
              <w:rPr>
                <w:rFonts w:cs="Arial"/>
                <w:color w:val="000000" w:themeColor="text1"/>
                <w:sz w:val="20"/>
              </w:rPr>
            </w:pPr>
            <w:r w:rsidRPr="00CC6553">
              <w:rPr>
                <w:rFonts w:cs="Arial"/>
                <w:color w:val="000000" w:themeColor="text1"/>
                <w:sz w:val="20"/>
              </w:rPr>
              <w:t>034</w:t>
            </w:r>
          </w:p>
        </w:tc>
        <w:tc>
          <w:tcPr>
            <w:tcW w:w="214" w:type="pct"/>
          </w:tcPr>
          <w:p w14:paraId="6EEBC94D" w14:textId="5F6CA07E" w:rsidR="00897293" w:rsidRPr="00CC6553" w:rsidRDefault="00897293" w:rsidP="00B234F1">
            <w:pPr>
              <w:rPr>
                <w:rFonts w:cs="Arial"/>
                <w:color w:val="000000" w:themeColor="text1"/>
                <w:sz w:val="20"/>
              </w:rPr>
            </w:pPr>
            <w:r w:rsidRPr="00CC6553">
              <w:rPr>
                <w:rFonts w:cs="Arial"/>
                <w:color w:val="000000" w:themeColor="text1"/>
                <w:sz w:val="20"/>
              </w:rPr>
              <w:t>Table - 1.7.12</w:t>
            </w:r>
          </w:p>
        </w:tc>
        <w:tc>
          <w:tcPr>
            <w:tcW w:w="1521" w:type="pct"/>
          </w:tcPr>
          <w:p w14:paraId="66967ADE" w14:textId="6555ECFE" w:rsidR="00897293" w:rsidRPr="00CC6553" w:rsidRDefault="00897293" w:rsidP="00B234F1">
            <w:pPr>
              <w:rPr>
                <w:rFonts w:cs="Arial"/>
                <w:color w:val="000000" w:themeColor="text1"/>
                <w:sz w:val="20"/>
              </w:rPr>
            </w:pPr>
            <w:r w:rsidRPr="00CC6553">
              <w:rPr>
                <w:rFonts w:cs="Arial"/>
                <w:color w:val="000000" w:themeColor="text1"/>
                <w:sz w:val="20"/>
              </w:rPr>
              <w:t>Shouldn’t ACEi initiation recommendation also be “start low and slow” as described for BBs in 1.7.12?</w:t>
            </w:r>
          </w:p>
        </w:tc>
        <w:tc>
          <w:tcPr>
            <w:tcW w:w="2122" w:type="pct"/>
          </w:tcPr>
          <w:p w14:paraId="35F48611" w14:textId="78F21D06"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‘start low and slow’ has been deleted from the recommendation.  Optimisation should be in accordance with the recommendations in section 1.7 and therefore depends on the person’s medical history, frailty status, prognosis and preferences.  Start low and slow has been removed from the recommendation on beta blockers.</w:t>
            </w:r>
          </w:p>
        </w:tc>
      </w:tr>
      <w:tr w:rsidR="00897293" w:rsidRPr="00CC6553" w14:paraId="4ADB85B5" w14:textId="77777777" w:rsidTr="00897293">
        <w:trPr>
          <w:trHeight w:val="300"/>
        </w:trPr>
        <w:tc>
          <w:tcPr>
            <w:tcW w:w="109" w:type="pct"/>
          </w:tcPr>
          <w:p w14:paraId="17474888" w14:textId="77777777" w:rsidR="00897293" w:rsidRPr="00CC6553" w:rsidRDefault="00897293" w:rsidP="00B234F1">
            <w:pPr>
              <w:rPr>
                <w:rFonts w:cs="Arial"/>
                <w:color w:val="000000" w:themeColor="text1"/>
                <w:sz w:val="20"/>
              </w:rPr>
            </w:pPr>
            <w:r w:rsidRPr="00CC6553">
              <w:rPr>
                <w:rFonts w:cs="Arial"/>
                <w:color w:val="000000" w:themeColor="text1"/>
                <w:sz w:val="20"/>
              </w:rPr>
              <w:t>301</w:t>
            </w:r>
          </w:p>
        </w:tc>
        <w:tc>
          <w:tcPr>
            <w:tcW w:w="143" w:type="pct"/>
          </w:tcPr>
          <w:p w14:paraId="24B65071" w14:textId="2C71C9B4"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0138C586" w14:textId="5C39F3FA" w:rsidR="00897293" w:rsidRPr="00CC6553" w:rsidRDefault="00897293" w:rsidP="00B234F1">
            <w:pPr>
              <w:rPr>
                <w:rFonts w:cs="Arial"/>
                <w:bCs/>
                <w:iCs/>
                <w:color w:val="000000" w:themeColor="text1"/>
                <w:sz w:val="20"/>
              </w:rPr>
            </w:pPr>
            <w:r w:rsidRPr="00CC6553">
              <w:rPr>
                <w:rFonts w:cs="Arial"/>
                <w:color w:val="000000" w:themeColor="text1"/>
                <w:sz w:val="20"/>
              </w:rPr>
              <w:t>Alliance for Heart Failure</w:t>
            </w:r>
          </w:p>
        </w:tc>
        <w:tc>
          <w:tcPr>
            <w:tcW w:w="279" w:type="pct"/>
          </w:tcPr>
          <w:p w14:paraId="79FE65ED" w14:textId="3FFCDCB5"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2F993F28" w14:textId="62ABF27B" w:rsidR="00897293" w:rsidRPr="00CC6553" w:rsidRDefault="00897293" w:rsidP="00B234F1">
            <w:pPr>
              <w:rPr>
                <w:rFonts w:cs="Arial"/>
                <w:color w:val="000000" w:themeColor="text1"/>
                <w:sz w:val="20"/>
              </w:rPr>
            </w:pPr>
            <w:r w:rsidRPr="00CC6553">
              <w:rPr>
                <w:rFonts w:cs="Arial"/>
                <w:color w:val="000000" w:themeColor="text1"/>
                <w:sz w:val="20"/>
              </w:rPr>
              <w:t>035</w:t>
            </w:r>
          </w:p>
        </w:tc>
        <w:tc>
          <w:tcPr>
            <w:tcW w:w="214" w:type="pct"/>
          </w:tcPr>
          <w:p w14:paraId="2518A724" w14:textId="798233A5" w:rsidR="00897293" w:rsidRPr="00CC6553" w:rsidRDefault="00897293" w:rsidP="00B234F1">
            <w:pPr>
              <w:rPr>
                <w:rFonts w:cs="Arial"/>
                <w:color w:val="000000" w:themeColor="text1"/>
                <w:sz w:val="20"/>
              </w:rPr>
            </w:pPr>
            <w:r w:rsidRPr="00CC6553">
              <w:rPr>
                <w:rFonts w:cs="Arial"/>
                <w:color w:val="000000" w:themeColor="text1"/>
                <w:sz w:val="20"/>
              </w:rPr>
              <w:t>1.11.1 – 1.9.1</w:t>
            </w:r>
          </w:p>
        </w:tc>
        <w:tc>
          <w:tcPr>
            <w:tcW w:w="1521" w:type="pct"/>
          </w:tcPr>
          <w:p w14:paraId="3DD0E01A" w14:textId="13042E6A" w:rsidR="00897293" w:rsidRPr="00CC6553" w:rsidRDefault="00897293" w:rsidP="00B234F1">
            <w:pPr>
              <w:rPr>
                <w:rFonts w:cs="Arial"/>
                <w:color w:val="000000" w:themeColor="text1"/>
                <w:sz w:val="20"/>
              </w:rPr>
            </w:pPr>
            <w:r w:rsidRPr="00CC6553">
              <w:rPr>
                <w:rFonts w:cs="Arial"/>
                <w:color w:val="000000" w:themeColor="text1"/>
                <w:sz w:val="20"/>
              </w:rPr>
              <w:t xml:space="preserve">Members of the Alliance welcome removal of the line suggesting cardiac rehabilitation should be withheld from people with heart failure if their condition is “unstable”. We are particularly concerned with lack of access to cardiac rehabilitation for people with cardiomyopathy, given evidence shows these patients often want access to rehabilitation but are excluded on the basis of their diagnosis. </w:t>
            </w:r>
            <w:r w:rsidRPr="00CC6553">
              <w:rPr>
                <w:rFonts w:cs="Arial"/>
                <w:color w:val="000000" w:themeColor="text1"/>
                <w:sz w:val="20"/>
              </w:rPr>
              <w:br/>
            </w:r>
            <w:r w:rsidRPr="00CC6553">
              <w:rPr>
                <w:rFonts w:cs="Arial"/>
                <w:color w:val="000000" w:themeColor="text1"/>
                <w:sz w:val="20"/>
              </w:rPr>
              <w:br/>
              <w:t>While exercise-based rehabilitation may not be suitable for everyone, the inclusion of an assessment to determine suitability is a positive step. It ensures that patients are not excluded unnecessarily and can benefit from the wider psychological and educational support cardiac rehabilitation offers.</w:t>
            </w:r>
            <w:r w:rsidRPr="00CC6553">
              <w:rPr>
                <w:rFonts w:cs="Arial"/>
                <w:color w:val="000000" w:themeColor="text1"/>
                <w:sz w:val="20"/>
              </w:rPr>
              <w:br/>
            </w:r>
            <w:r w:rsidRPr="00CC6553">
              <w:rPr>
                <w:rFonts w:cs="Arial"/>
                <w:color w:val="000000" w:themeColor="text1"/>
                <w:sz w:val="20"/>
              </w:rPr>
              <w:br/>
              <w:t xml:space="preserve">In 2024, Cardiomyopathy UK, in partnership with the Picker Institute, surveyed 1,323 patients and carers. Key findings included: </w:t>
            </w:r>
            <w:r w:rsidRPr="00CC6553">
              <w:rPr>
                <w:rFonts w:cs="Arial"/>
                <w:color w:val="000000" w:themeColor="text1"/>
                <w:sz w:val="20"/>
              </w:rPr>
              <w:br/>
            </w:r>
            <w:r w:rsidRPr="00CC6553">
              <w:rPr>
                <w:rFonts w:cs="Arial"/>
                <w:color w:val="000000" w:themeColor="text1"/>
                <w:sz w:val="20"/>
              </w:rPr>
              <w:br/>
              <w:t xml:space="preserve">● 34% wanted,but had not received, cardiac rehabilitation. </w:t>
            </w:r>
            <w:r w:rsidRPr="00CC6553">
              <w:rPr>
                <w:rFonts w:cs="Arial"/>
                <w:color w:val="000000" w:themeColor="text1"/>
                <w:sz w:val="20"/>
              </w:rPr>
              <w:br/>
              <w:t xml:space="preserve">● 39% lacked support with physical activity; 35% with nutrition; 32% with mood/emotions. </w:t>
            </w:r>
            <w:r w:rsidRPr="00CC6553">
              <w:rPr>
                <w:rFonts w:cs="Arial"/>
                <w:color w:val="000000" w:themeColor="text1"/>
                <w:sz w:val="20"/>
              </w:rPr>
              <w:br/>
              <w:t xml:space="preserve">● Only 10% reported that their cardiology team had discussed mental health, while 40% wanted such support but did not receive it. </w:t>
            </w:r>
            <w:r w:rsidRPr="00CC6553">
              <w:rPr>
                <w:rFonts w:cs="Arial"/>
                <w:color w:val="000000" w:themeColor="text1"/>
                <w:sz w:val="20"/>
              </w:rPr>
              <w:br/>
              <w:t xml:space="preserve">● Among those diagnosed in the past two years, 50% felt unsupported in coming </w:t>
            </w:r>
            <w:r w:rsidRPr="00CC6553">
              <w:rPr>
                <w:rFonts w:cs="Arial"/>
                <w:color w:val="000000" w:themeColor="text1"/>
                <w:sz w:val="20"/>
              </w:rPr>
              <w:lastRenderedPageBreak/>
              <w:t xml:space="preserve">to terms with their diagnosis, and 27% reported receiving no or unclear information. </w:t>
            </w:r>
            <w:r w:rsidRPr="00CC6553">
              <w:rPr>
                <w:rFonts w:cs="Arial"/>
                <w:color w:val="000000" w:themeColor="text1"/>
                <w:sz w:val="20"/>
              </w:rPr>
              <w:br/>
            </w:r>
            <w:r w:rsidRPr="00CC6553">
              <w:rPr>
                <w:rFonts w:cs="Arial"/>
                <w:color w:val="000000" w:themeColor="text1"/>
                <w:sz w:val="20"/>
              </w:rPr>
              <w:br/>
              <w:t>These findings highlight the need to broaden access to cardiac rehabilitation for suitable patients to improve outcomes and overall care experience.</w:t>
            </w:r>
          </w:p>
        </w:tc>
        <w:tc>
          <w:tcPr>
            <w:tcW w:w="2122" w:type="pct"/>
          </w:tcPr>
          <w:p w14:paraId="11321EFD" w14:textId="75A849D3"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lastRenderedPageBreak/>
              <w:t>Thank you for your comment.   The committee agree that access to cardiac rehabilitation is essential.</w:t>
            </w:r>
          </w:p>
        </w:tc>
      </w:tr>
      <w:tr w:rsidR="00897293" w:rsidRPr="00CC6553" w14:paraId="6BD549A8" w14:textId="77777777" w:rsidTr="00897293">
        <w:trPr>
          <w:trHeight w:val="300"/>
        </w:trPr>
        <w:tc>
          <w:tcPr>
            <w:tcW w:w="109" w:type="pct"/>
          </w:tcPr>
          <w:p w14:paraId="62A55AA0" w14:textId="77777777" w:rsidR="00897293" w:rsidRPr="00CC6553" w:rsidRDefault="00897293" w:rsidP="00B234F1">
            <w:pPr>
              <w:rPr>
                <w:rFonts w:cs="Arial"/>
                <w:color w:val="000000" w:themeColor="text1"/>
                <w:sz w:val="20"/>
              </w:rPr>
            </w:pPr>
            <w:r w:rsidRPr="00CC6553">
              <w:rPr>
                <w:rFonts w:cs="Arial"/>
                <w:color w:val="000000" w:themeColor="text1"/>
                <w:sz w:val="20"/>
              </w:rPr>
              <w:t>302</w:t>
            </w:r>
          </w:p>
        </w:tc>
        <w:tc>
          <w:tcPr>
            <w:tcW w:w="143" w:type="pct"/>
          </w:tcPr>
          <w:p w14:paraId="7C929F36" w14:textId="22755A86"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FF2DAD2" w14:textId="0B1E7B22"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42C17C09" w14:textId="2B668086"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13C045A1" w14:textId="165D5EDD" w:rsidR="00897293" w:rsidRPr="00CC6553" w:rsidRDefault="00897293" w:rsidP="00B234F1">
            <w:pPr>
              <w:rPr>
                <w:rFonts w:cs="Arial"/>
                <w:color w:val="000000" w:themeColor="text1"/>
                <w:sz w:val="20"/>
              </w:rPr>
            </w:pPr>
            <w:r w:rsidRPr="00CC6553">
              <w:rPr>
                <w:rFonts w:cs="Arial"/>
                <w:color w:val="000000" w:themeColor="text1"/>
                <w:sz w:val="20"/>
              </w:rPr>
              <w:t>035</w:t>
            </w:r>
          </w:p>
        </w:tc>
        <w:tc>
          <w:tcPr>
            <w:tcW w:w="214" w:type="pct"/>
          </w:tcPr>
          <w:p w14:paraId="523BFB97" w14:textId="170CF105" w:rsidR="00897293" w:rsidRPr="00CC6553" w:rsidRDefault="00897293" w:rsidP="00B234F1">
            <w:pPr>
              <w:rPr>
                <w:rFonts w:cs="Arial"/>
                <w:color w:val="000000" w:themeColor="text1"/>
                <w:sz w:val="20"/>
              </w:rPr>
            </w:pPr>
            <w:r w:rsidRPr="00CC6553">
              <w:rPr>
                <w:rFonts w:cs="Arial"/>
                <w:color w:val="000000" w:themeColor="text1"/>
                <w:sz w:val="20"/>
              </w:rPr>
              <w:t>1.11.1</w:t>
            </w:r>
          </w:p>
        </w:tc>
        <w:tc>
          <w:tcPr>
            <w:tcW w:w="1521" w:type="pct"/>
          </w:tcPr>
          <w:p w14:paraId="622FC258" w14:textId="3651A872" w:rsidR="00897293" w:rsidRPr="00CC6553" w:rsidRDefault="00897293" w:rsidP="00B234F1">
            <w:pPr>
              <w:rPr>
                <w:rFonts w:cs="Arial"/>
                <w:color w:val="000000" w:themeColor="text1"/>
                <w:sz w:val="20"/>
              </w:rPr>
            </w:pPr>
            <w:r w:rsidRPr="00CC6553">
              <w:rPr>
                <w:rFonts w:cs="Arial"/>
                <w:color w:val="000000" w:themeColor="text1"/>
                <w:sz w:val="20"/>
              </w:rPr>
              <w:t>Recommendation should include referral to a social prescriber where appropriate.</w:t>
            </w:r>
          </w:p>
        </w:tc>
        <w:tc>
          <w:tcPr>
            <w:tcW w:w="2122" w:type="pct"/>
          </w:tcPr>
          <w:p w14:paraId="5D3F98C9" w14:textId="197BE02F"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This recommendation was not updated in this guideline update</w:t>
            </w:r>
            <w:r>
              <w:rPr>
                <w:rFonts w:cs="Arial"/>
                <w:b w:val="0"/>
                <w:color w:val="000000" w:themeColor="text1"/>
                <w:sz w:val="20"/>
              </w:rPr>
              <w:t xml:space="preserve"> as it was outside of the scope </w:t>
            </w:r>
            <w:hyperlink r:id="rId45" w:history="1">
              <w:r w:rsidRPr="009B3C47">
                <w:rPr>
                  <w:rFonts w:cs="Arial"/>
                  <w:b w:val="0"/>
                  <w:color w:val="000000" w:themeColor="text1"/>
                  <w:sz w:val="20"/>
                </w:rPr>
                <w:t>https://www.nice.org.uk/guidance/gid-ng10405/documents/final-scope</w:t>
              </w:r>
            </w:hyperlink>
            <w:r w:rsidRPr="00CC6553">
              <w:rPr>
                <w:rFonts w:cs="Arial"/>
                <w:b w:val="0"/>
                <w:color w:val="000000" w:themeColor="text1"/>
                <w:sz w:val="20"/>
              </w:rPr>
              <w:t xml:space="preserve">.  The recommendation describes what a programme should cover rather than who should be involved. </w:t>
            </w:r>
          </w:p>
        </w:tc>
      </w:tr>
      <w:tr w:rsidR="00897293" w:rsidRPr="00CC6553" w14:paraId="48039E8A" w14:textId="77777777" w:rsidTr="00897293">
        <w:trPr>
          <w:trHeight w:val="300"/>
        </w:trPr>
        <w:tc>
          <w:tcPr>
            <w:tcW w:w="109" w:type="pct"/>
          </w:tcPr>
          <w:p w14:paraId="7077AEC9" w14:textId="77777777" w:rsidR="00897293" w:rsidRPr="00CC6553" w:rsidRDefault="00897293" w:rsidP="00B234F1">
            <w:pPr>
              <w:rPr>
                <w:rFonts w:cs="Arial"/>
                <w:color w:val="000000" w:themeColor="text1"/>
                <w:sz w:val="20"/>
              </w:rPr>
            </w:pPr>
            <w:r w:rsidRPr="00CC6553">
              <w:rPr>
                <w:rFonts w:cs="Arial"/>
                <w:color w:val="000000" w:themeColor="text1"/>
                <w:sz w:val="20"/>
              </w:rPr>
              <w:t>303</w:t>
            </w:r>
          </w:p>
        </w:tc>
        <w:tc>
          <w:tcPr>
            <w:tcW w:w="143" w:type="pct"/>
          </w:tcPr>
          <w:p w14:paraId="3A793F7E" w14:textId="66A9D1D1"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5885A2F5" w14:textId="1BE3382A"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19C97735" w14:textId="76EE52AF"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60EEFCCD" w14:textId="2FE702F4" w:rsidR="00897293" w:rsidRPr="00CC6553" w:rsidRDefault="00897293" w:rsidP="00B234F1">
            <w:pPr>
              <w:rPr>
                <w:rFonts w:cs="Arial"/>
                <w:color w:val="000000" w:themeColor="text1"/>
                <w:sz w:val="20"/>
              </w:rPr>
            </w:pPr>
            <w:r w:rsidRPr="00CC6553">
              <w:rPr>
                <w:rFonts w:cs="Arial"/>
                <w:color w:val="000000" w:themeColor="text1"/>
                <w:sz w:val="20"/>
              </w:rPr>
              <w:t>035</w:t>
            </w:r>
          </w:p>
        </w:tc>
        <w:tc>
          <w:tcPr>
            <w:tcW w:w="214" w:type="pct"/>
          </w:tcPr>
          <w:p w14:paraId="4B65286D" w14:textId="4C691C63"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02CCC348" w14:textId="7772E252" w:rsidR="00897293" w:rsidRPr="00CC6553" w:rsidRDefault="00897293" w:rsidP="00B234F1">
            <w:pPr>
              <w:rPr>
                <w:rFonts w:cs="Arial"/>
                <w:color w:val="000000" w:themeColor="text1"/>
                <w:sz w:val="20"/>
              </w:rPr>
            </w:pPr>
            <w:r w:rsidRPr="00CC6553">
              <w:rPr>
                <w:rFonts w:cs="Arial"/>
                <w:color w:val="000000" w:themeColor="text1"/>
                <w:sz w:val="20"/>
              </w:rPr>
              <w:t xml:space="preserve">Section 1.11.1/1.9.1 - We are pleased to see that the line about offering people with heart failure rehabilitation ‘unless their condition is unstable’ is being removed. We have evidence showing the extent to which people with cardiomyopathy are not getting access to cardiac rehab at present but wanting access (see below). Anecdotally, we understand this is often because they are not deemed eligible. Whilst we are in full agreement that an exercise based cardiac rehab programme it is not always suitable for everyone with cardiomyopathy, we believe that the line about this being preceded by an assessment to ensure it is suitable will mean that those who can and should be eligible are not ruled out on the basis of their condition alone. </w:t>
            </w:r>
            <w:r w:rsidRPr="00CC6553">
              <w:rPr>
                <w:rFonts w:cs="Arial"/>
                <w:color w:val="000000" w:themeColor="text1"/>
                <w:sz w:val="20"/>
              </w:rPr>
              <w:br/>
            </w:r>
            <w:r w:rsidRPr="00CC6553">
              <w:rPr>
                <w:rFonts w:cs="Arial"/>
                <w:color w:val="000000" w:themeColor="text1"/>
                <w:sz w:val="20"/>
              </w:rPr>
              <w:br/>
              <w:t>Given the psychological and educational component of cardiac rehab, extending eligibility to more people with cardiomyopathy who are suitable will also help improve these patients’ overall experience and outcomes.</w:t>
            </w:r>
            <w:r w:rsidRPr="00CC6553">
              <w:rPr>
                <w:rFonts w:cs="Arial"/>
                <w:color w:val="000000" w:themeColor="text1"/>
                <w:sz w:val="20"/>
              </w:rPr>
              <w:br/>
            </w:r>
            <w:r w:rsidRPr="00CC6553">
              <w:rPr>
                <w:rFonts w:cs="Arial"/>
                <w:color w:val="000000" w:themeColor="text1"/>
                <w:sz w:val="20"/>
              </w:rPr>
              <w:br/>
              <w:t xml:space="preserve">In 2024 Cardiomyopathy UK conducted a large survey of our community, alongside Picker Institute, according to a robust methodology (the ‘MyInsight’ survey). 1323 responses were received (including patients and parents and </w:t>
            </w:r>
            <w:r w:rsidRPr="00CC6553">
              <w:rPr>
                <w:rFonts w:cs="Arial"/>
                <w:color w:val="000000" w:themeColor="text1"/>
                <w:sz w:val="20"/>
              </w:rPr>
              <w:lastRenderedPageBreak/>
              <w:t>carers). Though please note we did not ask whether people were in active heart failure.</w:t>
            </w:r>
            <w:r w:rsidRPr="00CC6553">
              <w:rPr>
                <w:rFonts w:cs="Arial"/>
                <w:color w:val="000000" w:themeColor="text1"/>
                <w:sz w:val="20"/>
              </w:rPr>
              <w:br/>
              <w:t>Key findings of relevance included</w:t>
            </w:r>
            <w:r w:rsidRPr="00CC6553">
              <w:rPr>
                <w:rFonts w:cs="Arial"/>
                <w:color w:val="000000" w:themeColor="text1"/>
                <w:sz w:val="20"/>
              </w:rPr>
              <w:br/>
              <w:t>Impact of cardiomyopathy amongst people affected by the condition, their parents and carers (n=1289): 62% said their exercise levels, 51% said their self-confidence, and 49% said their mental health had been negatively impacted in the last two years because of the cardiomyopathy diagnosis</w:t>
            </w:r>
            <w:r w:rsidRPr="00CC6553">
              <w:rPr>
                <w:rFonts w:cs="Arial"/>
                <w:color w:val="000000" w:themeColor="text1"/>
                <w:sz w:val="20"/>
              </w:rPr>
              <w:br/>
              <w:t>Respondents were asked about the types of health or social care support they had received in the last two years. Many respondents did not receive, but felt they wanted or needed, further support in relation to</w:t>
            </w:r>
            <w:r w:rsidRPr="00CC6553">
              <w:rPr>
                <w:rFonts w:cs="Arial"/>
                <w:color w:val="000000" w:themeColor="text1"/>
                <w:sz w:val="20"/>
              </w:rPr>
              <w:br/>
              <w:t xml:space="preserve">Cardiac rehabilitation 34% (n=429) </w:t>
            </w:r>
            <w:r w:rsidRPr="00CC6553">
              <w:rPr>
                <w:rFonts w:cs="Arial"/>
                <w:color w:val="000000" w:themeColor="text1"/>
                <w:sz w:val="20"/>
              </w:rPr>
              <w:br/>
              <w:t xml:space="preserve">NB 12% of respondents had had cardiac rehab and found it useful. 3% had had it but not found it useful. </w:t>
            </w:r>
            <w:r w:rsidRPr="00CC6553">
              <w:rPr>
                <w:rFonts w:cs="Arial"/>
                <w:color w:val="000000" w:themeColor="text1"/>
                <w:sz w:val="20"/>
              </w:rPr>
              <w:br/>
              <w:t xml:space="preserve">Physical activity 39% (n=490) </w:t>
            </w:r>
            <w:r w:rsidRPr="00CC6553">
              <w:rPr>
                <w:rFonts w:cs="Arial"/>
                <w:color w:val="000000" w:themeColor="text1"/>
                <w:sz w:val="20"/>
              </w:rPr>
              <w:br/>
              <w:t xml:space="preserve">Nutrition 35% (n=437) </w:t>
            </w:r>
            <w:r w:rsidRPr="00CC6553">
              <w:rPr>
                <w:rFonts w:cs="Arial"/>
                <w:color w:val="000000" w:themeColor="text1"/>
                <w:sz w:val="20"/>
              </w:rPr>
              <w:br/>
              <w:t xml:space="preserve">Mood or emotions 32% (n= 405) </w:t>
            </w:r>
            <w:r w:rsidRPr="00CC6553">
              <w:rPr>
                <w:rFonts w:cs="Arial"/>
                <w:color w:val="000000" w:themeColor="text1"/>
                <w:sz w:val="20"/>
              </w:rPr>
              <w:br/>
              <w:t>10% (n=134) reported that the cardiology team had discussed their mental health and wellbeing in the last two years. 40% (n=529) said that the cardiology team had not discussed their mental health and wellbeing in the last two years, but they had wanted or needed this.</w:t>
            </w:r>
            <w:r w:rsidRPr="00CC6553">
              <w:rPr>
                <w:rFonts w:cs="Arial"/>
                <w:color w:val="000000" w:themeColor="text1"/>
                <w:sz w:val="20"/>
              </w:rPr>
              <w:br/>
              <w:t xml:space="preserve">Of respondents diagnosed in the past two years, 27% (n=51) either did not receive any information about their condition at all, or they did not receive information about their condition in a way they could understand. </w:t>
            </w:r>
            <w:r w:rsidRPr="00CC6553">
              <w:rPr>
                <w:rFonts w:cs="Arial"/>
                <w:color w:val="000000" w:themeColor="text1"/>
                <w:sz w:val="20"/>
              </w:rPr>
              <w:br/>
              <w:t>50% (n=96) of respondents diagnosed in the last two years reported they had not received enough support to come to terms with their diagnosis.</w:t>
            </w:r>
            <w:r w:rsidRPr="00CC6553">
              <w:rPr>
                <w:rFonts w:cs="Arial"/>
                <w:color w:val="000000" w:themeColor="text1"/>
                <w:sz w:val="20"/>
              </w:rPr>
              <w:br/>
            </w:r>
            <w:r w:rsidRPr="00CC6553">
              <w:rPr>
                <w:rFonts w:cs="Arial"/>
                <w:color w:val="000000" w:themeColor="text1"/>
                <w:sz w:val="20"/>
              </w:rPr>
              <w:br/>
              <w:t>“Having suffered an OOHCA, being told that I have Dilated Cardiomyopathy, and being fitted with an ICD, I was discharged from hospital with a bag of medication and a handful of leaflets… I know that, had I had a heart attack, my cardiac rehab would have been 100% more than any rehab I've had. It feels that SCA survivors are sent off to get on with life with little or no support despite having been through a major trauma.”</w:t>
            </w:r>
          </w:p>
        </w:tc>
        <w:tc>
          <w:tcPr>
            <w:tcW w:w="2122" w:type="pct"/>
          </w:tcPr>
          <w:p w14:paraId="046C40EE" w14:textId="3AD0A315" w:rsidR="00897293" w:rsidRPr="00CC6553" w:rsidRDefault="00897293" w:rsidP="0CB02657">
            <w:pPr>
              <w:pStyle w:val="Heading1"/>
              <w:rPr>
                <w:rFonts w:cs="Arial"/>
                <w:b w:val="0"/>
                <w:bCs w:val="0"/>
                <w:color w:val="000000" w:themeColor="text1"/>
                <w:sz w:val="20"/>
              </w:rPr>
            </w:pPr>
            <w:r w:rsidRPr="00CC6553">
              <w:rPr>
                <w:rFonts w:cs="Arial"/>
                <w:b w:val="0"/>
                <w:bCs w:val="0"/>
                <w:color w:val="000000" w:themeColor="text1"/>
                <w:sz w:val="20"/>
              </w:rPr>
              <w:lastRenderedPageBreak/>
              <w:t>The committee recognise the importance of cardiac rehabilitation however the scope of this update was the pharmacological management of chronic heart failure https://www.nice.org.uk/guidance/gid-ng10405/documents/final-scope and the committee is therefore only able to make editorial changes or minimal changes for consistency or clarification to recommendations on areas outside of this.</w:t>
            </w:r>
          </w:p>
        </w:tc>
      </w:tr>
      <w:tr w:rsidR="00897293" w:rsidRPr="00CC6553" w14:paraId="720D6D2D" w14:textId="77777777" w:rsidTr="00897293">
        <w:trPr>
          <w:trHeight w:val="300"/>
        </w:trPr>
        <w:tc>
          <w:tcPr>
            <w:tcW w:w="109" w:type="pct"/>
          </w:tcPr>
          <w:p w14:paraId="4DE5E7D1"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304</w:t>
            </w:r>
          </w:p>
        </w:tc>
        <w:tc>
          <w:tcPr>
            <w:tcW w:w="143" w:type="pct"/>
          </w:tcPr>
          <w:p w14:paraId="07FB29BA" w14:textId="0D615443"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497C6E28" w14:textId="69EA342D" w:rsidR="00897293" w:rsidRPr="00CC6553" w:rsidRDefault="00897293" w:rsidP="00B234F1">
            <w:pPr>
              <w:rPr>
                <w:rFonts w:cs="Arial"/>
                <w:bCs/>
                <w:iCs/>
                <w:color w:val="000000" w:themeColor="text1"/>
                <w:sz w:val="20"/>
              </w:rPr>
            </w:pPr>
            <w:r w:rsidRPr="00CC6553">
              <w:rPr>
                <w:rFonts w:cs="Arial"/>
                <w:color w:val="000000" w:themeColor="text1"/>
                <w:sz w:val="20"/>
              </w:rPr>
              <w:t>Cardiomyopathy UK</w:t>
            </w:r>
          </w:p>
        </w:tc>
        <w:tc>
          <w:tcPr>
            <w:tcW w:w="279" w:type="pct"/>
          </w:tcPr>
          <w:p w14:paraId="459AC71A" w14:textId="58E09822"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5DD510BA" w14:textId="3B393EDF" w:rsidR="00897293" w:rsidRPr="00CC6553" w:rsidRDefault="00897293" w:rsidP="00B234F1">
            <w:pPr>
              <w:rPr>
                <w:rFonts w:cs="Arial"/>
                <w:color w:val="000000" w:themeColor="text1"/>
                <w:sz w:val="20"/>
              </w:rPr>
            </w:pPr>
            <w:r w:rsidRPr="00CC6553">
              <w:rPr>
                <w:rFonts w:cs="Arial"/>
                <w:color w:val="000000" w:themeColor="text1"/>
                <w:sz w:val="20"/>
              </w:rPr>
              <w:t>035</w:t>
            </w:r>
          </w:p>
        </w:tc>
        <w:tc>
          <w:tcPr>
            <w:tcW w:w="214" w:type="pct"/>
          </w:tcPr>
          <w:p w14:paraId="51EF9912" w14:textId="1E2DC7C8"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6FD017C9" w14:textId="5D56042B" w:rsidR="00897293" w:rsidRPr="00CC6553" w:rsidRDefault="00897293" w:rsidP="00B234F1">
            <w:pPr>
              <w:rPr>
                <w:rFonts w:cs="Arial"/>
                <w:color w:val="000000" w:themeColor="text1"/>
                <w:sz w:val="20"/>
              </w:rPr>
            </w:pPr>
            <w:r w:rsidRPr="00CC6553">
              <w:rPr>
                <w:rFonts w:cs="Arial"/>
                <w:color w:val="000000" w:themeColor="text1"/>
                <w:sz w:val="20"/>
              </w:rPr>
              <w:t xml:space="preserve">Section 1.11.1/1.9.1 - We are pleased to see that the line about offering people with heart failure rehabilitation ‘unless their condition is unstable’ is being removed. We have evidence showing the extent to which people with cardiomyopathy are not getting access to cardiac rehab at present but wanting access (see below). Anecdotally, we understand this is often because they are not deemed eligible. Whilst we are in full agreement that an exercise based cardiac rehab programme it is not always suitable for everyone with cardiomyopathy, we believe that the line about this being preceded by an assessment to ensure it is suitable will mean that those who can and should be eligible are not ruled out on the basis of their condition alone. </w:t>
            </w:r>
            <w:r w:rsidRPr="00CC6553">
              <w:rPr>
                <w:rFonts w:cs="Arial"/>
                <w:color w:val="000000" w:themeColor="text1"/>
                <w:sz w:val="20"/>
              </w:rPr>
              <w:br/>
            </w:r>
            <w:r w:rsidRPr="00CC6553">
              <w:rPr>
                <w:rFonts w:cs="Arial"/>
                <w:color w:val="000000" w:themeColor="text1"/>
                <w:sz w:val="20"/>
              </w:rPr>
              <w:br/>
              <w:t>Given the psychological and educational component of cardiac rehab, extending eligibility to more people with cardiomyopathy who are suitable will also help improve these patients’ overall experience and outcomes.</w:t>
            </w:r>
            <w:r w:rsidRPr="00CC6553">
              <w:rPr>
                <w:rFonts w:cs="Arial"/>
                <w:color w:val="000000" w:themeColor="text1"/>
                <w:sz w:val="20"/>
              </w:rPr>
              <w:br/>
            </w:r>
            <w:r w:rsidRPr="00CC6553">
              <w:rPr>
                <w:rFonts w:cs="Arial"/>
                <w:color w:val="000000" w:themeColor="text1"/>
                <w:sz w:val="20"/>
              </w:rPr>
              <w:br/>
              <w:t>In 2024 Cardiomyopathy UK conducted a large survey of our community, alongside Picker Institute, according to a robust methodology (the ‘MyInsight’ survey). 1323 responses were received (including patients and parents and carers). Though please note we did not ask whether people were in active heart failure.</w:t>
            </w:r>
            <w:r w:rsidRPr="00CC6553">
              <w:rPr>
                <w:rFonts w:cs="Arial"/>
                <w:color w:val="000000" w:themeColor="text1"/>
                <w:sz w:val="20"/>
              </w:rPr>
              <w:br/>
              <w:t>Key findings of relevance included</w:t>
            </w:r>
            <w:r w:rsidRPr="00CC6553">
              <w:rPr>
                <w:rFonts w:cs="Arial"/>
                <w:color w:val="000000" w:themeColor="text1"/>
                <w:sz w:val="20"/>
              </w:rPr>
              <w:br/>
              <w:t>Impact of cardiomyopathy amongst people affected by the condition, their parents and carers (n=1289): 62% said their exercise levels, 51% said their self-confidence, and 49% said their mental health had been negatively impacted in the last two years because of the cardiomyopathy diagnosis</w:t>
            </w:r>
            <w:r w:rsidRPr="00CC6553">
              <w:rPr>
                <w:rFonts w:cs="Arial"/>
                <w:color w:val="000000" w:themeColor="text1"/>
                <w:sz w:val="20"/>
              </w:rPr>
              <w:br/>
              <w:t>Respondents were asked about the types of health or social care support they had received in the last two years. Many respondents did not receive, but felt they wanted or needed, further support in relation to</w:t>
            </w:r>
            <w:r w:rsidRPr="00CC6553">
              <w:rPr>
                <w:rFonts w:cs="Arial"/>
                <w:color w:val="000000" w:themeColor="text1"/>
                <w:sz w:val="20"/>
              </w:rPr>
              <w:br/>
              <w:t xml:space="preserve">Cardiac rehabilitation 34% (n=429) </w:t>
            </w:r>
            <w:r w:rsidRPr="00CC6553">
              <w:rPr>
                <w:rFonts w:cs="Arial"/>
                <w:color w:val="000000" w:themeColor="text1"/>
                <w:sz w:val="20"/>
              </w:rPr>
              <w:br/>
              <w:t xml:space="preserve">NB 12% of respondents had had cardiac rehab and found it useful. 3% had had it but not found it useful. </w:t>
            </w:r>
            <w:r w:rsidRPr="00CC6553">
              <w:rPr>
                <w:rFonts w:cs="Arial"/>
                <w:color w:val="000000" w:themeColor="text1"/>
                <w:sz w:val="20"/>
              </w:rPr>
              <w:br/>
              <w:t xml:space="preserve">Physical activity 39% (n=490) </w:t>
            </w:r>
            <w:r w:rsidRPr="00CC6553">
              <w:rPr>
                <w:rFonts w:cs="Arial"/>
                <w:color w:val="000000" w:themeColor="text1"/>
                <w:sz w:val="20"/>
              </w:rPr>
              <w:br/>
            </w:r>
            <w:r w:rsidRPr="00CC6553">
              <w:rPr>
                <w:rFonts w:cs="Arial"/>
                <w:color w:val="000000" w:themeColor="text1"/>
                <w:sz w:val="20"/>
              </w:rPr>
              <w:lastRenderedPageBreak/>
              <w:t xml:space="preserve">Nutrition 35% (n=437) </w:t>
            </w:r>
            <w:r w:rsidRPr="00CC6553">
              <w:rPr>
                <w:rFonts w:cs="Arial"/>
                <w:color w:val="000000" w:themeColor="text1"/>
                <w:sz w:val="20"/>
              </w:rPr>
              <w:br/>
              <w:t xml:space="preserve">Mood or emotions 32% (n= 405) </w:t>
            </w:r>
            <w:r w:rsidRPr="00CC6553">
              <w:rPr>
                <w:rFonts w:cs="Arial"/>
                <w:color w:val="000000" w:themeColor="text1"/>
                <w:sz w:val="20"/>
              </w:rPr>
              <w:br/>
              <w:t>10% (n=134) reported that the cardiology team had discussed their mental health and wellbeing in the last two years. 40% (n=529) said that the cardiology team had not discussed their mental health and wellbeing in the last two years, but they had wanted or needed this.</w:t>
            </w:r>
            <w:r w:rsidRPr="00CC6553">
              <w:rPr>
                <w:rFonts w:cs="Arial"/>
                <w:color w:val="000000" w:themeColor="text1"/>
                <w:sz w:val="20"/>
              </w:rPr>
              <w:br/>
              <w:t xml:space="preserve">Of respondents diagnosed in the past two years, 27% (n=51) either did not receive any information about their condition at all, or they did not receive information about their condition in a way they could understand. </w:t>
            </w:r>
            <w:r w:rsidRPr="00CC6553">
              <w:rPr>
                <w:rFonts w:cs="Arial"/>
                <w:color w:val="000000" w:themeColor="text1"/>
                <w:sz w:val="20"/>
              </w:rPr>
              <w:br/>
              <w:t>50% (n=96) of respondents diagnosed in the last two years reported they had not received enough support to come to terms with their diagnosis.</w:t>
            </w:r>
            <w:r w:rsidRPr="00CC6553">
              <w:rPr>
                <w:rFonts w:cs="Arial"/>
                <w:color w:val="000000" w:themeColor="text1"/>
                <w:sz w:val="20"/>
              </w:rPr>
              <w:br/>
            </w:r>
            <w:r w:rsidRPr="00CC6553">
              <w:rPr>
                <w:rFonts w:cs="Arial"/>
                <w:color w:val="000000" w:themeColor="text1"/>
                <w:sz w:val="20"/>
              </w:rPr>
              <w:br/>
              <w:t>“Having suffered an OOHCA, being told that I have Dilated Cardiomyopathy, and being fitted with an ICD, I was discharged from hospital with a bag of medication and a handful of leaflets… I know that, had I had a heart attack, my cardiac rehab would have been 100% more than any rehab I've had. It feels that SCA survivors are sent off to get on with life with little or no support despite having been through a major trauma.”</w:t>
            </w:r>
          </w:p>
        </w:tc>
        <w:tc>
          <w:tcPr>
            <w:tcW w:w="2122" w:type="pct"/>
          </w:tcPr>
          <w:p w14:paraId="1D2D6877" w14:textId="00DE7122"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lastRenderedPageBreak/>
              <w:t>Thank you for your comment.</w:t>
            </w:r>
            <w:r>
              <w:rPr>
                <w:rFonts w:cs="Arial"/>
                <w:b w:val="0"/>
                <w:color w:val="000000" w:themeColor="text1"/>
                <w:sz w:val="20"/>
              </w:rPr>
              <w:t xml:space="preserve">  </w:t>
            </w:r>
            <w:r w:rsidRPr="00FF5B08">
              <w:rPr>
                <w:rFonts w:cs="Arial"/>
                <w:b w:val="0"/>
                <w:color w:val="000000" w:themeColor="text1"/>
                <w:sz w:val="20"/>
              </w:rPr>
              <w:t>Thank you for your comment.  The scope of this update was the pharmacological management of chronic heart failure https://www.nice.org.uk/guidance/gid-ng10405/documents/final-scope and the committee is therefore only able to make editorial changes to recommendations on areas outside of this or has made minimal changes to existing recommendations for consistency or clarification</w:t>
            </w:r>
          </w:p>
        </w:tc>
      </w:tr>
      <w:tr w:rsidR="00897293" w:rsidRPr="00CC6553" w14:paraId="6374138E" w14:textId="77777777" w:rsidTr="00897293">
        <w:trPr>
          <w:trHeight w:val="300"/>
        </w:trPr>
        <w:tc>
          <w:tcPr>
            <w:tcW w:w="109" w:type="pct"/>
          </w:tcPr>
          <w:p w14:paraId="08225049" w14:textId="77777777" w:rsidR="00897293" w:rsidRPr="00CC6553" w:rsidRDefault="00897293" w:rsidP="00B234F1">
            <w:pPr>
              <w:rPr>
                <w:rFonts w:cs="Arial"/>
                <w:color w:val="000000" w:themeColor="text1"/>
                <w:sz w:val="20"/>
              </w:rPr>
            </w:pPr>
            <w:r w:rsidRPr="00CC6553">
              <w:rPr>
                <w:rFonts w:cs="Arial"/>
                <w:color w:val="000000" w:themeColor="text1"/>
                <w:sz w:val="20"/>
              </w:rPr>
              <w:t>305</w:t>
            </w:r>
          </w:p>
        </w:tc>
        <w:tc>
          <w:tcPr>
            <w:tcW w:w="143" w:type="pct"/>
          </w:tcPr>
          <w:p w14:paraId="276EBA97" w14:textId="47EACE85"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5DF903ED" w14:textId="1601A98C" w:rsidR="00897293" w:rsidRPr="00CC6553" w:rsidRDefault="00897293" w:rsidP="00B234F1">
            <w:pPr>
              <w:rPr>
                <w:rFonts w:cs="Arial"/>
                <w:bCs/>
                <w:iCs/>
                <w:color w:val="000000" w:themeColor="text1"/>
                <w:sz w:val="20"/>
              </w:rPr>
            </w:pPr>
            <w:r w:rsidRPr="00CC6553">
              <w:rPr>
                <w:rFonts w:cs="Arial"/>
                <w:color w:val="000000" w:themeColor="text1"/>
                <w:sz w:val="20"/>
              </w:rPr>
              <w:t>Imperial College Healthcare NHS Trust</w:t>
            </w:r>
          </w:p>
        </w:tc>
        <w:tc>
          <w:tcPr>
            <w:tcW w:w="279" w:type="pct"/>
          </w:tcPr>
          <w:p w14:paraId="35188978" w14:textId="58D2228B"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095E896D" w14:textId="108421AA"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0ACAE35B" w14:textId="380C3134"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2480DBD9" w14:textId="46C86571" w:rsidR="00897293" w:rsidRPr="00CC6553" w:rsidRDefault="00897293" w:rsidP="00B234F1">
            <w:pPr>
              <w:rPr>
                <w:rFonts w:cs="Arial"/>
                <w:color w:val="000000" w:themeColor="text1"/>
                <w:sz w:val="20"/>
              </w:rPr>
            </w:pPr>
            <w:r w:rsidRPr="00CC6553">
              <w:rPr>
                <w:rFonts w:cs="Arial"/>
                <w:color w:val="000000" w:themeColor="text1"/>
                <w:sz w:val="20"/>
              </w:rPr>
              <w:t>We think it is a big omission not mentioning potassium binders given that there is a NICE TA for their use in heart failure</w:t>
            </w:r>
          </w:p>
        </w:tc>
        <w:tc>
          <w:tcPr>
            <w:tcW w:w="2122" w:type="pct"/>
          </w:tcPr>
          <w:p w14:paraId="7E7ED9BD" w14:textId="4D70BA09"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A cross reference to TA 623 and TA 599 on potassium binders has been added.</w:t>
            </w:r>
          </w:p>
        </w:tc>
      </w:tr>
      <w:tr w:rsidR="00897293" w:rsidRPr="00CC6553" w14:paraId="4FA251F7" w14:textId="77777777" w:rsidTr="00897293">
        <w:trPr>
          <w:trHeight w:val="300"/>
        </w:trPr>
        <w:tc>
          <w:tcPr>
            <w:tcW w:w="109" w:type="pct"/>
          </w:tcPr>
          <w:p w14:paraId="771F1E00" w14:textId="77777777" w:rsidR="00897293" w:rsidRPr="00CC6553" w:rsidRDefault="00897293" w:rsidP="00B234F1">
            <w:pPr>
              <w:rPr>
                <w:rFonts w:cs="Arial"/>
                <w:color w:val="000000" w:themeColor="text1"/>
                <w:sz w:val="20"/>
              </w:rPr>
            </w:pPr>
            <w:r w:rsidRPr="00CC6553">
              <w:rPr>
                <w:rFonts w:cs="Arial"/>
                <w:color w:val="000000" w:themeColor="text1"/>
                <w:sz w:val="20"/>
              </w:rPr>
              <w:t>306</w:t>
            </w:r>
          </w:p>
        </w:tc>
        <w:tc>
          <w:tcPr>
            <w:tcW w:w="143" w:type="pct"/>
          </w:tcPr>
          <w:p w14:paraId="7FCEEA05" w14:textId="10E879D1"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3FF4C41E" w14:textId="419611A1" w:rsidR="00897293" w:rsidRPr="00CC6553" w:rsidRDefault="00897293" w:rsidP="00B234F1">
            <w:pPr>
              <w:rPr>
                <w:rFonts w:cs="Arial"/>
                <w:bCs/>
                <w:iCs/>
                <w:color w:val="000000" w:themeColor="text1"/>
                <w:sz w:val="20"/>
              </w:rPr>
            </w:pPr>
            <w:r w:rsidRPr="00CC6553">
              <w:rPr>
                <w:rFonts w:cs="Arial"/>
                <w:color w:val="000000" w:themeColor="text1"/>
                <w:sz w:val="20"/>
              </w:rPr>
              <w:t>Imperial College Healthcare NHS Trust</w:t>
            </w:r>
          </w:p>
        </w:tc>
        <w:tc>
          <w:tcPr>
            <w:tcW w:w="279" w:type="pct"/>
          </w:tcPr>
          <w:p w14:paraId="2C1487F2" w14:textId="352F2B00"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2AB0089C" w14:textId="6D916CD9"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3E471D44" w14:textId="7F09B677"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493A9650" w14:textId="32A9FA54" w:rsidR="00897293" w:rsidRPr="00CC6553" w:rsidRDefault="00897293" w:rsidP="00B234F1">
            <w:pPr>
              <w:rPr>
                <w:rFonts w:cs="Arial"/>
                <w:color w:val="000000" w:themeColor="text1"/>
                <w:sz w:val="20"/>
              </w:rPr>
            </w:pPr>
            <w:r w:rsidRPr="00CC6553">
              <w:rPr>
                <w:rFonts w:cs="Arial"/>
                <w:color w:val="000000" w:themeColor="text1"/>
                <w:sz w:val="20"/>
              </w:rPr>
              <w:t>We are pleased to see the addition of iron therapy, the move to ARNI if ACEi intolerance and the use of MRA in HFpeF</w:t>
            </w:r>
          </w:p>
        </w:tc>
        <w:tc>
          <w:tcPr>
            <w:tcW w:w="2122" w:type="pct"/>
          </w:tcPr>
          <w:p w14:paraId="67A56861" w14:textId="07CCA4B8"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w:t>
            </w:r>
          </w:p>
        </w:tc>
      </w:tr>
      <w:tr w:rsidR="00897293" w:rsidRPr="00CC6553" w14:paraId="2958C82E" w14:textId="77777777" w:rsidTr="00897293">
        <w:trPr>
          <w:trHeight w:val="300"/>
        </w:trPr>
        <w:tc>
          <w:tcPr>
            <w:tcW w:w="109" w:type="pct"/>
          </w:tcPr>
          <w:p w14:paraId="212F4CD2" w14:textId="77777777" w:rsidR="00897293" w:rsidRPr="00CC6553" w:rsidRDefault="00897293" w:rsidP="00B234F1">
            <w:pPr>
              <w:rPr>
                <w:rFonts w:cs="Arial"/>
                <w:color w:val="000000" w:themeColor="text1"/>
                <w:sz w:val="20"/>
              </w:rPr>
            </w:pPr>
            <w:r w:rsidRPr="00CC6553">
              <w:rPr>
                <w:rFonts w:cs="Arial"/>
                <w:color w:val="000000" w:themeColor="text1"/>
                <w:sz w:val="20"/>
              </w:rPr>
              <w:t>307</w:t>
            </w:r>
          </w:p>
        </w:tc>
        <w:tc>
          <w:tcPr>
            <w:tcW w:w="143" w:type="pct"/>
          </w:tcPr>
          <w:p w14:paraId="2EA2D0D5" w14:textId="3DF52F2C"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37324C3A" w14:textId="021F8FD8"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1FA32689" w14:textId="0FDDF151"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510A2AF6" w14:textId="507F6B79"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0E1F0D5E" w14:textId="434AD088"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58507523" w14:textId="282EC780" w:rsidR="00897293" w:rsidRPr="00CC6553" w:rsidRDefault="00897293" w:rsidP="00B234F1">
            <w:pPr>
              <w:rPr>
                <w:rFonts w:cs="Arial"/>
                <w:color w:val="000000" w:themeColor="text1"/>
                <w:sz w:val="20"/>
              </w:rPr>
            </w:pPr>
            <w:r w:rsidRPr="00CC6553">
              <w:rPr>
                <w:rFonts w:cs="Arial"/>
                <w:color w:val="000000" w:themeColor="text1"/>
                <w:sz w:val="20"/>
              </w:rPr>
              <w:t>General comment – do we need to specify NYHA classification?  This doesn’t appear to be included in the draft guideline, yet the main clinical trials supporting pharmacological management largely focussed on those who are symptomatic – or is NYHA  II implied in the word symptomatic used in the guideline?</w:t>
            </w:r>
            <w:r w:rsidRPr="00CC6553">
              <w:rPr>
                <w:rFonts w:cs="Arial"/>
                <w:color w:val="000000" w:themeColor="text1"/>
                <w:sz w:val="20"/>
              </w:rPr>
              <w:br/>
              <w:t>HFrEF – Entresto/PARADIGM included people with NYHA II-IV symptoms</w:t>
            </w:r>
            <w:r w:rsidRPr="00CC6553">
              <w:rPr>
                <w:rFonts w:cs="Arial"/>
                <w:color w:val="000000" w:themeColor="text1"/>
                <w:sz w:val="20"/>
              </w:rPr>
              <w:br/>
              <w:t>HFrEF – Eplerenone/EMPHASIS – included people with NYHA II-IV symptoms</w:t>
            </w:r>
            <w:r w:rsidRPr="00CC6553">
              <w:rPr>
                <w:rFonts w:cs="Arial"/>
                <w:color w:val="000000" w:themeColor="text1"/>
                <w:sz w:val="20"/>
              </w:rPr>
              <w:br/>
            </w:r>
            <w:r w:rsidRPr="00CC6553">
              <w:rPr>
                <w:rFonts w:cs="Arial"/>
                <w:color w:val="000000" w:themeColor="text1"/>
                <w:sz w:val="20"/>
              </w:rPr>
              <w:lastRenderedPageBreak/>
              <w:t>HFrEF – Spironolactone/RALES – included people with NYHA III-IV symptoms</w:t>
            </w:r>
            <w:r w:rsidRPr="00CC6553">
              <w:rPr>
                <w:rFonts w:cs="Arial"/>
                <w:color w:val="000000" w:themeColor="text1"/>
                <w:sz w:val="20"/>
              </w:rPr>
              <w:br/>
              <w:t>HFrEF – Dapagliflozin/DAPA-HF – included people with NYHA II-IV symptoms</w:t>
            </w:r>
            <w:r w:rsidRPr="00CC6553">
              <w:rPr>
                <w:rFonts w:cs="Arial"/>
                <w:color w:val="000000" w:themeColor="text1"/>
                <w:sz w:val="20"/>
              </w:rPr>
              <w:br/>
              <w:t>HFpEF – Empagliflozin/EMPEROR preserved – included people with NYHA II-IV symptoms</w:t>
            </w:r>
          </w:p>
        </w:tc>
        <w:tc>
          <w:tcPr>
            <w:tcW w:w="2122" w:type="pct"/>
          </w:tcPr>
          <w:p w14:paraId="21AA9D14" w14:textId="7D8B9F9D" w:rsidR="00897293" w:rsidRPr="009E78A4" w:rsidRDefault="00897293" w:rsidP="476BDDBF">
            <w:pPr>
              <w:rPr>
                <w:color w:val="000000" w:themeColor="text1"/>
                <w:sz w:val="20"/>
              </w:rPr>
            </w:pPr>
            <w:r w:rsidRPr="009B3C47">
              <w:rPr>
                <w:color w:val="000000" w:themeColor="text1"/>
                <w:sz w:val="20"/>
              </w:rPr>
              <w:lastRenderedPageBreak/>
              <w:t xml:space="preserve">Thank you for your comment.  Whilst the trials certainly relied on NYHA classification, the pragmatics of this as well as the constellation of symptoms that may represent inadequately controlled HF, </w:t>
            </w:r>
            <w:r w:rsidRPr="009B3C47">
              <w:rPr>
                <w:color w:val="000000" w:themeColor="text1"/>
                <w:sz w:val="20"/>
              </w:rPr>
              <w:lastRenderedPageBreak/>
              <w:t>persuaded the committee that a specific reference to NYHA should not be made.</w:t>
            </w:r>
          </w:p>
        </w:tc>
      </w:tr>
      <w:tr w:rsidR="00897293" w:rsidRPr="00CC6553" w14:paraId="7C1B675D" w14:textId="77777777" w:rsidTr="00897293">
        <w:trPr>
          <w:trHeight w:val="300"/>
        </w:trPr>
        <w:tc>
          <w:tcPr>
            <w:tcW w:w="109" w:type="pct"/>
          </w:tcPr>
          <w:p w14:paraId="4E04643A"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308</w:t>
            </w:r>
          </w:p>
        </w:tc>
        <w:tc>
          <w:tcPr>
            <w:tcW w:w="143" w:type="pct"/>
          </w:tcPr>
          <w:p w14:paraId="1985E4E8" w14:textId="25A84807"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40AB57F8" w14:textId="43DFF5CE"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085AAE12" w14:textId="01E5C1B2"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19D4AE60" w14:textId="664485AE"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0F325772" w14:textId="6DC95102"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1951573B" w14:textId="5F35A0AD" w:rsidR="00897293" w:rsidRPr="00CC6553" w:rsidRDefault="00897293" w:rsidP="00B234F1">
            <w:pPr>
              <w:rPr>
                <w:rFonts w:cs="Arial"/>
                <w:color w:val="000000" w:themeColor="text1"/>
                <w:sz w:val="20"/>
              </w:rPr>
            </w:pPr>
            <w:r w:rsidRPr="00CC6553">
              <w:rPr>
                <w:rFonts w:cs="Arial"/>
                <w:color w:val="000000" w:themeColor="text1"/>
                <w:sz w:val="20"/>
              </w:rPr>
              <w:t>Disappointing to see that the guidance around palliative care remains that it should only be considered when a patient moves into the acute phase of heart failure. Introducing it sooner could prevent patients moving into the acute phase.</w:t>
            </w:r>
          </w:p>
        </w:tc>
        <w:tc>
          <w:tcPr>
            <w:tcW w:w="2122" w:type="pct"/>
          </w:tcPr>
          <w:p w14:paraId="608C295B" w14:textId="15769FD0"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scope of this update was the pharmacological management of chronic heart failure https://www.nice.org.uk/guidance/gid-ng10405/documents/final-scope and the committee is therefore only able to make editorial changes or minimal changes for consistency or clarification to recommendations on areas outside of this.</w:t>
            </w:r>
          </w:p>
        </w:tc>
      </w:tr>
      <w:tr w:rsidR="00897293" w:rsidRPr="00CC6553" w14:paraId="64CF9D4F" w14:textId="77777777" w:rsidTr="00897293">
        <w:trPr>
          <w:trHeight w:val="300"/>
        </w:trPr>
        <w:tc>
          <w:tcPr>
            <w:tcW w:w="109" w:type="pct"/>
          </w:tcPr>
          <w:p w14:paraId="42595CC9" w14:textId="77777777" w:rsidR="00897293" w:rsidRPr="00CC6553" w:rsidRDefault="00897293" w:rsidP="00B234F1">
            <w:pPr>
              <w:rPr>
                <w:rFonts w:cs="Arial"/>
                <w:color w:val="000000" w:themeColor="text1"/>
                <w:sz w:val="20"/>
              </w:rPr>
            </w:pPr>
            <w:r w:rsidRPr="00CC6553">
              <w:rPr>
                <w:rFonts w:cs="Arial"/>
                <w:color w:val="000000" w:themeColor="text1"/>
                <w:sz w:val="20"/>
              </w:rPr>
              <w:t>309</w:t>
            </w:r>
          </w:p>
        </w:tc>
        <w:tc>
          <w:tcPr>
            <w:tcW w:w="143" w:type="pct"/>
          </w:tcPr>
          <w:p w14:paraId="79496A8D" w14:textId="2761FCDE"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08993C5" w14:textId="752E9953"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08F69974" w14:textId="17BD0CB3"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7769A30C" w14:textId="4A9CF922"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2AA0EE22" w14:textId="030E597C"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7ADC620B" w14:textId="588B8C23" w:rsidR="00897293" w:rsidRPr="00CC6553" w:rsidRDefault="00897293" w:rsidP="476BDDBF">
            <w:pPr>
              <w:rPr>
                <w:rFonts w:cs="Arial"/>
                <w:color w:val="000000" w:themeColor="text1"/>
                <w:sz w:val="20"/>
              </w:rPr>
            </w:pPr>
            <w:r w:rsidRPr="00CC6553">
              <w:rPr>
                <w:rFonts w:cs="Arial"/>
                <w:color w:val="000000" w:themeColor="text1"/>
                <w:sz w:val="20"/>
              </w:rPr>
              <w:t xml:space="preserve">Our reviewers, HF specialists and patients generally felt there were some positive additions or consideration to the 2025 Guideline review. SGLT2i’s being considered as first line treatment, inclusion of iron deficiency. Some insights should have had consideration of inclusion of “heart failure @ home” PIFU and remote monitoring to create a culture of self-management to help people live better with heart failure. This was not included. This could help to reduce the number of hospital admissions and help patients feel more involved in their care. We felt the lack of inclusion of signposted organisations where patients and their families could research was disappointing. A Guideline for modern times should take the friction away from learning, and present it to the patient, their families and generalist HCP’s to improve access and take up. Our patient experts wholeheartedly don’t think there is enough detail about HFpEF and the challenges of its co-morbidities, we would like this to be upscaled and become one of the highlights to this Guideline. We also think that SGLT2i’s should be and can be prescribed by primary care without guidance from a specialist. Referring to a specialist further increases risk to the patient and costs more money to do. We also think that the requirement for patients to be fully optimised and up titrated on </w:t>
            </w:r>
            <w:r w:rsidRPr="00CC6553">
              <w:rPr>
                <w:rFonts w:cs="Arial"/>
                <w:color w:val="000000" w:themeColor="text1"/>
                <w:sz w:val="20"/>
              </w:rPr>
              <w:lastRenderedPageBreak/>
              <w:t>ACE until they are considered for an ARNI is out date and not in line with clinical guidance or practice and is in fact not safe for patients. We know NICE use this as a rate limiting tool. We have nearly 10 years of real world identifiable significant benefit of ARNI in HF over ACE/ARB.</w:t>
            </w:r>
            <w:r w:rsidRPr="00CC6553">
              <w:rPr>
                <w:color w:val="000000" w:themeColor="text1"/>
              </w:rPr>
              <w:br/>
            </w:r>
            <w:r w:rsidRPr="00CC6553">
              <w:rPr>
                <w:color w:val="000000" w:themeColor="text1"/>
              </w:rPr>
              <w:br/>
            </w:r>
            <w:r w:rsidRPr="00CC6553">
              <w:rPr>
                <w:rFonts w:cs="Arial"/>
                <w:color w:val="000000" w:themeColor="text1"/>
                <w:sz w:val="20"/>
              </w:rPr>
              <w:t>As an organisation, we know this Guideline was not scoped at all with the wider stakeholder population. This pharmacological update on the existing NG106 has not taken into consideration some of the shifts in practice and completely ignored our letter dated 28th February 2024, which is below. We wish to understand with transparency, why this didn’t happen. Currently our opinion is that this Guideline was created behind doors and therefore the topics in the scope were no considered by the wider stakeholder community. Contrary to our understanding of topic creation through wider stakeholder scoping and working with NICE for 14 years, we need to understand the lack of transparency.</w:t>
            </w:r>
          </w:p>
        </w:tc>
        <w:tc>
          <w:tcPr>
            <w:tcW w:w="2122" w:type="pct"/>
          </w:tcPr>
          <w:p w14:paraId="18929E3A" w14:textId="73324868" w:rsidR="00897293" w:rsidRPr="00CC6553" w:rsidRDefault="00897293" w:rsidP="009B3C47">
            <w:pPr>
              <w:pStyle w:val="Paragraph"/>
              <w:numPr>
                <w:ilvl w:val="0"/>
                <w:numId w:val="0"/>
              </w:numPr>
              <w:spacing w:line="240" w:lineRule="auto"/>
              <w:rPr>
                <w:color w:val="000000" w:themeColor="text1"/>
              </w:rPr>
            </w:pPr>
            <w:r w:rsidRPr="00CC6553">
              <w:rPr>
                <w:rFonts w:cs="Arial"/>
                <w:color w:val="000000" w:themeColor="text1"/>
                <w:sz w:val="20"/>
              </w:rPr>
              <w:lastRenderedPageBreak/>
              <w:t xml:space="preserve">Thank you for your comment.  The scope of this update was the </w:t>
            </w:r>
            <w:r w:rsidRPr="00BA6B99">
              <w:rPr>
                <w:rFonts w:cs="Arial"/>
                <w:color w:val="000000" w:themeColor="text1"/>
                <w:sz w:val="20"/>
              </w:rPr>
              <w:t xml:space="preserve">pharmacological management of chronic heart failure </w:t>
            </w:r>
            <w:hyperlink r:id="rId46">
              <w:r w:rsidRPr="009B3C47">
                <w:rPr>
                  <w:rStyle w:val="Hyperlink"/>
                  <w:color w:val="000000" w:themeColor="text1"/>
                  <w:sz w:val="20"/>
                </w:rPr>
                <w:t>https://www.nice.org.uk/guidance/gid-ng10405/documents/final-scope</w:t>
              </w:r>
            </w:hyperlink>
            <w:r w:rsidRPr="009B3C47">
              <w:rPr>
                <w:color w:val="000000" w:themeColor="text1"/>
                <w:sz w:val="20"/>
              </w:rPr>
              <w:t xml:space="preserve"> </w:t>
            </w:r>
            <w:r w:rsidRPr="00BA6B99">
              <w:rPr>
                <w:rFonts w:cs="Arial"/>
                <w:color w:val="000000" w:themeColor="text1"/>
                <w:sz w:val="20"/>
              </w:rPr>
              <w:t xml:space="preserve">and the committee is therefore unable to make recommendations on areas outside of this.   The scope of this guideline update was in response to the surveillance review </w:t>
            </w:r>
            <w:hyperlink r:id="rId47">
              <w:r w:rsidRPr="00BA6B99">
                <w:rPr>
                  <w:rStyle w:val="Hyperlink"/>
                  <w:rFonts w:cs="Arial"/>
                  <w:color w:val="000000" w:themeColor="text1"/>
                  <w:sz w:val="20"/>
                </w:rPr>
                <w:t>Surveillance decision | Evidence | Chronic heart failure in adults: diagnosis and management | Guidance | NICE</w:t>
              </w:r>
            </w:hyperlink>
            <w:r w:rsidRPr="00CC6553">
              <w:rPr>
                <w:rFonts w:cs="Arial"/>
                <w:color w:val="000000" w:themeColor="text1"/>
                <w:sz w:val="20"/>
              </w:rPr>
              <w:t xml:space="preserve"> and it therefore focused on pharmacological </w:t>
            </w:r>
            <w:r w:rsidRPr="00CC6553">
              <w:rPr>
                <w:rFonts w:cs="Arial"/>
                <w:color w:val="000000" w:themeColor="text1"/>
                <w:sz w:val="20"/>
              </w:rPr>
              <w:lastRenderedPageBreak/>
              <w:t xml:space="preserve">management.   There may be further updates on the important topics you have mentioned.    For further details of how we prioritise our guidance </w:t>
            </w:r>
            <w:hyperlink r:id="rId48">
              <w:r w:rsidRPr="00CC6553">
                <w:rPr>
                  <w:rStyle w:val="Hyperlink"/>
                  <w:rFonts w:cs="Arial"/>
                  <w:color w:val="000000" w:themeColor="text1"/>
                  <w:sz w:val="20"/>
                </w:rPr>
                <w:t>Prioritising our guidance topics | What we do | About | NICE</w:t>
              </w:r>
            </w:hyperlink>
            <w:r w:rsidRPr="00CC6553">
              <w:rPr>
                <w:rFonts w:cs="Arial"/>
                <w:color w:val="000000" w:themeColor="text1"/>
                <w:sz w:val="20"/>
              </w:rPr>
              <w:t xml:space="preserve"> including details of how to suggest a topic.</w:t>
            </w:r>
          </w:p>
          <w:p w14:paraId="4BCCC97F" w14:textId="77777777" w:rsidR="00897293" w:rsidRPr="00BA6B99" w:rsidRDefault="00897293" w:rsidP="009B3C47">
            <w:pPr>
              <w:pStyle w:val="Paragraph"/>
              <w:numPr>
                <w:ilvl w:val="0"/>
                <w:numId w:val="0"/>
              </w:numPr>
              <w:spacing w:line="240" w:lineRule="auto"/>
              <w:rPr>
                <w:rFonts w:cs="Arial"/>
                <w:color w:val="000000" w:themeColor="text1"/>
                <w:sz w:val="20"/>
              </w:rPr>
            </w:pPr>
            <w:r w:rsidRPr="00CC6553">
              <w:rPr>
                <w:rFonts w:cs="Arial"/>
                <w:color w:val="000000" w:themeColor="text1"/>
                <w:sz w:val="20"/>
              </w:rPr>
              <w:t xml:space="preserve">The committee recognised the importance or organisations where people can find information.  However, NICE guidelines typically do not </w:t>
            </w:r>
            <w:r w:rsidRPr="00BA6B99">
              <w:rPr>
                <w:rFonts w:cs="Arial"/>
                <w:color w:val="000000" w:themeColor="text1"/>
                <w:sz w:val="20"/>
              </w:rPr>
              <w:t>signpost to these in recommendations.</w:t>
            </w:r>
          </w:p>
          <w:p w14:paraId="24B32931" w14:textId="54957464" w:rsidR="00897293" w:rsidRPr="00CC6553" w:rsidRDefault="00897293" w:rsidP="00105AA7">
            <w:pPr>
              <w:pStyle w:val="Paragraph"/>
              <w:numPr>
                <w:ilvl w:val="0"/>
                <w:numId w:val="0"/>
              </w:numPr>
              <w:spacing w:line="240" w:lineRule="auto"/>
              <w:rPr>
                <w:rFonts w:cs="Arial"/>
                <w:color w:val="000000" w:themeColor="text1"/>
                <w:sz w:val="20"/>
              </w:rPr>
            </w:pPr>
            <w:r w:rsidRPr="009B3C47">
              <w:rPr>
                <w:rFonts w:cs="Arial"/>
                <w:color w:val="000000" w:themeColor="text1"/>
                <w:sz w:val="20"/>
              </w:rPr>
              <w:t>The management of comorbidities is important for all conditions but the management of these is outside of the scope of this guideline update.</w:t>
            </w:r>
            <w:r>
              <w:t xml:space="preserve"> </w:t>
            </w:r>
            <w:r w:rsidRPr="009B3C47">
              <w:rPr>
                <w:rFonts w:cs="Arial"/>
                <w:color w:val="000000" w:themeColor="text1"/>
                <w:sz w:val="20"/>
              </w:rPr>
              <w:t>The recommendation on the prescribing of SGLT2 inhibitors has been edited and the committee no longer recommend that specialist advice is required.</w:t>
            </w:r>
            <w:r>
              <w:rPr>
                <w:rFonts w:cs="Arial"/>
                <w:color w:val="000000" w:themeColor="text1"/>
                <w:sz w:val="20"/>
              </w:rPr>
              <w:t xml:space="preserve"> </w:t>
            </w:r>
            <w:r w:rsidRPr="00BA6B99">
              <w:rPr>
                <w:rFonts w:eastAsia="Aptos" w:cs="Arial"/>
                <w:color w:val="000000" w:themeColor="text1"/>
                <w:sz w:val="20"/>
              </w:rPr>
              <w:t>The review protocol</w:t>
            </w:r>
            <w:r w:rsidRPr="00CC6553">
              <w:rPr>
                <w:rFonts w:eastAsia="Aptos" w:cs="Arial"/>
                <w:color w:val="000000" w:themeColor="text1"/>
                <w:sz w:val="20"/>
              </w:rPr>
              <w:t xml:space="preserve"> for this update specified that only randomised trial data would be included when assessing the clinical effectiveness as this provides the most robust source of data for comparing interventions. Therefore, real world data was not incorporated in the clinical evidence review. </w:t>
            </w:r>
            <w:r w:rsidRPr="00CC6553">
              <w:rPr>
                <w:rFonts w:cs="Arial"/>
                <w:color w:val="000000" w:themeColor="text1"/>
                <w:sz w:val="20"/>
              </w:rPr>
              <w:lastRenderedPageBreak/>
              <w:t xml:space="preserve">Although the benefits of ARNI are recognised, the recommendation was made taking into consideration the cost-effectiveness as well as clinical effectiveness analysis. Even in the more favourable scenarios for ARNI, at current prices, the economic modelling </w:t>
            </w:r>
            <w:r w:rsidRPr="00BA6B99">
              <w:rPr>
                <w:rFonts w:cs="Arial"/>
                <w:color w:val="000000" w:themeColor="text1"/>
                <w:sz w:val="20"/>
              </w:rPr>
              <w:t>found it not cost-effective in people who can tolerate ACEI.</w:t>
            </w:r>
            <w:r w:rsidRPr="00BA6B99">
              <w:rPr>
                <w:rFonts w:eastAsia="Aptos" w:cs="Arial"/>
                <w:color w:val="000000" w:themeColor="text1"/>
                <w:sz w:val="20"/>
              </w:rPr>
              <w:t xml:space="preserve"> </w:t>
            </w:r>
            <w:r w:rsidRPr="00BA6B99">
              <w:rPr>
                <w:rFonts w:cs="Arial"/>
                <w:color w:val="000000" w:themeColor="text1"/>
                <w:sz w:val="20"/>
              </w:rPr>
              <w:t xml:space="preserve">Scoping was carried out in accordance with the manual </w:t>
            </w:r>
            <w:hyperlink r:id="rId49">
              <w:r w:rsidRPr="009B3C47">
                <w:rPr>
                  <w:rStyle w:val="Hyperlink"/>
                  <w:color w:val="000000" w:themeColor="text1"/>
                  <w:sz w:val="20"/>
                </w:rPr>
                <w:t>2 The scope | Developing NICE guidelines: the manual | Guidance | NICE.</w:t>
              </w:r>
            </w:hyperlink>
            <w:r w:rsidRPr="00BA6B99">
              <w:rPr>
                <w:rFonts w:cs="Arial"/>
                <w:color w:val="000000" w:themeColor="text1"/>
                <w:sz w:val="20"/>
              </w:rPr>
              <w:t xml:space="preserve"> NICE does value the experience and opinion of our stakeholders but as the scope of this update was based on a surveillance review it was clear what topics need to be included.  However, further updates may be required for example on the topics</w:t>
            </w:r>
            <w:r w:rsidRPr="00CC6553">
              <w:rPr>
                <w:rFonts w:cs="Arial"/>
                <w:color w:val="000000" w:themeColor="text1"/>
                <w:sz w:val="20"/>
              </w:rPr>
              <w:t xml:space="preserve"> you have mentioned. </w:t>
            </w:r>
          </w:p>
        </w:tc>
      </w:tr>
      <w:tr w:rsidR="00897293" w:rsidRPr="00CC6553" w14:paraId="2804CF37" w14:textId="77777777" w:rsidTr="00897293">
        <w:trPr>
          <w:trHeight w:val="300"/>
        </w:trPr>
        <w:tc>
          <w:tcPr>
            <w:tcW w:w="109" w:type="pct"/>
          </w:tcPr>
          <w:p w14:paraId="0BD2DC02"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310</w:t>
            </w:r>
          </w:p>
        </w:tc>
        <w:tc>
          <w:tcPr>
            <w:tcW w:w="143" w:type="pct"/>
          </w:tcPr>
          <w:p w14:paraId="334EF951" w14:textId="7C8C0D5B"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77BF61ED" w14:textId="23E94975"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041CC892" w14:textId="47B3C879"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5F474C19" w14:textId="571EA1EC"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4D3F4ABA" w14:textId="4D36BE04"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10228DC7" w14:textId="48246CC7" w:rsidR="00897293" w:rsidRPr="00CC6553" w:rsidRDefault="00897293" w:rsidP="00B234F1">
            <w:pPr>
              <w:rPr>
                <w:rFonts w:cs="Arial"/>
                <w:color w:val="000000" w:themeColor="text1"/>
                <w:sz w:val="20"/>
              </w:rPr>
            </w:pPr>
            <w:r w:rsidRPr="00CC6553">
              <w:rPr>
                <w:rFonts w:cs="Arial"/>
                <w:color w:val="000000" w:themeColor="text1"/>
                <w:sz w:val="20"/>
              </w:rPr>
              <w:t>For the treatment sections, it would be helpful for the recommendations to include a statement that if 2 or more drugs in the same class are appropriate, the prescriber should chomose the option with the lowest acquisition cost. This helps to future-proof the guideline given the potential for in-class price changes that may be borne from future loss of exclusivity. Such a statement may fit best in section 1.7</w:t>
            </w:r>
          </w:p>
        </w:tc>
        <w:tc>
          <w:tcPr>
            <w:tcW w:w="2122" w:type="pct"/>
          </w:tcPr>
          <w:p w14:paraId="6F3A1EA5" w14:textId="77777777"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Thank you for your comment. </w:t>
            </w:r>
          </w:p>
          <w:p w14:paraId="01B89BA6" w14:textId="77777777" w:rsidR="00897293" w:rsidRPr="00CC6553" w:rsidRDefault="00897293" w:rsidP="00B234F1">
            <w:pPr>
              <w:pStyle w:val="Heading1"/>
              <w:rPr>
                <w:rFonts w:cs="Arial"/>
                <w:b w:val="0"/>
                <w:color w:val="000000" w:themeColor="text1"/>
                <w:sz w:val="20"/>
              </w:rPr>
            </w:pPr>
          </w:p>
          <w:p w14:paraId="18A5B45B" w14:textId="08DE0C95"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The guideline did not look at inter-class comparison either from a clinical or cost-effectiveness perspective, so the committee were unable to make recommendations for specific drugs. </w:t>
            </w:r>
          </w:p>
        </w:tc>
      </w:tr>
      <w:tr w:rsidR="00897293" w:rsidRPr="00CC6553" w14:paraId="1F3CAD15" w14:textId="77777777" w:rsidTr="00897293">
        <w:trPr>
          <w:trHeight w:val="300"/>
        </w:trPr>
        <w:tc>
          <w:tcPr>
            <w:tcW w:w="109" w:type="pct"/>
          </w:tcPr>
          <w:p w14:paraId="5B8E47BF"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311</w:t>
            </w:r>
          </w:p>
        </w:tc>
        <w:tc>
          <w:tcPr>
            <w:tcW w:w="143" w:type="pct"/>
          </w:tcPr>
          <w:p w14:paraId="7C635143" w14:textId="386DF984"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0931603E" w14:textId="6E0A1404" w:rsidR="00897293" w:rsidRPr="00CC6553" w:rsidRDefault="00897293" w:rsidP="00B234F1">
            <w:pPr>
              <w:rPr>
                <w:rFonts w:cs="Arial"/>
                <w:bCs/>
                <w:iCs/>
                <w:color w:val="000000" w:themeColor="text1"/>
                <w:sz w:val="20"/>
              </w:rPr>
            </w:pPr>
            <w:r w:rsidRPr="00CC6553">
              <w:rPr>
                <w:rFonts w:cs="Arial"/>
                <w:color w:val="000000" w:themeColor="text1"/>
                <w:sz w:val="20"/>
              </w:rPr>
              <w:t>Primary Care Cardiovascular Society (PCCS)</w:t>
            </w:r>
          </w:p>
        </w:tc>
        <w:tc>
          <w:tcPr>
            <w:tcW w:w="279" w:type="pct"/>
          </w:tcPr>
          <w:p w14:paraId="4645E963" w14:textId="13AEE035"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03176405" w14:textId="36DC0362"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3364BA41" w14:textId="317A8DEF"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3A4A306C" w14:textId="45A3E0AB" w:rsidR="00897293" w:rsidRPr="00CC6553" w:rsidRDefault="00897293" w:rsidP="00B234F1">
            <w:pPr>
              <w:rPr>
                <w:rFonts w:cs="Arial"/>
                <w:color w:val="000000" w:themeColor="text1"/>
                <w:sz w:val="20"/>
              </w:rPr>
            </w:pPr>
            <w:r w:rsidRPr="00CC6553">
              <w:rPr>
                <w:rFonts w:cs="Arial"/>
                <w:color w:val="000000" w:themeColor="text1"/>
                <w:sz w:val="20"/>
              </w:rPr>
              <w:t>In general, there are many positive changes in this guideline update which reflect contemporary evidence-based practice to improve heart failure outcomes</w:t>
            </w:r>
          </w:p>
        </w:tc>
        <w:tc>
          <w:tcPr>
            <w:tcW w:w="2122" w:type="pct"/>
          </w:tcPr>
          <w:p w14:paraId="4B3083CA" w14:textId="059397C5"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w:t>
            </w:r>
          </w:p>
        </w:tc>
      </w:tr>
      <w:tr w:rsidR="00897293" w:rsidRPr="00CC6553" w14:paraId="0F805489" w14:textId="77777777" w:rsidTr="00897293">
        <w:trPr>
          <w:trHeight w:val="300"/>
        </w:trPr>
        <w:tc>
          <w:tcPr>
            <w:tcW w:w="109" w:type="pct"/>
          </w:tcPr>
          <w:p w14:paraId="75C8CA27" w14:textId="77777777" w:rsidR="00897293" w:rsidRPr="00CC6553" w:rsidRDefault="00897293" w:rsidP="00B234F1">
            <w:pPr>
              <w:rPr>
                <w:rFonts w:cs="Arial"/>
                <w:color w:val="000000" w:themeColor="text1"/>
                <w:sz w:val="20"/>
              </w:rPr>
            </w:pPr>
            <w:r w:rsidRPr="00CC6553">
              <w:rPr>
                <w:rFonts w:cs="Arial"/>
                <w:color w:val="000000" w:themeColor="text1"/>
                <w:sz w:val="20"/>
              </w:rPr>
              <w:t>312</w:t>
            </w:r>
          </w:p>
        </w:tc>
        <w:tc>
          <w:tcPr>
            <w:tcW w:w="143" w:type="pct"/>
          </w:tcPr>
          <w:p w14:paraId="33003DF8" w14:textId="3AEEC79A"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2B561A0D" w14:textId="756C43B9" w:rsidR="00897293" w:rsidRPr="00CC6553" w:rsidRDefault="00897293" w:rsidP="00B234F1">
            <w:pPr>
              <w:rPr>
                <w:rFonts w:cs="Arial"/>
                <w:bCs/>
                <w:iCs/>
                <w:color w:val="000000" w:themeColor="text1"/>
                <w:sz w:val="20"/>
              </w:rPr>
            </w:pPr>
            <w:r w:rsidRPr="00CC6553">
              <w:rPr>
                <w:rFonts w:cs="Arial"/>
                <w:color w:val="000000" w:themeColor="text1"/>
                <w:sz w:val="20"/>
              </w:rPr>
              <w:t>Wrightington, Wigan and Leigh NHS Foundation Trust</w:t>
            </w:r>
          </w:p>
        </w:tc>
        <w:tc>
          <w:tcPr>
            <w:tcW w:w="279" w:type="pct"/>
          </w:tcPr>
          <w:p w14:paraId="21323F17" w14:textId="556EF5CF"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1FAB0B15" w14:textId="1CD8EBBB"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7FD4E12B" w14:textId="48D81D21"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24CF25D6" w14:textId="25E25DAC" w:rsidR="00897293" w:rsidRPr="00CC6553" w:rsidRDefault="00897293" w:rsidP="00B234F1">
            <w:pPr>
              <w:rPr>
                <w:rFonts w:cs="Arial"/>
                <w:color w:val="000000" w:themeColor="text1"/>
                <w:sz w:val="20"/>
              </w:rPr>
            </w:pPr>
            <w:r w:rsidRPr="00CC6553">
              <w:rPr>
                <w:rFonts w:cs="Arial"/>
                <w:color w:val="000000" w:themeColor="text1"/>
                <w:sz w:val="20"/>
              </w:rPr>
              <w:t>The community heart failure team and our lead Professor Arya discussed the document in out MDT. We welcomed the ability for GP's to be able to prescribe ARNI with specialist advice but were disappointed that Gp's would be unable to prescribe SGLT2 inhibitors without specialist advice given their existing knowledge of prescribing these drugs for diabetes</w:t>
            </w:r>
          </w:p>
        </w:tc>
        <w:tc>
          <w:tcPr>
            <w:tcW w:w="2122" w:type="pct"/>
          </w:tcPr>
          <w:p w14:paraId="39EB35EB" w14:textId="694F899F"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We have removed the requirement for GPs to seek advice from heart failure specialist before prescribing a SGLT2 inhibitor.</w:t>
            </w:r>
          </w:p>
        </w:tc>
      </w:tr>
      <w:tr w:rsidR="00897293" w:rsidRPr="00CC6553" w14:paraId="476C8EB0" w14:textId="77777777" w:rsidTr="00897293">
        <w:trPr>
          <w:trHeight w:val="300"/>
        </w:trPr>
        <w:tc>
          <w:tcPr>
            <w:tcW w:w="109" w:type="pct"/>
          </w:tcPr>
          <w:p w14:paraId="4937CF48" w14:textId="77777777" w:rsidR="00897293" w:rsidRPr="00CC6553" w:rsidRDefault="00897293" w:rsidP="00B234F1">
            <w:pPr>
              <w:rPr>
                <w:rFonts w:cs="Arial"/>
                <w:color w:val="000000" w:themeColor="text1"/>
                <w:sz w:val="20"/>
              </w:rPr>
            </w:pPr>
            <w:r w:rsidRPr="00CC6553">
              <w:rPr>
                <w:rFonts w:cs="Arial"/>
                <w:color w:val="000000" w:themeColor="text1"/>
                <w:sz w:val="20"/>
              </w:rPr>
              <w:t>313</w:t>
            </w:r>
          </w:p>
        </w:tc>
        <w:tc>
          <w:tcPr>
            <w:tcW w:w="143" w:type="pct"/>
          </w:tcPr>
          <w:p w14:paraId="7D17C9E1" w14:textId="78304B6D"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4A8BCF2" w14:textId="6FCA7A6C" w:rsidR="00897293" w:rsidRPr="00CC6553" w:rsidRDefault="00897293" w:rsidP="00B234F1">
            <w:pPr>
              <w:rPr>
                <w:rFonts w:cs="Arial"/>
                <w:bCs/>
                <w:iCs/>
                <w:color w:val="000000" w:themeColor="text1"/>
                <w:sz w:val="20"/>
              </w:rPr>
            </w:pPr>
            <w:r w:rsidRPr="00CC6553">
              <w:rPr>
                <w:rFonts w:cs="Arial"/>
                <w:color w:val="000000" w:themeColor="text1"/>
                <w:sz w:val="20"/>
              </w:rPr>
              <w:t>Wrightington, Wigan and Leigh NHS Foundation Trust</w:t>
            </w:r>
          </w:p>
        </w:tc>
        <w:tc>
          <w:tcPr>
            <w:tcW w:w="279" w:type="pct"/>
          </w:tcPr>
          <w:p w14:paraId="28653B4D" w14:textId="45C77BBE"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4EA0B2F7" w14:textId="10E30144"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05FE9E34" w14:textId="6FB44DFD"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1407D6A8" w14:textId="7320DD44" w:rsidR="00897293" w:rsidRPr="00CC6553" w:rsidRDefault="00897293" w:rsidP="00B234F1">
            <w:pPr>
              <w:rPr>
                <w:rFonts w:cs="Arial"/>
                <w:color w:val="000000" w:themeColor="text1"/>
                <w:sz w:val="20"/>
              </w:rPr>
            </w:pPr>
            <w:r w:rsidRPr="00CC6553">
              <w:rPr>
                <w:rFonts w:cs="Arial"/>
                <w:color w:val="000000" w:themeColor="text1"/>
                <w:sz w:val="20"/>
              </w:rPr>
              <w:t>There are barriers to prescribing disease modifying treatments for those who have preserved or mildly reduced LV function. Specialist services are often not commissioned to see these patients yet GP's require specialist advice to prescribe the SGLT2 inhibitors. Patients requiring consultant referral for advice regarding SGLT2 treatment will potentially wait prolonged periods despite the importance of rapid optimisation of heart failure medications.</w:t>
            </w:r>
          </w:p>
        </w:tc>
        <w:tc>
          <w:tcPr>
            <w:tcW w:w="2122" w:type="pct"/>
          </w:tcPr>
          <w:p w14:paraId="0BC2B37E" w14:textId="541B3070"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committee has removed the requirement for GPs to seek advice from a heart failure specialist before prescribing a SGLT2 inhibitor.</w:t>
            </w:r>
          </w:p>
        </w:tc>
      </w:tr>
      <w:tr w:rsidR="00897293" w:rsidRPr="00CC6553" w14:paraId="2320A8F4" w14:textId="77777777" w:rsidTr="00897293">
        <w:trPr>
          <w:trHeight w:val="300"/>
        </w:trPr>
        <w:tc>
          <w:tcPr>
            <w:tcW w:w="109" w:type="pct"/>
          </w:tcPr>
          <w:p w14:paraId="2AAACC55" w14:textId="77777777" w:rsidR="00897293" w:rsidRPr="00CC6553" w:rsidRDefault="00897293" w:rsidP="00B234F1">
            <w:pPr>
              <w:rPr>
                <w:rFonts w:cs="Arial"/>
                <w:color w:val="000000" w:themeColor="text1"/>
                <w:sz w:val="20"/>
              </w:rPr>
            </w:pPr>
            <w:r w:rsidRPr="00CC6553">
              <w:rPr>
                <w:rFonts w:cs="Arial"/>
                <w:color w:val="000000" w:themeColor="text1"/>
                <w:sz w:val="20"/>
              </w:rPr>
              <w:t>314</w:t>
            </w:r>
          </w:p>
        </w:tc>
        <w:tc>
          <w:tcPr>
            <w:tcW w:w="143" w:type="pct"/>
          </w:tcPr>
          <w:p w14:paraId="756D9CE9" w14:textId="4ED56B5E"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09299427" w14:textId="6C84E41D" w:rsidR="00897293" w:rsidRPr="00CC6553" w:rsidRDefault="00897293" w:rsidP="00B234F1">
            <w:pPr>
              <w:rPr>
                <w:rFonts w:cs="Arial"/>
                <w:bCs/>
                <w:iCs/>
                <w:color w:val="000000" w:themeColor="text1"/>
                <w:sz w:val="20"/>
              </w:rPr>
            </w:pPr>
            <w:r w:rsidRPr="00CC6553">
              <w:rPr>
                <w:rFonts w:cs="Arial"/>
                <w:color w:val="000000" w:themeColor="text1"/>
                <w:sz w:val="20"/>
              </w:rPr>
              <w:t>Cardiomyopathy UK</w:t>
            </w:r>
          </w:p>
        </w:tc>
        <w:tc>
          <w:tcPr>
            <w:tcW w:w="279" w:type="pct"/>
          </w:tcPr>
          <w:p w14:paraId="1B25593D" w14:textId="41302D1D"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02DD2E10" w14:textId="703F7FAF"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7A3CD86D" w14:textId="4F1247B9"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0B47CBC8" w14:textId="0B565475" w:rsidR="00897293" w:rsidRPr="00CC6553" w:rsidRDefault="00897293" w:rsidP="00B234F1">
            <w:pPr>
              <w:rPr>
                <w:rFonts w:cs="Arial"/>
                <w:color w:val="000000" w:themeColor="text1"/>
                <w:sz w:val="20"/>
              </w:rPr>
            </w:pPr>
            <w:r w:rsidRPr="00CC6553">
              <w:rPr>
                <w:rFonts w:cs="Arial"/>
                <w:color w:val="000000" w:themeColor="text1"/>
                <w:sz w:val="20"/>
              </w:rPr>
              <w:t>The guideline seems to be focussed on optimising care of new heart failure patients. Whilst this is absolutely very important, we’re concerned that there are still many ‘legacy’ patients out there who have not yet been offered care in line with the recommendations contained in this guideline – who are not on the ‘4 pillars’. The guideline misses the opportunity to make mention of the importance of optimising medication in existing heart failure patients. Such a recommendation might naturally fit in the section on clinical review 1.8 (p.18) which falls outside the scope of this consultation/update process. As per the comments above, this is another missed opportunity and we would like to see a full update of the guideline.</w:t>
            </w:r>
          </w:p>
        </w:tc>
        <w:tc>
          <w:tcPr>
            <w:tcW w:w="2122" w:type="pct"/>
          </w:tcPr>
          <w:p w14:paraId="5C617DB6" w14:textId="26C31F61"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committee agreed that it is important that the recommendations are for all people diagnosed with chronic heart failure and that therefore all people should be optimised in accordance with the recommendations in 1.7.</w:t>
            </w:r>
          </w:p>
        </w:tc>
      </w:tr>
      <w:tr w:rsidR="00897293" w:rsidRPr="00CC6553" w14:paraId="1D37BB4F" w14:textId="77777777" w:rsidTr="00897293">
        <w:trPr>
          <w:trHeight w:val="300"/>
        </w:trPr>
        <w:tc>
          <w:tcPr>
            <w:tcW w:w="109" w:type="pct"/>
          </w:tcPr>
          <w:p w14:paraId="36FE5974" w14:textId="77777777" w:rsidR="00897293" w:rsidRPr="00CC6553" w:rsidRDefault="00897293" w:rsidP="00B234F1">
            <w:pPr>
              <w:rPr>
                <w:rFonts w:cs="Arial"/>
                <w:color w:val="000000" w:themeColor="text1"/>
                <w:sz w:val="20"/>
              </w:rPr>
            </w:pPr>
            <w:r w:rsidRPr="00CC6553">
              <w:rPr>
                <w:rFonts w:cs="Arial"/>
                <w:color w:val="000000" w:themeColor="text1"/>
                <w:sz w:val="20"/>
              </w:rPr>
              <w:t>315</w:t>
            </w:r>
          </w:p>
        </w:tc>
        <w:tc>
          <w:tcPr>
            <w:tcW w:w="143" w:type="pct"/>
          </w:tcPr>
          <w:p w14:paraId="56BA958D" w14:textId="09F2D497"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4F0816F7" w14:textId="43D24E4A" w:rsidR="00897293" w:rsidRPr="00CC6553" w:rsidRDefault="00897293" w:rsidP="00B234F1">
            <w:pPr>
              <w:rPr>
                <w:rFonts w:cs="Arial"/>
                <w:bCs/>
                <w:iCs/>
                <w:color w:val="000000" w:themeColor="text1"/>
                <w:sz w:val="20"/>
              </w:rPr>
            </w:pPr>
            <w:r w:rsidRPr="00CC6553">
              <w:rPr>
                <w:rFonts w:cs="Arial"/>
                <w:color w:val="000000" w:themeColor="text1"/>
                <w:sz w:val="20"/>
              </w:rPr>
              <w:t>Cardiomyopathy UK</w:t>
            </w:r>
          </w:p>
        </w:tc>
        <w:tc>
          <w:tcPr>
            <w:tcW w:w="279" w:type="pct"/>
          </w:tcPr>
          <w:p w14:paraId="0465EC48" w14:textId="761257E1"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552644DF" w14:textId="38C23B44"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382CFA20" w14:textId="0E68622B"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308472AB" w14:textId="75B7E318" w:rsidR="00897293" w:rsidRPr="00CC6553" w:rsidRDefault="00897293" w:rsidP="00B234F1">
            <w:pPr>
              <w:rPr>
                <w:rFonts w:cs="Arial"/>
                <w:color w:val="000000" w:themeColor="text1"/>
                <w:sz w:val="20"/>
              </w:rPr>
            </w:pPr>
            <w:r w:rsidRPr="00CC6553">
              <w:rPr>
                <w:rFonts w:cs="Arial"/>
                <w:color w:val="000000" w:themeColor="text1"/>
                <w:sz w:val="20"/>
              </w:rPr>
              <w:t>We note that the guideline does not adopt the language of the ‘four pillars’ regarding the heart failure drug regime. Given the level of difficulty there has been to date with getting generalist to adopt the pillars, it seems odd not to use the recognised language in the guideline update.</w:t>
            </w:r>
          </w:p>
        </w:tc>
        <w:tc>
          <w:tcPr>
            <w:tcW w:w="2122" w:type="pct"/>
          </w:tcPr>
          <w:p w14:paraId="0054D33A" w14:textId="77777777" w:rsidR="00897293" w:rsidRPr="00A5768B" w:rsidRDefault="00897293" w:rsidP="00B234F1">
            <w:pPr>
              <w:tabs>
                <w:tab w:val="left" w:pos="1640"/>
              </w:tabs>
              <w:rPr>
                <w:color w:val="000000" w:themeColor="text1"/>
                <w:sz w:val="20"/>
              </w:rPr>
            </w:pPr>
            <w:r w:rsidRPr="009B3C47">
              <w:rPr>
                <w:color w:val="000000" w:themeColor="text1"/>
                <w:sz w:val="20"/>
              </w:rPr>
              <w:t>Thank you for your comment.  The committee acknowledge that the term four pillars is used but that it was clearer to specify the specified drug classes in the recommendations to avoid any confusion.</w:t>
            </w:r>
          </w:p>
        </w:tc>
      </w:tr>
      <w:tr w:rsidR="00897293" w:rsidRPr="00CC6553" w14:paraId="4E74E866" w14:textId="77777777" w:rsidTr="00897293">
        <w:trPr>
          <w:trHeight w:val="300"/>
        </w:trPr>
        <w:tc>
          <w:tcPr>
            <w:tcW w:w="109" w:type="pct"/>
          </w:tcPr>
          <w:p w14:paraId="7E197BF2"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316</w:t>
            </w:r>
          </w:p>
        </w:tc>
        <w:tc>
          <w:tcPr>
            <w:tcW w:w="143" w:type="pct"/>
          </w:tcPr>
          <w:p w14:paraId="32B4E03C" w14:textId="477B8C20"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00B383C" w14:textId="69BB740D" w:rsidR="00897293" w:rsidRPr="00CC6553" w:rsidRDefault="00897293" w:rsidP="00B234F1">
            <w:pPr>
              <w:rPr>
                <w:rFonts w:cs="Arial"/>
                <w:bCs/>
                <w:iCs/>
                <w:color w:val="000000" w:themeColor="text1"/>
                <w:sz w:val="20"/>
              </w:rPr>
            </w:pPr>
            <w:r w:rsidRPr="00CC6553">
              <w:rPr>
                <w:rFonts w:cs="Arial"/>
                <w:color w:val="000000" w:themeColor="text1"/>
                <w:sz w:val="20"/>
              </w:rPr>
              <w:t>NHS Surrey Heartlands Integrated Care Board (ICB)</w:t>
            </w:r>
          </w:p>
        </w:tc>
        <w:tc>
          <w:tcPr>
            <w:tcW w:w="279" w:type="pct"/>
          </w:tcPr>
          <w:p w14:paraId="297938DB" w14:textId="575FFB0D"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2A86E1FB" w14:textId="182F03E2"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13982B69" w14:textId="5EB4A6A1"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4FC60AB9" w14:textId="53694ACD" w:rsidR="00897293" w:rsidRPr="00CC6553" w:rsidRDefault="00897293" w:rsidP="00B234F1">
            <w:pPr>
              <w:rPr>
                <w:rFonts w:cs="Arial"/>
                <w:color w:val="000000" w:themeColor="text1"/>
                <w:sz w:val="20"/>
              </w:rPr>
            </w:pPr>
            <w:r w:rsidRPr="00CC6553">
              <w:rPr>
                <w:rFonts w:cs="Arial"/>
                <w:color w:val="000000" w:themeColor="text1"/>
                <w:sz w:val="20"/>
              </w:rPr>
              <w:t>In general, the guidance needs to be more specific on who’s responsible for what-so where the expectation is that a specialist team should be delivering an element of the pathway then its needs describing explicitly (it is in some areas and not in others), likewise where the expectation is this will be delivered in general practice services.</w:t>
            </w:r>
          </w:p>
        </w:tc>
        <w:tc>
          <w:tcPr>
            <w:tcW w:w="2122" w:type="pct"/>
          </w:tcPr>
          <w:p w14:paraId="7B964228" w14:textId="1723B94E"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recommendations refer to specialist advice/care where this is required but allow for local services to determine how to deliver care outside of these.</w:t>
            </w:r>
          </w:p>
        </w:tc>
      </w:tr>
      <w:tr w:rsidR="00897293" w:rsidRPr="00CC6553" w14:paraId="19302EC9" w14:textId="77777777" w:rsidTr="00897293">
        <w:trPr>
          <w:trHeight w:val="300"/>
        </w:trPr>
        <w:tc>
          <w:tcPr>
            <w:tcW w:w="109" w:type="pct"/>
          </w:tcPr>
          <w:p w14:paraId="7604723C" w14:textId="77777777" w:rsidR="00897293" w:rsidRPr="00CC6553" w:rsidRDefault="00897293" w:rsidP="00B234F1">
            <w:pPr>
              <w:rPr>
                <w:rFonts w:cs="Arial"/>
                <w:color w:val="000000" w:themeColor="text1"/>
                <w:sz w:val="20"/>
              </w:rPr>
            </w:pPr>
            <w:r w:rsidRPr="00CC6553">
              <w:rPr>
                <w:rFonts w:cs="Arial"/>
                <w:color w:val="000000" w:themeColor="text1"/>
                <w:sz w:val="20"/>
              </w:rPr>
              <w:t>317</w:t>
            </w:r>
          </w:p>
        </w:tc>
        <w:tc>
          <w:tcPr>
            <w:tcW w:w="143" w:type="pct"/>
          </w:tcPr>
          <w:p w14:paraId="239F5831" w14:textId="09676BEC"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330714F6" w14:textId="5FA40138" w:rsidR="00897293" w:rsidRPr="00CC6553" w:rsidRDefault="00897293" w:rsidP="00B234F1">
            <w:pPr>
              <w:rPr>
                <w:rFonts w:cs="Arial"/>
                <w:bCs/>
                <w:iCs/>
                <w:color w:val="000000" w:themeColor="text1"/>
                <w:sz w:val="20"/>
              </w:rPr>
            </w:pPr>
            <w:r w:rsidRPr="00CC6553">
              <w:rPr>
                <w:rFonts w:cs="Arial"/>
                <w:color w:val="000000" w:themeColor="text1"/>
                <w:sz w:val="20"/>
              </w:rPr>
              <w:t>NHS Surrey Heartlands Integrated Care Board (ICB)</w:t>
            </w:r>
          </w:p>
        </w:tc>
        <w:tc>
          <w:tcPr>
            <w:tcW w:w="279" w:type="pct"/>
          </w:tcPr>
          <w:p w14:paraId="31BBEDF2" w14:textId="31CF9BEF"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11A428D2" w14:textId="049DEA75"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61BEB3D7" w14:textId="39383AAF"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6C0617BE" w14:textId="3D301D8C" w:rsidR="00897293" w:rsidRPr="00CC6553" w:rsidRDefault="00897293" w:rsidP="00B234F1">
            <w:pPr>
              <w:rPr>
                <w:rFonts w:cs="Arial"/>
                <w:color w:val="000000" w:themeColor="text1"/>
                <w:sz w:val="20"/>
              </w:rPr>
            </w:pPr>
            <w:r w:rsidRPr="00CC6553">
              <w:rPr>
                <w:rFonts w:cs="Arial"/>
                <w:color w:val="000000" w:themeColor="text1"/>
                <w:sz w:val="20"/>
              </w:rPr>
              <w:t>Comment on Draft Guidance – Chronic Heart Failure Update 2025 Section: Service Delivery – Integration Between Primary and Community Care</w:t>
            </w:r>
            <w:r w:rsidRPr="00CC6553">
              <w:rPr>
                <w:rFonts w:cs="Arial"/>
                <w:color w:val="000000" w:themeColor="text1"/>
                <w:sz w:val="20"/>
              </w:rPr>
              <w:br/>
            </w:r>
            <w:r w:rsidRPr="00CC6553">
              <w:rPr>
                <w:rFonts w:cs="Arial"/>
                <w:color w:val="000000" w:themeColor="text1"/>
                <w:sz w:val="20"/>
              </w:rPr>
              <w:br/>
              <w:t>The draft guidance rightly emphasises the importance of integration across primary and community services, but it stops short of offering any nationally endorsed specifications for how this integration should function. In the absence of central guidance, significant variation in local service provision will likely persist, undermining consistency of care and equitable access for patients.</w:t>
            </w:r>
            <w:r w:rsidRPr="00CC6553">
              <w:rPr>
                <w:rFonts w:cs="Arial"/>
                <w:color w:val="000000" w:themeColor="text1"/>
                <w:sz w:val="20"/>
              </w:rPr>
              <w:br/>
            </w:r>
            <w:r w:rsidRPr="00CC6553">
              <w:rPr>
                <w:rFonts w:cs="Arial"/>
                <w:color w:val="000000" w:themeColor="text1"/>
                <w:sz w:val="20"/>
              </w:rPr>
              <w:br/>
              <w:t>We strongly recommend that NICE develop a single, national specification for integration between primary and community heart failure services. This should outline minimum service expectations, communication pathways, escalation protocols, and multidisciplinary roles, and be adaptable across local contexts.</w:t>
            </w:r>
            <w:r w:rsidRPr="00CC6553">
              <w:rPr>
                <w:rFonts w:cs="Arial"/>
                <w:color w:val="000000" w:themeColor="text1"/>
                <w:sz w:val="20"/>
              </w:rPr>
              <w:br/>
            </w:r>
            <w:r w:rsidRPr="00CC6553">
              <w:rPr>
                <w:rFonts w:cs="Arial"/>
                <w:color w:val="000000" w:themeColor="text1"/>
                <w:sz w:val="20"/>
              </w:rPr>
              <w:br/>
              <w:t>Similarly, the draft mentions the need for standardised protocols for drug titration and community-based management, but these should also be formally developed and issued by NICE rather than left to local discretion. Doing so would reduce unwarranted variation, support clinicians in lower-resource settings, and promote safer, more equitable care for heart failure patients across the country.</w:t>
            </w:r>
          </w:p>
        </w:tc>
        <w:tc>
          <w:tcPr>
            <w:tcW w:w="2122" w:type="pct"/>
          </w:tcPr>
          <w:p w14:paraId="40C9CFA8" w14:textId="2AA41EB4"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How services are commissioned and delivered are outside of the scope of this guideline update.</w:t>
            </w:r>
          </w:p>
        </w:tc>
      </w:tr>
      <w:tr w:rsidR="00897293" w:rsidRPr="00CC6553" w14:paraId="6CC9C833" w14:textId="77777777" w:rsidTr="00897293">
        <w:trPr>
          <w:trHeight w:val="300"/>
        </w:trPr>
        <w:tc>
          <w:tcPr>
            <w:tcW w:w="109" w:type="pct"/>
          </w:tcPr>
          <w:p w14:paraId="687F84D2" w14:textId="77777777" w:rsidR="00897293" w:rsidRPr="00CC6553" w:rsidRDefault="00897293" w:rsidP="00B234F1">
            <w:pPr>
              <w:rPr>
                <w:rFonts w:cs="Arial"/>
                <w:color w:val="000000" w:themeColor="text1"/>
                <w:sz w:val="20"/>
              </w:rPr>
            </w:pPr>
            <w:r w:rsidRPr="00CC6553">
              <w:rPr>
                <w:rFonts w:cs="Arial"/>
                <w:color w:val="000000" w:themeColor="text1"/>
                <w:sz w:val="20"/>
              </w:rPr>
              <w:t>318</w:t>
            </w:r>
          </w:p>
        </w:tc>
        <w:tc>
          <w:tcPr>
            <w:tcW w:w="143" w:type="pct"/>
          </w:tcPr>
          <w:p w14:paraId="7F176824" w14:textId="79EA52C1"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400336F2" w14:textId="2D75C095" w:rsidR="00897293" w:rsidRPr="00CC6553" w:rsidRDefault="00897293" w:rsidP="00B234F1">
            <w:pPr>
              <w:rPr>
                <w:rFonts w:cs="Arial"/>
                <w:bCs/>
                <w:iCs/>
                <w:color w:val="000000" w:themeColor="text1"/>
                <w:sz w:val="20"/>
              </w:rPr>
            </w:pPr>
            <w:r w:rsidRPr="00CC6553">
              <w:rPr>
                <w:rFonts w:cs="Arial"/>
                <w:color w:val="000000" w:themeColor="text1"/>
                <w:sz w:val="20"/>
              </w:rPr>
              <w:t>British Association for Nursing in Cardiovascular Care (BANCC)</w:t>
            </w:r>
          </w:p>
        </w:tc>
        <w:tc>
          <w:tcPr>
            <w:tcW w:w="279" w:type="pct"/>
          </w:tcPr>
          <w:p w14:paraId="565FC425" w14:textId="1969E162"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32F49E4D" w14:textId="0DF82A7F"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6D69C829" w14:textId="0482FEF7"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0E30C515" w14:textId="2A900D13" w:rsidR="00897293" w:rsidRPr="00CC6553" w:rsidRDefault="00897293" w:rsidP="00B234F1">
            <w:pPr>
              <w:rPr>
                <w:rFonts w:cs="Arial"/>
                <w:color w:val="000000" w:themeColor="text1"/>
                <w:sz w:val="20"/>
              </w:rPr>
            </w:pPr>
            <w:r w:rsidRPr="00CC6553">
              <w:rPr>
                <w:rFonts w:cs="Arial"/>
                <w:color w:val="000000" w:themeColor="text1"/>
                <w:sz w:val="20"/>
              </w:rPr>
              <w:t>There is no mention of K binders despite NICE TA599.</w:t>
            </w:r>
          </w:p>
        </w:tc>
        <w:tc>
          <w:tcPr>
            <w:tcW w:w="2122" w:type="pct"/>
          </w:tcPr>
          <w:p w14:paraId="00057799" w14:textId="183FD045"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A cross reference has been added to TA 623 and TA 599 in section 1.7.</w:t>
            </w:r>
          </w:p>
        </w:tc>
      </w:tr>
      <w:tr w:rsidR="00897293" w:rsidRPr="00CC6553" w14:paraId="24A85CF0" w14:textId="77777777" w:rsidTr="00897293">
        <w:trPr>
          <w:trHeight w:val="300"/>
        </w:trPr>
        <w:tc>
          <w:tcPr>
            <w:tcW w:w="109" w:type="pct"/>
          </w:tcPr>
          <w:p w14:paraId="14123F66"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319</w:t>
            </w:r>
          </w:p>
        </w:tc>
        <w:tc>
          <w:tcPr>
            <w:tcW w:w="143" w:type="pct"/>
          </w:tcPr>
          <w:p w14:paraId="1B16D87D" w14:textId="2001082D"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567C023C" w14:textId="62A37B51" w:rsidR="00897293" w:rsidRPr="00CC6553" w:rsidRDefault="00897293" w:rsidP="00B234F1">
            <w:pPr>
              <w:rPr>
                <w:rFonts w:cs="Arial"/>
                <w:bCs/>
                <w:iCs/>
                <w:color w:val="000000" w:themeColor="text1"/>
                <w:sz w:val="20"/>
              </w:rPr>
            </w:pPr>
            <w:r w:rsidRPr="00CC6553">
              <w:rPr>
                <w:rFonts w:cs="Arial"/>
                <w:color w:val="000000" w:themeColor="text1"/>
                <w:sz w:val="20"/>
              </w:rPr>
              <w:t>Teva UK</w:t>
            </w:r>
          </w:p>
        </w:tc>
        <w:tc>
          <w:tcPr>
            <w:tcW w:w="279" w:type="pct"/>
          </w:tcPr>
          <w:p w14:paraId="6E6E94EE" w14:textId="34BEAB84"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23546633" w14:textId="11C6BFAC"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77E17031" w14:textId="10B3DF5C"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1E99F473" w14:textId="73526765" w:rsidR="00897293" w:rsidRPr="00CC6553" w:rsidRDefault="00897293" w:rsidP="00B234F1">
            <w:pPr>
              <w:rPr>
                <w:rFonts w:cs="Arial"/>
                <w:color w:val="000000" w:themeColor="text1"/>
                <w:sz w:val="20"/>
              </w:rPr>
            </w:pPr>
            <w:r w:rsidRPr="00CC6553">
              <w:rPr>
                <w:rFonts w:cs="Arial"/>
                <w:color w:val="000000" w:themeColor="text1"/>
                <w:sz w:val="20"/>
              </w:rPr>
              <w:t>We welcome the opportunity to respond to the consultation on the updated NICE guideline NG106 on the management of chronic heart failure in adults.</w:t>
            </w:r>
            <w:r w:rsidRPr="00CC6553">
              <w:rPr>
                <w:rFonts w:cs="Arial"/>
                <w:color w:val="000000" w:themeColor="text1"/>
                <w:sz w:val="20"/>
              </w:rPr>
              <w:br/>
              <w:t>We are encouraged that the guideline reflects this growing body of evidence and provides a clear framework for earlier and broader treatment use. We believe this direction aligns closely with the government’s priority shifts particularly:</w:t>
            </w:r>
            <w:r w:rsidRPr="00CC6553">
              <w:rPr>
                <w:rFonts w:cs="Arial"/>
                <w:color w:val="000000" w:themeColor="text1"/>
                <w:sz w:val="20"/>
              </w:rPr>
              <w:br/>
            </w:r>
            <w:r w:rsidRPr="00CC6553">
              <w:rPr>
                <w:rFonts w:cs="Arial"/>
                <w:color w:val="000000" w:themeColor="text1"/>
                <w:sz w:val="20"/>
              </w:rPr>
              <w:br/>
              <w:t>From treatment to prevention: Optimising treatment earlier in the disease course can delay deterioration and reduce the burden of acute care, as is detailed in the guidance and economic report.</w:t>
            </w:r>
          </w:p>
        </w:tc>
        <w:tc>
          <w:tcPr>
            <w:tcW w:w="2122" w:type="pct"/>
          </w:tcPr>
          <w:p w14:paraId="1343A1F1" w14:textId="443FBEBA"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w:t>
            </w:r>
          </w:p>
        </w:tc>
      </w:tr>
      <w:tr w:rsidR="00897293" w:rsidRPr="00CC6553" w14:paraId="07B63580" w14:textId="77777777" w:rsidTr="00897293">
        <w:trPr>
          <w:trHeight w:val="300"/>
        </w:trPr>
        <w:tc>
          <w:tcPr>
            <w:tcW w:w="109" w:type="pct"/>
          </w:tcPr>
          <w:p w14:paraId="6A023A7A" w14:textId="77777777" w:rsidR="00897293" w:rsidRPr="00CC6553" w:rsidRDefault="00897293" w:rsidP="00B234F1">
            <w:pPr>
              <w:rPr>
                <w:rFonts w:cs="Arial"/>
                <w:color w:val="000000" w:themeColor="text1"/>
                <w:sz w:val="20"/>
              </w:rPr>
            </w:pPr>
            <w:r w:rsidRPr="00CC6553">
              <w:rPr>
                <w:rFonts w:cs="Arial"/>
                <w:color w:val="000000" w:themeColor="text1"/>
                <w:sz w:val="20"/>
              </w:rPr>
              <w:t>320</w:t>
            </w:r>
          </w:p>
        </w:tc>
        <w:tc>
          <w:tcPr>
            <w:tcW w:w="143" w:type="pct"/>
          </w:tcPr>
          <w:p w14:paraId="728A4B9C" w14:textId="2F85E486"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3E839216" w14:textId="3E9CC2E5" w:rsidR="00897293" w:rsidRPr="00CC6553" w:rsidRDefault="00897293" w:rsidP="00B234F1">
            <w:pPr>
              <w:rPr>
                <w:rFonts w:cs="Arial"/>
                <w:bCs/>
                <w:iCs/>
                <w:color w:val="000000" w:themeColor="text1"/>
                <w:sz w:val="20"/>
              </w:rPr>
            </w:pPr>
            <w:r w:rsidRPr="00CC6553">
              <w:rPr>
                <w:rFonts w:cs="Arial"/>
                <w:color w:val="000000" w:themeColor="text1"/>
                <w:sz w:val="20"/>
              </w:rPr>
              <w:t>Teva UK</w:t>
            </w:r>
          </w:p>
        </w:tc>
        <w:tc>
          <w:tcPr>
            <w:tcW w:w="279" w:type="pct"/>
          </w:tcPr>
          <w:p w14:paraId="58883DEB" w14:textId="1EED9958"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7DBC37BC" w14:textId="1C2089C1"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38B31F8F" w14:textId="27518137"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4ACE78F4" w14:textId="7CD6D51F" w:rsidR="00897293" w:rsidRPr="00CC6553" w:rsidRDefault="00897293" w:rsidP="00B234F1">
            <w:pPr>
              <w:rPr>
                <w:rFonts w:cs="Arial"/>
                <w:color w:val="000000" w:themeColor="text1"/>
                <w:sz w:val="20"/>
              </w:rPr>
            </w:pPr>
            <w:r w:rsidRPr="00CC6553">
              <w:rPr>
                <w:rFonts w:cs="Arial"/>
                <w:color w:val="000000" w:themeColor="text1"/>
                <w:sz w:val="20"/>
              </w:rPr>
              <w:t>We agree with the updated treatment guideline shifting away from a stepwise approach towards four classes of medicine becoming first-line treatments for heart failure with reduced ejection fraction (HFrEF) and heart failure with mildly reduced ejection fraction (HFmrEF). We note the comments from NICE in the draft guideline for consultation (HFrEF, page 25, from line 13): “Evidence showed adding a sodium-glucose cotransporter-2 (SGLT2) inhibitor to existing treatment with an angiotensin-converting enzyme (ACE) inhibitor or angiotensin II receptor blocker (ARB), beta-blocker and mineralocorticoid receptor antagonist (MRA) reduced mortality and hospitalisation for heart failure without important increases in adverse events”. SGLT2 inhibitors represent an important advance in the management of heart failure. Widening access to these treatments could have a measurable impact on population health outcomes, supporting longer-term stability, fewer hospital admissions, and improved quality of life for patients.</w:t>
            </w:r>
            <w:r w:rsidRPr="00CC6553">
              <w:rPr>
                <w:rFonts w:cs="Arial"/>
                <w:color w:val="000000" w:themeColor="text1"/>
                <w:sz w:val="20"/>
              </w:rPr>
              <w:br/>
              <w:t>Similarly, we support the inclusion of SGLT2 inhibitors with MRAs as first line choices in heart failure with preserved ejection fraction (HFpEF).</w:t>
            </w:r>
          </w:p>
        </w:tc>
        <w:tc>
          <w:tcPr>
            <w:tcW w:w="2122" w:type="pct"/>
          </w:tcPr>
          <w:p w14:paraId="6E0317D5" w14:textId="3FE57B66"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w:t>
            </w:r>
          </w:p>
        </w:tc>
      </w:tr>
      <w:tr w:rsidR="00897293" w:rsidRPr="00CC6553" w14:paraId="733EDD58" w14:textId="77777777" w:rsidTr="00897293">
        <w:trPr>
          <w:trHeight w:val="300"/>
        </w:trPr>
        <w:tc>
          <w:tcPr>
            <w:tcW w:w="109" w:type="pct"/>
          </w:tcPr>
          <w:p w14:paraId="742F315C" w14:textId="77777777" w:rsidR="00897293" w:rsidRPr="00CC6553" w:rsidRDefault="00897293" w:rsidP="00B234F1">
            <w:pPr>
              <w:rPr>
                <w:rFonts w:cs="Arial"/>
                <w:color w:val="000000" w:themeColor="text1"/>
                <w:sz w:val="20"/>
              </w:rPr>
            </w:pPr>
            <w:r w:rsidRPr="00CC6553">
              <w:rPr>
                <w:rFonts w:cs="Arial"/>
                <w:color w:val="000000" w:themeColor="text1"/>
                <w:sz w:val="20"/>
              </w:rPr>
              <w:t>321</w:t>
            </w:r>
          </w:p>
        </w:tc>
        <w:tc>
          <w:tcPr>
            <w:tcW w:w="143" w:type="pct"/>
          </w:tcPr>
          <w:p w14:paraId="518589A9" w14:textId="58BB04AA"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0AFF0053" w14:textId="19AED815" w:rsidR="00897293" w:rsidRPr="00CC6553" w:rsidRDefault="00897293" w:rsidP="00B234F1">
            <w:pPr>
              <w:rPr>
                <w:rFonts w:cs="Arial"/>
                <w:bCs/>
                <w:iCs/>
                <w:color w:val="000000" w:themeColor="text1"/>
                <w:sz w:val="20"/>
              </w:rPr>
            </w:pPr>
            <w:r w:rsidRPr="00CC6553">
              <w:rPr>
                <w:rFonts w:cs="Arial"/>
                <w:color w:val="000000" w:themeColor="text1"/>
                <w:sz w:val="20"/>
              </w:rPr>
              <w:t>Teva UK</w:t>
            </w:r>
          </w:p>
        </w:tc>
        <w:tc>
          <w:tcPr>
            <w:tcW w:w="279" w:type="pct"/>
          </w:tcPr>
          <w:p w14:paraId="73BC2127" w14:textId="63A46DCD"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1350CD6E" w14:textId="361538F3"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1DE5BCF8" w14:textId="67369632"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118F3EED" w14:textId="342CE6CA" w:rsidR="00897293" w:rsidRPr="00CC6553" w:rsidRDefault="00897293" w:rsidP="00B234F1">
            <w:pPr>
              <w:rPr>
                <w:rFonts w:cs="Arial"/>
                <w:color w:val="000000" w:themeColor="text1"/>
                <w:sz w:val="20"/>
              </w:rPr>
            </w:pPr>
            <w:r w:rsidRPr="00CC6553">
              <w:rPr>
                <w:rFonts w:cs="Arial"/>
                <w:color w:val="000000" w:themeColor="text1"/>
                <w:sz w:val="20"/>
              </w:rPr>
              <w:t>Once agreed, to ensure that patients benefit from this updated guidance and we prevent unnecessary hospitalisations (and poorer patient experiences and outcomes that come with this), NICE should consider establishing a funding mandate to direct prescribing and review, particularly of existing patients where therapy may need to be optimised based on these recommendations.</w:t>
            </w:r>
          </w:p>
        </w:tc>
        <w:tc>
          <w:tcPr>
            <w:tcW w:w="2122" w:type="pct"/>
          </w:tcPr>
          <w:p w14:paraId="3F6DD2DA" w14:textId="30539FA5" w:rsidR="00897293" w:rsidRPr="009B3C47" w:rsidRDefault="00897293" w:rsidP="00B234F1">
            <w:pPr>
              <w:tabs>
                <w:tab w:val="left" w:pos="2990"/>
              </w:tabs>
              <w:rPr>
                <w:color w:val="000000" w:themeColor="text1"/>
                <w:sz w:val="20"/>
              </w:rPr>
            </w:pPr>
            <w:r w:rsidRPr="009B3C47">
              <w:rPr>
                <w:color w:val="000000" w:themeColor="text1"/>
                <w:sz w:val="20"/>
              </w:rPr>
              <w:t>Thank you for your comment.</w:t>
            </w:r>
            <w:r>
              <w:rPr>
                <w:color w:val="000000" w:themeColor="text1"/>
                <w:sz w:val="20"/>
              </w:rPr>
              <w:t xml:space="preserve">  NICE technology appraisals and not the clinical guidelines have funding mandate.</w:t>
            </w:r>
          </w:p>
        </w:tc>
      </w:tr>
      <w:tr w:rsidR="00897293" w:rsidRPr="00CC6553" w14:paraId="77E6FFDE" w14:textId="77777777" w:rsidTr="00897293">
        <w:trPr>
          <w:trHeight w:val="300"/>
        </w:trPr>
        <w:tc>
          <w:tcPr>
            <w:tcW w:w="109" w:type="pct"/>
          </w:tcPr>
          <w:p w14:paraId="4DBE653D" w14:textId="77777777" w:rsidR="00897293" w:rsidRPr="00CC6553" w:rsidRDefault="00897293" w:rsidP="00B234F1">
            <w:pPr>
              <w:rPr>
                <w:rFonts w:cs="Arial"/>
                <w:color w:val="000000" w:themeColor="text1"/>
                <w:sz w:val="20"/>
              </w:rPr>
            </w:pPr>
            <w:r w:rsidRPr="00CC6553">
              <w:rPr>
                <w:rFonts w:cs="Arial"/>
                <w:color w:val="000000" w:themeColor="text1"/>
                <w:sz w:val="20"/>
              </w:rPr>
              <w:t>322</w:t>
            </w:r>
          </w:p>
        </w:tc>
        <w:tc>
          <w:tcPr>
            <w:tcW w:w="143" w:type="pct"/>
          </w:tcPr>
          <w:p w14:paraId="1C3EC122" w14:textId="399E9911"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2E840560" w14:textId="1462F82C" w:rsidR="00897293" w:rsidRPr="00CC6553" w:rsidRDefault="00897293" w:rsidP="00B234F1">
            <w:pPr>
              <w:rPr>
                <w:rFonts w:cs="Arial"/>
                <w:bCs/>
                <w:iCs/>
                <w:color w:val="000000" w:themeColor="text1"/>
                <w:sz w:val="20"/>
              </w:rPr>
            </w:pPr>
            <w:r w:rsidRPr="00CC6553">
              <w:rPr>
                <w:rFonts w:cs="Arial"/>
                <w:color w:val="000000" w:themeColor="text1"/>
                <w:sz w:val="20"/>
              </w:rPr>
              <w:t>Teva UK</w:t>
            </w:r>
          </w:p>
        </w:tc>
        <w:tc>
          <w:tcPr>
            <w:tcW w:w="279" w:type="pct"/>
          </w:tcPr>
          <w:p w14:paraId="19CF0D6B" w14:textId="33D75F0A"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374277AC" w14:textId="6865DF2B"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0BF5C500" w14:textId="272F5AFA"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6E93375C" w14:textId="3B557132" w:rsidR="00897293" w:rsidRPr="00CC6553" w:rsidRDefault="00897293" w:rsidP="00B234F1">
            <w:pPr>
              <w:rPr>
                <w:rFonts w:cs="Arial"/>
                <w:color w:val="000000" w:themeColor="text1"/>
                <w:sz w:val="20"/>
              </w:rPr>
            </w:pPr>
            <w:r w:rsidRPr="00CC6553">
              <w:rPr>
                <w:rFonts w:cs="Arial"/>
                <w:color w:val="000000" w:themeColor="text1"/>
                <w:sz w:val="20"/>
              </w:rPr>
              <w:t xml:space="preserve">As more cost-effective generic SGLT2 inhibitors become available, we are confident this will support the NHS in delivering high-value care, ensuring sustainability and equity of access while maintaining robust clinical outcomes. The </w:t>
            </w:r>
            <w:r w:rsidRPr="00CC6553">
              <w:rPr>
                <w:rFonts w:cs="Arial"/>
                <w:color w:val="000000" w:themeColor="text1"/>
                <w:sz w:val="20"/>
              </w:rPr>
              <w:lastRenderedPageBreak/>
              <w:t>acquisition cost savings to the NHS the advent of generic versions of branded medicines bring, can be re-invested into supporting systems to mitigate the cost implications of implementing the guidelines. NICE should encourage commissioners in considering how they can formalise re-investing savings into optimising care for these patients as generics become available.</w:t>
            </w:r>
          </w:p>
        </w:tc>
        <w:tc>
          <w:tcPr>
            <w:tcW w:w="2122" w:type="pct"/>
          </w:tcPr>
          <w:p w14:paraId="20BFC4A0" w14:textId="03DEB82B"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lastRenderedPageBreak/>
              <w:t>Thank you for your comment</w:t>
            </w:r>
            <w:r>
              <w:rPr>
                <w:rFonts w:cs="Arial"/>
                <w:b w:val="0"/>
                <w:color w:val="000000" w:themeColor="text1"/>
                <w:sz w:val="20"/>
              </w:rPr>
              <w:t xml:space="preserve">.  </w:t>
            </w:r>
            <w:r w:rsidRPr="003F5FBE">
              <w:rPr>
                <w:rFonts w:cs="Arial"/>
                <w:b w:val="0"/>
                <w:color w:val="000000" w:themeColor="text1"/>
                <w:sz w:val="20"/>
              </w:rPr>
              <w:t xml:space="preserve">Your comments will be considered by </w:t>
            </w:r>
            <w:r w:rsidRPr="003F5FBE">
              <w:rPr>
                <w:rFonts w:cs="Arial"/>
                <w:b w:val="0"/>
                <w:color w:val="000000" w:themeColor="text1"/>
                <w:sz w:val="20"/>
              </w:rPr>
              <w:lastRenderedPageBreak/>
              <w:t>NICE where relevant support activity is being planned</w:t>
            </w:r>
            <w:r>
              <w:rPr>
                <w:rFonts w:cs="Arial"/>
                <w:b w:val="0"/>
                <w:color w:val="000000" w:themeColor="text1"/>
                <w:sz w:val="20"/>
              </w:rPr>
              <w:t>.</w:t>
            </w:r>
          </w:p>
        </w:tc>
      </w:tr>
      <w:tr w:rsidR="00897293" w:rsidRPr="00CC6553" w14:paraId="344065AD" w14:textId="77777777" w:rsidTr="00897293">
        <w:trPr>
          <w:trHeight w:val="300"/>
        </w:trPr>
        <w:tc>
          <w:tcPr>
            <w:tcW w:w="109" w:type="pct"/>
          </w:tcPr>
          <w:p w14:paraId="73F2EE5E"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323</w:t>
            </w:r>
          </w:p>
        </w:tc>
        <w:tc>
          <w:tcPr>
            <w:tcW w:w="143" w:type="pct"/>
          </w:tcPr>
          <w:p w14:paraId="49AF7CC4" w14:textId="4EDF5943"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C524557" w14:textId="697045C4" w:rsidR="00897293" w:rsidRPr="00CC6553" w:rsidRDefault="00897293" w:rsidP="00B234F1">
            <w:pPr>
              <w:rPr>
                <w:rFonts w:cs="Arial"/>
                <w:bCs/>
                <w:iCs/>
                <w:color w:val="000000" w:themeColor="text1"/>
                <w:sz w:val="20"/>
              </w:rPr>
            </w:pPr>
            <w:r w:rsidRPr="00CC6553">
              <w:rPr>
                <w:rFonts w:cs="Arial"/>
                <w:color w:val="000000" w:themeColor="text1"/>
                <w:sz w:val="20"/>
              </w:rPr>
              <w:t>Pumping Marvellous Foundation</w:t>
            </w:r>
          </w:p>
        </w:tc>
        <w:tc>
          <w:tcPr>
            <w:tcW w:w="279" w:type="pct"/>
          </w:tcPr>
          <w:p w14:paraId="2B3B0827" w14:textId="133155A9"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12B4893A" w14:textId="66AFE59F"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33012D5E" w14:textId="0508EB91"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4F364AEF" w14:textId="4241D53E" w:rsidR="00897293" w:rsidRPr="00CC6553" w:rsidRDefault="00897293" w:rsidP="00B234F1">
            <w:pPr>
              <w:rPr>
                <w:rFonts w:cs="Arial"/>
                <w:color w:val="000000" w:themeColor="text1"/>
                <w:sz w:val="20"/>
              </w:rPr>
            </w:pPr>
            <w:r w:rsidRPr="00CC6553">
              <w:rPr>
                <w:rFonts w:cs="Arial"/>
                <w:color w:val="000000" w:themeColor="text1"/>
                <w:sz w:val="20"/>
              </w:rPr>
              <w:t>Disappointing to see that the guidance around palliative care remains that it should only be considered when a patient moves into the acute phase of heart failure. Introducing it sooner could prevent patients moving into the acute phase.</w:t>
            </w:r>
          </w:p>
        </w:tc>
        <w:tc>
          <w:tcPr>
            <w:tcW w:w="2122" w:type="pct"/>
          </w:tcPr>
          <w:p w14:paraId="70E5A038" w14:textId="1A86E194"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In section 1.12 we recommend that people with heart failure and their families and carers are offered access to professionals with palliative care skills in the heart failure team.</w:t>
            </w:r>
          </w:p>
        </w:tc>
      </w:tr>
      <w:tr w:rsidR="00897293" w:rsidRPr="00CC6553" w14:paraId="29F5FEF7" w14:textId="77777777" w:rsidTr="00897293">
        <w:trPr>
          <w:trHeight w:val="300"/>
        </w:trPr>
        <w:tc>
          <w:tcPr>
            <w:tcW w:w="109" w:type="pct"/>
          </w:tcPr>
          <w:p w14:paraId="258975E4" w14:textId="77777777" w:rsidR="00897293" w:rsidRPr="00CC6553" w:rsidRDefault="00897293" w:rsidP="00B234F1">
            <w:pPr>
              <w:rPr>
                <w:rFonts w:cs="Arial"/>
                <w:color w:val="000000" w:themeColor="text1"/>
                <w:sz w:val="20"/>
              </w:rPr>
            </w:pPr>
            <w:r w:rsidRPr="00CC6553">
              <w:rPr>
                <w:rFonts w:cs="Arial"/>
                <w:color w:val="000000" w:themeColor="text1"/>
                <w:sz w:val="20"/>
              </w:rPr>
              <w:t>324</w:t>
            </w:r>
          </w:p>
        </w:tc>
        <w:tc>
          <w:tcPr>
            <w:tcW w:w="143" w:type="pct"/>
          </w:tcPr>
          <w:p w14:paraId="257C6FB7" w14:textId="729E94DF"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31D688B0" w14:textId="48C217B0" w:rsidR="00897293" w:rsidRPr="00CC6553" w:rsidRDefault="00897293" w:rsidP="00B234F1">
            <w:pPr>
              <w:rPr>
                <w:rFonts w:cs="Arial"/>
                <w:bCs/>
                <w:iCs/>
                <w:color w:val="000000" w:themeColor="text1"/>
                <w:sz w:val="20"/>
              </w:rPr>
            </w:pPr>
            <w:r w:rsidRPr="00CC6553">
              <w:rPr>
                <w:rFonts w:cs="Arial"/>
                <w:color w:val="000000" w:themeColor="text1"/>
                <w:sz w:val="20"/>
              </w:rPr>
              <w:t>Pumping Marvellous Foundation</w:t>
            </w:r>
          </w:p>
        </w:tc>
        <w:tc>
          <w:tcPr>
            <w:tcW w:w="279" w:type="pct"/>
          </w:tcPr>
          <w:p w14:paraId="0E468D2D" w14:textId="59138B56"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43A2A488" w14:textId="5DD53842"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518EBD30" w14:textId="57DC29E5"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6BFCB4B9" w14:textId="344021F0" w:rsidR="00897293" w:rsidRPr="00CC6553" w:rsidRDefault="00897293" w:rsidP="476BDDBF">
            <w:pPr>
              <w:rPr>
                <w:rFonts w:cs="Arial"/>
                <w:color w:val="000000" w:themeColor="text1"/>
                <w:sz w:val="20"/>
              </w:rPr>
            </w:pPr>
            <w:r w:rsidRPr="00CC6553">
              <w:rPr>
                <w:rFonts w:cs="Arial"/>
                <w:color w:val="000000" w:themeColor="text1"/>
                <w:sz w:val="20"/>
              </w:rPr>
              <w:t xml:space="preserve">Our reviewers, HF specialists and patients generally felt there were some positive additions or consideration to the 2025 Guideline review. SGLT2is being considered as first line treatment, inclusion of iron deficiency. Some insights should have had consideration of inclusion of “heart failure @ home” PIFU and remote monitoring to create a culture of self-management to help people live better with heart failure. This was not included. This could help to reduce the number of hospital admissions and help patients feel more involved in their care. We felt the lack of inclusion of signposted organisations where patients and their families could research was disappointing. A Guideline for modern times should take the friction away from learning, and present it to the patient, their families and generalist HCPs to improve access and take up. Our patient experts wholeheartedly don’t think there is enough detail about HFpEF and the challenges of its co-morbidities, we would like this to be upscaled and become one of the highlights to this Guideline. We also think that SGLT2i’s should be and can be prescribed by primary care without guidance from a specialist. Referring to a specialist further increases risk to the patient and costs more money to do. We also think that the requirement for patients to be fully optimised and up titrated on ACE until they are considered for an ARNI is out date and not in line with clinical guidance or practice and is in fact not safe for patients. We know NICE use this as a rate limiting tool. We have nearly 10 years of real world identifiable significant </w:t>
            </w:r>
            <w:r w:rsidRPr="00CC6553">
              <w:rPr>
                <w:rFonts w:cs="Arial"/>
                <w:color w:val="000000" w:themeColor="text1"/>
                <w:sz w:val="20"/>
              </w:rPr>
              <w:lastRenderedPageBreak/>
              <w:t>benefit of ARNI in HF over ACE/ARB.</w:t>
            </w:r>
            <w:r w:rsidRPr="00CC6553">
              <w:rPr>
                <w:color w:val="000000" w:themeColor="text1"/>
              </w:rPr>
              <w:br/>
            </w:r>
            <w:r w:rsidRPr="00CC6553">
              <w:rPr>
                <w:color w:val="000000" w:themeColor="text1"/>
              </w:rPr>
              <w:br/>
            </w:r>
            <w:r w:rsidRPr="00CC6553">
              <w:rPr>
                <w:rFonts w:cs="Arial"/>
                <w:color w:val="000000" w:themeColor="text1"/>
                <w:sz w:val="20"/>
              </w:rPr>
              <w:t>We are concerned that ATTR Cardiac Amyloidosis wasn’t scoped or included in the guidelines considering this is becoming a disease focus area with new medications being available and robust evidence from 4 significant trials. Neither was Mavacamtan for Cardiomyopathy that was specifically excluded although treats an aetiology of heart failure and has acquired NICE approval through TA913.</w:t>
            </w:r>
            <w:r w:rsidRPr="00CC6553">
              <w:rPr>
                <w:color w:val="000000" w:themeColor="text1"/>
              </w:rPr>
              <w:br/>
            </w:r>
            <w:r w:rsidRPr="00CC6553">
              <w:rPr>
                <w:color w:val="000000" w:themeColor="text1"/>
              </w:rPr>
              <w:br/>
            </w:r>
            <w:r w:rsidRPr="00CC6553">
              <w:rPr>
                <w:rFonts w:cs="Arial"/>
                <w:color w:val="000000" w:themeColor="text1"/>
                <w:sz w:val="20"/>
              </w:rPr>
              <w:t>We are concerned that STRONG HF has not been sufficiently considered. The results from the STRONG HF trial and UK pilot sites have demonstrated the feasibility and potential impact of the STRONG-HF pathway within UK clinical practice. We recommend that NICE collaborate with these UK sites and review the wider body of evidence when deciding whether STRONG HF should be recognised.</w:t>
            </w:r>
            <w:r w:rsidRPr="00CC6553">
              <w:rPr>
                <w:color w:val="000000" w:themeColor="text1"/>
              </w:rPr>
              <w:br/>
            </w:r>
            <w:r w:rsidRPr="00CC6553">
              <w:rPr>
                <w:color w:val="000000" w:themeColor="text1"/>
              </w:rPr>
              <w:br/>
            </w:r>
            <w:r w:rsidRPr="00CC6553">
              <w:rPr>
                <w:rFonts w:cs="Arial"/>
                <w:color w:val="000000" w:themeColor="text1"/>
                <w:sz w:val="20"/>
              </w:rPr>
              <w:t>As an organisation, we know this Guideline was not scoped at all with the wider stakeholder population. This pharmacological update on the existing NG106 has not taken into consideration some of the shifts in practice and completely ignored our letter dated 28th February 2024, which is below. We wish to understand with transparency, why this didn’t happen. Currently our opinion is that this Guideline was created behind doors and therefore the topics in the scope were no considered by the wider stakeholder community. Contrary to our understanding of topic creation through wider stakeholder scoping and working with NICE for 14 years, we need to understand the lack of transparency.</w:t>
            </w:r>
          </w:p>
        </w:tc>
        <w:tc>
          <w:tcPr>
            <w:tcW w:w="2122" w:type="pct"/>
          </w:tcPr>
          <w:p w14:paraId="1741E803" w14:textId="080AB2D3" w:rsidR="00897293" w:rsidRPr="009B3C47" w:rsidRDefault="00897293" w:rsidP="476BDDBF">
            <w:pPr>
              <w:pStyle w:val="Paragraph"/>
              <w:numPr>
                <w:ilvl w:val="0"/>
                <w:numId w:val="0"/>
              </w:numPr>
              <w:rPr>
                <w:color w:val="000000" w:themeColor="text1"/>
                <w:sz w:val="20"/>
              </w:rPr>
            </w:pPr>
            <w:r w:rsidRPr="00CC6553">
              <w:rPr>
                <w:rFonts w:cs="Arial"/>
                <w:color w:val="000000" w:themeColor="text1"/>
                <w:sz w:val="20"/>
              </w:rPr>
              <w:lastRenderedPageBreak/>
              <w:t xml:space="preserve">Thank you for your comment.  The scope of this update was the pharmacological management of chronic heart failure </w:t>
            </w:r>
            <w:hyperlink r:id="rId50">
              <w:r w:rsidRPr="009B3C47">
                <w:rPr>
                  <w:rStyle w:val="Hyperlink"/>
                  <w:color w:val="000000" w:themeColor="text1"/>
                  <w:sz w:val="20"/>
                </w:rPr>
                <w:t>https://www.nice.org.uk/guidance/gid-ng10405/documents/final-scope</w:t>
              </w:r>
            </w:hyperlink>
            <w:r w:rsidRPr="009B3C47">
              <w:rPr>
                <w:color w:val="000000" w:themeColor="text1"/>
                <w:sz w:val="20"/>
              </w:rPr>
              <w:t xml:space="preserve"> </w:t>
            </w:r>
            <w:r w:rsidRPr="00CC6553">
              <w:rPr>
                <w:rFonts w:cs="Arial"/>
                <w:color w:val="000000" w:themeColor="text1"/>
                <w:sz w:val="20"/>
              </w:rPr>
              <w:t xml:space="preserve">and the committee is therefore unable to make recommendations on areas outside of this.    The scope of this guideline update was in response to the surveillance review </w:t>
            </w:r>
            <w:hyperlink r:id="rId51">
              <w:r w:rsidRPr="00CC6553">
                <w:rPr>
                  <w:rStyle w:val="Hyperlink"/>
                  <w:rFonts w:cs="Arial"/>
                  <w:color w:val="000000" w:themeColor="text1"/>
                  <w:sz w:val="20"/>
                </w:rPr>
                <w:t>Surveillance decision | Evidence | Chronic heart failure in adults: diagnosis and management | Guidance | NICE</w:t>
              </w:r>
            </w:hyperlink>
            <w:r w:rsidRPr="00CC6553">
              <w:rPr>
                <w:rFonts w:cs="Arial"/>
                <w:color w:val="000000" w:themeColor="text1"/>
                <w:sz w:val="20"/>
              </w:rPr>
              <w:t xml:space="preserve"> and it therefore focused on pharmacological </w:t>
            </w:r>
            <w:r w:rsidRPr="00CC6553">
              <w:rPr>
                <w:rFonts w:cs="Arial"/>
                <w:color w:val="000000" w:themeColor="text1"/>
                <w:sz w:val="20"/>
              </w:rPr>
              <w:lastRenderedPageBreak/>
              <w:t xml:space="preserve">management.   There may be further updates on the important topics you have mentioned.    For further details of how we prioritise our guidance </w:t>
            </w:r>
            <w:hyperlink r:id="rId52">
              <w:r w:rsidRPr="00CC6553">
                <w:rPr>
                  <w:rStyle w:val="Hyperlink"/>
                  <w:rFonts w:cs="Arial"/>
                  <w:color w:val="000000" w:themeColor="text1"/>
                  <w:sz w:val="20"/>
                </w:rPr>
                <w:t>Prioritising our guidance topics | What we do | About | NICE</w:t>
              </w:r>
            </w:hyperlink>
            <w:r w:rsidRPr="00CC6553">
              <w:rPr>
                <w:rFonts w:cs="Arial"/>
                <w:color w:val="000000" w:themeColor="text1"/>
                <w:sz w:val="20"/>
              </w:rPr>
              <w:t xml:space="preserve"> including details of how to suggest a topic.</w:t>
            </w:r>
          </w:p>
          <w:p w14:paraId="7266E8EB" w14:textId="7C925554" w:rsidR="00897293" w:rsidRPr="00CC6553" w:rsidRDefault="00897293" w:rsidP="476BDDBF">
            <w:pPr>
              <w:pStyle w:val="Paragraph"/>
              <w:numPr>
                <w:ilvl w:val="0"/>
                <w:numId w:val="0"/>
              </w:numPr>
              <w:rPr>
                <w:rFonts w:cs="Arial"/>
                <w:color w:val="000000" w:themeColor="text1"/>
                <w:sz w:val="20"/>
              </w:rPr>
            </w:pPr>
            <w:r w:rsidRPr="00CC6553">
              <w:rPr>
                <w:rFonts w:cs="Arial"/>
                <w:color w:val="000000" w:themeColor="text1"/>
                <w:sz w:val="20"/>
              </w:rPr>
              <w:t>The committee recognised the importance or organisations where people can find information.  However, NICE guidelines typically do not signpost to these in recommendations.</w:t>
            </w:r>
          </w:p>
          <w:p w14:paraId="7ABD1798" w14:textId="0EE0B168" w:rsidR="00897293" w:rsidRPr="009B3C47" w:rsidRDefault="00897293" w:rsidP="476BDDBF">
            <w:pPr>
              <w:pStyle w:val="Paragraph"/>
              <w:numPr>
                <w:ilvl w:val="0"/>
                <w:numId w:val="0"/>
              </w:numPr>
              <w:rPr>
                <w:rFonts w:cs="Arial"/>
                <w:color w:val="000000" w:themeColor="text1"/>
                <w:sz w:val="20"/>
              </w:rPr>
            </w:pPr>
            <w:r w:rsidRPr="009B3C47">
              <w:rPr>
                <w:rFonts w:cs="Arial"/>
                <w:color w:val="000000" w:themeColor="text1"/>
                <w:sz w:val="20"/>
              </w:rPr>
              <w:t>The management of comorbidities is important for all conditions but the management of these is outside of the scope of this guideline update.</w:t>
            </w:r>
          </w:p>
          <w:p w14:paraId="445F0768" w14:textId="5B7755DC" w:rsidR="00897293" w:rsidRPr="009B3C47" w:rsidRDefault="00897293" w:rsidP="476BDDBF">
            <w:pPr>
              <w:pStyle w:val="Paragraph"/>
              <w:numPr>
                <w:ilvl w:val="0"/>
                <w:numId w:val="0"/>
              </w:numPr>
              <w:rPr>
                <w:rFonts w:cs="Arial"/>
                <w:color w:val="000000" w:themeColor="text1"/>
                <w:sz w:val="20"/>
              </w:rPr>
            </w:pPr>
            <w:r w:rsidRPr="009B3C47">
              <w:rPr>
                <w:rFonts w:cs="Arial"/>
                <w:color w:val="000000" w:themeColor="text1"/>
                <w:sz w:val="20"/>
              </w:rPr>
              <w:t>The recommendation on the prescribing of SGLT2 inhibitors has been edited and the committee no longer recommend that specialist advice is required.</w:t>
            </w:r>
          </w:p>
          <w:p w14:paraId="6D3A244B" w14:textId="35646E54" w:rsidR="00897293" w:rsidRPr="00CC6553" w:rsidRDefault="00897293" w:rsidP="476BDDBF">
            <w:pPr>
              <w:rPr>
                <w:rFonts w:eastAsia="Aptos" w:cs="Arial"/>
                <w:color w:val="000000" w:themeColor="text1"/>
                <w:sz w:val="20"/>
              </w:rPr>
            </w:pPr>
            <w:r w:rsidRPr="00CC6553">
              <w:rPr>
                <w:rFonts w:eastAsia="Aptos" w:cs="Arial"/>
                <w:color w:val="000000" w:themeColor="text1"/>
                <w:sz w:val="20"/>
              </w:rPr>
              <w:t xml:space="preserve">The review protocol for this update specified that only randomised trial </w:t>
            </w:r>
            <w:r w:rsidRPr="00CC6553">
              <w:rPr>
                <w:rFonts w:eastAsia="Aptos" w:cs="Arial"/>
                <w:color w:val="000000" w:themeColor="text1"/>
                <w:sz w:val="20"/>
              </w:rPr>
              <w:lastRenderedPageBreak/>
              <w:t xml:space="preserve">data would be included when assessing the clinical effectiveness as this provides the most robust source of data for comparing interventions. Therefore, real world data was not incorporated in the clinical evidence review. </w:t>
            </w:r>
            <w:r w:rsidRPr="00CC6553">
              <w:rPr>
                <w:rFonts w:cs="Arial"/>
                <w:color w:val="000000" w:themeColor="text1"/>
                <w:sz w:val="20"/>
              </w:rPr>
              <w:t>Although the benefits of ARNI are recognised, the recommendation was made taking into consideration the cost-effectiveness as well as clinical effectiveness analysis. Even in the more favourable scenarios for ARNI, at current prices, the economic modelling found it not cost-effective in people who can tolerate ACEI.</w:t>
            </w:r>
            <w:r w:rsidRPr="00CC6553">
              <w:rPr>
                <w:rFonts w:eastAsia="Aptos" w:cs="Arial"/>
                <w:color w:val="000000" w:themeColor="text1"/>
                <w:sz w:val="20"/>
              </w:rPr>
              <w:t xml:space="preserve"> </w:t>
            </w:r>
          </w:p>
          <w:p w14:paraId="7096BEDF" w14:textId="3C92E1FA" w:rsidR="00897293" w:rsidRPr="00CC6553" w:rsidRDefault="00897293" w:rsidP="476BDDBF">
            <w:pPr>
              <w:rPr>
                <w:rFonts w:eastAsia="Aptos" w:cs="Arial"/>
                <w:color w:val="000000" w:themeColor="text1"/>
                <w:sz w:val="20"/>
              </w:rPr>
            </w:pPr>
          </w:p>
          <w:p w14:paraId="58E8CA29" w14:textId="050D2706" w:rsidR="00897293" w:rsidRPr="009B3C47" w:rsidRDefault="00897293" w:rsidP="009B3C47">
            <w:pPr>
              <w:rPr>
                <w:rFonts w:cs="Arial"/>
                <w:color w:val="000000" w:themeColor="text1"/>
                <w:sz w:val="20"/>
              </w:rPr>
            </w:pPr>
            <w:r w:rsidRPr="009B3C47">
              <w:rPr>
                <w:rFonts w:eastAsia="Arial" w:cs="Arial"/>
                <w:color w:val="000000" w:themeColor="text1"/>
                <w:sz w:val="20"/>
              </w:rPr>
              <w:t>To acknowledge the value of a rapid optimisation model (based on STRONG-HF) in some circumstances, a sentence has been added to section 1.1.12.3 of evidence report A: However, the committee’s final recommendations (recommendations 1.4.1 to 1.4.4 and 1.5.1 to 1.5.3) do not preclude a rapid optimisation approach in appropriate circumstances, if the resources to support this approach are available.</w:t>
            </w:r>
          </w:p>
          <w:p w14:paraId="657B2355" w14:textId="3546B5B7" w:rsidR="00897293" w:rsidRPr="00CC6553" w:rsidRDefault="00897293" w:rsidP="476BDDBF">
            <w:pPr>
              <w:pStyle w:val="Paragraph"/>
              <w:numPr>
                <w:ilvl w:val="0"/>
                <w:numId w:val="0"/>
              </w:numPr>
              <w:rPr>
                <w:rFonts w:cs="Arial"/>
                <w:color w:val="000000" w:themeColor="text1"/>
                <w:sz w:val="20"/>
              </w:rPr>
            </w:pPr>
            <w:r w:rsidRPr="00CC6553">
              <w:rPr>
                <w:rFonts w:cs="Arial"/>
                <w:color w:val="000000" w:themeColor="text1"/>
                <w:sz w:val="20"/>
              </w:rPr>
              <w:lastRenderedPageBreak/>
              <w:t xml:space="preserve">Scoping was carried out in accordance with the manual </w:t>
            </w:r>
            <w:hyperlink r:id="rId53">
              <w:r w:rsidRPr="009B3C47">
                <w:rPr>
                  <w:rStyle w:val="Hyperlink"/>
                  <w:color w:val="000000" w:themeColor="text1"/>
                  <w:sz w:val="20"/>
                </w:rPr>
                <w:t>2 The scope | Developing NICE guidelines: the manual | Guidance | NICE.</w:t>
              </w:r>
            </w:hyperlink>
            <w:r w:rsidRPr="00CC6553">
              <w:rPr>
                <w:rFonts w:cs="Arial"/>
                <w:color w:val="000000" w:themeColor="text1"/>
                <w:sz w:val="20"/>
              </w:rPr>
              <w:t xml:space="preserve"> NICE does value the experience and opinion of our stakeholders but as the scope of this update was based on a surveillance review it was clear what topics need to be included.  However, further updates may be required for example on the topics you have mentioned</w:t>
            </w:r>
          </w:p>
          <w:p w14:paraId="79F4B5DA" w14:textId="1CC4F8D4" w:rsidR="00897293" w:rsidRPr="00CC6553" w:rsidRDefault="00897293" w:rsidP="476BDDBF">
            <w:pPr>
              <w:rPr>
                <w:rFonts w:cs="Arial"/>
                <w:color w:val="000000" w:themeColor="text1"/>
                <w:sz w:val="20"/>
                <w:highlight w:val="cyan"/>
              </w:rPr>
            </w:pPr>
          </w:p>
          <w:p w14:paraId="58AE18B0" w14:textId="33F904E6" w:rsidR="00897293" w:rsidRPr="00CC6553" w:rsidRDefault="00897293" w:rsidP="476BDDBF">
            <w:pPr>
              <w:rPr>
                <w:rFonts w:eastAsia="Arial" w:cs="Arial"/>
                <w:color w:val="000000" w:themeColor="text1"/>
                <w:sz w:val="20"/>
              </w:rPr>
            </w:pPr>
            <w:r w:rsidRPr="00CC6553">
              <w:rPr>
                <w:rFonts w:eastAsia="Arial" w:cs="Arial"/>
                <w:color w:val="000000" w:themeColor="text1"/>
                <w:sz w:val="20"/>
              </w:rPr>
              <w:t>We have replied to your comment on the letter of the 28</w:t>
            </w:r>
            <w:r w:rsidRPr="00CC6553">
              <w:rPr>
                <w:rFonts w:eastAsia="Arial" w:cs="Arial"/>
                <w:color w:val="000000" w:themeColor="text1"/>
                <w:sz w:val="20"/>
                <w:vertAlign w:val="superscript"/>
              </w:rPr>
              <w:t>th</w:t>
            </w:r>
            <w:r w:rsidRPr="00CC6553">
              <w:rPr>
                <w:rFonts w:eastAsia="Arial" w:cs="Arial"/>
                <w:color w:val="000000" w:themeColor="text1"/>
                <w:sz w:val="20"/>
              </w:rPr>
              <w:t xml:space="preserve"> February in a separate comment.</w:t>
            </w:r>
          </w:p>
        </w:tc>
      </w:tr>
      <w:tr w:rsidR="00897293" w:rsidRPr="00CC6553" w14:paraId="4FF38868" w14:textId="77777777" w:rsidTr="00897293">
        <w:trPr>
          <w:trHeight w:val="300"/>
        </w:trPr>
        <w:tc>
          <w:tcPr>
            <w:tcW w:w="109" w:type="pct"/>
          </w:tcPr>
          <w:p w14:paraId="5D431A34"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325</w:t>
            </w:r>
          </w:p>
        </w:tc>
        <w:tc>
          <w:tcPr>
            <w:tcW w:w="143" w:type="pct"/>
          </w:tcPr>
          <w:p w14:paraId="725119E0" w14:textId="1B62D5AC"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2C5A902D" w14:textId="39ABE706" w:rsidR="00897293" w:rsidRPr="00CC6553" w:rsidRDefault="00897293" w:rsidP="00B234F1">
            <w:pPr>
              <w:rPr>
                <w:rFonts w:cs="Arial"/>
                <w:bCs/>
                <w:iCs/>
                <w:color w:val="000000" w:themeColor="text1"/>
                <w:sz w:val="20"/>
              </w:rPr>
            </w:pPr>
            <w:r w:rsidRPr="00CC6553">
              <w:rPr>
                <w:rFonts w:cs="Arial"/>
                <w:color w:val="000000" w:themeColor="text1"/>
                <w:sz w:val="20"/>
              </w:rPr>
              <w:t>UK Clinical Pharmacy Association (UKCPA) – heart failure committee</w:t>
            </w:r>
          </w:p>
        </w:tc>
        <w:tc>
          <w:tcPr>
            <w:tcW w:w="279" w:type="pct"/>
          </w:tcPr>
          <w:p w14:paraId="2959D41C" w14:textId="12CAAC38"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762AEDC4" w14:textId="043DAE6C"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67F06FDD" w14:textId="4D59230D"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0E004E46" w14:textId="57E46D65" w:rsidR="00897293" w:rsidRPr="00CC6553" w:rsidRDefault="00897293" w:rsidP="00B234F1">
            <w:pPr>
              <w:rPr>
                <w:rFonts w:cs="Arial"/>
                <w:color w:val="000000" w:themeColor="text1"/>
                <w:sz w:val="20"/>
              </w:rPr>
            </w:pPr>
            <w:r w:rsidRPr="00CC6553">
              <w:rPr>
                <w:rFonts w:cs="Arial"/>
                <w:color w:val="000000" w:themeColor="text1"/>
                <w:sz w:val="20"/>
              </w:rPr>
              <w:t>The draft guideline does not mention potassium binders as an option for initiation and optimisation of heart failure therapies, despite clinical evidence supporting their use. We propose the final guideline include a recommendation along the following lines:</w:t>
            </w:r>
            <w:r w:rsidRPr="00CC6553">
              <w:rPr>
                <w:rFonts w:cs="Arial"/>
                <w:color w:val="000000" w:themeColor="text1"/>
                <w:sz w:val="20"/>
              </w:rPr>
              <w:br/>
              <w:t>“In patients with heart failure with reduced ejection fraction at risk of hyperkalaemia, consider initiating a potassium binder such as patriomer or sodium zirconium cyclosilicate (in line with NICE TA599) to enable or maintain optimal dosing of RASS inhibitors or MRAs”,</w:t>
            </w:r>
          </w:p>
        </w:tc>
        <w:tc>
          <w:tcPr>
            <w:tcW w:w="2122" w:type="pct"/>
          </w:tcPr>
          <w:p w14:paraId="4111FD22" w14:textId="2A900D13" w:rsidR="00897293" w:rsidRPr="00CC6553" w:rsidRDefault="00897293" w:rsidP="476BDDBF">
            <w:pPr>
              <w:rPr>
                <w:rFonts w:cs="Arial"/>
                <w:color w:val="000000" w:themeColor="text1"/>
                <w:sz w:val="20"/>
              </w:rPr>
            </w:pPr>
            <w:r w:rsidRPr="00CC6553">
              <w:rPr>
                <w:rFonts w:cs="Arial"/>
                <w:color w:val="000000" w:themeColor="text1"/>
                <w:sz w:val="20"/>
              </w:rPr>
              <w:t>There is no mention of K binders despite NICE TA599.</w:t>
            </w:r>
          </w:p>
        </w:tc>
      </w:tr>
      <w:tr w:rsidR="00897293" w:rsidRPr="00CC6553" w14:paraId="459F4673" w14:textId="77777777" w:rsidTr="00897293">
        <w:trPr>
          <w:trHeight w:val="300"/>
        </w:trPr>
        <w:tc>
          <w:tcPr>
            <w:tcW w:w="109" w:type="pct"/>
          </w:tcPr>
          <w:p w14:paraId="4CC4DBBE" w14:textId="77777777" w:rsidR="00897293" w:rsidRPr="00CC6553" w:rsidRDefault="00897293" w:rsidP="00B234F1">
            <w:pPr>
              <w:rPr>
                <w:rFonts w:cs="Arial"/>
                <w:color w:val="000000" w:themeColor="text1"/>
                <w:sz w:val="20"/>
              </w:rPr>
            </w:pPr>
            <w:r w:rsidRPr="00CC6553">
              <w:rPr>
                <w:rFonts w:cs="Arial"/>
                <w:color w:val="000000" w:themeColor="text1"/>
                <w:sz w:val="20"/>
              </w:rPr>
              <w:t>326</w:t>
            </w:r>
          </w:p>
        </w:tc>
        <w:tc>
          <w:tcPr>
            <w:tcW w:w="143" w:type="pct"/>
          </w:tcPr>
          <w:p w14:paraId="372ED952" w14:textId="47C666AF"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B53FBB4" w14:textId="215E2337" w:rsidR="00897293" w:rsidRPr="00CC6553" w:rsidRDefault="00897293" w:rsidP="00B234F1">
            <w:pPr>
              <w:rPr>
                <w:rFonts w:cs="Arial"/>
                <w:bCs/>
                <w:iCs/>
                <w:color w:val="000000" w:themeColor="text1"/>
                <w:sz w:val="20"/>
              </w:rPr>
            </w:pPr>
            <w:r w:rsidRPr="00CC6553">
              <w:rPr>
                <w:rFonts w:cs="Arial"/>
                <w:color w:val="000000" w:themeColor="text1"/>
                <w:sz w:val="20"/>
              </w:rPr>
              <w:t>Health Innovation Network</w:t>
            </w:r>
          </w:p>
        </w:tc>
        <w:tc>
          <w:tcPr>
            <w:tcW w:w="279" w:type="pct"/>
          </w:tcPr>
          <w:p w14:paraId="7FEBE4DB" w14:textId="3379AE14"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17B795CE" w14:textId="5E17F87A"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78FAB734" w14:textId="58A43789"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45534F02" w14:textId="71459A8C" w:rsidR="00897293" w:rsidRPr="00CC6553" w:rsidRDefault="00897293" w:rsidP="00B234F1">
            <w:pPr>
              <w:rPr>
                <w:rFonts w:cs="Arial"/>
                <w:color w:val="000000" w:themeColor="text1"/>
                <w:sz w:val="20"/>
              </w:rPr>
            </w:pPr>
            <w:r w:rsidRPr="00CC6553">
              <w:rPr>
                <w:rFonts w:cs="Arial"/>
                <w:color w:val="000000" w:themeColor="text1"/>
                <w:sz w:val="20"/>
              </w:rPr>
              <w:t>Tailoring treatment – e.g. in 1.7.1 more emphasis should be placed on the effect of frailty and how to tailor management of heart failure in this large sub group</w:t>
            </w:r>
          </w:p>
        </w:tc>
        <w:tc>
          <w:tcPr>
            <w:tcW w:w="2122" w:type="pct"/>
          </w:tcPr>
          <w:p w14:paraId="280AE927" w14:textId="3348B298"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Frailty has been added to this recommendation.</w:t>
            </w:r>
          </w:p>
        </w:tc>
      </w:tr>
      <w:tr w:rsidR="00897293" w:rsidRPr="00CC6553" w14:paraId="3601158D" w14:textId="77777777" w:rsidTr="00897293">
        <w:trPr>
          <w:trHeight w:val="300"/>
        </w:trPr>
        <w:tc>
          <w:tcPr>
            <w:tcW w:w="109" w:type="pct"/>
          </w:tcPr>
          <w:p w14:paraId="0A5E75FC"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327</w:t>
            </w:r>
          </w:p>
        </w:tc>
        <w:tc>
          <w:tcPr>
            <w:tcW w:w="143" w:type="pct"/>
          </w:tcPr>
          <w:p w14:paraId="64E0ED9B" w14:textId="4BAD01E4"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240841D4" w14:textId="472E6F4E" w:rsidR="00897293" w:rsidRPr="00CC6553" w:rsidRDefault="00897293" w:rsidP="00B234F1">
            <w:pPr>
              <w:rPr>
                <w:rFonts w:cs="Arial"/>
                <w:bCs/>
                <w:iCs/>
                <w:color w:val="000000" w:themeColor="text1"/>
                <w:sz w:val="20"/>
              </w:rPr>
            </w:pPr>
            <w:r w:rsidRPr="00CC6553">
              <w:rPr>
                <w:rFonts w:cs="Arial"/>
                <w:color w:val="000000" w:themeColor="text1"/>
                <w:sz w:val="20"/>
              </w:rPr>
              <w:t>Health Innovation Network</w:t>
            </w:r>
          </w:p>
        </w:tc>
        <w:tc>
          <w:tcPr>
            <w:tcW w:w="279" w:type="pct"/>
          </w:tcPr>
          <w:p w14:paraId="6BD238C8" w14:textId="5B70D741"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7AD93788" w14:textId="12FEC33D"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7A344561" w14:textId="5294C0D8"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42568683" w14:textId="2FB6F576" w:rsidR="00897293" w:rsidRPr="00CC6553" w:rsidRDefault="00897293" w:rsidP="00B234F1">
            <w:pPr>
              <w:rPr>
                <w:rFonts w:cs="Arial"/>
                <w:color w:val="000000" w:themeColor="text1"/>
                <w:sz w:val="20"/>
              </w:rPr>
            </w:pPr>
            <w:r w:rsidRPr="00CC6553">
              <w:rPr>
                <w:rFonts w:cs="Arial"/>
                <w:color w:val="000000" w:themeColor="text1"/>
                <w:sz w:val="20"/>
              </w:rPr>
              <w:t>HFmrEF 1.5 the recommendations do not state that heart failure teams should accept and manage people with mildly reduced ejection fraction. Many teams would still exclude patients in this group. Most in primary care would consider this the work of heart failure teams and not initiate and optimise treatment.</w:t>
            </w:r>
          </w:p>
        </w:tc>
        <w:tc>
          <w:tcPr>
            <w:tcW w:w="2122" w:type="pct"/>
          </w:tcPr>
          <w:p w14:paraId="0C731534" w14:textId="00314691"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How services are delivered or commissioned is outside of the scope of this guideline update.</w:t>
            </w:r>
          </w:p>
        </w:tc>
      </w:tr>
      <w:tr w:rsidR="00897293" w:rsidRPr="00CC6553" w14:paraId="2B5AD34C" w14:textId="77777777" w:rsidTr="00897293">
        <w:trPr>
          <w:trHeight w:val="300"/>
        </w:trPr>
        <w:tc>
          <w:tcPr>
            <w:tcW w:w="109" w:type="pct"/>
          </w:tcPr>
          <w:p w14:paraId="62A49BC3" w14:textId="77777777" w:rsidR="00897293" w:rsidRPr="00CC6553" w:rsidRDefault="00897293" w:rsidP="00B234F1">
            <w:pPr>
              <w:rPr>
                <w:rFonts w:cs="Arial"/>
                <w:color w:val="000000" w:themeColor="text1"/>
                <w:sz w:val="20"/>
              </w:rPr>
            </w:pPr>
            <w:r w:rsidRPr="00CC6553">
              <w:rPr>
                <w:rFonts w:cs="Arial"/>
                <w:color w:val="000000" w:themeColor="text1"/>
                <w:sz w:val="20"/>
              </w:rPr>
              <w:t>328</w:t>
            </w:r>
          </w:p>
        </w:tc>
        <w:tc>
          <w:tcPr>
            <w:tcW w:w="143" w:type="pct"/>
          </w:tcPr>
          <w:p w14:paraId="5FF86400" w14:textId="18F3854A"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57213DDF" w14:textId="514D1E0E" w:rsidR="00897293" w:rsidRPr="00CC6553" w:rsidRDefault="00897293" w:rsidP="00B234F1">
            <w:pPr>
              <w:rPr>
                <w:rFonts w:cs="Arial"/>
                <w:bCs/>
                <w:iCs/>
                <w:color w:val="000000" w:themeColor="text1"/>
                <w:sz w:val="20"/>
              </w:rPr>
            </w:pPr>
            <w:r w:rsidRPr="00CC6553">
              <w:rPr>
                <w:rFonts w:cs="Arial"/>
                <w:color w:val="000000" w:themeColor="text1"/>
                <w:sz w:val="20"/>
              </w:rPr>
              <w:t>Health Innovation Network</w:t>
            </w:r>
          </w:p>
        </w:tc>
        <w:tc>
          <w:tcPr>
            <w:tcW w:w="279" w:type="pct"/>
          </w:tcPr>
          <w:p w14:paraId="314F871A" w14:textId="1686E571"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52FECA49" w14:textId="501CD82C"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13A32432" w14:textId="7D9DEBB1"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74B04530" w14:textId="1646EB6B" w:rsidR="00897293" w:rsidRPr="00CC6553" w:rsidRDefault="00897293" w:rsidP="00B234F1">
            <w:pPr>
              <w:rPr>
                <w:rFonts w:cs="Arial"/>
                <w:color w:val="000000" w:themeColor="text1"/>
                <w:sz w:val="20"/>
              </w:rPr>
            </w:pPr>
            <w:r w:rsidRPr="00CC6553">
              <w:rPr>
                <w:rFonts w:cs="Arial"/>
                <w:color w:val="000000" w:themeColor="text1"/>
                <w:sz w:val="20"/>
              </w:rPr>
              <w:t>Preserved ejection fraction. </w:t>
            </w:r>
            <w:r w:rsidRPr="00CC6553">
              <w:rPr>
                <w:rFonts w:cs="Arial"/>
                <w:color w:val="000000" w:themeColor="text1"/>
                <w:sz w:val="20"/>
              </w:rPr>
              <w:br/>
              <w:t>As above, not stated that heart failure teams should accept and treat and primary care would consider this non-core work and should be under heart failure teams.</w:t>
            </w:r>
          </w:p>
        </w:tc>
        <w:tc>
          <w:tcPr>
            <w:tcW w:w="2122" w:type="pct"/>
          </w:tcPr>
          <w:p w14:paraId="295B3707" w14:textId="080B973B"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How services are delivered or commissioned is outside of the scope of this guideline update.</w:t>
            </w:r>
          </w:p>
        </w:tc>
      </w:tr>
      <w:tr w:rsidR="00897293" w:rsidRPr="00CC6553" w14:paraId="049C6827" w14:textId="77777777" w:rsidTr="00897293">
        <w:trPr>
          <w:trHeight w:val="300"/>
        </w:trPr>
        <w:tc>
          <w:tcPr>
            <w:tcW w:w="109" w:type="pct"/>
          </w:tcPr>
          <w:p w14:paraId="5668D696" w14:textId="77777777" w:rsidR="00897293" w:rsidRPr="00CC6553" w:rsidRDefault="00897293" w:rsidP="00B234F1">
            <w:pPr>
              <w:rPr>
                <w:rFonts w:cs="Arial"/>
                <w:color w:val="000000" w:themeColor="text1"/>
                <w:sz w:val="20"/>
              </w:rPr>
            </w:pPr>
            <w:r w:rsidRPr="00CC6553">
              <w:rPr>
                <w:rFonts w:cs="Arial"/>
                <w:color w:val="000000" w:themeColor="text1"/>
                <w:sz w:val="20"/>
              </w:rPr>
              <w:t>329</w:t>
            </w:r>
          </w:p>
        </w:tc>
        <w:tc>
          <w:tcPr>
            <w:tcW w:w="143" w:type="pct"/>
          </w:tcPr>
          <w:p w14:paraId="0EFD1961" w14:textId="64BF41E2"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EC34C65" w14:textId="184F59AA" w:rsidR="00897293" w:rsidRPr="00CC6553" w:rsidRDefault="00897293" w:rsidP="00B234F1">
            <w:pPr>
              <w:rPr>
                <w:rFonts w:cs="Arial"/>
                <w:bCs/>
                <w:iCs/>
                <w:color w:val="000000" w:themeColor="text1"/>
                <w:sz w:val="20"/>
              </w:rPr>
            </w:pPr>
            <w:r w:rsidRPr="00CC6553">
              <w:rPr>
                <w:rFonts w:cs="Arial"/>
                <w:color w:val="000000" w:themeColor="text1"/>
                <w:sz w:val="20"/>
              </w:rPr>
              <w:t>Health Innovation Network</w:t>
            </w:r>
          </w:p>
        </w:tc>
        <w:tc>
          <w:tcPr>
            <w:tcW w:w="279" w:type="pct"/>
          </w:tcPr>
          <w:p w14:paraId="45569456" w14:textId="372F8B13"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25857253" w14:textId="35F73A36"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0B7F8DC8" w14:textId="6880E914"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376EEAE7" w14:textId="347A9EB3" w:rsidR="00897293" w:rsidRPr="00CC6553" w:rsidRDefault="00897293" w:rsidP="00B234F1">
            <w:pPr>
              <w:rPr>
                <w:rFonts w:cs="Arial"/>
                <w:color w:val="000000" w:themeColor="text1"/>
                <w:sz w:val="20"/>
              </w:rPr>
            </w:pPr>
            <w:r w:rsidRPr="00CC6553">
              <w:rPr>
                <w:rFonts w:cs="Arial"/>
                <w:color w:val="000000" w:themeColor="text1"/>
                <w:sz w:val="20"/>
              </w:rPr>
              <w:t>Recommendations for research</w:t>
            </w:r>
            <w:r w:rsidRPr="00CC6553">
              <w:rPr>
                <w:rFonts w:cs="Arial"/>
                <w:color w:val="000000" w:themeColor="text1"/>
                <w:sz w:val="20"/>
              </w:rPr>
              <w:br/>
              <w:t>Should add research into NTproBNP cut off levels in the groups mentioned 1.2.7.</w:t>
            </w:r>
            <w:r w:rsidRPr="00CC6553">
              <w:rPr>
                <w:rFonts w:cs="Arial"/>
                <w:color w:val="000000" w:themeColor="text1"/>
                <w:sz w:val="20"/>
              </w:rPr>
              <w:br/>
              <w:t>Should also look at cut off levels in the young (under 50y)with suspected HF where very good renal function may drive NTproBNP below standard cut off range.”</w:t>
            </w:r>
          </w:p>
        </w:tc>
        <w:tc>
          <w:tcPr>
            <w:tcW w:w="2122" w:type="pct"/>
          </w:tcPr>
          <w:p w14:paraId="35367111" w14:textId="049EF440"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Thank you for your comment.  This research recommendation was retained from </w:t>
            </w:r>
            <w:r>
              <w:rPr>
                <w:rFonts w:cs="Arial"/>
                <w:b w:val="0"/>
                <w:color w:val="000000" w:themeColor="text1"/>
                <w:sz w:val="20"/>
              </w:rPr>
              <w:t>the</w:t>
            </w:r>
            <w:r w:rsidRPr="00CC6553">
              <w:rPr>
                <w:rFonts w:cs="Arial"/>
                <w:b w:val="0"/>
                <w:color w:val="000000" w:themeColor="text1"/>
                <w:sz w:val="20"/>
              </w:rPr>
              <w:t xml:space="preserve"> previous the previous guideline and the committee were therefore unable to edit it.</w:t>
            </w:r>
          </w:p>
        </w:tc>
      </w:tr>
      <w:tr w:rsidR="00897293" w:rsidRPr="00CC6553" w14:paraId="1B7CEC91" w14:textId="77777777" w:rsidTr="00897293">
        <w:trPr>
          <w:trHeight w:val="300"/>
        </w:trPr>
        <w:tc>
          <w:tcPr>
            <w:tcW w:w="109" w:type="pct"/>
          </w:tcPr>
          <w:p w14:paraId="7F5464E0" w14:textId="77777777" w:rsidR="00897293" w:rsidRPr="00CC6553" w:rsidRDefault="00897293" w:rsidP="00B234F1">
            <w:pPr>
              <w:rPr>
                <w:rFonts w:cs="Arial"/>
                <w:color w:val="000000" w:themeColor="text1"/>
                <w:sz w:val="20"/>
              </w:rPr>
            </w:pPr>
            <w:r w:rsidRPr="00CC6553">
              <w:rPr>
                <w:rFonts w:cs="Arial"/>
                <w:color w:val="000000" w:themeColor="text1"/>
                <w:sz w:val="20"/>
              </w:rPr>
              <w:t>330</w:t>
            </w:r>
          </w:p>
        </w:tc>
        <w:tc>
          <w:tcPr>
            <w:tcW w:w="143" w:type="pct"/>
          </w:tcPr>
          <w:p w14:paraId="63AED4DE" w14:textId="5F270B39"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45292D47" w14:textId="77E66D82" w:rsidR="00897293" w:rsidRPr="00CC6553" w:rsidRDefault="00897293" w:rsidP="00B234F1">
            <w:pPr>
              <w:rPr>
                <w:rFonts w:cs="Arial"/>
                <w:bCs/>
                <w:iCs/>
                <w:color w:val="000000" w:themeColor="text1"/>
                <w:sz w:val="20"/>
              </w:rPr>
            </w:pPr>
            <w:r w:rsidRPr="00CC6553">
              <w:rPr>
                <w:rFonts w:cs="Arial"/>
                <w:color w:val="000000" w:themeColor="text1"/>
                <w:sz w:val="20"/>
              </w:rPr>
              <w:t>AstraZeneca UK Ltd</w:t>
            </w:r>
          </w:p>
        </w:tc>
        <w:tc>
          <w:tcPr>
            <w:tcW w:w="279" w:type="pct"/>
          </w:tcPr>
          <w:p w14:paraId="57BAD475" w14:textId="5E041254"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35757A46" w14:textId="5D401554"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76E0AD3D" w14:textId="7E7F182B"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2462E6E3" w14:textId="6CCF35F6" w:rsidR="00897293" w:rsidRPr="00CC6553" w:rsidRDefault="00897293" w:rsidP="00B234F1">
            <w:pPr>
              <w:rPr>
                <w:rFonts w:cs="Arial"/>
                <w:color w:val="000000" w:themeColor="text1"/>
                <w:sz w:val="20"/>
              </w:rPr>
            </w:pPr>
            <w:r w:rsidRPr="00CC6553">
              <w:rPr>
                <w:rFonts w:cs="Arial"/>
                <w:color w:val="000000" w:themeColor="text1"/>
                <w:sz w:val="20"/>
              </w:rPr>
              <w:t xml:space="preserve">AstraZeneca welcome the opportunity to comment on the consultation for the NG106 update. However, while the scope for the current update focuses on the management section of the guideline, AstraZeneca strongly recommend that NICE review and update the diagnosis section of the guideline to ensure that the patient pathway is updated to reflecting clinical practice and patient demographics. </w:t>
            </w:r>
            <w:r w:rsidRPr="00CC6553">
              <w:rPr>
                <w:rFonts w:cs="Arial"/>
                <w:color w:val="000000" w:themeColor="text1"/>
                <w:sz w:val="20"/>
              </w:rPr>
              <w:br/>
            </w:r>
            <w:r w:rsidRPr="00CC6553">
              <w:rPr>
                <w:rFonts w:cs="Arial"/>
                <w:color w:val="000000" w:themeColor="text1"/>
                <w:sz w:val="20"/>
              </w:rPr>
              <w:br/>
              <w:t>The diagnosis of the underlying aetiology of heart failure with preserved ejection fraction (HFpEF) is an important driver of treatment decisions, as highlighted in the 2019 Consensus Recommendation from the Heart Failure Association of the ESC  CITATION Pie19 \l 2057 [1].This is of particular relevance for transthyretin amyloid cardiomyopathy (ATTR-CM), as its treatment has evolved considerably since the previous update in 2018. Both the 2021 ESC Guidelines for the diagnosis and treatment of acute and chronic heart failure CITATION Eur21 \l 2057  [2] and the 2022 AHA/ACC/HFSA Guideline for the Management of Heart Failure CITATION Ame22 \l 2057  [3] specifically address ATTR-CM diagnosis and management, and it is vital that NG106 is updated in a timely manner to reflect these advances.</w:t>
            </w:r>
            <w:r w:rsidRPr="00CC6553">
              <w:rPr>
                <w:rFonts w:cs="Arial"/>
                <w:color w:val="000000" w:themeColor="text1"/>
                <w:sz w:val="20"/>
              </w:rPr>
              <w:br/>
            </w:r>
            <w:r w:rsidRPr="00CC6553">
              <w:rPr>
                <w:rFonts w:cs="Arial"/>
                <w:color w:val="000000" w:themeColor="text1"/>
                <w:sz w:val="20"/>
              </w:rPr>
              <w:br/>
              <w:t xml:space="preserve">Recent data indicate that 12-16%  CITATION Aim22 \l 2057 [4] CITATION Ant22 \l </w:t>
            </w:r>
            <w:r w:rsidRPr="00CC6553">
              <w:rPr>
                <w:rFonts w:cs="Arial"/>
                <w:color w:val="000000" w:themeColor="text1"/>
                <w:sz w:val="20"/>
              </w:rPr>
              <w:lastRenderedPageBreak/>
              <w:t>2057  [5] of patients with HFpEF may have underlying ATTR-CM, a condition for which both diagnostic pathways and effective treatments are now available (including tafamidis for wild-type (TA984)  CITATION NIC24 \l 2057 [6], and vutrisiran (TA868)  CITATION NIC231 \l 2057 [7], eplontersen (TA1020)  CITATION NIC241 \l 2057 [8], inotersen (HST9)  CITATION NIC \l 2057 [9], and patisiran (HST10)  CITATION NIC19 \l 2057 [10] for mixed phenotype with hereditary forms).Focusing solely on pharmacological treatment without updating diagnostic recommendations risks missing opportunities for optimal patient care. Therefore, AstraZeneca urge NICE to prioritise a review and update of the diagnosis section to ensure NG106 remains clinically relevant and fully aligned with international guidelines, and ensure ATTR-CM guidance is included.</w:t>
            </w:r>
          </w:p>
        </w:tc>
        <w:tc>
          <w:tcPr>
            <w:tcW w:w="2122" w:type="pct"/>
          </w:tcPr>
          <w:p w14:paraId="01405155" w14:textId="64E315E1"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lastRenderedPageBreak/>
              <w:t xml:space="preserve">Thank you for your comment.  For further details of how we prioritise our guidance </w:t>
            </w:r>
            <w:hyperlink r:id="rId54" w:history="1">
              <w:r w:rsidRPr="00CC6553">
                <w:rPr>
                  <w:rStyle w:val="Hyperlink"/>
                  <w:rFonts w:cs="Arial"/>
                  <w:b w:val="0"/>
                  <w:color w:val="000000" w:themeColor="text1"/>
                  <w:sz w:val="20"/>
                </w:rPr>
                <w:t>Prioritising our guidance topics | What we do | About | NICE</w:t>
              </w:r>
            </w:hyperlink>
            <w:r w:rsidRPr="00CC6553">
              <w:rPr>
                <w:rFonts w:cs="Arial"/>
                <w:b w:val="0"/>
                <w:color w:val="000000" w:themeColor="text1"/>
                <w:sz w:val="20"/>
              </w:rPr>
              <w:t xml:space="preserve"> including details of how to suggest a topic.</w:t>
            </w:r>
          </w:p>
        </w:tc>
      </w:tr>
      <w:tr w:rsidR="00897293" w:rsidRPr="00CC6553" w14:paraId="25782AAD" w14:textId="77777777" w:rsidTr="00897293">
        <w:trPr>
          <w:trHeight w:val="300"/>
        </w:trPr>
        <w:tc>
          <w:tcPr>
            <w:tcW w:w="109" w:type="pct"/>
          </w:tcPr>
          <w:p w14:paraId="228C437B" w14:textId="77777777" w:rsidR="00897293" w:rsidRPr="00CC6553" w:rsidRDefault="00897293" w:rsidP="00B234F1">
            <w:pPr>
              <w:rPr>
                <w:rFonts w:cs="Arial"/>
                <w:color w:val="000000" w:themeColor="text1"/>
                <w:sz w:val="20"/>
              </w:rPr>
            </w:pPr>
            <w:r w:rsidRPr="00CC6553">
              <w:rPr>
                <w:rFonts w:cs="Arial"/>
                <w:color w:val="000000" w:themeColor="text1"/>
                <w:sz w:val="20"/>
              </w:rPr>
              <w:t>331</w:t>
            </w:r>
          </w:p>
        </w:tc>
        <w:tc>
          <w:tcPr>
            <w:tcW w:w="143" w:type="pct"/>
          </w:tcPr>
          <w:p w14:paraId="7A058BA0" w14:textId="64560072"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41CA7BB0" w14:textId="525C0CC6" w:rsidR="00897293" w:rsidRPr="00CC6553" w:rsidRDefault="00897293" w:rsidP="00B234F1">
            <w:pPr>
              <w:rPr>
                <w:rFonts w:cs="Arial"/>
                <w:bCs/>
                <w:iCs/>
                <w:color w:val="000000" w:themeColor="text1"/>
                <w:sz w:val="20"/>
              </w:rPr>
            </w:pPr>
            <w:r w:rsidRPr="00CC6553">
              <w:rPr>
                <w:rFonts w:cs="Arial"/>
                <w:color w:val="000000" w:themeColor="text1"/>
                <w:sz w:val="20"/>
              </w:rPr>
              <w:t>AstraZeneca UK Ltd</w:t>
            </w:r>
          </w:p>
        </w:tc>
        <w:tc>
          <w:tcPr>
            <w:tcW w:w="279" w:type="pct"/>
          </w:tcPr>
          <w:p w14:paraId="0FF7E93B" w14:textId="3062EF55"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34BB2B31" w14:textId="5E845CD4"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0B74B778" w14:textId="16EA1FC3"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17AF20B5" w14:textId="2ED14126" w:rsidR="00897293" w:rsidRPr="00CC6553" w:rsidRDefault="00897293" w:rsidP="00B234F1">
            <w:pPr>
              <w:rPr>
                <w:rFonts w:cs="Arial"/>
                <w:color w:val="000000" w:themeColor="text1"/>
                <w:sz w:val="20"/>
              </w:rPr>
            </w:pPr>
            <w:r w:rsidRPr="00CC6553">
              <w:rPr>
                <w:rFonts w:cs="Arial"/>
                <w:color w:val="000000" w:themeColor="text1"/>
                <w:sz w:val="20"/>
              </w:rPr>
              <w:t>Alongside the feedback on the guideline documents, AstraZeneca are providing responses to the questions raised by NICE:</w:t>
            </w:r>
            <w:r w:rsidRPr="00CC6553">
              <w:rPr>
                <w:rFonts w:cs="Arial"/>
                <w:color w:val="000000" w:themeColor="text1"/>
                <w:sz w:val="20"/>
              </w:rPr>
              <w:br/>
            </w:r>
            <w:r w:rsidRPr="00CC6553">
              <w:rPr>
                <w:rFonts w:cs="Arial"/>
                <w:color w:val="000000" w:themeColor="text1"/>
                <w:sz w:val="20"/>
              </w:rPr>
              <w:br/>
              <w:t>Would it be challenging to implement any of the draft recommendations? Please say why and for whom. Please include any suggestions that could help users overcome these challenges (for example, existing practical resources or national initiatives.</w:t>
            </w:r>
            <w:r w:rsidRPr="00CC6553">
              <w:rPr>
                <w:rFonts w:cs="Arial"/>
                <w:color w:val="000000" w:themeColor="text1"/>
                <w:sz w:val="20"/>
              </w:rPr>
              <w:br/>
            </w:r>
            <w:r w:rsidRPr="00CC6553">
              <w:rPr>
                <w:rFonts w:cs="Arial"/>
                <w:color w:val="000000" w:themeColor="text1"/>
                <w:sz w:val="20"/>
              </w:rPr>
              <w:br/>
              <w:t xml:space="preserve">AstraZeneca agree that the treatment changes for HFpEF in this guideline (i.e. recommending an MRA in addition to an SGLT2 inhibitor) will be a significant change in practice, including staff time for consultation to establish the correct dose of MRA and treatment for hyperkalaemia. That said, as there is likely to be a reduction in hospitalisation for heart failure, and there are treatments to manage hyperkalaemia readily available and recommended by NICE (TA599  CITATION NIC22 \l 2057 [17] and TA623  CITATION NIC20 \l 2057 [18]), this change should be manageable in practice. </w:t>
            </w:r>
            <w:r w:rsidRPr="00CC6553">
              <w:rPr>
                <w:rFonts w:cs="Arial"/>
                <w:color w:val="000000" w:themeColor="text1"/>
                <w:sz w:val="20"/>
              </w:rPr>
              <w:br/>
            </w:r>
            <w:r w:rsidRPr="00CC6553">
              <w:rPr>
                <w:rFonts w:cs="Arial"/>
                <w:color w:val="000000" w:themeColor="text1"/>
                <w:sz w:val="20"/>
              </w:rPr>
              <w:br/>
              <w:t xml:space="preserve">Would implementation of any of the draft recommendations have significant cost implications? </w:t>
            </w:r>
            <w:r w:rsidRPr="00CC6553">
              <w:rPr>
                <w:rFonts w:cs="Arial"/>
                <w:color w:val="000000" w:themeColor="text1"/>
                <w:sz w:val="20"/>
              </w:rPr>
              <w:br/>
            </w:r>
            <w:r w:rsidRPr="00CC6553">
              <w:rPr>
                <w:rFonts w:cs="Arial"/>
                <w:color w:val="000000" w:themeColor="text1"/>
                <w:sz w:val="20"/>
              </w:rPr>
              <w:br/>
              <w:t xml:space="preserve">The requirement in recommendation 1.7.4 for GPs to consult a heart failure </w:t>
            </w:r>
            <w:r w:rsidRPr="00CC6553">
              <w:rPr>
                <w:rFonts w:cs="Arial"/>
                <w:color w:val="000000" w:themeColor="text1"/>
                <w:sz w:val="20"/>
              </w:rPr>
              <w:lastRenderedPageBreak/>
              <w:t>specialist before prescribing an SGLT2 inhibitor will have significant cost and resource implications, as discussed in greater detail below.</w:t>
            </w:r>
            <w:r w:rsidRPr="00CC6553">
              <w:rPr>
                <w:rFonts w:cs="Arial"/>
                <w:color w:val="000000" w:themeColor="text1"/>
                <w:sz w:val="20"/>
              </w:rPr>
              <w:br/>
            </w:r>
            <w:r w:rsidRPr="00CC6553">
              <w:rPr>
                <w:rFonts w:cs="Arial"/>
                <w:color w:val="000000" w:themeColor="text1"/>
                <w:sz w:val="20"/>
              </w:rPr>
              <w:br/>
              <w:t>We would especially welcome you feedback on recommendation 1.7.4 on whether GPs should seek advice from a heart failure specialist before prescribing an SGLT2 inhibitor.</w:t>
            </w:r>
            <w:r w:rsidRPr="00CC6553">
              <w:rPr>
                <w:rFonts w:cs="Arial"/>
                <w:color w:val="000000" w:themeColor="text1"/>
                <w:sz w:val="20"/>
              </w:rPr>
              <w:br/>
            </w:r>
            <w:r w:rsidRPr="00CC6553">
              <w:rPr>
                <w:rFonts w:cs="Arial"/>
                <w:color w:val="000000" w:themeColor="text1"/>
                <w:sz w:val="20"/>
              </w:rPr>
              <w:br/>
              <w:t>AstraZeneca urge NICE to reconsider recommendation 1.7.4, which stipulates that GPs should seek advice from a heart failure specialist prior to prescribing an SGLT2 inhibitor. The clinical landscape for SGLT2 inhibitors has advanced considerably in recent years. GPs are already highly experienced with initiating and managing these medicines, with extensive practice gained from treating type 2 diabetes and chronic kidney disease. This expertise translates directly to heart failure, where GPs are fully equipped to monitor patients and manage potential adverse events from the guideline recommended therapies.</w:t>
            </w:r>
            <w:r w:rsidRPr="00CC6553">
              <w:rPr>
                <w:rFonts w:cs="Arial"/>
                <w:color w:val="000000" w:themeColor="text1"/>
                <w:sz w:val="20"/>
              </w:rPr>
              <w:br/>
            </w:r>
            <w:r w:rsidRPr="00CC6553">
              <w:rPr>
                <w:rFonts w:cs="Arial"/>
                <w:color w:val="000000" w:themeColor="text1"/>
                <w:sz w:val="20"/>
              </w:rPr>
              <w:br/>
              <w:t>NICE’s own evidence review for HFrEF (Evidence Review A) explicitly recognises both the feasibility and appropriateness of SGLT2 inhibitor prescribing in primary care. The committee’s discussions (page 63) state that ‘the committee noted that SGLT2 inhibitors are already commonly prescribed in primary care for other conditions, suggesting it may be feasible to extend their use to people with CHF in this setting. Although the committee were concerned about increasing GPs’ workloads, they agreed that most GPs are familiar with SGLT2 inhibitors, and therefore the resource impact should be limited, particularly if GPs have the option to consult with a specialist heart failure team when needed.’ In addition, Evidence Review A (page 64) states that ‘it was agreed that it is appropriate for primary care to be able to initiate all classes of medicine recommended, as sometimes the requirement for specialists to initiate medicines can be a barrier to patients accessing the most appropriate medicines for them’. It is therefore inconsistent for recommendation 1.7.4 to mandate specialist involvement for SGLT2 inhibitor initiation, as this directly contradicts the committee’s conclusions in Evidence Review A.</w:t>
            </w:r>
            <w:r w:rsidRPr="00CC6553">
              <w:rPr>
                <w:rFonts w:cs="Arial"/>
                <w:color w:val="000000" w:themeColor="text1"/>
                <w:sz w:val="20"/>
              </w:rPr>
              <w:br/>
            </w:r>
            <w:r w:rsidRPr="00CC6553">
              <w:rPr>
                <w:rFonts w:cs="Arial"/>
                <w:color w:val="000000" w:themeColor="text1"/>
                <w:sz w:val="20"/>
              </w:rPr>
              <w:lastRenderedPageBreak/>
              <w:br/>
              <w:t>In practice, enforcing recommendation 1.7.4 would disrupt optimal treatment prescribing leading to delays in patients receiving optimal treatment. The other classes of heart failure medicines can be initiated immediately by GPs in primary care, without specialist input, while patients would face an unnecessary barrier before starting an SGLT2 inhibitor simply due to the added step of securing specialist approval. This adds complexities into the treatment pathway and could lead to delays in starting an SGLT2 inhibitor or even stop their initiation. This is particularly concerning, as NICE’s evidence review does not support ‘offer’ level recommendations for the other drug classes in HFmrEF and HFpEF, whilst there is clear and strong evidence of benefit for SGLT2 inhibitors.</w:t>
            </w:r>
            <w:r w:rsidRPr="00CC6553">
              <w:rPr>
                <w:rFonts w:cs="Arial"/>
                <w:color w:val="000000" w:themeColor="text1"/>
                <w:sz w:val="20"/>
              </w:rPr>
              <w:br/>
            </w:r>
            <w:r w:rsidRPr="00CC6553">
              <w:rPr>
                <w:rFonts w:cs="Arial"/>
                <w:color w:val="000000" w:themeColor="text1"/>
                <w:sz w:val="20"/>
              </w:rPr>
              <w:br/>
              <w:t>Requiring specialist input will also necessitate additional referrals or formal requests for advice, including writing letters, making telephone calls, or requesting advice through digital communication channels such as Advice and Guidance. Even the non-face-to-face activity is time and resource intensive which burdens both specialist and GP time, reduces outpatient or community-based specialist resource, and adds significant administrative workload. Ultimately, it will place further strain on an already limited healthcare resources and increase costs without clear clinical need.</w:t>
            </w:r>
            <w:r w:rsidRPr="00CC6553">
              <w:rPr>
                <w:rFonts w:cs="Arial"/>
                <w:color w:val="000000" w:themeColor="text1"/>
                <w:sz w:val="20"/>
              </w:rPr>
              <w:br/>
            </w:r>
            <w:r w:rsidRPr="00CC6553">
              <w:rPr>
                <w:rFonts w:cs="Arial"/>
                <w:color w:val="000000" w:themeColor="text1"/>
                <w:sz w:val="20"/>
              </w:rPr>
              <w:br/>
              <w:t>For these reasons, AstraZeneca strongly recommend that NICE remove recommendation 1.7.4 and allow GPs to initiate SGLT2 inhibitor therapy for all indicated heart failure populations, in line with the committee’s own conclusions as described in Evidence Review A. Retaining the current recommendation risks unnecessary delays, undermines existing GP competence, may lead to suboptimal prescribing of therapies, and could drive significant and unwarranted cost and resource implications.</w:t>
            </w:r>
          </w:p>
        </w:tc>
        <w:tc>
          <w:tcPr>
            <w:tcW w:w="2122" w:type="pct"/>
          </w:tcPr>
          <w:p w14:paraId="113A277E" w14:textId="77777777"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lastRenderedPageBreak/>
              <w:t>Thank you for your comment.  We will pass this information on to our system implementation team.</w:t>
            </w:r>
          </w:p>
          <w:p w14:paraId="347A506A" w14:textId="77777777" w:rsidR="00897293" w:rsidRPr="00CC6553" w:rsidRDefault="00897293" w:rsidP="00B234F1">
            <w:pPr>
              <w:rPr>
                <w:color w:val="000000" w:themeColor="text1"/>
              </w:rPr>
            </w:pPr>
          </w:p>
          <w:p w14:paraId="34867661" w14:textId="536BCDFF" w:rsidR="00897293" w:rsidRPr="00CC6553" w:rsidRDefault="00897293" w:rsidP="00B234F1">
            <w:pPr>
              <w:rPr>
                <w:color w:val="000000" w:themeColor="text1"/>
              </w:rPr>
            </w:pPr>
            <w:r w:rsidRPr="00CC6553">
              <w:rPr>
                <w:color w:val="000000" w:themeColor="text1"/>
                <w:sz w:val="20"/>
              </w:rPr>
              <w:t>The committee has removed the requirement for GPs to seek advice from a heart failure specialist before prescribing a SGLT2 inhibitor.</w:t>
            </w:r>
          </w:p>
        </w:tc>
      </w:tr>
      <w:tr w:rsidR="00897293" w:rsidRPr="00CC6553" w14:paraId="0D9E294C" w14:textId="77777777" w:rsidTr="00897293">
        <w:trPr>
          <w:trHeight w:val="300"/>
        </w:trPr>
        <w:tc>
          <w:tcPr>
            <w:tcW w:w="109" w:type="pct"/>
          </w:tcPr>
          <w:p w14:paraId="0E09F49C"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332</w:t>
            </w:r>
          </w:p>
        </w:tc>
        <w:tc>
          <w:tcPr>
            <w:tcW w:w="143" w:type="pct"/>
          </w:tcPr>
          <w:p w14:paraId="2EF9BC45" w14:textId="2CBD2952"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3DB8745D" w14:textId="6FE6F272" w:rsidR="00897293" w:rsidRPr="00CC6553" w:rsidRDefault="00897293" w:rsidP="00B234F1">
            <w:pPr>
              <w:rPr>
                <w:rFonts w:cs="Arial"/>
                <w:bCs/>
                <w:iCs/>
                <w:color w:val="000000" w:themeColor="text1"/>
                <w:sz w:val="20"/>
              </w:rPr>
            </w:pPr>
            <w:r w:rsidRPr="00CC6553">
              <w:rPr>
                <w:rFonts w:cs="Arial"/>
                <w:color w:val="000000" w:themeColor="text1"/>
                <w:sz w:val="20"/>
              </w:rPr>
              <w:t xml:space="preserve">University Hospital Southampton NHS </w:t>
            </w:r>
            <w:r w:rsidRPr="00CC6553">
              <w:rPr>
                <w:rFonts w:cs="Arial"/>
                <w:color w:val="000000" w:themeColor="text1"/>
                <w:sz w:val="20"/>
              </w:rPr>
              <w:lastRenderedPageBreak/>
              <w:t>Foundation Trust</w:t>
            </w:r>
          </w:p>
        </w:tc>
        <w:tc>
          <w:tcPr>
            <w:tcW w:w="279" w:type="pct"/>
          </w:tcPr>
          <w:p w14:paraId="6854F0B2" w14:textId="09F00072" w:rsidR="00897293" w:rsidRPr="00CC6553" w:rsidRDefault="00897293" w:rsidP="00B234F1">
            <w:pPr>
              <w:rPr>
                <w:rFonts w:cs="Arial"/>
                <w:color w:val="000000" w:themeColor="text1"/>
                <w:sz w:val="20"/>
              </w:rPr>
            </w:pPr>
            <w:r w:rsidRPr="00CC6553">
              <w:rPr>
                <w:rFonts w:cs="Arial"/>
                <w:color w:val="000000" w:themeColor="text1"/>
                <w:sz w:val="20"/>
              </w:rPr>
              <w:lastRenderedPageBreak/>
              <w:t>Guideline</w:t>
            </w:r>
          </w:p>
        </w:tc>
        <w:tc>
          <w:tcPr>
            <w:tcW w:w="214" w:type="pct"/>
          </w:tcPr>
          <w:p w14:paraId="1DA2BF7F" w14:textId="574DC0CC"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07993505" w14:textId="5CEA3277"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1B93B80B" w14:textId="1F9EEFB3" w:rsidR="00897293" w:rsidRPr="00CC6553" w:rsidRDefault="00897293" w:rsidP="00B234F1">
            <w:pPr>
              <w:rPr>
                <w:rFonts w:cs="Arial"/>
                <w:color w:val="000000" w:themeColor="text1"/>
                <w:sz w:val="20"/>
              </w:rPr>
            </w:pPr>
            <w:r w:rsidRPr="00CC6553">
              <w:rPr>
                <w:rFonts w:cs="Arial"/>
                <w:color w:val="000000" w:themeColor="text1"/>
                <w:sz w:val="20"/>
              </w:rPr>
              <w:t xml:space="preserve">We welcome the update to this guidance, which is long overdue. However, we feel that there are potential missed opportunities here, particularly relating to the absence of any specific guideline recommendations regarding the role of digital tools to support self-management, the use of remote monitoring technologies </w:t>
            </w:r>
            <w:r w:rsidRPr="00CC6553">
              <w:rPr>
                <w:rFonts w:cs="Arial"/>
                <w:color w:val="000000" w:themeColor="text1"/>
                <w:sz w:val="20"/>
              </w:rPr>
              <w:lastRenderedPageBreak/>
              <w:t>(including pulmonary artery pressure monitoring systems and cariac implanted electonic device based algorithms).</w:t>
            </w:r>
          </w:p>
        </w:tc>
        <w:tc>
          <w:tcPr>
            <w:tcW w:w="2122" w:type="pct"/>
          </w:tcPr>
          <w:p w14:paraId="0D082C74" w14:textId="1CD59F1F"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lastRenderedPageBreak/>
              <w:t xml:space="preserve">Thank you for your comment.  The scope of this update was the pharmacological management of chronic heart failure </w:t>
            </w:r>
            <w:hyperlink r:id="rId55" w:history="1">
              <w:r w:rsidRPr="00CC6553">
                <w:rPr>
                  <w:rStyle w:val="Hyperlink"/>
                  <w:rFonts w:cs="Arial"/>
                  <w:b w:val="0"/>
                  <w:color w:val="000000" w:themeColor="text1"/>
                  <w:sz w:val="20"/>
                </w:rPr>
                <w:t>https://www.nice.org.uk/guidance/gid-ng10405/documents/final-scope</w:t>
              </w:r>
            </w:hyperlink>
            <w:r w:rsidRPr="00CC6553">
              <w:rPr>
                <w:rFonts w:cs="Arial"/>
                <w:b w:val="0"/>
                <w:color w:val="000000" w:themeColor="text1"/>
                <w:sz w:val="20"/>
              </w:rPr>
              <w:t xml:space="preserve"> and the committee were therefore unable to recommendations on areas outside of this</w:t>
            </w:r>
          </w:p>
        </w:tc>
      </w:tr>
      <w:tr w:rsidR="00897293" w:rsidRPr="00CC6553" w14:paraId="1BD27D39" w14:textId="77777777" w:rsidTr="00897293">
        <w:trPr>
          <w:trHeight w:val="300"/>
        </w:trPr>
        <w:tc>
          <w:tcPr>
            <w:tcW w:w="109" w:type="pct"/>
          </w:tcPr>
          <w:p w14:paraId="07A30335"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333</w:t>
            </w:r>
          </w:p>
        </w:tc>
        <w:tc>
          <w:tcPr>
            <w:tcW w:w="143" w:type="pct"/>
          </w:tcPr>
          <w:p w14:paraId="13BEBD62" w14:textId="2F5E7228"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77403C3" w14:textId="554E30FC" w:rsidR="00897293" w:rsidRPr="00CC6553" w:rsidRDefault="00897293" w:rsidP="00B234F1">
            <w:pPr>
              <w:rPr>
                <w:rFonts w:cs="Arial"/>
                <w:bCs/>
                <w:iCs/>
                <w:color w:val="000000" w:themeColor="text1"/>
                <w:sz w:val="20"/>
              </w:rPr>
            </w:pPr>
            <w:r w:rsidRPr="00CC6553">
              <w:rPr>
                <w:rFonts w:cs="Arial"/>
                <w:color w:val="000000" w:themeColor="text1"/>
                <w:sz w:val="20"/>
              </w:rPr>
              <w:t>University Hospital Southampton NHS Foundation Trust</w:t>
            </w:r>
          </w:p>
        </w:tc>
        <w:tc>
          <w:tcPr>
            <w:tcW w:w="279" w:type="pct"/>
          </w:tcPr>
          <w:p w14:paraId="58C11B4B" w14:textId="33BA2630"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0340E2B8" w14:textId="0757D5D5"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6B46517B" w14:textId="4FB3106A"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03B0D513" w14:textId="39C21368" w:rsidR="00897293" w:rsidRPr="00CC6553" w:rsidRDefault="00897293" w:rsidP="00B234F1">
            <w:pPr>
              <w:rPr>
                <w:rFonts w:cs="Arial"/>
                <w:color w:val="000000" w:themeColor="text1"/>
                <w:sz w:val="20"/>
              </w:rPr>
            </w:pPr>
            <w:r w:rsidRPr="00CC6553">
              <w:rPr>
                <w:rFonts w:cs="Arial"/>
                <w:color w:val="000000" w:themeColor="text1"/>
                <w:sz w:val="20"/>
              </w:rPr>
              <w:t>We are dissapointed to note that no specific analysis of the cost-effectiveness of the 2 week and 6 week specialist assessment pathways based on NT-proBNP cut-off values in all comers has been attempted. Our personal experience is that, depsite continuing to increase capacity for these clinics, it is not possible to deliver 6 week pathways in clinical practice, which leads to potential iniquitous access to appropriate specialist services.</w:t>
            </w:r>
          </w:p>
        </w:tc>
        <w:tc>
          <w:tcPr>
            <w:tcW w:w="2122" w:type="pct"/>
          </w:tcPr>
          <w:p w14:paraId="31EAE7FC" w14:textId="5B3520A3"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Thank you for your comment.  The scope of this update was the pharmacological management of chronic heart failure </w:t>
            </w:r>
            <w:hyperlink r:id="rId56" w:history="1">
              <w:r w:rsidRPr="00CC6553">
                <w:rPr>
                  <w:rStyle w:val="Hyperlink"/>
                  <w:rFonts w:cs="Arial"/>
                  <w:b w:val="0"/>
                  <w:color w:val="000000" w:themeColor="text1"/>
                  <w:sz w:val="20"/>
                </w:rPr>
                <w:t>https://www.nice.org.uk/guidance/gid-ng10405/documents/final-scope</w:t>
              </w:r>
            </w:hyperlink>
            <w:r w:rsidRPr="00CC6553">
              <w:rPr>
                <w:rFonts w:cs="Arial"/>
                <w:b w:val="0"/>
                <w:color w:val="000000" w:themeColor="text1"/>
                <w:sz w:val="20"/>
              </w:rPr>
              <w:t xml:space="preserve"> and the committee were therefore unable to recommendations on areas outside of this</w:t>
            </w:r>
          </w:p>
        </w:tc>
      </w:tr>
      <w:tr w:rsidR="00897293" w:rsidRPr="00CC6553" w14:paraId="014734B4" w14:textId="77777777" w:rsidTr="00897293">
        <w:trPr>
          <w:trHeight w:val="300"/>
        </w:trPr>
        <w:tc>
          <w:tcPr>
            <w:tcW w:w="109" w:type="pct"/>
          </w:tcPr>
          <w:p w14:paraId="751AC2E7" w14:textId="77777777" w:rsidR="00897293" w:rsidRPr="00CC6553" w:rsidRDefault="00897293" w:rsidP="00B234F1">
            <w:pPr>
              <w:rPr>
                <w:rFonts w:cs="Arial"/>
                <w:color w:val="000000" w:themeColor="text1"/>
                <w:sz w:val="20"/>
              </w:rPr>
            </w:pPr>
            <w:r w:rsidRPr="00CC6553">
              <w:rPr>
                <w:rFonts w:cs="Arial"/>
                <w:color w:val="000000" w:themeColor="text1"/>
                <w:sz w:val="20"/>
              </w:rPr>
              <w:t>334</w:t>
            </w:r>
          </w:p>
        </w:tc>
        <w:tc>
          <w:tcPr>
            <w:tcW w:w="143" w:type="pct"/>
          </w:tcPr>
          <w:p w14:paraId="1EB417E6" w14:textId="6E7288A8"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7E058F51" w14:textId="3AF18FB1" w:rsidR="00897293" w:rsidRPr="00CC6553" w:rsidRDefault="00897293" w:rsidP="00B234F1">
            <w:pPr>
              <w:rPr>
                <w:rFonts w:cs="Arial"/>
                <w:bCs/>
                <w:iCs/>
                <w:color w:val="000000" w:themeColor="text1"/>
                <w:sz w:val="20"/>
              </w:rPr>
            </w:pPr>
            <w:r w:rsidRPr="00CC6553">
              <w:rPr>
                <w:rFonts w:cs="Arial"/>
                <w:color w:val="000000" w:themeColor="text1"/>
                <w:sz w:val="20"/>
              </w:rPr>
              <w:t>British Cardiovascular Society</w:t>
            </w:r>
          </w:p>
        </w:tc>
        <w:tc>
          <w:tcPr>
            <w:tcW w:w="279" w:type="pct"/>
          </w:tcPr>
          <w:p w14:paraId="3658228B" w14:textId="60223A1D"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6E31FBBF" w14:textId="1C1C48F3"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0E93B2A5" w14:textId="042740A9"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533918EA" w14:textId="70E85794" w:rsidR="00897293" w:rsidRPr="00CC6553" w:rsidRDefault="00897293" w:rsidP="00B234F1">
            <w:pPr>
              <w:rPr>
                <w:rFonts w:cs="Arial"/>
                <w:color w:val="000000" w:themeColor="text1"/>
                <w:sz w:val="20"/>
              </w:rPr>
            </w:pPr>
            <w:r w:rsidRPr="00CC6553">
              <w:rPr>
                <w:rFonts w:cs="Arial"/>
                <w:color w:val="000000" w:themeColor="text1"/>
                <w:sz w:val="20"/>
              </w:rPr>
              <w:t>General – the definitions for heart failure are documented at the end of the recommendations. We believe it would be better to move to these to the beginning of the document for ease of reading.</w:t>
            </w:r>
          </w:p>
        </w:tc>
        <w:tc>
          <w:tcPr>
            <w:tcW w:w="2122" w:type="pct"/>
          </w:tcPr>
          <w:p w14:paraId="507DB2F5" w14:textId="26EC040B" w:rsidR="00897293" w:rsidRPr="00CC6553" w:rsidRDefault="00897293" w:rsidP="00B234F1">
            <w:pPr>
              <w:pStyle w:val="Heading1"/>
              <w:rPr>
                <w:rFonts w:cs="Arial"/>
                <w:b w:val="0"/>
                <w:color w:val="000000" w:themeColor="text1"/>
                <w:sz w:val="20"/>
              </w:rPr>
            </w:pPr>
            <w:r w:rsidRPr="009B3C47">
              <w:rPr>
                <w:rFonts w:cs="Arial"/>
                <w:b w:val="0"/>
                <w:color w:val="000000" w:themeColor="text1"/>
                <w:sz w:val="20"/>
              </w:rPr>
              <w:t>Thank you for your comment.  The guideline is structured in accordance with a standard NICE template.</w:t>
            </w:r>
            <w:r w:rsidRPr="00CC6553">
              <w:rPr>
                <w:rFonts w:cs="Arial"/>
                <w:b w:val="0"/>
                <w:color w:val="000000" w:themeColor="text1"/>
                <w:sz w:val="20"/>
              </w:rPr>
              <w:t xml:space="preserve">   </w:t>
            </w:r>
          </w:p>
        </w:tc>
      </w:tr>
      <w:tr w:rsidR="00897293" w:rsidRPr="00CC6553" w14:paraId="0677C74B" w14:textId="77777777" w:rsidTr="00897293">
        <w:trPr>
          <w:trHeight w:val="300"/>
        </w:trPr>
        <w:tc>
          <w:tcPr>
            <w:tcW w:w="109" w:type="pct"/>
          </w:tcPr>
          <w:p w14:paraId="23BD8CBF" w14:textId="77777777" w:rsidR="00897293" w:rsidRPr="00CC6553" w:rsidRDefault="00897293" w:rsidP="00B234F1">
            <w:pPr>
              <w:rPr>
                <w:rFonts w:cs="Arial"/>
                <w:color w:val="000000" w:themeColor="text1"/>
                <w:sz w:val="20"/>
              </w:rPr>
            </w:pPr>
            <w:r w:rsidRPr="00CC6553">
              <w:rPr>
                <w:rFonts w:cs="Arial"/>
                <w:color w:val="000000" w:themeColor="text1"/>
                <w:sz w:val="20"/>
              </w:rPr>
              <w:t>335</w:t>
            </w:r>
          </w:p>
        </w:tc>
        <w:tc>
          <w:tcPr>
            <w:tcW w:w="143" w:type="pct"/>
          </w:tcPr>
          <w:p w14:paraId="39CD4D6F" w14:textId="1C74ADD9"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4207CB2" w14:textId="433E12A8" w:rsidR="00897293" w:rsidRPr="00CC6553" w:rsidRDefault="00897293" w:rsidP="00B234F1">
            <w:pPr>
              <w:rPr>
                <w:rFonts w:cs="Arial"/>
                <w:bCs/>
                <w:iCs/>
                <w:color w:val="000000" w:themeColor="text1"/>
                <w:sz w:val="20"/>
              </w:rPr>
            </w:pPr>
            <w:r w:rsidRPr="00CC6553">
              <w:rPr>
                <w:rFonts w:cs="Arial"/>
                <w:color w:val="000000" w:themeColor="text1"/>
                <w:sz w:val="20"/>
              </w:rPr>
              <w:t>British Cardiovascular Society</w:t>
            </w:r>
          </w:p>
        </w:tc>
        <w:tc>
          <w:tcPr>
            <w:tcW w:w="279" w:type="pct"/>
          </w:tcPr>
          <w:p w14:paraId="3D5C80E5" w14:textId="3F5E930B"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20C9AEEE" w14:textId="2A3BE8EF"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74489CDA" w14:textId="5763EDCB"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20B64079" w14:textId="2FA65DD6" w:rsidR="00897293" w:rsidRPr="00CC6553" w:rsidRDefault="00897293" w:rsidP="00B234F1">
            <w:pPr>
              <w:rPr>
                <w:rFonts w:cs="Arial"/>
                <w:color w:val="000000" w:themeColor="text1"/>
                <w:sz w:val="20"/>
                <w:u w:val="single"/>
              </w:rPr>
            </w:pPr>
            <w:r w:rsidRPr="00CC6553">
              <w:rPr>
                <w:rFonts w:cs="Arial"/>
                <w:color w:val="000000" w:themeColor="text1"/>
                <w:sz w:val="20"/>
                <w:u w:val="single"/>
              </w:rPr>
              <w:t>There is a lot of judgement in the description below that is not backed up by data. What is the relative ethnic diversity of UK versus the different sub populations? Does that mean in a white British person we should be taking a different approach on clinical evidence grounds? Is evidence just lacking in broader ethnicities? Why are the relative treatment differences not true? We think this discussion needs to be presented with more clarity to ensure we as clinicians can interpret the recommended outcome. </w:t>
            </w:r>
            <w:r w:rsidRPr="00CC6553">
              <w:rPr>
                <w:rFonts w:cs="Arial"/>
                <w:color w:val="000000" w:themeColor="text1"/>
                <w:sz w:val="20"/>
                <w:u w:val="single"/>
              </w:rPr>
              <w:br/>
              <w:t> </w:t>
            </w:r>
            <w:r w:rsidRPr="00CC6553">
              <w:rPr>
                <w:rFonts w:cs="Arial"/>
                <w:color w:val="000000" w:themeColor="text1"/>
                <w:sz w:val="20"/>
                <w:u w:val="single"/>
              </w:rPr>
              <w:br/>
              <w:t xml:space="preserve">35 The committee discussed the scenario based on the European subpopulation and concluded 36 that the results from the full trial population should be used. The committee agreed that the 37 full population results are more reliable and better reflect the ethnic diversity of the UK. The 38 committee also agreed that it was unlikely that the difference in relative treatment effects 39 observed across regions in the clinical trial represented true differences. However, as the 40 TA388 committee had chosen to use the efficacy data from the European subpopulation, </w:t>
            </w:r>
            <w:r w:rsidRPr="00CC6553">
              <w:rPr>
                <w:rFonts w:cs="Arial"/>
                <w:color w:val="000000" w:themeColor="text1"/>
                <w:sz w:val="20"/>
                <w:u w:val="single"/>
              </w:rPr>
              <w:lastRenderedPageBreak/>
              <w:t>this 41 introduced additional uncertainty in recommending early ARNI for the full population with 42 reduced ejection fraction. Although early ARNI was the most cost-effective strategy in the 43 scenario using additive benefits of ARNI and SGLT2 inhibitor, the committee judged this to 44 be an overestimate of the combined treatment effect of the two medications and preferred 45 the scenario in which only the greater of the two effects was applied.</w:t>
            </w:r>
          </w:p>
        </w:tc>
        <w:tc>
          <w:tcPr>
            <w:tcW w:w="2122" w:type="pct"/>
          </w:tcPr>
          <w:p w14:paraId="7DDA8ABC" w14:textId="30764B4A"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lastRenderedPageBreak/>
              <w:t xml:space="preserve">Thank you for your comment. The trials were not powered to detect differences in subpopulations or ethnicities so it is not possible to make recommendations for distinct subpopulations. Given the closer similarity in ethnicity distribution between the full population and the UK population, the committee preferred this for the base case scenario of the model. The decision was also justified by the large sample size of the full population analysis. Additionally, the committee acknowledges that the same </w:t>
            </w:r>
            <w:r w:rsidRPr="00CC6553">
              <w:rPr>
                <w:rFonts w:cs="Arial"/>
                <w:b w:val="0"/>
                <w:color w:val="000000" w:themeColor="text1"/>
                <w:sz w:val="20"/>
              </w:rPr>
              <w:lastRenderedPageBreak/>
              <w:t>decision was made in two out of three TAs, with the exception of the ARNI TA.</w:t>
            </w:r>
          </w:p>
          <w:p w14:paraId="2AD38A88" w14:textId="77777777" w:rsidR="00897293" w:rsidRPr="00CC6553" w:rsidRDefault="00897293" w:rsidP="00B234F1">
            <w:pPr>
              <w:pStyle w:val="Heading1"/>
              <w:rPr>
                <w:rFonts w:cs="Arial"/>
                <w:b w:val="0"/>
                <w:color w:val="000000" w:themeColor="text1"/>
                <w:sz w:val="20"/>
              </w:rPr>
            </w:pPr>
          </w:p>
          <w:p w14:paraId="0AD41D61" w14:textId="1DD2E94B"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Nevertheless, a scenario with the European subpopulation was explored in the scenario analysis</w:t>
            </w:r>
            <w:r w:rsidRPr="00CC6553" w:rsidDel="00E63086">
              <w:rPr>
                <w:rFonts w:cs="Arial"/>
                <w:b w:val="0"/>
                <w:color w:val="000000" w:themeColor="text1"/>
                <w:sz w:val="20"/>
              </w:rPr>
              <w:t xml:space="preserve"> </w:t>
            </w:r>
            <w:r w:rsidRPr="00CC6553">
              <w:rPr>
                <w:rFonts w:cs="Arial"/>
                <w:b w:val="0"/>
                <w:color w:val="000000" w:themeColor="text1"/>
                <w:sz w:val="20"/>
              </w:rPr>
              <w:t>which found SGLT2i and ARNI not cost-effective as first-line treatments. As stated in the discussion section, this added uncertainty on the cost-effectiveness of these medication, particularly ARNI since its cost-effectiveness ratio lies very close to NICE threshold of £20,000</w:t>
            </w:r>
            <w:r w:rsidRPr="00CC6553" w:rsidDel="00E63086">
              <w:rPr>
                <w:rFonts w:cs="Arial"/>
                <w:b w:val="0"/>
                <w:color w:val="000000" w:themeColor="text1"/>
                <w:sz w:val="20"/>
              </w:rPr>
              <w:t xml:space="preserve"> </w:t>
            </w:r>
            <w:r w:rsidRPr="00CC6553">
              <w:rPr>
                <w:rFonts w:cs="Arial"/>
                <w:b w:val="0"/>
                <w:color w:val="000000" w:themeColor="text1"/>
                <w:sz w:val="20"/>
              </w:rPr>
              <w:t>in the base case scenario analysis.</w:t>
            </w:r>
          </w:p>
        </w:tc>
      </w:tr>
      <w:tr w:rsidR="00897293" w:rsidRPr="00CC6553" w14:paraId="34898FEC" w14:textId="77777777" w:rsidTr="00897293">
        <w:trPr>
          <w:trHeight w:val="300"/>
        </w:trPr>
        <w:tc>
          <w:tcPr>
            <w:tcW w:w="109" w:type="pct"/>
          </w:tcPr>
          <w:p w14:paraId="3C252C70"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336</w:t>
            </w:r>
          </w:p>
        </w:tc>
        <w:tc>
          <w:tcPr>
            <w:tcW w:w="143" w:type="pct"/>
          </w:tcPr>
          <w:p w14:paraId="79269442" w14:textId="1C6AB376"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5812A46E" w14:textId="44736BBE" w:rsidR="00897293" w:rsidRPr="00CC6553" w:rsidRDefault="00897293" w:rsidP="00B234F1">
            <w:pPr>
              <w:rPr>
                <w:rFonts w:cs="Arial"/>
                <w:bCs/>
                <w:iCs/>
                <w:color w:val="000000" w:themeColor="text1"/>
                <w:sz w:val="20"/>
              </w:rPr>
            </w:pPr>
            <w:r w:rsidRPr="00CC6553">
              <w:rPr>
                <w:rFonts w:cs="Arial"/>
                <w:color w:val="000000" w:themeColor="text1"/>
                <w:sz w:val="20"/>
              </w:rPr>
              <w:t>Pharmacosmos UK Ltd</w:t>
            </w:r>
          </w:p>
        </w:tc>
        <w:tc>
          <w:tcPr>
            <w:tcW w:w="279" w:type="pct"/>
          </w:tcPr>
          <w:p w14:paraId="5E3B04EC" w14:textId="1AF92281" w:rsidR="00897293" w:rsidRPr="00CC6553" w:rsidRDefault="00897293" w:rsidP="00B234F1">
            <w:pPr>
              <w:rPr>
                <w:rFonts w:cs="Arial"/>
                <w:color w:val="000000" w:themeColor="text1"/>
                <w:sz w:val="20"/>
              </w:rPr>
            </w:pPr>
            <w:r w:rsidRPr="00CC6553">
              <w:rPr>
                <w:rFonts w:cs="Arial"/>
                <w:color w:val="000000" w:themeColor="text1"/>
                <w:sz w:val="20"/>
              </w:rPr>
              <w:t>Guideline</w:t>
            </w:r>
          </w:p>
        </w:tc>
        <w:tc>
          <w:tcPr>
            <w:tcW w:w="214" w:type="pct"/>
          </w:tcPr>
          <w:p w14:paraId="1938C055" w14:textId="62AD7778"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31373441" w14:textId="33CD10CF" w:rsidR="00897293" w:rsidRPr="00183929" w:rsidRDefault="00897293" w:rsidP="00B234F1">
            <w:pPr>
              <w:rPr>
                <w:rFonts w:cs="Arial"/>
                <w:color w:val="000000" w:themeColor="text1"/>
                <w:sz w:val="20"/>
              </w:rPr>
            </w:pPr>
            <w:r w:rsidRPr="00183929">
              <w:rPr>
                <w:rFonts w:cs="Arial"/>
                <w:color w:val="000000" w:themeColor="text1"/>
                <w:sz w:val="20"/>
              </w:rPr>
              <w:t>General</w:t>
            </w:r>
          </w:p>
        </w:tc>
        <w:tc>
          <w:tcPr>
            <w:tcW w:w="1521" w:type="pct"/>
          </w:tcPr>
          <w:p w14:paraId="2DDC5E02" w14:textId="0361300A" w:rsidR="00897293" w:rsidRPr="00183929" w:rsidRDefault="00897293" w:rsidP="74BDFD37">
            <w:pPr>
              <w:rPr>
                <w:rFonts w:cs="Arial"/>
                <w:color w:val="000000" w:themeColor="text1"/>
                <w:sz w:val="20"/>
                <w:u w:val="single"/>
              </w:rPr>
            </w:pPr>
            <w:r w:rsidRPr="00183929">
              <w:rPr>
                <w:rFonts w:cs="Arial"/>
                <w:color w:val="000000" w:themeColor="text1"/>
                <w:sz w:val="20"/>
                <w:u w:val="single"/>
              </w:rPr>
              <w:t>[This text was identified as confidential and has been removed].</w:t>
            </w:r>
          </w:p>
        </w:tc>
        <w:tc>
          <w:tcPr>
            <w:tcW w:w="2122" w:type="pct"/>
          </w:tcPr>
          <w:p w14:paraId="7A0F35A2" w14:textId="7921B2EA" w:rsidR="00897293" w:rsidRPr="00CC6553" w:rsidRDefault="00897293" w:rsidP="74BDFD37">
            <w:pPr>
              <w:pStyle w:val="Heading1"/>
              <w:rPr>
                <w:rFonts w:cs="Arial"/>
                <w:b w:val="0"/>
                <w:bCs w:val="0"/>
                <w:color w:val="000000" w:themeColor="text1"/>
                <w:sz w:val="20"/>
              </w:rPr>
            </w:pPr>
            <w:r>
              <w:rPr>
                <w:rFonts w:cs="Arial"/>
                <w:b w:val="0"/>
                <w:bCs w:val="0"/>
                <w:color w:val="000000" w:themeColor="text1"/>
                <w:sz w:val="20"/>
              </w:rPr>
              <w:t xml:space="preserve">Thank you for your comment.  We have added the generic names to the evidence </w:t>
            </w:r>
            <w:r w:rsidRPr="0024118C">
              <w:rPr>
                <w:rFonts w:cs="Arial"/>
                <w:b w:val="0"/>
                <w:bCs w:val="0"/>
                <w:color w:val="000000" w:themeColor="text1"/>
                <w:sz w:val="20"/>
              </w:rPr>
              <w:t xml:space="preserve">review and recommendations. </w:t>
            </w:r>
            <w:r w:rsidR="0024118C" w:rsidRPr="0024118C">
              <w:rPr>
                <w:rFonts w:cs="Arial"/>
                <w:b w:val="0"/>
                <w:bCs w:val="0"/>
                <w:color w:val="000000" w:themeColor="text1"/>
                <w:sz w:val="20"/>
                <w:u w:val="single"/>
              </w:rPr>
              <w:t>[This text was identified as confidential and has been removed].</w:t>
            </w:r>
          </w:p>
        </w:tc>
      </w:tr>
      <w:tr w:rsidR="00897293" w:rsidRPr="00CC6553" w14:paraId="379B41A2" w14:textId="77777777" w:rsidTr="00897293">
        <w:trPr>
          <w:trHeight w:val="300"/>
        </w:trPr>
        <w:tc>
          <w:tcPr>
            <w:tcW w:w="109" w:type="pct"/>
          </w:tcPr>
          <w:p w14:paraId="1C63252E" w14:textId="77777777" w:rsidR="00897293" w:rsidRPr="00CC6553" w:rsidRDefault="00897293" w:rsidP="00B234F1">
            <w:pPr>
              <w:rPr>
                <w:rFonts w:cs="Arial"/>
                <w:color w:val="000000" w:themeColor="text1"/>
                <w:sz w:val="20"/>
              </w:rPr>
            </w:pPr>
            <w:r w:rsidRPr="00CC6553">
              <w:rPr>
                <w:rFonts w:cs="Arial"/>
                <w:color w:val="000000" w:themeColor="text1"/>
                <w:sz w:val="20"/>
              </w:rPr>
              <w:t>337</w:t>
            </w:r>
          </w:p>
        </w:tc>
        <w:tc>
          <w:tcPr>
            <w:tcW w:w="143" w:type="pct"/>
          </w:tcPr>
          <w:p w14:paraId="22962463" w14:textId="7C29787A"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74FEB929" w14:textId="5DFFD6C8" w:rsidR="00897293" w:rsidRPr="00CC6553" w:rsidRDefault="00897293" w:rsidP="00B234F1">
            <w:pPr>
              <w:rPr>
                <w:rFonts w:cs="Arial"/>
                <w:bCs/>
                <w:iCs/>
                <w:color w:val="000000" w:themeColor="text1"/>
                <w:sz w:val="20"/>
              </w:rPr>
            </w:pPr>
            <w:r w:rsidRPr="00CC6553">
              <w:rPr>
                <w:rFonts w:cs="Arial"/>
                <w:color w:val="000000" w:themeColor="text1"/>
                <w:sz w:val="20"/>
              </w:rPr>
              <w:t>Roche Diagnostics Limited</w:t>
            </w:r>
          </w:p>
        </w:tc>
        <w:tc>
          <w:tcPr>
            <w:tcW w:w="279" w:type="pct"/>
          </w:tcPr>
          <w:p w14:paraId="6B1259DF" w14:textId="3ADF973D" w:rsidR="00897293" w:rsidRPr="00CC6553" w:rsidRDefault="00897293" w:rsidP="00B234F1">
            <w:pPr>
              <w:rPr>
                <w:rFonts w:cs="Arial"/>
                <w:color w:val="000000" w:themeColor="text1"/>
                <w:sz w:val="20"/>
              </w:rPr>
            </w:pPr>
            <w:r w:rsidRPr="00CC6553">
              <w:rPr>
                <w:rFonts w:cs="Arial"/>
                <w:color w:val="000000" w:themeColor="text1"/>
                <w:sz w:val="20"/>
              </w:rPr>
              <w:t>Evidence review A</w:t>
            </w:r>
          </w:p>
        </w:tc>
        <w:tc>
          <w:tcPr>
            <w:tcW w:w="214" w:type="pct"/>
          </w:tcPr>
          <w:p w14:paraId="3A0EA324" w14:textId="2EB9DE2C" w:rsidR="00897293" w:rsidRPr="00CC6553" w:rsidRDefault="00897293" w:rsidP="00B234F1">
            <w:pPr>
              <w:rPr>
                <w:rFonts w:cs="Arial"/>
                <w:color w:val="000000" w:themeColor="text1"/>
                <w:sz w:val="20"/>
              </w:rPr>
            </w:pPr>
            <w:r w:rsidRPr="00CC6553">
              <w:rPr>
                <w:rFonts w:cs="Arial"/>
                <w:color w:val="000000" w:themeColor="text1"/>
                <w:sz w:val="20"/>
              </w:rPr>
              <w:t>040</w:t>
            </w:r>
          </w:p>
        </w:tc>
        <w:tc>
          <w:tcPr>
            <w:tcW w:w="214" w:type="pct"/>
          </w:tcPr>
          <w:p w14:paraId="5E9581E7" w14:textId="2B8CFDC0" w:rsidR="00897293" w:rsidRPr="00CC6553" w:rsidRDefault="00897293" w:rsidP="00B234F1">
            <w:pPr>
              <w:rPr>
                <w:rFonts w:cs="Arial"/>
                <w:color w:val="000000" w:themeColor="text1"/>
                <w:sz w:val="20"/>
              </w:rPr>
            </w:pPr>
            <w:r w:rsidRPr="00CC6553">
              <w:rPr>
                <w:rFonts w:cs="Arial"/>
                <w:color w:val="000000" w:themeColor="text1"/>
                <w:sz w:val="20"/>
              </w:rPr>
              <w:t>038 - 039</w:t>
            </w:r>
          </w:p>
        </w:tc>
        <w:tc>
          <w:tcPr>
            <w:tcW w:w="1521" w:type="pct"/>
          </w:tcPr>
          <w:p w14:paraId="28A5755A" w14:textId="5AEF7854" w:rsidR="00897293" w:rsidRPr="00CC6553" w:rsidRDefault="00897293" w:rsidP="00B234F1">
            <w:pPr>
              <w:rPr>
                <w:rFonts w:cs="Arial"/>
                <w:color w:val="000000" w:themeColor="text1"/>
                <w:sz w:val="20"/>
              </w:rPr>
            </w:pPr>
            <w:r w:rsidRPr="00CC6553">
              <w:rPr>
                <w:rFonts w:cs="Arial"/>
                <w:color w:val="000000" w:themeColor="text1"/>
                <w:sz w:val="20"/>
              </w:rPr>
              <w:t xml:space="preserve">Roche urge the committee to reconsider the complete exclusion of the economic evaluation of the STRONG-HF rapid up-titration strategy on the grounds that it was conducted from a US healthcare perspective. The study demonstrated that an intensive GDMT optimisation program is not only clinically beneficial, reducing mortality and hospital readmissions, but also highly cost-effective, with ICERs well below commonly accepted thresholds (1). Replicating a trial of this scale in the UK to support a cost-effectiveness analysis would be highly challenging. While there are clear differences between healthcare systems, many of the key drivers of cost-effectiveness are applicable across high-income settings. We therefore believe this study offers valuable insights that can be meaningfully generalised to the UK </w:t>
            </w:r>
            <w:r w:rsidRPr="00CC6553">
              <w:rPr>
                <w:rFonts w:cs="Arial"/>
                <w:color w:val="000000" w:themeColor="text1"/>
                <w:sz w:val="20"/>
              </w:rPr>
              <w:lastRenderedPageBreak/>
              <w:t>NHS context.</w:t>
            </w:r>
            <w:r w:rsidRPr="00CC6553">
              <w:rPr>
                <w:rFonts w:cs="Arial"/>
                <w:color w:val="000000" w:themeColor="text1"/>
                <w:sz w:val="20"/>
              </w:rPr>
              <w:br/>
            </w:r>
            <w:r w:rsidRPr="00CC6553">
              <w:rPr>
                <w:rFonts w:cs="Arial"/>
                <w:color w:val="000000" w:themeColor="text1"/>
                <w:sz w:val="20"/>
              </w:rPr>
              <w:br/>
              <w:t>Additional evidence from other settings supports the generalisability of STRONG-HF findings. A recent analysis from China presented at  ISPOR 2024 also found that an intensive GDMT optimisation strategy was highly cost-effective, despite differences in healthcare systems (2). This reinforces the relevance of such findings across diverse settings and strengthens the case for considering their value within the NHS. </w:t>
            </w:r>
            <w:r w:rsidRPr="00CC6553">
              <w:rPr>
                <w:rFonts w:cs="Arial"/>
                <w:color w:val="000000" w:themeColor="text1"/>
                <w:sz w:val="20"/>
              </w:rPr>
              <w:br/>
            </w:r>
            <w:r w:rsidRPr="00CC6553">
              <w:rPr>
                <w:rFonts w:cs="Arial"/>
                <w:color w:val="000000" w:themeColor="text1"/>
                <w:sz w:val="20"/>
              </w:rPr>
              <w:br/>
              <w:t>Dixit et al. (2023) An economic modeling analysis of an intensive GDMT optimization program in hospitalized heart failure patients. Circulation: Heart Failure, 16(12), e011218. https://pubmed.ncbi.nlm.nih.gov/37929591/</w:t>
            </w:r>
            <w:r w:rsidRPr="00CC6553">
              <w:rPr>
                <w:rFonts w:cs="Arial"/>
                <w:color w:val="000000" w:themeColor="text1"/>
                <w:sz w:val="20"/>
              </w:rPr>
              <w:br/>
              <w:t>Damasceno et al. (2025) Socio</w:t>
            </w:r>
            <w:r w:rsidRPr="00CC6553">
              <w:rPr>
                <w:rFonts w:ascii="Cambria Math" w:hAnsi="Cambria Math" w:cs="Cambria Math"/>
                <w:color w:val="000000" w:themeColor="text1"/>
                <w:sz w:val="20"/>
              </w:rPr>
              <w:t>‐</w:t>
            </w:r>
            <w:r w:rsidRPr="00CC6553">
              <w:rPr>
                <w:rFonts w:cs="Arial"/>
                <w:color w:val="000000" w:themeColor="text1"/>
                <w:sz w:val="20"/>
              </w:rPr>
              <w:t>economic status and the effect of guideline</w:t>
            </w:r>
            <w:r w:rsidRPr="00CC6553">
              <w:rPr>
                <w:rFonts w:ascii="Cambria Math" w:hAnsi="Cambria Math" w:cs="Cambria Math"/>
                <w:color w:val="000000" w:themeColor="text1"/>
                <w:sz w:val="20"/>
              </w:rPr>
              <w:t>‐</w:t>
            </w:r>
            <w:r w:rsidRPr="00CC6553">
              <w:rPr>
                <w:rFonts w:cs="Arial"/>
                <w:color w:val="000000" w:themeColor="text1"/>
                <w:sz w:val="20"/>
              </w:rPr>
              <w:t>directed medical therapy in the STRONG</w:t>
            </w:r>
            <w:r w:rsidRPr="00CC6553">
              <w:rPr>
                <w:rFonts w:ascii="Cambria Math" w:hAnsi="Cambria Math" w:cs="Cambria Math"/>
                <w:color w:val="000000" w:themeColor="text1"/>
                <w:sz w:val="20"/>
              </w:rPr>
              <w:t>‐</w:t>
            </w:r>
            <w:r w:rsidRPr="00CC6553">
              <w:rPr>
                <w:rFonts w:cs="Arial"/>
                <w:color w:val="000000" w:themeColor="text1"/>
                <w:sz w:val="20"/>
              </w:rPr>
              <w:t>HF study. ESC Heart Failure, 12(3), pp.1594–1605. https://pubmed.ncbi.nlm.nih.gov/39938529/</w:t>
            </w:r>
          </w:p>
        </w:tc>
        <w:tc>
          <w:tcPr>
            <w:tcW w:w="2122" w:type="pct"/>
          </w:tcPr>
          <w:p w14:paraId="6E93CFE4" w14:textId="3F4CAF7F" w:rsidR="00897293" w:rsidRPr="00CC6553" w:rsidRDefault="00897293" w:rsidP="00B234F1">
            <w:pPr>
              <w:pStyle w:val="Heading1"/>
              <w:rPr>
                <w:rFonts w:cs="Arial"/>
                <w:b w:val="0"/>
                <w:bCs w:val="0"/>
                <w:color w:val="000000" w:themeColor="text1"/>
                <w:sz w:val="20"/>
              </w:rPr>
            </w:pPr>
            <w:r w:rsidRPr="00CC6553">
              <w:rPr>
                <w:rFonts w:cs="Arial"/>
                <w:b w:val="0"/>
                <w:bCs w:val="0"/>
                <w:color w:val="000000" w:themeColor="text1"/>
                <w:sz w:val="20"/>
              </w:rPr>
              <w:lastRenderedPageBreak/>
              <w:t xml:space="preserve">Thank you for your comment. The review protocol for this update specified that cost-effectiveness studies from the US and non-OECD countries would not be included. Due to the large differences in the structure and costs associated with these health care systems compared to the UK, the cost-effectiveness conclusions from studies based in </w:t>
            </w:r>
            <w:r w:rsidRPr="00CC6553">
              <w:rPr>
                <w:rFonts w:cs="Arial"/>
                <w:b w:val="0"/>
                <w:bCs w:val="0"/>
                <w:color w:val="000000" w:themeColor="text1"/>
                <w:sz w:val="20"/>
              </w:rPr>
              <w:lastRenderedPageBreak/>
              <w:t>the US and China were judged to be not applicable to the UK.</w:t>
            </w:r>
          </w:p>
        </w:tc>
      </w:tr>
      <w:tr w:rsidR="00897293" w:rsidRPr="00CC6553" w14:paraId="56C04667" w14:textId="77777777" w:rsidTr="00897293">
        <w:trPr>
          <w:trHeight w:val="300"/>
        </w:trPr>
        <w:tc>
          <w:tcPr>
            <w:tcW w:w="109" w:type="pct"/>
          </w:tcPr>
          <w:p w14:paraId="5A31BB97"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338</w:t>
            </w:r>
          </w:p>
        </w:tc>
        <w:tc>
          <w:tcPr>
            <w:tcW w:w="143" w:type="pct"/>
          </w:tcPr>
          <w:p w14:paraId="40F68498" w14:textId="2FE81698"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4C4994E8" w14:textId="78ABE257" w:rsidR="00897293" w:rsidRPr="00CC6553" w:rsidRDefault="00897293" w:rsidP="00B234F1">
            <w:pPr>
              <w:rPr>
                <w:rFonts w:cs="Arial"/>
                <w:bCs/>
                <w:iCs/>
                <w:color w:val="000000" w:themeColor="text1"/>
                <w:sz w:val="20"/>
              </w:rPr>
            </w:pPr>
            <w:r w:rsidRPr="00CC6553">
              <w:rPr>
                <w:rFonts w:cs="Arial"/>
                <w:color w:val="000000" w:themeColor="text1"/>
                <w:sz w:val="20"/>
              </w:rPr>
              <w:t>Alliance for Heart Failure</w:t>
            </w:r>
          </w:p>
        </w:tc>
        <w:tc>
          <w:tcPr>
            <w:tcW w:w="279" w:type="pct"/>
          </w:tcPr>
          <w:p w14:paraId="3DE27261" w14:textId="1C55E28D" w:rsidR="00897293" w:rsidRPr="00CC6553" w:rsidRDefault="00897293" w:rsidP="00B234F1">
            <w:pPr>
              <w:rPr>
                <w:rFonts w:cs="Arial"/>
                <w:color w:val="000000" w:themeColor="text1"/>
                <w:sz w:val="20"/>
              </w:rPr>
            </w:pPr>
            <w:r w:rsidRPr="00CC6553">
              <w:rPr>
                <w:rFonts w:cs="Arial"/>
                <w:color w:val="000000" w:themeColor="text1"/>
                <w:sz w:val="20"/>
              </w:rPr>
              <w:t>Evidence review A</w:t>
            </w:r>
          </w:p>
        </w:tc>
        <w:tc>
          <w:tcPr>
            <w:tcW w:w="214" w:type="pct"/>
          </w:tcPr>
          <w:p w14:paraId="334AD4DF" w14:textId="751716D8" w:rsidR="00897293" w:rsidRPr="00CC6553" w:rsidRDefault="00897293" w:rsidP="00B234F1">
            <w:pPr>
              <w:rPr>
                <w:rFonts w:cs="Arial"/>
                <w:color w:val="000000" w:themeColor="text1"/>
                <w:sz w:val="20"/>
              </w:rPr>
            </w:pPr>
            <w:r w:rsidRPr="00CC6553">
              <w:rPr>
                <w:rFonts w:cs="Arial"/>
                <w:color w:val="000000" w:themeColor="text1"/>
                <w:sz w:val="20"/>
              </w:rPr>
              <w:t>040</w:t>
            </w:r>
          </w:p>
        </w:tc>
        <w:tc>
          <w:tcPr>
            <w:tcW w:w="214" w:type="pct"/>
          </w:tcPr>
          <w:p w14:paraId="58D53C7D" w14:textId="446275F8" w:rsidR="00897293" w:rsidRPr="00CC6553" w:rsidRDefault="00897293" w:rsidP="00B234F1">
            <w:pPr>
              <w:rPr>
                <w:rFonts w:cs="Arial"/>
                <w:color w:val="000000" w:themeColor="text1"/>
                <w:sz w:val="20"/>
              </w:rPr>
            </w:pPr>
            <w:r w:rsidRPr="00CC6553">
              <w:rPr>
                <w:rFonts w:cs="Arial"/>
                <w:color w:val="000000" w:themeColor="text1"/>
                <w:sz w:val="20"/>
              </w:rPr>
              <w:t>038 - 039</w:t>
            </w:r>
          </w:p>
        </w:tc>
        <w:tc>
          <w:tcPr>
            <w:tcW w:w="1521" w:type="pct"/>
          </w:tcPr>
          <w:p w14:paraId="077E5A36" w14:textId="1054975E" w:rsidR="00897293" w:rsidRPr="00CC6553" w:rsidRDefault="00897293" w:rsidP="00B234F1">
            <w:pPr>
              <w:rPr>
                <w:rFonts w:cs="Arial"/>
                <w:color w:val="000000" w:themeColor="text1"/>
                <w:sz w:val="20"/>
              </w:rPr>
            </w:pPr>
            <w:r w:rsidRPr="00CC6553">
              <w:rPr>
                <w:rFonts w:cs="Arial"/>
                <w:color w:val="000000" w:themeColor="text1"/>
                <w:sz w:val="20"/>
              </w:rPr>
              <w:t xml:space="preserve">Members of the Alliance urge NICE to reconsider the exclusion of the STRONG-HF economic evaluation based solely on its US origin. The study demonstrated that rapid up-titration of GDMT reduces mortality and hospital readmissions, and is highly cost-effective, with ICERs well below accepted thresholds. Despite differences between health systems, many cost-effectiveness factors are shared across high-income countries, making the findings applicable to the NHS. </w:t>
            </w:r>
            <w:r w:rsidRPr="00CC6553">
              <w:rPr>
                <w:rFonts w:cs="Arial"/>
                <w:color w:val="000000" w:themeColor="text1"/>
                <w:sz w:val="20"/>
              </w:rPr>
              <w:br/>
            </w:r>
            <w:r w:rsidRPr="00CC6553">
              <w:rPr>
                <w:rFonts w:cs="Arial"/>
                <w:color w:val="000000" w:themeColor="text1"/>
                <w:sz w:val="20"/>
              </w:rPr>
              <w:br/>
              <w:t xml:space="preserve">STRONG-HF was conducted across 14 countries, using stratified randomisation and reflecting realworld baseline care—not minimal care. Its benefits are additive even in already well-treated patients, and align with ESC 2023 guidelines. Further international data, including from China, support its relevance across healthcare settings. </w:t>
            </w:r>
            <w:r w:rsidRPr="00CC6553">
              <w:rPr>
                <w:rFonts w:cs="Arial"/>
                <w:color w:val="000000" w:themeColor="text1"/>
                <w:sz w:val="20"/>
              </w:rPr>
              <w:br/>
            </w:r>
            <w:r w:rsidRPr="00CC6553">
              <w:rPr>
                <w:rFonts w:cs="Arial"/>
                <w:color w:val="000000" w:themeColor="text1"/>
                <w:sz w:val="20"/>
              </w:rPr>
              <w:br/>
              <w:t xml:space="preserve">There is also evidence of implementation gaps in GDMT in high-income countries. For example, a US study showed delayed therapy initiation and under-dosing—highlighting the need for structured titration strategies like STRONG-HF. </w:t>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lastRenderedPageBreak/>
              <w:t xml:space="preserve">In the UK, real-world evaluation is underway across three NHS sites (St George’s, Morriston, Aintree), following advice from NICE’s Scientific Advice programme. The study will conclude in 2026, with early recruitment already showing uptake. In addition, the STRONG-HF model is being independently adopted at sites like St Bartholomew’s in London, where early results show marked clinical improvements and zero readmissions. </w:t>
            </w:r>
            <w:r w:rsidRPr="00CC6553">
              <w:rPr>
                <w:rFonts w:cs="Arial"/>
                <w:color w:val="000000" w:themeColor="text1"/>
                <w:sz w:val="20"/>
              </w:rPr>
              <w:br/>
            </w:r>
            <w:r w:rsidRPr="00CC6553">
              <w:rPr>
                <w:rFonts w:cs="Arial"/>
                <w:color w:val="000000" w:themeColor="text1"/>
                <w:sz w:val="20"/>
              </w:rPr>
              <w:br/>
              <w:t>These findings demonstrate both the feasibility and impact of the STRONG-HF pathway in UK practice. We encourage NICE to engage with these UK sites and consider the broader evidence base when assessing implementation.</w:t>
            </w:r>
          </w:p>
        </w:tc>
        <w:tc>
          <w:tcPr>
            <w:tcW w:w="2122" w:type="pct"/>
          </w:tcPr>
          <w:p w14:paraId="591DA33C" w14:textId="7BF57F63" w:rsidR="00897293" w:rsidRPr="00CC6553" w:rsidRDefault="00897293" w:rsidP="00B234F1">
            <w:pPr>
              <w:pStyle w:val="Heading1"/>
              <w:rPr>
                <w:color w:val="000000" w:themeColor="text1"/>
              </w:rPr>
            </w:pPr>
            <w:r w:rsidRPr="00CC6553">
              <w:rPr>
                <w:rFonts w:cs="Arial"/>
                <w:b w:val="0"/>
                <w:bCs w:val="0"/>
                <w:color w:val="000000" w:themeColor="text1"/>
                <w:sz w:val="20"/>
              </w:rPr>
              <w:lastRenderedPageBreak/>
              <w:t>Thank you for your comment. The review protocol for this update specified that cost-effectiveness studies from the US and non-OECD countries would not be included. Due to the large differences in the structure and costs associated with these health care systems compared to the UK, the cost-effectiveness conclusions from studies based in the US and China were judged to be not applicable to the UK.</w:t>
            </w:r>
          </w:p>
          <w:p w14:paraId="6817F8DB" w14:textId="6BC17C0A" w:rsidR="00897293" w:rsidRPr="00CC6553" w:rsidRDefault="00897293" w:rsidP="00B234F1">
            <w:pPr>
              <w:rPr>
                <w:color w:val="000000" w:themeColor="text1"/>
              </w:rPr>
            </w:pPr>
          </w:p>
          <w:p w14:paraId="2065920C" w14:textId="25E10A5D" w:rsidR="00897293" w:rsidRPr="00CC6553" w:rsidRDefault="00897293" w:rsidP="00B234F1">
            <w:pPr>
              <w:rPr>
                <w:rFonts w:cs="Arial"/>
                <w:color w:val="000000" w:themeColor="text1"/>
                <w:sz w:val="20"/>
              </w:rPr>
            </w:pPr>
            <w:r w:rsidRPr="00CC6553">
              <w:rPr>
                <w:rFonts w:ascii="Aptos" w:eastAsia="Aptos" w:hAnsi="Aptos" w:cs="Aptos"/>
                <w:color w:val="000000" w:themeColor="text1"/>
                <w:sz w:val="24"/>
                <w:szCs w:val="24"/>
              </w:rPr>
              <w:t>T</w:t>
            </w:r>
            <w:r w:rsidRPr="00CC6553">
              <w:rPr>
                <w:rFonts w:cs="Arial"/>
                <w:color w:val="000000" w:themeColor="text1"/>
                <w:sz w:val="20"/>
              </w:rPr>
              <w:t xml:space="preserve">hank you for highlighting this real-world evaluation activity. The review protocol for this update specified that </w:t>
            </w:r>
            <w:r w:rsidRPr="00CC6553">
              <w:rPr>
                <w:rFonts w:cs="Arial"/>
                <w:color w:val="000000" w:themeColor="text1"/>
                <w:sz w:val="20"/>
              </w:rPr>
              <w:lastRenderedPageBreak/>
              <w:t>only randomised trial data would be included as this provides the most robust source of data for comparing interventions.</w:t>
            </w:r>
          </w:p>
          <w:p w14:paraId="15577215" w14:textId="598340A3" w:rsidR="00897293" w:rsidRPr="00CC6553" w:rsidRDefault="00897293" w:rsidP="00B234F1">
            <w:pPr>
              <w:rPr>
                <w:color w:val="000000" w:themeColor="text1"/>
              </w:rPr>
            </w:pPr>
          </w:p>
        </w:tc>
      </w:tr>
      <w:tr w:rsidR="00897293" w:rsidRPr="00CC6553" w14:paraId="1B9FE62F" w14:textId="77777777" w:rsidTr="00897293">
        <w:trPr>
          <w:trHeight w:val="300"/>
        </w:trPr>
        <w:tc>
          <w:tcPr>
            <w:tcW w:w="109" w:type="pct"/>
          </w:tcPr>
          <w:p w14:paraId="2959AECB"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339</w:t>
            </w:r>
          </w:p>
        </w:tc>
        <w:tc>
          <w:tcPr>
            <w:tcW w:w="143" w:type="pct"/>
          </w:tcPr>
          <w:p w14:paraId="70935F42" w14:textId="183FB6AF"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0BA6C0C" w14:textId="5F5020A1" w:rsidR="00897293" w:rsidRPr="00CC6553" w:rsidRDefault="00897293" w:rsidP="00B234F1">
            <w:pPr>
              <w:rPr>
                <w:rFonts w:cs="Arial"/>
                <w:bCs/>
                <w:iCs/>
                <w:color w:val="000000" w:themeColor="text1"/>
                <w:sz w:val="20"/>
              </w:rPr>
            </w:pPr>
            <w:r w:rsidRPr="00CC6553">
              <w:rPr>
                <w:rFonts w:cs="Arial"/>
                <w:color w:val="000000" w:themeColor="text1"/>
                <w:sz w:val="20"/>
              </w:rPr>
              <w:t>Roche Diagnostics Limited</w:t>
            </w:r>
          </w:p>
        </w:tc>
        <w:tc>
          <w:tcPr>
            <w:tcW w:w="279" w:type="pct"/>
          </w:tcPr>
          <w:p w14:paraId="6ACFF8F9" w14:textId="20009E27" w:rsidR="00897293" w:rsidRPr="00CC6553" w:rsidRDefault="00897293" w:rsidP="00B234F1">
            <w:pPr>
              <w:rPr>
                <w:rFonts w:cs="Arial"/>
                <w:color w:val="000000" w:themeColor="text1"/>
                <w:sz w:val="20"/>
              </w:rPr>
            </w:pPr>
            <w:r w:rsidRPr="00CC6553">
              <w:rPr>
                <w:rFonts w:cs="Arial"/>
                <w:color w:val="000000" w:themeColor="text1"/>
                <w:sz w:val="20"/>
              </w:rPr>
              <w:t>Evidence review A</w:t>
            </w:r>
          </w:p>
        </w:tc>
        <w:tc>
          <w:tcPr>
            <w:tcW w:w="214" w:type="pct"/>
          </w:tcPr>
          <w:p w14:paraId="478F68E2" w14:textId="52BFF397" w:rsidR="00897293" w:rsidRPr="00CC6553" w:rsidRDefault="00897293" w:rsidP="00B234F1">
            <w:pPr>
              <w:rPr>
                <w:rFonts w:cs="Arial"/>
                <w:color w:val="000000" w:themeColor="text1"/>
                <w:sz w:val="20"/>
              </w:rPr>
            </w:pPr>
            <w:r w:rsidRPr="00CC6553">
              <w:rPr>
                <w:rFonts w:cs="Arial"/>
                <w:color w:val="000000" w:themeColor="text1"/>
                <w:sz w:val="20"/>
              </w:rPr>
              <w:t>055</w:t>
            </w:r>
          </w:p>
        </w:tc>
        <w:tc>
          <w:tcPr>
            <w:tcW w:w="214" w:type="pct"/>
          </w:tcPr>
          <w:p w14:paraId="63B78CD4" w14:textId="28F0D541" w:rsidR="00897293" w:rsidRPr="00CC6553" w:rsidRDefault="00897293" w:rsidP="00B234F1">
            <w:pPr>
              <w:rPr>
                <w:rFonts w:cs="Arial"/>
                <w:color w:val="000000" w:themeColor="text1"/>
                <w:sz w:val="20"/>
              </w:rPr>
            </w:pPr>
            <w:r w:rsidRPr="00CC6553">
              <w:rPr>
                <w:rFonts w:cs="Arial"/>
                <w:color w:val="000000" w:themeColor="text1"/>
                <w:sz w:val="20"/>
              </w:rPr>
              <w:t>023 - 026</w:t>
            </w:r>
          </w:p>
        </w:tc>
        <w:tc>
          <w:tcPr>
            <w:tcW w:w="1521" w:type="pct"/>
          </w:tcPr>
          <w:p w14:paraId="13A27BFB" w14:textId="3A31D995" w:rsidR="00897293" w:rsidRPr="00CC6553" w:rsidRDefault="00897293" w:rsidP="00B234F1">
            <w:pPr>
              <w:rPr>
                <w:rFonts w:cs="Arial"/>
                <w:color w:val="000000" w:themeColor="text1"/>
                <w:sz w:val="20"/>
              </w:rPr>
            </w:pPr>
            <w:r w:rsidRPr="00CC6553">
              <w:rPr>
                <w:rFonts w:cs="Arial"/>
                <w:color w:val="000000" w:themeColor="text1"/>
                <w:sz w:val="20"/>
              </w:rPr>
              <w:t>Roche wish to emphasise that despite the GRADE-based limitations, STRONG-HF remains a robust, peer-reviewed, multicentre randomised controlled trial, with consistent benefits observed in both primary and secondary endpoints (1). The intervention’s biological plausibility, design rigour, and replication across multiple healthcare settings add to its credibility.</w:t>
            </w:r>
            <w:r w:rsidRPr="00CC6553">
              <w:rPr>
                <w:rFonts w:cs="Arial"/>
                <w:color w:val="000000" w:themeColor="text1"/>
                <w:sz w:val="20"/>
              </w:rPr>
              <w:br/>
            </w:r>
            <w:r w:rsidRPr="00CC6553">
              <w:rPr>
                <w:rFonts w:cs="Arial"/>
                <w:color w:val="000000" w:themeColor="text1"/>
                <w:sz w:val="20"/>
              </w:rPr>
              <w:br/>
              <w:t>Furthermore, the 2023 ESC Guidelines for the management of acute heart failure have incorporated the STRONG-HF approach into a Class I, Level B recommendation, advocating for “an intensive strategy of initiation and rapid up-titration of evidence-based treatment before discharge and during frequent and careful follow-up visits in the first 6 weeks” to reduce the risk of HF rehospitalisation or death (2). This endorsement by a leading scientific body highlights both the strength and international recognition of the STRONG-HF strategy.</w:t>
            </w:r>
            <w:r w:rsidRPr="00CC6553">
              <w:rPr>
                <w:rFonts w:cs="Arial"/>
                <w:color w:val="000000" w:themeColor="text1"/>
                <w:sz w:val="20"/>
              </w:rPr>
              <w:br/>
            </w:r>
            <w:r w:rsidRPr="00CC6553">
              <w:rPr>
                <w:rFonts w:cs="Arial"/>
                <w:color w:val="000000" w:themeColor="text1"/>
                <w:sz w:val="20"/>
              </w:rPr>
              <w:br/>
              <w:t>We recommend that NICE explicitly acknowledge this evolving context and apply clinical pragmatism when interpreting the evidence, particularly given the feasibility of implementing such a strategy within NHS-aligned care models.</w:t>
            </w:r>
            <w:r w:rsidRPr="00CC6553">
              <w:rPr>
                <w:rFonts w:cs="Arial"/>
                <w:color w:val="000000" w:themeColor="text1"/>
                <w:sz w:val="20"/>
              </w:rPr>
              <w:br/>
              <w:t>Mebazaa et al. (2022) Safety, tolerability, and efficacy of up-titration of guideline-directed medical therapies for acute heart failure (STRONG-HF): a multinational, open-label, randomised trial. The Lancet, 400(10361), pp. 1–12. https://doi.org/10.1016/S0140-6736(22)02076-1.</w:t>
            </w:r>
            <w:r w:rsidRPr="00CC6553">
              <w:rPr>
                <w:rFonts w:cs="Arial"/>
                <w:color w:val="000000" w:themeColor="text1"/>
                <w:sz w:val="20"/>
              </w:rPr>
              <w:br/>
            </w:r>
            <w:r w:rsidRPr="00CC6553">
              <w:rPr>
                <w:rFonts w:cs="Arial"/>
                <w:color w:val="000000" w:themeColor="text1"/>
                <w:sz w:val="20"/>
              </w:rPr>
              <w:lastRenderedPageBreak/>
              <w:t>European Society of Cardiology. (2023) 2023 Focused Update of the 2021 ESC Guidelines for the diagnosis and treatment of acute and chronic heart failure. ESC Clinical Practice Guidelines. https://www.escardio.org/Guidelines/Clinical-Practice-Guidelines/Focused-Update-on-Heart-Failure-Guidelines</w:t>
            </w:r>
          </w:p>
        </w:tc>
        <w:tc>
          <w:tcPr>
            <w:tcW w:w="2122" w:type="pct"/>
          </w:tcPr>
          <w:p w14:paraId="1AF40A1A" w14:textId="77777777" w:rsidR="00897293" w:rsidRPr="00CC6553" w:rsidRDefault="00897293" w:rsidP="00B234F1">
            <w:pPr>
              <w:rPr>
                <w:rFonts w:eastAsia="Arial" w:cs="Arial"/>
                <w:color w:val="000000" w:themeColor="text1"/>
                <w:sz w:val="20"/>
              </w:rPr>
            </w:pPr>
            <w:r w:rsidRPr="00CC6553">
              <w:rPr>
                <w:rFonts w:eastAsia="Arial" w:cs="Arial"/>
                <w:color w:val="000000" w:themeColor="text1"/>
                <w:sz w:val="20"/>
              </w:rPr>
              <w:lastRenderedPageBreak/>
              <w:t>Thank-you for your comments on STRONG-HF. To acknowledge the value of a rapid optimisation model (based on STRONG-HF) in some circumstances, a sentence has been added to section 1.1.12.3 of evidence repo</w:t>
            </w:r>
            <w:r w:rsidRPr="00CC6553">
              <w:rPr>
                <w:rFonts w:cs="Arial"/>
                <w:color w:val="000000" w:themeColor="text1"/>
                <w:sz w:val="20"/>
              </w:rPr>
              <w:t>rt A: However, the committee’s final recommendations (recommendations 1.4.1 to 1.4.4 and 1.5.1 to 1.5.3) do not preclude a rapid optimisation approach in appropriate circumstances, if the resources to support this approach are available.</w:t>
            </w:r>
          </w:p>
          <w:p w14:paraId="744679C5" w14:textId="77777777" w:rsidR="00897293" w:rsidRPr="00CC6553" w:rsidRDefault="00897293" w:rsidP="00B234F1">
            <w:pPr>
              <w:rPr>
                <w:rFonts w:eastAsia="Arial" w:cs="Arial"/>
                <w:color w:val="000000" w:themeColor="text1"/>
                <w:sz w:val="20"/>
              </w:rPr>
            </w:pPr>
          </w:p>
          <w:p w14:paraId="74E0D949" w14:textId="19BEB9FE" w:rsidR="00897293" w:rsidRPr="00CC6553" w:rsidRDefault="00897293" w:rsidP="00B234F1">
            <w:pPr>
              <w:rPr>
                <w:rFonts w:cs="Arial"/>
                <w:color w:val="000000" w:themeColor="text1"/>
                <w:sz w:val="20"/>
              </w:rPr>
            </w:pPr>
            <w:r w:rsidRPr="00CC6553">
              <w:rPr>
                <w:rFonts w:cs="Arial"/>
                <w:color w:val="000000" w:themeColor="text1"/>
                <w:sz w:val="20"/>
              </w:rPr>
              <w:t>Thank-you for highlighting the ESC 2023 guidelines; however, these are focussed on acute heart failure, whereas the NICE guideline is focussed on chronic heart failure.</w:t>
            </w:r>
          </w:p>
          <w:p w14:paraId="5B7B134A" w14:textId="77FA2DAD" w:rsidR="00897293" w:rsidRPr="00CC6553" w:rsidRDefault="00897293" w:rsidP="00B234F1">
            <w:pPr>
              <w:pStyle w:val="Heading1"/>
              <w:rPr>
                <w:rFonts w:cs="Arial"/>
                <w:b w:val="0"/>
                <w:bCs w:val="0"/>
                <w:color w:val="000000" w:themeColor="text1"/>
                <w:sz w:val="20"/>
              </w:rPr>
            </w:pPr>
          </w:p>
        </w:tc>
      </w:tr>
      <w:tr w:rsidR="00897293" w:rsidRPr="00CC6553" w14:paraId="5E61E5E9" w14:textId="77777777" w:rsidTr="00897293">
        <w:trPr>
          <w:trHeight w:val="300"/>
        </w:trPr>
        <w:tc>
          <w:tcPr>
            <w:tcW w:w="109" w:type="pct"/>
          </w:tcPr>
          <w:p w14:paraId="604E6CEB" w14:textId="77777777" w:rsidR="00897293" w:rsidRPr="00CC6553" w:rsidRDefault="00897293" w:rsidP="00B234F1">
            <w:pPr>
              <w:rPr>
                <w:rFonts w:cs="Arial"/>
                <w:color w:val="000000" w:themeColor="text1"/>
                <w:sz w:val="20"/>
              </w:rPr>
            </w:pPr>
            <w:r w:rsidRPr="00CC6553">
              <w:rPr>
                <w:rFonts w:cs="Arial"/>
                <w:color w:val="000000" w:themeColor="text1"/>
                <w:sz w:val="20"/>
              </w:rPr>
              <w:t>340</w:t>
            </w:r>
          </w:p>
        </w:tc>
        <w:tc>
          <w:tcPr>
            <w:tcW w:w="143" w:type="pct"/>
          </w:tcPr>
          <w:p w14:paraId="3BB55707" w14:textId="25750119"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36D87159" w14:textId="14B7D900" w:rsidR="00897293" w:rsidRPr="00CC6553" w:rsidRDefault="00897293" w:rsidP="00B234F1">
            <w:pPr>
              <w:rPr>
                <w:rFonts w:cs="Arial"/>
                <w:bCs/>
                <w:iCs/>
                <w:color w:val="000000" w:themeColor="text1"/>
                <w:sz w:val="20"/>
              </w:rPr>
            </w:pPr>
            <w:r w:rsidRPr="00CC6553">
              <w:rPr>
                <w:rFonts w:cs="Arial"/>
                <w:color w:val="000000" w:themeColor="text1"/>
                <w:sz w:val="20"/>
              </w:rPr>
              <w:t>Roche Diagnostics Limited</w:t>
            </w:r>
          </w:p>
        </w:tc>
        <w:tc>
          <w:tcPr>
            <w:tcW w:w="279" w:type="pct"/>
          </w:tcPr>
          <w:p w14:paraId="288139F3" w14:textId="6C0CA253" w:rsidR="00897293" w:rsidRPr="00CC6553" w:rsidRDefault="00897293" w:rsidP="00B234F1">
            <w:pPr>
              <w:rPr>
                <w:rFonts w:cs="Arial"/>
                <w:color w:val="000000" w:themeColor="text1"/>
                <w:sz w:val="20"/>
              </w:rPr>
            </w:pPr>
            <w:r w:rsidRPr="00CC6553">
              <w:rPr>
                <w:rFonts w:cs="Arial"/>
                <w:color w:val="000000" w:themeColor="text1"/>
                <w:sz w:val="20"/>
              </w:rPr>
              <w:t>Evidence review A</w:t>
            </w:r>
          </w:p>
        </w:tc>
        <w:tc>
          <w:tcPr>
            <w:tcW w:w="214" w:type="pct"/>
          </w:tcPr>
          <w:p w14:paraId="0098F839" w14:textId="3BBC3560" w:rsidR="00897293" w:rsidRPr="00CC6553" w:rsidRDefault="00897293" w:rsidP="00B234F1">
            <w:pPr>
              <w:rPr>
                <w:rFonts w:cs="Arial"/>
                <w:color w:val="000000" w:themeColor="text1"/>
                <w:sz w:val="20"/>
              </w:rPr>
            </w:pPr>
            <w:r w:rsidRPr="00CC6553">
              <w:rPr>
                <w:rFonts w:cs="Arial"/>
                <w:color w:val="000000" w:themeColor="text1"/>
                <w:sz w:val="20"/>
              </w:rPr>
              <w:t>055</w:t>
            </w:r>
          </w:p>
        </w:tc>
        <w:tc>
          <w:tcPr>
            <w:tcW w:w="214" w:type="pct"/>
          </w:tcPr>
          <w:p w14:paraId="07774720" w14:textId="3E587B04" w:rsidR="00897293" w:rsidRPr="00CC6553" w:rsidRDefault="00897293" w:rsidP="00B234F1">
            <w:pPr>
              <w:rPr>
                <w:rFonts w:cs="Arial"/>
                <w:color w:val="000000" w:themeColor="text1"/>
                <w:sz w:val="20"/>
              </w:rPr>
            </w:pPr>
            <w:r w:rsidRPr="00CC6553">
              <w:rPr>
                <w:rFonts w:cs="Arial"/>
                <w:color w:val="000000" w:themeColor="text1"/>
                <w:sz w:val="20"/>
              </w:rPr>
              <w:t>027 - 031</w:t>
            </w:r>
          </w:p>
        </w:tc>
        <w:tc>
          <w:tcPr>
            <w:tcW w:w="1521" w:type="pct"/>
          </w:tcPr>
          <w:p w14:paraId="05F054BF" w14:textId="63742BCE" w:rsidR="00897293" w:rsidRPr="00CC6553" w:rsidRDefault="00897293" w:rsidP="00B234F1">
            <w:pPr>
              <w:rPr>
                <w:rFonts w:cs="Arial"/>
                <w:color w:val="000000" w:themeColor="text1"/>
                <w:sz w:val="20"/>
              </w:rPr>
            </w:pPr>
            <w:r w:rsidRPr="00CC6553">
              <w:rPr>
                <w:rFonts w:cs="Arial"/>
                <w:color w:val="000000" w:themeColor="text1"/>
                <w:sz w:val="20"/>
              </w:rPr>
              <w:t>Roche wish to highlight that the STRONG-HF trial's intervention was implemented across 14 countries with varying standard of care models, suggesting its effectiveness is not dependent on a single model and may be relevant to UK practice. Moreover, the STRONG-HF trial used stratified randomisation, mitigating regional care disparities. Baseline care in the STRONG-HF trial reflected real-world practice, not minimal care, and patients were already on at least one heart failure medication (1). Importantly, the benefit of rapid titration is additive, even in well-treated populations, and has been shown in other geographies and echoed in ESC 2023 guidelines (2). </w:t>
            </w:r>
            <w:r w:rsidRPr="00CC6553">
              <w:rPr>
                <w:rFonts w:cs="Arial"/>
                <w:color w:val="000000" w:themeColor="text1"/>
                <w:sz w:val="20"/>
              </w:rPr>
              <w:br/>
            </w:r>
            <w:r w:rsidRPr="00CC6553">
              <w:rPr>
                <w:rFonts w:cs="Arial"/>
                <w:color w:val="000000" w:themeColor="text1"/>
                <w:sz w:val="20"/>
              </w:rPr>
              <w:br/>
              <w:t>Furthermore, data from high-income settings demonstrate persistent gaps in GDMT optimisation. For example, a multinational study across the US, Sweden and Japan demonstrated that initiation of newer heart failure therapies was often delayed and few patients achieved target doses. This reinforces the need for structured titration pathways like STRONG-HF, even in well-resourced healthcare systems (3).</w:t>
            </w:r>
            <w:r w:rsidRPr="00CC6553">
              <w:rPr>
                <w:rFonts w:cs="Arial"/>
                <w:color w:val="000000" w:themeColor="text1"/>
                <w:sz w:val="20"/>
              </w:rPr>
              <w:br/>
            </w:r>
            <w:r w:rsidRPr="00CC6553">
              <w:rPr>
                <w:rFonts w:cs="Arial"/>
                <w:color w:val="000000" w:themeColor="text1"/>
                <w:sz w:val="20"/>
              </w:rPr>
              <w:br/>
              <w:t>In addition, Roche would like to highlight ongoing UK real-world evidence (RWE) activities evaluating the implementation of the STRONG-HF pathway guided by NT-proBNP testing. This work is currently being conducted across three NHS sites, St George’s Hospital (London), Morriston Hospital (Swansea), and Aintree Hospital (Liverpool), with a number of patients already on the pathway and recruitment ongoing (4-5). The project is expected to be completed in late 2026. Designed in line with advice received from NICE through its Scientific Advice programme, this project will provide important insights into the impact of the STRONG-HF approach within UK NHS settings. Roche encourages NICE to assess implementation feasibility through stakeholder engagement with UK RWE sites.</w:t>
            </w:r>
            <w:r w:rsidRPr="00CC6553">
              <w:rPr>
                <w:rFonts w:cs="Arial"/>
                <w:color w:val="000000" w:themeColor="text1"/>
                <w:sz w:val="20"/>
              </w:rPr>
              <w:br/>
            </w:r>
            <w:r w:rsidRPr="00CC6553">
              <w:rPr>
                <w:rFonts w:cs="Arial"/>
                <w:color w:val="000000" w:themeColor="text1"/>
                <w:sz w:val="20"/>
              </w:rPr>
              <w:lastRenderedPageBreak/>
              <w:br/>
              <w:t>Furthermore, the STRONG-HF pathway is also being independently adopted in other parts of the NHS, including at St Bartholomew’s Hospital in London, which has established the London Heart Failure Rapid Titration Service (6). To date, at least 96 patients have been included in the service. On average, patients have shown significant reductions in key markers of heart failure from admission to discharge, and notably, no patients have been readmitted due to heart failure so far. This further demonstrates the growing real-world adoption and potential impact of rapid GDMT optimisation in UK clinical practice. </w:t>
            </w:r>
            <w:r w:rsidRPr="00CC6553">
              <w:rPr>
                <w:rFonts w:cs="Arial"/>
                <w:color w:val="000000" w:themeColor="text1"/>
                <w:sz w:val="20"/>
              </w:rPr>
              <w:br/>
            </w:r>
            <w:r w:rsidRPr="00CC6553">
              <w:rPr>
                <w:rFonts w:cs="Arial"/>
                <w:color w:val="000000" w:themeColor="text1"/>
                <w:sz w:val="20"/>
              </w:rPr>
              <w:br/>
              <w:t>Mebazaa et al. (2022) Safety, tolerability, and efficacy of up-titration of guideline-directed medical therapies for acute heart failure (STRONG-HF): a multinational, open-label, randomised trial. The Lancet, 400(10361), pp. 1–12. https://doi.org/10.1016/S0140-6736(22)02076-1.</w:t>
            </w:r>
            <w:r w:rsidRPr="00CC6553">
              <w:rPr>
                <w:rFonts w:cs="Arial"/>
                <w:color w:val="000000" w:themeColor="text1"/>
                <w:sz w:val="20"/>
              </w:rPr>
              <w:br/>
              <w:t>European Society of Cardiology. (2023) 2023 Focused Update of the 2021 ESC Guidelines for the diagnosis and treatment of acute and chronic heart failure. ESC Clinical Practice Guidelines. https://www.escardio.org/Guidelines/Clinical-Practice-Guidelines/Focused-Update-on-Heart-Failure-Guidelines</w:t>
            </w:r>
            <w:r w:rsidRPr="00CC6553">
              <w:rPr>
                <w:rFonts w:cs="Arial"/>
                <w:color w:val="000000" w:themeColor="text1"/>
                <w:sz w:val="20"/>
              </w:rPr>
              <w:br/>
              <w:t>Savarese et al. (2023) Heart failure drug treatment—inertia, titration, and discontinuation: A multinational observational study, JACC: Heart Failure, 11(1), pp. 15–18. https://doi.org/10.1016/j.jchf.2022.08.009.</w:t>
            </w:r>
            <w:r w:rsidRPr="00CC6553">
              <w:rPr>
                <w:rFonts w:cs="Arial"/>
                <w:color w:val="000000" w:themeColor="text1"/>
                <w:sz w:val="20"/>
              </w:rPr>
              <w:br/>
              <w:t>The Guardian (2025) British hospitals introduce treatment for heart failure that cuts deaths by 62%. https://www.theguardian.com/society/2025/apr/16/hospitals-britain-heart-failure-treatment</w:t>
            </w:r>
            <w:r w:rsidRPr="00CC6553">
              <w:rPr>
                <w:rFonts w:cs="Arial"/>
                <w:color w:val="000000" w:themeColor="text1"/>
                <w:sz w:val="20"/>
              </w:rPr>
              <w:br/>
              <w:t>St George’s University Hospitals NHS Foundation Trust (2025). St George’s first in the UK to give “chemotherapystyle” dosage for heart failure. https://www.stgeorges.nhs.uk/newsitem/st-georges-first-in-the-uk-to-give-chemotherapy-style-dosage-for-heart-failure/</w:t>
            </w:r>
            <w:r w:rsidRPr="00CC6553">
              <w:rPr>
                <w:rFonts w:cs="Arial"/>
                <w:color w:val="000000" w:themeColor="text1"/>
                <w:sz w:val="20"/>
              </w:rPr>
              <w:br/>
              <w:t>Barts Health NHS Trust (2025) Lifesaving new service for patients with heart failure. https://www.bartshealth.nhs.uk/news/lifesaving-new-service-for-patients-with-heart-failure-17349</w:t>
            </w:r>
          </w:p>
        </w:tc>
        <w:tc>
          <w:tcPr>
            <w:tcW w:w="2122" w:type="pct"/>
          </w:tcPr>
          <w:p w14:paraId="0026C523" w14:textId="7BAB432F" w:rsidR="00897293" w:rsidRPr="00CC6553" w:rsidRDefault="00897293" w:rsidP="00B234F1">
            <w:pPr>
              <w:rPr>
                <w:rFonts w:cs="Arial"/>
                <w:color w:val="000000" w:themeColor="text1"/>
                <w:sz w:val="20"/>
              </w:rPr>
            </w:pPr>
          </w:p>
          <w:p w14:paraId="1B1D5229" w14:textId="54058B33" w:rsidR="00897293" w:rsidRPr="00CC6553" w:rsidRDefault="00897293" w:rsidP="00B234F1">
            <w:pPr>
              <w:rPr>
                <w:rFonts w:cs="Arial"/>
                <w:color w:val="000000" w:themeColor="text1"/>
                <w:sz w:val="20"/>
              </w:rPr>
            </w:pPr>
            <w:r w:rsidRPr="00CC6553">
              <w:rPr>
                <w:rFonts w:cs="Arial"/>
                <w:color w:val="000000" w:themeColor="text1"/>
                <w:sz w:val="20"/>
              </w:rPr>
              <w:t>The committee acknowledged that STRONG-HF is a multi-centre study but noted that over 80% of the study participants were from Russia or Africa and therefore considered the generalisability of findings to be partial. In line with the review protocol, analyses from the subgroup with reduced LVEF were included in the considerations.</w:t>
            </w:r>
          </w:p>
          <w:p w14:paraId="6E6C5A16" w14:textId="523D74F0" w:rsidR="00897293" w:rsidRPr="00CC6553" w:rsidRDefault="00897293" w:rsidP="00B234F1">
            <w:pPr>
              <w:rPr>
                <w:rFonts w:cs="Arial"/>
                <w:color w:val="000000" w:themeColor="text1"/>
                <w:sz w:val="20"/>
              </w:rPr>
            </w:pPr>
          </w:p>
          <w:p w14:paraId="71DE5B20" w14:textId="1A5B685B" w:rsidR="00897293" w:rsidRPr="00CC6553" w:rsidRDefault="00897293" w:rsidP="00B234F1">
            <w:pPr>
              <w:rPr>
                <w:rFonts w:cs="Arial"/>
                <w:color w:val="000000" w:themeColor="text1"/>
                <w:sz w:val="20"/>
              </w:rPr>
            </w:pPr>
            <w:r w:rsidRPr="00CC6553">
              <w:rPr>
                <w:rFonts w:cs="Arial"/>
                <w:color w:val="000000" w:themeColor="text1"/>
                <w:sz w:val="20"/>
              </w:rPr>
              <w:t>Thank-you for highlighting the importance of initiating newer heart failure therapies; this is reflected in the new draft recommendations for patients with CHF and reduced ejection fraction.</w:t>
            </w:r>
          </w:p>
          <w:p w14:paraId="6421E287" w14:textId="77777777" w:rsidR="00897293" w:rsidRPr="00CC6553" w:rsidRDefault="00897293" w:rsidP="00B234F1">
            <w:pPr>
              <w:rPr>
                <w:rFonts w:cs="Arial"/>
                <w:color w:val="000000" w:themeColor="text1"/>
                <w:sz w:val="20"/>
              </w:rPr>
            </w:pPr>
          </w:p>
          <w:p w14:paraId="22120995" w14:textId="2906627D" w:rsidR="00897293" w:rsidRPr="00CC6553" w:rsidRDefault="00897293" w:rsidP="00B234F1">
            <w:pPr>
              <w:rPr>
                <w:rFonts w:cs="Arial"/>
                <w:color w:val="000000" w:themeColor="text1"/>
                <w:sz w:val="20"/>
              </w:rPr>
            </w:pPr>
            <w:r w:rsidRPr="00CC6553">
              <w:rPr>
                <w:rFonts w:eastAsia="Arial" w:cs="Arial"/>
                <w:color w:val="000000" w:themeColor="text1"/>
                <w:sz w:val="20"/>
              </w:rPr>
              <w:t>To acknowledge the value of a rapid optimisation model (based on STRONG-HF) in some circumstances, a sentence has been added to section 1.1.12.3 of evidence repo</w:t>
            </w:r>
            <w:r w:rsidRPr="00CC6553">
              <w:rPr>
                <w:rFonts w:cs="Arial"/>
                <w:color w:val="000000" w:themeColor="text1"/>
                <w:sz w:val="20"/>
              </w:rPr>
              <w:t xml:space="preserve">rt A: However, the committee’s final recommendations (recommendations 1.4.1 to 1.4.4 and 1.5.1 to 1.5.3) do not preclude a </w:t>
            </w:r>
            <w:r w:rsidRPr="00CC6553">
              <w:rPr>
                <w:rFonts w:cs="Arial"/>
                <w:color w:val="000000" w:themeColor="text1"/>
                <w:sz w:val="20"/>
              </w:rPr>
              <w:lastRenderedPageBreak/>
              <w:t>rapid optimisation approach in appropriate circumstances, if the resources to support this approach are available</w:t>
            </w:r>
          </w:p>
          <w:p w14:paraId="5484F71C" w14:textId="17CAE869" w:rsidR="00897293" w:rsidRPr="00CC6553" w:rsidRDefault="00897293" w:rsidP="00B234F1">
            <w:pPr>
              <w:rPr>
                <w:rFonts w:cs="Arial"/>
                <w:color w:val="000000" w:themeColor="text1"/>
                <w:sz w:val="20"/>
              </w:rPr>
            </w:pPr>
          </w:p>
          <w:p w14:paraId="06A9DC48" w14:textId="39FD4F1B" w:rsidR="00897293" w:rsidRPr="00CC6553" w:rsidRDefault="00897293" w:rsidP="476BDDBF">
            <w:pPr>
              <w:rPr>
                <w:rFonts w:cs="Arial"/>
                <w:color w:val="000000" w:themeColor="text1"/>
                <w:sz w:val="20"/>
              </w:rPr>
            </w:pPr>
            <w:r w:rsidRPr="00CC6553">
              <w:rPr>
                <w:rFonts w:cs="Arial"/>
                <w:color w:val="000000" w:themeColor="text1"/>
                <w:sz w:val="20"/>
              </w:rPr>
              <w:t>Thank you for highlighting this real-world evaluation activity. The review protocol for this update specified that only randomised trial data would be included as this provides the most robust source of data for comparing interventions. Updates to the guideline may be considered as new evidence becomes available, including real world evidence.</w:t>
            </w:r>
          </w:p>
          <w:p w14:paraId="26EFC196" w14:textId="0E1AEBD7" w:rsidR="00897293" w:rsidRPr="00CC6553" w:rsidRDefault="00897293" w:rsidP="00B234F1">
            <w:pPr>
              <w:rPr>
                <w:rFonts w:cs="Arial"/>
                <w:color w:val="000000" w:themeColor="text1"/>
                <w:sz w:val="20"/>
              </w:rPr>
            </w:pPr>
          </w:p>
          <w:p w14:paraId="6FEFD240" w14:textId="39142607" w:rsidR="00897293" w:rsidRPr="00CC6553" w:rsidRDefault="00897293" w:rsidP="00B234F1">
            <w:pPr>
              <w:rPr>
                <w:rFonts w:cs="Arial"/>
                <w:color w:val="000000" w:themeColor="text1"/>
                <w:sz w:val="20"/>
              </w:rPr>
            </w:pPr>
          </w:p>
        </w:tc>
      </w:tr>
      <w:tr w:rsidR="00897293" w:rsidRPr="00CC6553" w14:paraId="36E3A94D" w14:textId="77777777" w:rsidTr="00897293">
        <w:trPr>
          <w:trHeight w:val="300"/>
        </w:trPr>
        <w:tc>
          <w:tcPr>
            <w:tcW w:w="109" w:type="pct"/>
          </w:tcPr>
          <w:p w14:paraId="6CBDF93A"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341</w:t>
            </w:r>
          </w:p>
        </w:tc>
        <w:tc>
          <w:tcPr>
            <w:tcW w:w="143" w:type="pct"/>
          </w:tcPr>
          <w:p w14:paraId="4F0F2140" w14:textId="7AC1787E"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27B85C5" w14:textId="6B3860DF" w:rsidR="00897293" w:rsidRPr="00CC6553" w:rsidRDefault="00897293" w:rsidP="00B234F1">
            <w:pPr>
              <w:rPr>
                <w:rFonts w:cs="Arial"/>
                <w:bCs/>
                <w:iCs/>
                <w:color w:val="000000" w:themeColor="text1"/>
                <w:sz w:val="20"/>
              </w:rPr>
            </w:pPr>
            <w:r w:rsidRPr="00CC6553">
              <w:rPr>
                <w:rFonts w:cs="Arial"/>
                <w:color w:val="000000" w:themeColor="text1"/>
                <w:sz w:val="20"/>
              </w:rPr>
              <w:t>Roche Diagnostics Limited</w:t>
            </w:r>
          </w:p>
        </w:tc>
        <w:tc>
          <w:tcPr>
            <w:tcW w:w="279" w:type="pct"/>
          </w:tcPr>
          <w:p w14:paraId="27C7912A" w14:textId="6CE948D0" w:rsidR="00897293" w:rsidRPr="00CC6553" w:rsidRDefault="00897293" w:rsidP="00B234F1">
            <w:pPr>
              <w:rPr>
                <w:rFonts w:cs="Arial"/>
                <w:color w:val="000000" w:themeColor="text1"/>
                <w:sz w:val="20"/>
              </w:rPr>
            </w:pPr>
            <w:r w:rsidRPr="00CC6553">
              <w:rPr>
                <w:rFonts w:cs="Arial"/>
                <w:color w:val="000000" w:themeColor="text1"/>
                <w:sz w:val="20"/>
              </w:rPr>
              <w:t>Evidence review A</w:t>
            </w:r>
          </w:p>
        </w:tc>
        <w:tc>
          <w:tcPr>
            <w:tcW w:w="214" w:type="pct"/>
          </w:tcPr>
          <w:p w14:paraId="2E18AD62" w14:textId="4C9B52DD" w:rsidR="00897293" w:rsidRPr="00CC6553" w:rsidRDefault="00897293" w:rsidP="00B234F1">
            <w:pPr>
              <w:rPr>
                <w:rFonts w:cs="Arial"/>
                <w:color w:val="000000" w:themeColor="text1"/>
                <w:sz w:val="20"/>
              </w:rPr>
            </w:pPr>
            <w:r w:rsidRPr="00CC6553">
              <w:rPr>
                <w:rFonts w:cs="Arial"/>
                <w:color w:val="000000" w:themeColor="text1"/>
                <w:sz w:val="20"/>
              </w:rPr>
              <w:t>055</w:t>
            </w:r>
          </w:p>
        </w:tc>
        <w:tc>
          <w:tcPr>
            <w:tcW w:w="214" w:type="pct"/>
          </w:tcPr>
          <w:p w14:paraId="03C05A21" w14:textId="7DC6D980" w:rsidR="00897293" w:rsidRPr="00CC6553" w:rsidRDefault="00897293" w:rsidP="00B234F1">
            <w:pPr>
              <w:rPr>
                <w:rFonts w:cs="Arial"/>
                <w:color w:val="000000" w:themeColor="text1"/>
                <w:sz w:val="20"/>
              </w:rPr>
            </w:pPr>
            <w:r w:rsidRPr="00CC6553">
              <w:rPr>
                <w:rFonts w:cs="Arial"/>
                <w:color w:val="000000" w:themeColor="text1"/>
                <w:sz w:val="20"/>
              </w:rPr>
              <w:t>028 - 031</w:t>
            </w:r>
          </w:p>
        </w:tc>
        <w:tc>
          <w:tcPr>
            <w:tcW w:w="1521" w:type="pct"/>
          </w:tcPr>
          <w:p w14:paraId="054E4915" w14:textId="5092EEF2" w:rsidR="00897293" w:rsidRPr="00CC6553" w:rsidRDefault="00897293" w:rsidP="00B234F1">
            <w:pPr>
              <w:rPr>
                <w:rFonts w:cs="Arial"/>
                <w:color w:val="000000" w:themeColor="text1"/>
                <w:sz w:val="20"/>
              </w:rPr>
            </w:pPr>
            <w:r w:rsidRPr="00CC6553">
              <w:rPr>
                <w:rFonts w:cs="Arial"/>
                <w:color w:val="000000" w:themeColor="text1"/>
                <w:sz w:val="20"/>
              </w:rPr>
              <w:t>Roche urge the committee to consider the broader evidence base for guideline-directed medical therapy (GDMT) in HFrEF:</w:t>
            </w:r>
            <w:r w:rsidRPr="00CC6553">
              <w:rPr>
                <w:rFonts w:cs="Arial"/>
                <w:color w:val="000000" w:themeColor="text1"/>
                <w:sz w:val="20"/>
              </w:rPr>
              <w:br/>
            </w:r>
            <w:r w:rsidRPr="00CC6553">
              <w:rPr>
                <w:rFonts w:cs="Arial"/>
                <w:color w:val="000000" w:themeColor="text1"/>
                <w:sz w:val="20"/>
              </w:rPr>
              <w:br/>
              <w:t>In the STRONG-HF trial, 85% of patients had a history of heart failure (68% HFrEF), indicating that the vast majority were not de novo AHF cases but rather patients with chronic heart failure experiencing acute decompensation — a population directly relevant to UK clinical practice. The benefits of the STRONG-HF strategy were seen across all Left Ventricular Ejection Fraction (LVEF) categories, including the HFrEF subgroup (1).</w:t>
            </w:r>
            <w:r w:rsidRPr="00CC6553">
              <w:rPr>
                <w:rFonts w:cs="Arial"/>
                <w:color w:val="000000" w:themeColor="text1"/>
                <w:sz w:val="20"/>
              </w:rPr>
              <w:br/>
            </w:r>
            <w:r w:rsidRPr="00CC6553">
              <w:rPr>
                <w:rFonts w:cs="Arial"/>
                <w:color w:val="000000" w:themeColor="text1"/>
                <w:sz w:val="20"/>
              </w:rPr>
              <w:br/>
              <w:t> It is important to emphasise that the benefits of GDMT in HFrEF are already well established across multiple large-scale, high-quality RCTs, including PARADIGM-HF, DAPA-HF and EMPEROR-Reduced (2-4). These trials have demonstrated consistent and substantial reductions in mortality and hospitalisation with the use of foundational therapies. STRONG-HF builds on this evidence by showing that rapid and structured initiation of GDMT after hospitalisation is both feasible and impactful. The core principle is not solely the efficacy of the drugs, but the urgency and safety of early optimisation.</w:t>
            </w:r>
            <w:r w:rsidRPr="00CC6553">
              <w:rPr>
                <w:rFonts w:cs="Arial"/>
                <w:color w:val="000000" w:themeColor="text1"/>
                <w:sz w:val="20"/>
              </w:rPr>
              <w:br/>
              <w:t>Mebazaa et al. (2022) Safety, tolerability, and efficacy of up-titration of guideline-directed medical therapies for acute heart failure (STRONG-HF): a multinational, open-label, randomised trial. The Lancet, 400(10361), pp. 1–12. https://doi.org/10.1016/S0140-6736(22)02076-1.</w:t>
            </w:r>
            <w:r w:rsidRPr="00CC6553">
              <w:rPr>
                <w:rFonts w:cs="Arial"/>
                <w:color w:val="000000" w:themeColor="text1"/>
                <w:sz w:val="20"/>
              </w:rPr>
              <w:br/>
              <w:t>McMurray et al. (2014). Angiotensin–Neprilysin Inhibition versus Enalapril in Heart Failure. New England Journal of Medicine, 371(11), pp. 993–1004. doi:10.1056/NEJMoa1409077</w:t>
            </w:r>
            <w:r w:rsidRPr="00CC6553">
              <w:rPr>
                <w:rFonts w:cs="Arial"/>
                <w:color w:val="000000" w:themeColor="text1"/>
                <w:sz w:val="20"/>
              </w:rPr>
              <w:br/>
              <w:t>McMurray et al. (2019). Dapagliflozin in Patients with Heart Failure and Reduced Ejection Fraction. New England Journal of Medicine, 381(21), pp. 1995–2008. doi:10.1056/NEJMoa1911303</w:t>
            </w:r>
            <w:r w:rsidRPr="00CC6553">
              <w:rPr>
                <w:rFonts w:cs="Arial"/>
                <w:color w:val="000000" w:themeColor="text1"/>
                <w:sz w:val="20"/>
              </w:rPr>
              <w:br/>
              <w:t>Packer et al. (2020). Cardiovascular and Renal Outcomes with Empagliflozin in Heart Failure. New England Journal of Medicine, 383(15), pp. 1413–1424. doi:10.1056/NEJMoa2022190</w:t>
            </w:r>
          </w:p>
        </w:tc>
        <w:tc>
          <w:tcPr>
            <w:tcW w:w="2122" w:type="pct"/>
          </w:tcPr>
          <w:p w14:paraId="14F727EC" w14:textId="6866C059" w:rsidR="00897293" w:rsidRPr="00CC6553" w:rsidRDefault="00897293" w:rsidP="00B234F1">
            <w:pPr>
              <w:pStyle w:val="Heading1"/>
              <w:rPr>
                <w:rFonts w:cs="Arial"/>
                <w:b w:val="0"/>
                <w:bCs w:val="0"/>
                <w:color w:val="000000" w:themeColor="text1"/>
                <w:sz w:val="20"/>
              </w:rPr>
            </w:pPr>
            <w:r w:rsidRPr="00CC6553">
              <w:rPr>
                <w:rFonts w:cs="Arial"/>
                <w:b w:val="0"/>
                <w:bCs w:val="0"/>
                <w:color w:val="000000" w:themeColor="text1"/>
                <w:sz w:val="20"/>
              </w:rPr>
              <w:t>The STRONG-HF trial has been considered as part of the evidence-base for CHF patients with reduced ejection fraction. In line with the review protocol, the evidence for the subgroup with reduced ejection fraction was considered in the analyses. Evidence for patients with mildly reduced ejection fraction has been considered in evidence review B.</w:t>
            </w:r>
          </w:p>
          <w:p w14:paraId="52EB39DE" w14:textId="317C9238" w:rsidR="00897293" w:rsidRPr="00CC6553" w:rsidRDefault="00897293" w:rsidP="00B234F1">
            <w:pPr>
              <w:pStyle w:val="Heading1"/>
              <w:rPr>
                <w:rFonts w:cs="Arial"/>
                <w:b w:val="0"/>
                <w:bCs w:val="0"/>
                <w:color w:val="000000" w:themeColor="text1"/>
                <w:sz w:val="20"/>
              </w:rPr>
            </w:pPr>
          </w:p>
          <w:p w14:paraId="211DA3B5" w14:textId="74B6DEEA" w:rsidR="00897293" w:rsidRPr="00CC6553" w:rsidRDefault="00897293" w:rsidP="00B234F1">
            <w:pPr>
              <w:pStyle w:val="Heading1"/>
              <w:rPr>
                <w:rFonts w:cs="Arial"/>
                <w:b w:val="0"/>
                <w:bCs w:val="0"/>
                <w:color w:val="000000" w:themeColor="text1"/>
                <w:sz w:val="20"/>
              </w:rPr>
            </w:pPr>
            <w:r w:rsidRPr="00CC6553">
              <w:rPr>
                <w:rFonts w:cs="Arial"/>
                <w:b w:val="0"/>
                <w:bCs w:val="0"/>
                <w:color w:val="000000" w:themeColor="text1"/>
                <w:sz w:val="20"/>
              </w:rPr>
              <w:t>Likewise, evidence from PARADIGM-HF, DAPA-HF and EMPEROR-Reduced has been considered in the analyses for CHF patients with reduced ejection fraction.</w:t>
            </w:r>
          </w:p>
          <w:p w14:paraId="62C89E6B" w14:textId="37DAC7C6" w:rsidR="00897293" w:rsidRPr="00CC6553" w:rsidRDefault="00897293" w:rsidP="00B234F1">
            <w:pPr>
              <w:rPr>
                <w:color w:val="000000" w:themeColor="text1"/>
              </w:rPr>
            </w:pPr>
          </w:p>
          <w:p w14:paraId="27565ABC" w14:textId="457247EC" w:rsidR="00897293" w:rsidRPr="00CC6553" w:rsidRDefault="00897293" w:rsidP="00B234F1">
            <w:pPr>
              <w:rPr>
                <w:color w:val="000000" w:themeColor="text1"/>
              </w:rPr>
            </w:pPr>
            <w:r w:rsidRPr="00CC6553">
              <w:rPr>
                <w:rFonts w:eastAsia="Arial" w:cs="Arial"/>
                <w:color w:val="000000" w:themeColor="text1"/>
                <w:sz w:val="20"/>
              </w:rPr>
              <w:t>To acknowledge the value of a rapid optimisation model (based on STRONG-HF) in some circumstances, a sentence has been added to section 1.1.12.3 of evidence repo</w:t>
            </w:r>
            <w:r w:rsidRPr="00CC6553">
              <w:rPr>
                <w:rFonts w:cs="Arial"/>
                <w:color w:val="000000" w:themeColor="text1"/>
                <w:sz w:val="20"/>
              </w:rPr>
              <w:t>rt A: However, the committee’s final recommendations (recommendations 1.4.1 to 1.4.4 and 1.5.1 to 1.5.3) do not preclude a rapid optimisation approach in appropriate circumstances, if the resources to support this approach are available</w:t>
            </w:r>
          </w:p>
        </w:tc>
      </w:tr>
      <w:tr w:rsidR="00897293" w:rsidRPr="00CC6553" w14:paraId="31AB4987" w14:textId="77777777" w:rsidTr="00897293">
        <w:trPr>
          <w:trHeight w:val="300"/>
        </w:trPr>
        <w:tc>
          <w:tcPr>
            <w:tcW w:w="109" w:type="pct"/>
          </w:tcPr>
          <w:p w14:paraId="56E2C1FE"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342</w:t>
            </w:r>
          </w:p>
        </w:tc>
        <w:tc>
          <w:tcPr>
            <w:tcW w:w="143" w:type="pct"/>
          </w:tcPr>
          <w:p w14:paraId="54391101" w14:textId="2FE5A609"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2C4E2423" w14:textId="181F853B" w:rsidR="00897293" w:rsidRPr="00CC6553" w:rsidRDefault="00897293" w:rsidP="00B234F1">
            <w:pPr>
              <w:rPr>
                <w:rFonts w:cs="Arial"/>
                <w:bCs/>
                <w:iCs/>
                <w:color w:val="000000" w:themeColor="text1"/>
                <w:sz w:val="20"/>
              </w:rPr>
            </w:pPr>
            <w:r w:rsidRPr="00CC6553">
              <w:rPr>
                <w:rFonts w:cs="Arial"/>
                <w:color w:val="000000" w:themeColor="text1"/>
                <w:sz w:val="20"/>
              </w:rPr>
              <w:t>Roche Diagnostics Limited</w:t>
            </w:r>
          </w:p>
        </w:tc>
        <w:tc>
          <w:tcPr>
            <w:tcW w:w="279" w:type="pct"/>
          </w:tcPr>
          <w:p w14:paraId="4CCD2536" w14:textId="0C46F9BC" w:rsidR="00897293" w:rsidRPr="00CC6553" w:rsidRDefault="00897293" w:rsidP="00B234F1">
            <w:pPr>
              <w:rPr>
                <w:rFonts w:cs="Arial"/>
                <w:color w:val="000000" w:themeColor="text1"/>
                <w:sz w:val="20"/>
              </w:rPr>
            </w:pPr>
            <w:r w:rsidRPr="00CC6553">
              <w:rPr>
                <w:rFonts w:cs="Arial"/>
                <w:color w:val="000000" w:themeColor="text1"/>
                <w:sz w:val="20"/>
              </w:rPr>
              <w:t>Evidence review A</w:t>
            </w:r>
          </w:p>
        </w:tc>
        <w:tc>
          <w:tcPr>
            <w:tcW w:w="214" w:type="pct"/>
          </w:tcPr>
          <w:p w14:paraId="751961EE" w14:textId="19E757D9" w:rsidR="00897293" w:rsidRPr="00CC6553" w:rsidRDefault="00897293" w:rsidP="00B234F1">
            <w:pPr>
              <w:rPr>
                <w:rFonts w:cs="Arial"/>
                <w:color w:val="000000" w:themeColor="text1"/>
                <w:sz w:val="20"/>
              </w:rPr>
            </w:pPr>
            <w:r w:rsidRPr="00CC6553">
              <w:rPr>
                <w:rFonts w:cs="Arial"/>
                <w:color w:val="000000" w:themeColor="text1"/>
                <w:sz w:val="20"/>
              </w:rPr>
              <w:t>055</w:t>
            </w:r>
          </w:p>
        </w:tc>
        <w:tc>
          <w:tcPr>
            <w:tcW w:w="214" w:type="pct"/>
          </w:tcPr>
          <w:p w14:paraId="69CED514" w14:textId="5B21DC4C" w:rsidR="00897293" w:rsidRPr="00CC6553" w:rsidRDefault="00897293" w:rsidP="00B234F1">
            <w:pPr>
              <w:rPr>
                <w:rFonts w:cs="Arial"/>
                <w:color w:val="000000" w:themeColor="text1"/>
                <w:sz w:val="20"/>
              </w:rPr>
            </w:pPr>
            <w:r w:rsidRPr="00CC6553">
              <w:rPr>
                <w:rFonts w:cs="Arial"/>
                <w:color w:val="000000" w:themeColor="text1"/>
                <w:sz w:val="20"/>
              </w:rPr>
              <w:t>031 - 034</w:t>
            </w:r>
          </w:p>
        </w:tc>
        <w:tc>
          <w:tcPr>
            <w:tcW w:w="1521" w:type="pct"/>
          </w:tcPr>
          <w:p w14:paraId="3ED15694" w14:textId="3D0D3FDA" w:rsidR="00897293" w:rsidRPr="00CC6553" w:rsidRDefault="00897293" w:rsidP="00B234F1">
            <w:pPr>
              <w:rPr>
                <w:rFonts w:cs="Arial"/>
                <w:color w:val="000000" w:themeColor="text1"/>
                <w:sz w:val="20"/>
              </w:rPr>
            </w:pPr>
            <w:r w:rsidRPr="00CC6553">
              <w:rPr>
                <w:rFonts w:cs="Arial"/>
                <w:color w:val="000000" w:themeColor="text1"/>
                <w:sz w:val="20"/>
              </w:rPr>
              <w:t>Roche wish to highlight that while the STRONG-HF intervention included five additional follow-up contacts (4 clinic visits and 1 phone call), the core element is not the number of visits but the safe and structured up-titration of guideline-directed medical therapy.</w:t>
            </w:r>
            <w:r w:rsidRPr="00CC6553">
              <w:rPr>
                <w:rFonts w:cs="Arial"/>
                <w:color w:val="000000" w:themeColor="text1"/>
                <w:sz w:val="20"/>
              </w:rPr>
              <w:br/>
            </w:r>
            <w:r w:rsidRPr="00CC6553">
              <w:rPr>
                <w:rFonts w:cs="Arial"/>
                <w:color w:val="000000" w:themeColor="text1"/>
                <w:sz w:val="20"/>
              </w:rPr>
              <w:br/>
              <w:t>As shown in a sub study which aimed to assess the role of NT-proBNP in the STRONG-HF study (1), the clinical benefit is driven by biomarker-guided intensification, not the frequency of face-to-face contact.</w:t>
            </w:r>
            <w:r w:rsidRPr="00CC6553">
              <w:rPr>
                <w:rFonts w:cs="Arial"/>
                <w:color w:val="000000" w:themeColor="text1"/>
                <w:sz w:val="20"/>
              </w:rPr>
              <w:br/>
            </w:r>
            <w:r w:rsidRPr="00CC6553">
              <w:rPr>
                <w:rFonts w:cs="Arial"/>
                <w:color w:val="000000" w:themeColor="text1"/>
                <w:sz w:val="20"/>
              </w:rPr>
              <w:br/>
              <w:t>Furthermore, the delivery model of STRONG-HF is inherently flexible and can be adapted to local resource settings, leveraging virtual consultations, primary care follow-up, and HF nurse models already operational in the NHS.</w:t>
            </w:r>
            <w:r w:rsidRPr="00CC6553">
              <w:rPr>
                <w:rFonts w:cs="Arial"/>
                <w:color w:val="000000" w:themeColor="text1"/>
                <w:sz w:val="20"/>
              </w:rPr>
              <w:br/>
            </w:r>
            <w:r w:rsidRPr="00CC6553">
              <w:rPr>
                <w:rFonts w:cs="Arial"/>
                <w:color w:val="000000" w:themeColor="text1"/>
                <w:sz w:val="20"/>
              </w:rPr>
              <w:br/>
              <w:t>The several UK sites which are currently participating in the STRONG-HF pathway implementation are using a mix of in-person, virtual, and primary care-based approaches to ensure feasibility within NHS workflows. We encourage NICE to assess implementation feasibility through stakeholder engagement with UK RWE sites.</w:t>
            </w:r>
            <w:r w:rsidRPr="00CC6553">
              <w:rPr>
                <w:rFonts w:cs="Arial"/>
                <w:color w:val="000000" w:themeColor="text1"/>
                <w:sz w:val="20"/>
              </w:rPr>
              <w:br/>
            </w:r>
            <w:r w:rsidRPr="00CC6553">
              <w:rPr>
                <w:rFonts w:cs="Arial"/>
                <w:color w:val="000000" w:themeColor="text1"/>
                <w:sz w:val="20"/>
              </w:rPr>
              <w:br/>
              <w:t>The principle of close follow-up and proactive titration is already reflected in NICE NG106, and STRONG-HF provides an operational framework to deliver it more consistently and safely.</w:t>
            </w:r>
            <w:r w:rsidRPr="00CC6553">
              <w:rPr>
                <w:rFonts w:cs="Arial"/>
                <w:color w:val="000000" w:themeColor="text1"/>
                <w:sz w:val="20"/>
              </w:rPr>
              <w:br/>
            </w:r>
            <w:r w:rsidRPr="00CC6553">
              <w:rPr>
                <w:rFonts w:cs="Arial"/>
                <w:color w:val="000000" w:themeColor="text1"/>
                <w:sz w:val="20"/>
              </w:rPr>
              <w:br/>
              <w:t>Adamo, M. et al. (2023). NT-proBNP and high-intensity care for acute heart failure: The STRONG-HF trial. European Heart Journal, 44(31), 2947–2962. https://doi.org/10.1093/eurheartj/ehad335</w:t>
            </w:r>
          </w:p>
        </w:tc>
        <w:tc>
          <w:tcPr>
            <w:tcW w:w="2122" w:type="pct"/>
          </w:tcPr>
          <w:p w14:paraId="7E6388CE" w14:textId="3A4B8293" w:rsidR="00897293" w:rsidRPr="00CC6553" w:rsidRDefault="00897293" w:rsidP="00B234F1">
            <w:pPr>
              <w:rPr>
                <w:rFonts w:cs="Arial"/>
                <w:color w:val="000000" w:themeColor="text1"/>
                <w:sz w:val="20"/>
              </w:rPr>
            </w:pPr>
            <w:r w:rsidRPr="00CC6553">
              <w:rPr>
                <w:rFonts w:cs="Arial"/>
                <w:color w:val="000000" w:themeColor="text1"/>
                <w:sz w:val="20"/>
              </w:rPr>
              <w:t>Thank-you for your comments on STRONG-HF. The committee discussed the additional follow-up contacts in the intervention as an additional element to the intervention (as well as rapid optimisation) when discussing the quality of the evidence. This was to acknowledge that the intervention was broader than rapid optimisation alone. The committee’s view of the quality of the evidence is reflected in section 1.1.12 of Evidence Review A.</w:t>
            </w:r>
          </w:p>
          <w:p w14:paraId="635C3230" w14:textId="6254E3A8" w:rsidR="00897293" w:rsidRPr="00CC6553" w:rsidRDefault="00897293" w:rsidP="00B234F1">
            <w:pPr>
              <w:rPr>
                <w:rFonts w:cs="Arial"/>
                <w:color w:val="000000" w:themeColor="text1"/>
                <w:sz w:val="20"/>
              </w:rPr>
            </w:pPr>
          </w:p>
          <w:p w14:paraId="58510958" w14:textId="0FB6ADBE" w:rsidR="00897293" w:rsidRPr="00CC6553" w:rsidRDefault="00897293" w:rsidP="00B234F1">
            <w:pPr>
              <w:rPr>
                <w:rFonts w:eastAsia="Arial" w:cs="Arial"/>
                <w:color w:val="000000" w:themeColor="text1"/>
                <w:sz w:val="20"/>
              </w:rPr>
            </w:pPr>
            <w:r w:rsidRPr="00CC6553">
              <w:rPr>
                <w:rFonts w:cs="Arial"/>
                <w:color w:val="000000" w:themeColor="text1"/>
                <w:sz w:val="20"/>
              </w:rPr>
              <w:t xml:space="preserve">Adamo 2023 was considered for inclusion in Evidence Review A and excluded because it did not provide any additional information that met the protocol. It was outside the remit of this review to </w:t>
            </w:r>
            <w:r w:rsidRPr="00CC6553">
              <w:rPr>
                <w:rFonts w:eastAsia="Arial" w:cs="Arial"/>
                <w:color w:val="000000" w:themeColor="text1"/>
                <w:sz w:val="20"/>
              </w:rPr>
              <w:t>assess the role of N-terminal pro-B-type natriuretic peptide (NT-proBNP) at baseline and its changes early during up-titration.</w:t>
            </w:r>
          </w:p>
          <w:p w14:paraId="5003F7D2" w14:textId="77777777" w:rsidR="00897293" w:rsidRPr="00CC6553" w:rsidRDefault="00897293" w:rsidP="00B234F1">
            <w:pPr>
              <w:rPr>
                <w:rFonts w:eastAsia="Arial" w:cs="Arial"/>
                <w:color w:val="000000" w:themeColor="text1"/>
                <w:sz w:val="20"/>
              </w:rPr>
            </w:pPr>
          </w:p>
          <w:p w14:paraId="1DC54687" w14:textId="217102B4" w:rsidR="00897293" w:rsidRPr="00CC6553" w:rsidRDefault="00897293" w:rsidP="00B234F1">
            <w:pPr>
              <w:rPr>
                <w:rFonts w:eastAsia="Arial" w:cs="Arial"/>
                <w:color w:val="000000" w:themeColor="text1"/>
                <w:sz w:val="20"/>
              </w:rPr>
            </w:pPr>
            <w:r w:rsidRPr="00CC6553">
              <w:rPr>
                <w:rFonts w:eastAsia="Arial" w:cs="Arial"/>
                <w:color w:val="000000" w:themeColor="text1"/>
                <w:sz w:val="20"/>
              </w:rPr>
              <w:t>To acknowledge the value of a rapid optimisation model (based on STRONG-HF) in some circumstances, a sentence has been added to section 1.1.12.3 of evidence repo</w:t>
            </w:r>
            <w:r w:rsidRPr="00CC6553">
              <w:rPr>
                <w:rFonts w:cs="Arial"/>
                <w:color w:val="000000" w:themeColor="text1"/>
                <w:sz w:val="20"/>
              </w:rPr>
              <w:t xml:space="preserve">rt A: However, the committee’s final recommendations </w:t>
            </w:r>
            <w:r w:rsidRPr="00CC6553">
              <w:rPr>
                <w:rFonts w:cs="Arial"/>
                <w:color w:val="000000" w:themeColor="text1"/>
                <w:sz w:val="20"/>
              </w:rPr>
              <w:lastRenderedPageBreak/>
              <w:t>(recommendations 1.4.1 to 1.4.4 and 1.5.1 to 1.5.3) do not preclude a rapid optimisation approach in appropriate circumstances, if the resources to support this approach are available.</w:t>
            </w:r>
          </w:p>
          <w:p w14:paraId="1EF58BDF" w14:textId="77777777" w:rsidR="00897293" w:rsidRPr="00CC6553" w:rsidRDefault="00897293" w:rsidP="00B234F1">
            <w:pPr>
              <w:rPr>
                <w:rFonts w:eastAsia="Arial" w:cs="Arial"/>
                <w:color w:val="000000" w:themeColor="text1"/>
                <w:sz w:val="20"/>
              </w:rPr>
            </w:pPr>
          </w:p>
          <w:p w14:paraId="57C605EB" w14:textId="274AFFDA" w:rsidR="00897293" w:rsidRPr="00CC6553" w:rsidRDefault="00897293" w:rsidP="476BDDBF">
            <w:pPr>
              <w:rPr>
                <w:rFonts w:cs="Arial"/>
                <w:color w:val="000000" w:themeColor="text1"/>
                <w:sz w:val="20"/>
              </w:rPr>
            </w:pPr>
            <w:r w:rsidRPr="00CC6553">
              <w:rPr>
                <w:rFonts w:cs="Arial"/>
                <w:color w:val="000000" w:themeColor="text1"/>
                <w:sz w:val="20"/>
              </w:rPr>
              <w:t>Thank you for highlighting this real-world evaluation activity. The review protocol for this update specified that only randomised trial data would be included as this provides the most robust source of data for comparing interventions. Updates to the guideline may be considered as new evidence becomes available, including real world evidence.</w:t>
            </w:r>
          </w:p>
          <w:p w14:paraId="7FF33E55" w14:textId="56ED7066" w:rsidR="00897293" w:rsidRPr="00CC6553" w:rsidRDefault="00897293" w:rsidP="00B234F1">
            <w:pPr>
              <w:rPr>
                <w:rFonts w:eastAsia="Arial" w:cs="Arial"/>
                <w:color w:val="000000" w:themeColor="text1"/>
                <w:sz w:val="20"/>
              </w:rPr>
            </w:pPr>
          </w:p>
        </w:tc>
      </w:tr>
      <w:tr w:rsidR="00897293" w:rsidRPr="00CC6553" w14:paraId="2EAED35A" w14:textId="77777777" w:rsidTr="00897293">
        <w:trPr>
          <w:trHeight w:val="300"/>
        </w:trPr>
        <w:tc>
          <w:tcPr>
            <w:tcW w:w="109" w:type="pct"/>
          </w:tcPr>
          <w:p w14:paraId="13308342"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343</w:t>
            </w:r>
          </w:p>
        </w:tc>
        <w:tc>
          <w:tcPr>
            <w:tcW w:w="143" w:type="pct"/>
          </w:tcPr>
          <w:p w14:paraId="47282BD4" w14:textId="40576BC8"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B264E56" w14:textId="74CEAC79" w:rsidR="00897293" w:rsidRPr="00CC6553" w:rsidRDefault="00897293" w:rsidP="00B234F1">
            <w:pPr>
              <w:rPr>
                <w:rFonts w:cs="Arial"/>
                <w:bCs/>
                <w:iCs/>
                <w:color w:val="000000" w:themeColor="text1"/>
                <w:sz w:val="20"/>
              </w:rPr>
            </w:pPr>
            <w:r w:rsidRPr="00CC6553">
              <w:rPr>
                <w:rFonts w:cs="Arial"/>
                <w:color w:val="000000" w:themeColor="text1"/>
                <w:sz w:val="20"/>
              </w:rPr>
              <w:t>Roche Diagnostics Limited</w:t>
            </w:r>
          </w:p>
        </w:tc>
        <w:tc>
          <w:tcPr>
            <w:tcW w:w="279" w:type="pct"/>
          </w:tcPr>
          <w:p w14:paraId="37982FC8" w14:textId="37BB8F79" w:rsidR="00897293" w:rsidRPr="00CC6553" w:rsidRDefault="00897293" w:rsidP="00B234F1">
            <w:pPr>
              <w:rPr>
                <w:rFonts w:cs="Arial"/>
                <w:color w:val="000000" w:themeColor="text1"/>
                <w:sz w:val="20"/>
              </w:rPr>
            </w:pPr>
            <w:r w:rsidRPr="00CC6553">
              <w:rPr>
                <w:rFonts w:cs="Arial"/>
                <w:color w:val="000000" w:themeColor="text1"/>
                <w:sz w:val="20"/>
              </w:rPr>
              <w:t>Evidence review A</w:t>
            </w:r>
          </w:p>
        </w:tc>
        <w:tc>
          <w:tcPr>
            <w:tcW w:w="214" w:type="pct"/>
          </w:tcPr>
          <w:p w14:paraId="646DCCEB" w14:textId="317BF5FE" w:rsidR="00897293" w:rsidRPr="00CC6553" w:rsidRDefault="00897293" w:rsidP="00B234F1">
            <w:pPr>
              <w:rPr>
                <w:rFonts w:cs="Arial"/>
                <w:color w:val="000000" w:themeColor="text1"/>
                <w:sz w:val="20"/>
              </w:rPr>
            </w:pPr>
            <w:r w:rsidRPr="00CC6553">
              <w:rPr>
                <w:rFonts w:cs="Arial"/>
                <w:color w:val="000000" w:themeColor="text1"/>
                <w:sz w:val="20"/>
              </w:rPr>
              <w:t>056</w:t>
            </w:r>
          </w:p>
        </w:tc>
        <w:tc>
          <w:tcPr>
            <w:tcW w:w="214" w:type="pct"/>
          </w:tcPr>
          <w:p w14:paraId="635B353A" w14:textId="7B98CD5D" w:rsidR="00897293" w:rsidRPr="00CC6553" w:rsidRDefault="00897293" w:rsidP="00B234F1">
            <w:pPr>
              <w:rPr>
                <w:rFonts w:cs="Arial"/>
                <w:color w:val="000000" w:themeColor="text1"/>
                <w:sz w:val="20"/>
              </w:rPr>
            </w:pPr>
            <w:r w:rsidRPr="00CC6553">
              <w:rPr>
                <w:rFonts w:cs="Arial"/>
                <w:color w:val="000000" w:themeColor="text1"/>
                <w:sz w:val="20"/>
              </w:rPr>
              <w:t>041 - 048</w:t>
            </w:r>
          </w:p>
        </w:tc>
        <w:tc>
          <w:tcPr>
            <w:tcW w:w="1521" w:type="pct"/>
          </w:tcPr>
          <w:p w14:paraId="3D15D474" w14:textId="300B5C8D" w:rsidR="00897293" w:rsidRPr="00CC6553" w:rsidRDefault="00897293" w:rsidP="00B234F1">
            <w:pPr>
              <w:rPr>
                <w:rFonts w:cs="Arial"/>
                <w:color w:val="000000" w:themeColor="text1"/>
                <w:sz w:val="20"/>
              </w:rPr>
            </w:pPr>
            <w:r w:rsidRPr="00CC6553">
              <w:rPr>
                <w:rFonts w:cs="Arial"/>
                <w:color w:val="000000" w:themeColor="text1"/>
                <w:sz w:val="20"/>
              </w:rPr>
              <w:t>Roche would like to clarify that, contrary to the statement that “none of the outcomes in this trial were expressed as time-to-event,” the STRONG-HF trial did in fact include time-to-event analyses for its primary composite outcome (all-cause death or heart failure readmission at 180 days), as well as key sensitivity analyses excluding COVID-19 deaths (1).</w:t>
            </w:r>
            <w:r w:rsidRPr="00CC6553">
              <w:rPr>
                <w:rFonts w:cs="Arial"/>
                <w:color w:val="000000" w:themeColor="text1"/>
                <w:sz w:val="20"/>
              </w:rPr>
              <w:br/>
            </w:r>
            <w:r w:rsidRPr="00CC6553">
              <w:rPr>
                <w:rFonts w:cs="Arial"/>
                <w:color w:val="000000" w:themeColor="text1"/>
                <w:sz w:val="20"/>
              </w:rPr>
              <w:br/>
              <w:t>These Kaplan–Meier estimates and adjusted 180-day risk differences were published in the primary STRONG-HF manuscript (1) (The Lancet, 2022;400:1938–52, Figure 3), with statistically significant differences observed for both:</w:t>
            </w:r>
            <w:r w:rsidRPr="00CC6553">
              <w:rPr>
                <w:rFonts w:cs="Arial"/>
                <w:color w:val="000000" w:themeColor="text1"/>
                <w:sz w:val="20"/>
              </w:rPr>
              <w:br/>
              <w:t>The composite endpoint of all-cause death or heart failure readmission (panel A; p = 0.0021), and</w:t>
            </w:r>
            <w:r w:rsidRPr="00CC6553">
              <w:rPr>
                <w:rFonts w:cs="Arial"/>
                <w:color w:val="000000" w:themeColor="text1"/>
                <w:sz w:val="20"/>
              </w:rPr>
              <w:br/>
              <w:t>The same composite endpoint excluding COVID-19 deaths (panel B; p = 0.0005).</w:t>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lastRenderedPageBreak/>
              <w:t>These findings further validate the robustness of the results and demonstrate that the evidence does in fact meet the protocol-specified standard for time-to-event analysis, contrary to the committee's statement.</w:t>
            </w:r>
            <w:r w:rsidRPr="00CC6553">
              <w:rPr>
                <w:rFonts w:cs="Arial"/>
                <w:color w:val="000000" w:themeColor="text1"/>
                <w:sz w:val="20"/>
              </w:rPr>
              <w:br/>
              <w:t>Mebazaa et al. (2022) Safety, tolerability, and efficacy of up-titration of guideline-directed medical therapies for acute heart failure (STRONG-HF): a multinational, open-label, randomised trial. The Lancet, 400(10361), pp. 1–12. https://doi.org/10.1016/S0140-6736(22)02076-1.</w:t>
            </w:r>
          </w:p>
        </w:tc>
        <w:tc>
          <w:tcPr>
            <w:tcW w:w="2122" w:type="pct"/>
          </w:tcPr>
          <w:p w14:paraId="5F425B0E" w14:textId="610CFF82" w:rsidR="00897293" w:rsidRPr="00CC6553" w:rsidRDefault="00897293" w:rsidP="00B234F1">
            <w:pPr>
              <w:pStyle w:val="Heading1"/>
              <w:rPr>
                <w:rFonts w:cs="Arial"/>
                <w:b w:val="0"/>
                <w:bCs w:val="0"/>
                <w:color w:val="000000" w:themeColor="text1"/>
                <w:sz w:val="20"/>
              </w:rPr>
            </w:pPr>
            <w:r w:rsidRPr="00CC6553">
              <w:rPr>
                <w:rFonts w:cs="Arial"/>
                <w:b w:val="0"/>
                <w:bCs w:val="0"/>
                <w:color w:val="000000" w:themeColor="text1"/>
                <w:sz w:val="20"/>
              </w:rPr>
              <w:lastRenderedPageBreak/>
              <w:t xml:space="preserve">Thank-you for your comments on STRONG-HF. The outcomes outlined in the protocol did not include composite outcomes of all-cause death or heart failure readmission combined together, but rather included all-cause mortality and heart failure hospitalisation separately. As all-cause mortality and heart failure hospitalisation were reported separately and as dichotomous outcomes (rather than time-to-event outcomes) in STRONG-HF we were able to </w:t>
            </w:r>
            <w:r w:rsidRPr="00CC6553">
              <w:rPr>
                <w:rFonts w:cs="Arial"/>
                <w:b w:val="0"/>
                <w:bCs w:val="0"/>
                <w:color w:val="000000" w:themeColor="text1"/>
                <w:sz w:val="20"/>
              </w:rPr>
              <w:lastRenderedPageBreak/>
              <w:t>include these in our analyses as they met the review protocol. To avoid confusion about time-to-event outcomes, we have reworded the relevant sentence on page 56, to make this clearer</w:t>
            </w:r>
            <w:r>
              <w:rPr>
                <w:rFonts w:cs="Arial"/>
                <w:b w:val="0"/>
                <w:bCs w:val="0"/>
                <w:color w:val="000000" w:themeColor="text1"/>
                <w:sz w:val="20"/>
              </w:rPr>
              <w:t>, and further clarification on approach to composite outcomes has been added on p55</w:t>
            </w:r>
          </w:p>
          <w:p w14:paraId="2C6B0556" w14:textId="2B75EC96" w:rsidR="00897293" w:rsidRPr="00CC6553" w:rsidRDefault="00897293" w:rsidP="00B234F1">
            <w:pPr>
              <w:rPr>
                <w:rFonts w:cs="Arial"/>
                <w:color w:val="000000" w:themeColor="text1"/>
                <w:sz w:val="20"/>
              </w:rPr>
            </w:pPr>
          </w:p>
          <w:p w14:paraId="09842C94" w14:textId="485FA1F0" w:rsidR="00897293" w:rsidRPr="00CC6553" w:rsidRDefault="00897293" w:rsidP="00B234F1">
            <w:pPr>
              <w:rPr>
                <w:rFonts w:cs="Arial"/>
                <w:color w:val="000000" w:themeColor="text1"/>
                <w:sz w:val="20"/>
              </w:rPr>
            </w:pPr>
            <w:r w:rsidRPr="00CC6553">
              <w:rPr>
                <w:rFonts w:cs="Arial"/>
                <w:color w:val="000000" w:themeColor="text1"/>
                <w:sz w:val="20"/>
              </w:rPr>
              <w:t xml:space="preserve">The reason the primary outcome was not included is because it is a composite outcome of mortality and hospitalisation together; when writing the review protocol, it was agreed to prioritise separate outcomes to promote clarity of information on specific outcomes that are important to patients. </w:t>
            </w:r>
          </w:p>
        </w:tc>
      </w:tr>
      <w:tr w:rsidR="00897293" w:rsidRPr="00CC6553" w14:paraId="11142365" w14:textId="77777777" w:rsidTr="00897293">
        <w:trPr>
          <w:trHeight w:val="300"/>
        </w:trPr>
        <w:tc>
          <w:tcPr>
            <w:tcW w:w="109" w:type="pct"/>
          </w:tcPr>
          <w:p w14:paraId="03EEF645"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344</w:t>
            </w:r>
          </w:p>
        </w:tc>
        <w:tc>
          <w:tcPr>
            <w:tcW w:w="143" w:type="pct"/>
          </w:tcPr>
          <w:p w14:paraId="016A6EFD" w14:textId="3EEA5920"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B30A30B" w14:textId="3F69FA8A" w:rsidR="00897293" w:rsidRPr="00CC6553" w:rsidRDefault="00897293" w:rsidP="00B234F1">
            <w:pPr>
              <w:rPr>
                <w:rFonts w:cs="Arial"/>
                <w:bCs/>
                <w:iCs/>
                <w:color w:val="000000" w:themeColor="text1"/>
                <w:sz w:val="20"/>
              </w:rPr>
            </w:pPr>
            <w:r w:rsidRPr="00CC6553">
              <w:rPr>
                <w:rFonts w:cs="Arial"/>
                <w:color w:val="000000" w:themeColor="text1"/>
                <w:sz w:val="20"/>
              </w:rPr>
              <w:t>Roche Diagnostics Limited</w:t>
            </w:r>
          </w:p>
        </w:tc>
        <w:tc>
          <w:tcPr>
            <w:tcW w:w="279" w:type="pct"/>
          </w:tcPr>
          <w:p w14:paraId="43EBD39C" w14:textId="5FBD58C5" w:rsidR="00897293" w:rsidRPr="00CC6553" w:rsidRDefault="00897293" w:rsidP="00B234F1">
            <w:pPr>
              <w:rPr>
                <w:rFonts w:cs="Arial"/>
                <w:color w:val="000000" w:themeColor="text1"/>
                <w:sz w:val="20"/>
              </w:rPr>
            </w:pPr>
            <w:r w:rsidRPr="00CC6553">
              <w:rPr>
                <w:rFonts w:cs="Arial"/>
                <w:color w:val="000000" w:themeColor="text1"/>
                <w:sz w:val="20"/>
              </w:rPr>
              <w:t>Evidence review A</w:t>
            </w:r>
          </w:p>
        </w:tc>
        <w:tc>
          <w:tcPr>
            <w:tcW w:w="214" w:type="pct"/>
          </w:tcPr>
          <w:p w14:paraId="4921DB5E" w14:textId="7E037932" w:rsidR="00897293" w:rsidRPr="00CC6553" w:rsidRDefault="00897293" w:rsidP="00B234F1">
            <w:pPr>
              <w:rPr>
                <w:rFonts w:cs="Arial"/>
                <w:color w:val="000000" w:themeColor="text1"/>
                <w:sz w:val="20"/>
              </w:rPr>
            </w:pPr>
            <w:r w:rsidRPr="00CC6553">
              <w:rPr>
                <w:rFonts w:cs="Arial"/>
                <w:color w:val="000000" w:themeColor="text1"/>
                <w:sz w:val="20"/>
              </w:rPr>
              <w:t>057</w:t>
            </w:r>
          </w:p>
        </w:tc>
        <w:tc>
          <w:tcPr>
            <w:tcW w:w="214" w:type="pct"/>
          </w:tcPr>
          <w:p w14:paraId="32E97ADE" w14:textId="664D6820" w:rsidR="00897293" w:rsidRPr="00CC6553" w:rsidRDefault="00897293" w:rsidP="00B234F1">
            <w:pPr>
              <w:rPr>
                <w:rFonts w:cs="Arial"/>
                <w:color w:val="000000" w:themeColor="text1"/>
                <w:sz w:val="20"/>
              </w:rPr>
            </w:pPr>
            <w:r w:rsidRPr="00CC6553">
              <w:rPr>
                <w:rFonts w:cs="Arial"/>
                <w:color w:val="000000" w:themeColor="text1"/>
                <w:sz w:val="20"/>
              </w:rPr>
              <w:t>001 - 004</w:t>
            </w:r>
          </w:p>
        </w:tc>
        <w:tc>
          <w:tcPr>
            <w:tcW w:w="1521" w:type="pct"/>
          </w:tcPr>
          <w:p w14:paraId="421B68B2" w14:textId="42A0824B" w:rsidR="00897293" w:rsidRPr="00CC6553" w:rsidRDefault="00897293" w:rsidP="00B234F1">
            <w:pPr>
              <w:rPr>
                <w:rFonts w:cs="Arial"/>
                <w:color w:val="000000" w:themeColor="text1"/>
                <w:sz w:val="20"/>
              </w:rPr>
            </w:pPr>
            <w:r w:rsidRPr="00CC6553">
              <w:rPr>
                <w:rFonts w:cs="Arial"/>
                <w:color w:val="000000" w:themeColor="text1"/>
                <w:sz w:val="20"/>
              </w:rPr>
              <w:t>Roche wish to highlight that while it is correct that STRONG-HF was not restricted to patients with HFrEF, the trial still included a substantial number of patients with reduced ejection fraction (LVEF ≤40%), accounting for 68% of the study population. Importantly, the study employed stratified randomisation by LVEF and region, ensuring that findings were balanced across EF categories (1).</w:t>
            </w:r>
            <w:r w:rsidRPr="00CC6553">
              <w:rPr>
                <w:rFonts w:cs="Arial"/>
                <w:color w:val="000000" w:themeColor="text1"/>
                <w:sz w:val="20"/>
              </w:rPr>
              <w:br/>
            </w:r>
            <w:r w:rsidRPr="00CC6553">
              <w:rPr>
                <w:rFonts w:cs="Arial"/>
                <w:color w:val="000000" w:themeColor="text1"/>
                <w:sz w:val="20"/>
              </w:rPr>
              <w:br/>
              <w:t>As reported in the main publication (1), the benefit of the high-intensity care strategy was consistent in patients with HFrEF, with no significant heterogeneity observed. Moreover, exploratory analyses suggested that the intervention was effective across the full spectrum of LVEF, including HFmrEF and HFpEF, highlighting its relevance to real-world populations with mixed EF profiles.</w:t>
            </w:r>
            <w:r w:rsidRPr="00CC6553">
              <w:rPr>
                <w:rFonts w:cs="Arial"/>
                <w:color w:val="000000" w:themeColor="text1"/>
                <w:sz w:val="20"/>
              </w:rPr>
              <w:br/>
            </w:r>
            <w:r w:rsidRPr="00CC6553">
              <w:rPr>
                <w:rFonts w:cs="Arial"/>
                <w:color w:val="000000" w:themeColor="text1"/>
                <w:sz w:val="20"/>
              </w:rPr>
              <w:br/>
              <w:t xml:space="preserve">Given that many recent trials and guidelines, including the ESC 2023 guidelines </w:t>
            </w:r>
            <w:r w:rsidRPr="00CC6553">
              <w:rPr>
                <w:rFonts w:cs="Arial"/>
                <w:color w:val="000000" w:themeColor="text1"/>
                <w:sz w:val="20"/>
              </w:rPr>
              <w:lastRenderedPageBreak/>
              <w:t>(2), now support pan-EF treatment strategies, we encourage NICE to interpret STRONG-HF in this evolving context and recognise its clinical value beyond the narrow subgroup definition.</w:t>
            </w:r>
            <w:r w:rsidRPr="00CC6553">
              <w:rPr>
                <w:rFonts w:cs="Arial"/>
                <w:color w:val="000000" w:themeColor="text1"/>
                <w:sz w:val="20"/>
              </w:rPr>
              <w:br/>
            </w:r>
            <w:r w:rsidRPr="00CC6553">
              <w:rPr>
                <w:rFonts w:cs="Arial"/>
                <w:color w:val="000000" w:themeColor="text1"/>
                <w:sz w:val="20"/>
              </w:rPr>
              <w:br/>
              <w:t>Mebazaa et al. (2022) Safety, tolerability, and efficacy of up-titration of guideline-directed medical therapies for acute heart failure (STRONG-HF): a multinational, open-label, randomised trial. The Lancet, 400(10361), pp. 1–12. https://doi.org/10.1016/S0140-6736(22)02076-1.</w:t>
            </w:r>
            <w:r w:rsidRPr="00CC6553">
              <w:rPr>
                <w:rFonts w:cs="Arial"/>
                <w:color w:val="000000" w:themeColor="text1"/>
                <w:sz w:val="20"/>
              </w:rPr>
              <w:br/>
              <w:t>European Society of Cardiology. (2023) 2023 Focused Update of the 2021 ESC Guidelines for the diagnosis and treatment of acute and chronic heart failure. ESC Clinical Practice Guidelines. https://www.escardio.org/Guidelines/Clinical-Practice-Guidelines/Focused-Update-on-Heart-Failure-Guidelines</w:t>
            </w:r>
          </w:p>
        </w:tc>
        <w:tc>
          <w:tcPr>
            <w:tcW w:w="2122" w:type="pct"/>
          </w:tcPr>
          <w:p w14:paraId="1FD079A5" w14:textId="184E81FF" w:rsidR="00897293" w:rsidRPr="00CC6553" w:rsidRDefault="00897293" w:rsidP="00B234F1">
            <w:pPr>
              <w:pStyle w:val="Heading1"/>
              <w:rPr>
                <w:rFonts w:cs="Arial"/>
                <w:b w:val="0"/>
                <w:bCs w:val="0"/>
                <w:color w:val="000000" w:themeColor="text1"/>
                <w:sz w:val="20"/>
              </w:rPr>
            </w:pPr>
            <w:r w:rsidRPr="00CC6553">
              <w:rPr>
                <w:rFonts w:cs="Arial"/>
                <w:b w:val="0"/>
                <w:bCs w:val="0"/>
                <w:color w:val="000000" w:themeColor="text1"/>
                <w:sz w:val="20"/>
              </w:rPr>
              <w:lastRenderedPageBreak/>
              <w:t>Thank-you for your comments about STRONG-HF. On p57 of Evidence Review A, the text is clarifying that the evidence used from STRONG-HF in the analyses is from a subgroup with LVEF ≤40%, so using a smaller n than from the entire trial.</w:t>
            </w:r>
          </w:p>
          <w:p w14:paraId="34DCC2CB" w14:textId="10334642" w:rsidR="00897293" w:rsidRPr="00CC6553" w:rsidRDefault="00897293" w:rsidP="00B234F1">
            <w:pPr>
              <w:rPr>
                <w:color w:val="000000" w:themeColor="text1"/>
              </w:rPr>
            </w:pPr>
          </w:p>
          <w:p w14:paraId="599EC1FE" w14:textId="77777777" w:rsidR="00897293" w:rsidRPr="00CC6553" w:rsidRDefault="00897293" w:rsidP="00B234F1">
            <w:pPr>
              <w:rPr>
                <w:rFonts w:cs="Arial"/>
                <w:color w:val="000000" w:themeColor="text1"/>
                <w:sz w:val="20"/>
              </w:rPr>
            </w:pPr>
            <w:r w:rsidRPr="00CC6553">
              <w:rPr>
                <w:color w:val="000000" w:themeColor="text1"/>
              </w:rPr>
              <w:t>T</w:t>
            </w:r>
            <w:r w:rsidRPr="00CC6553">
              <w:rPr>
                <w:rFonts w:cs="Arial"/>
                <w:color w:val="000000" w:themeColor="text1"/>
                <w:sz w:val="20"/>
              </w:rPr>
              <w:t xml:space="preserve">hank-you for highlighting the findings of STRONG-HF on CHF with mrEF and pEF. However, these findings could not be included in </w:t>
            </w:r>
            <w:r w:rsidRPr="00CC6553">
              <w:rPr>
                <w:rFonts w:cs="Arial"/>
                <w:color w:val="000000" w:themeColor="text1"/>
                <w:sz w:val="20"/>
              </w:rPr>
              <w:lastRenderedPageBreak/>
              <w:t>Evidence Review A as population characteristics did not meet the protocol. The population characteristics also did not meet the protocol for Evidence Review B on mildly reduced ejection fraction.</w:t>
            </w:r>
          </w:p>
          <w:p w14:paraId="1F03D777" w14:textId="77777777" w:rsidR="00897293" w:rsidRPr="00CC6553" w:rsidRDefault="00897293" w:rsidP="00B234F1">
            <w:pPr>
              <w:rPr>
                <w:rFonts w:cs="Arial"/>
                <w:color w:val="000000" w:themeColor="text1"/>
                <w:sz w:val="20"/>
              </w:rPr>
            </w:pPr>
          </w:p>
          <w:p w14:paraId="716DAE7E" w14:textId="77777777" w:rsidR="00897293" w:rsidRPr="00CC6553" w:rsidRDefault="00897293" w:rsidP="00B234F1">
            <w:pPr>
              <w:rPr>
                <w:rFonts w:eastAsia="Arial" w:cs="Arial"/>
                <w:color w:val="000000" w:themeColor="text1"/>
                <w:sz w:val="20"/>
              </w:rPr>
            </w:pPr>
            <w:r w:rsidRPr="00CC6553">
              <w:rPr>
                <w:rFonts w:eastAsia="Arial" w:cs="Arial"/>
                <w:color w:val="000000" w:themeColor="text1"/>
                <w:sz w:val="20"/>
              </w:rPr>
              <w:t>To acknowledge the value of a rapid optimisation model (based on STRONG-HF) in some circumstances, a sentence has been added to section 1.1.12.3 of evidence repo</w:t>
            </w:r>
            <w:r w:rsidRPr="00CC6553">
              <w:rPr>
                <w:rFonts w:cs="Arial"/>
                <w:color w:val="000000" w:themeColor="text1"/>
                <w:sz w:val="20"/>
              </w:rPr>
              <w:t>rt A: However, the committee’s final recommendations (recommendations 1.4.1 to 1.4.4 and 1.5.1 to 1.5.3) do not preclude a rapid optimisation approach in appropriate circumstances, if the resources to support this approach are available.</w:t>
            </w:r>
          </w:p>
          <w:p w14:paraId="308C4A88" w14:textId="0D49D18A" w:rsidR="00897293" w:rsidRPr="00CC6553" w:rsidRDefault="00897293" w:rsidP="00B234F1">
            <w:pPr>
              <w:rPr>
                <w:rFonts w:cs="Arial"/>
                <w:color w:val="000000" w:themeColor="text1"/>
                <w:sz w:val="20"/>
              </w:rPr>
            </w:pPr>
          </w:p>
        </w:tc>
      </w:tr>
      <w:tr w:rsidR="00897293" w:rsidRPr="00CC6553" w14:paraId="48D6A91A" w14:textId="77777777" w:rsidTr="00897293">
        <w:trPr>
          <w:trHeight w:val="300"/>
        </w:trPr>
        <w:tc>
          <w:tcPr>
            <w:tcW w:w="109" w:type="pct"/>
          </w:tcPr>
          <w:p w14:paraId="4C9E80F4"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345</w:t>
            </w:r>
          </w:p>
        </w:tc>
        <w:tc>
          <w:tcPr>
            <w:tcW w:w="143" w:type="pct"/>
          </w:tcPr>
          <w:p w14:paraId="77C5F15F" w14:textId="22B35BF4"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7FC9B674" w14:textId="55DB57E9" w:rsidR="00897293" w:rsidRPr="00CC6553" w:rsidRDefault="00897293" w:rsidP="00B234F1">
            <w:pPr>
              <w:rPr>
                <w:rFonts w:cs="Arial"/>
                <w:bCs/>
                <w:iCs/>
                <w:color w:val="000000" w:themeColor="text1"/>
                <w:sz w:val="20"/>
              </w:rPr>
            </w:pPr>
            <w:r w:rsidRPr="00CC6553">
              <w:rPr>
                <w:rFonts w:cs="Arial"/>
                <w:color w:val="000000" w:themeColor="text1"/>
                <w:sz w:val="20"/>
              </w:rPr>
              <w:t>Roche Diagnostics Limited</w:t>
            </w:r>
          </w:p>
        </w:tc>
        <w:tc>
          <w:tcPr>
            <w:tcW w:w="279" w:type="pct"/>
          </w:tcPr>
          <w:p w14:paraId="78698489" w14:textId="5AC86F4B" w:rsidR="00897293" w:rsidRPr="00CC6553" w:rsidRDefault="00897293" w:rsidP="00B234F1">
            <w:pPr>
              <w:rPr>
                <w:rFonts w:cs="Arial"/>
                <w:color w:val="000000" w:themeColor="text1"/>
                <w:sz w:val="20"/>
              </w:rPr>
            </w:pPr>
            <w:r w:rsidRPr="00CC6553">
              <w:rPr>
                <w:rFonts w:cs="Arial"/>
                <w:color w:val="000000" w:themeColor="text1"/>
                <w:sz w:val="20"/>
              </w:rPr>
              <w:t>Evidence review A</w:t>
            </w:r>
          </w:p>
        </w:tc>
        <w:tc>
          <w:tcPr>
            <w:tcW w:w="214" w:type="pct"/>
          </w:tcPr>
          <w:p w14:paraId="030E7A7A" w14:textId="56626E6E" w:rsidR="00897293" w:rsidRPr="00CC6553" w:rsidRDefault="00897293" w:rsidP="00B234F1">
            <w:pPr>
              <w:rPr>
                <w:rFonts w:cs="Arial"/>
                <w:color w:val="000000" w:themeColor="text1"/>
                <w:sz w:val="20"/>
              </w:rPr>
            </w:pPr>
            <w:r w:rsidRPr="00CC6553">
              <w:rPr>
                <w:rFonts w:cs="Arial"/>
                <w:color w:val="000000" w:themeColor="text1"/>
                <w:sz w:val="20"/>
              </w:rPr>
              <w:t>057</w:t>
            </w:r>
          </w:p>
        </w:tc>
        <w:tc>
          <w:tcPr>
            <w:tcW w:w="214" w:type="pct"/>
          </w:tcPr>
          <w:p w14:paraId="5D7D53CA" w14:textId="1933582A" w:rsidR="00897293" w:rsidRPr="00CC6553" w:rsidRDefault="00897293" w:rsidP="00B234F1">
            <w:pPr>
              <w:rPr>
                <w:rFonts w:cs="Arial"/>
                <w:color w:val="000000" w:themeColor="text1"/>
                <w:sz w:val="20"/>
              </w:rPr>
            </w:pPr>
            <w:r w:rsidRPr="00CC6553">
              <w:rPr>
                <w:rFonts w:cs="Arial"/>
                <w:color w:val="000000" w:themeColor="text1"/>
                <w:sz w:val="20"/>
              </w:rPr>
              <w:t>003 - 004</w:t>
            </w:r>
          </w:p>
        </w:tc>
        <w:tc>
          <w:tcPr>
            <w:tcW w:w="1521" w:type="pct"/>
          </w:tcPr>
          <w:p w14:paraId="2C045270" w14:textId="61CA13CE" w:rsidR="00897293" w:rsidRPr="00CC6553" w:rsidRDefault="00897293" w:rsidP="00B234F1">
            <w:pPr>
              <w:rPr>
                <w:rFonts w:cs="Arial"/>
                <w:color w:val="000000" w:themeColor="text1"/>
                <w:sz w:val="20"/>
              </w:rPr>
            </w:pPr>
            <w:r w:rsidRPr="00CC6553">
              <w:rPr>
                <w:rFonts w:cs="Arial"/>
                <w:color w:val="000000" w:themeColor="text1"/>
                <w:sz w:val="20"/>
              </w:rPr>
              <w:t>Roche would like to clarify that although the mean age in STRONG-HF was lower than that typically seen in chronic heart failure registries, more than 45% of participants were aged &gt;65 years, and a dedicated age-based sub-analysis has been published (1).</w:t>
            </w:r>
            <w:r w:rsidRPr="00CC6553">
              <w:rPr>
                <w:rFonts w:cs="Arial"/>
                <w:color w:val="000000" w:themeColor="text1"/>
                <w:sz w:val="20"/>
              </w:rPr>
              <w:br/>
            </w:r>
            <w:r w:rsidRPr="00CC6553">
              <w:rPr>
                <w:rFonts w:cs="Arial"/>
                <w:color w:val="000000" w:themeColor="text1"/>
                <w:sz w:val="20"/>
              </w:rPr>
              <w:br/>
              <w:t>This analysis showed that the effect of high-intensity care (HIC) on the primary outcome (180-day all-cause death or HF readmission) was consistent across age groups, with no statistically significant interaction between age and treatment efficacy (adjusted interaction p=0.30).</w:t>
            </w:r>
            <w:r w:rsidRPr="00CC6553">
              <w:rPr>
                <w:rFonts w:cs="Arial"/>
                <w:color w:val="000000" w:themeColor="text1"/>
                <w:sz w:val="20"/>
              </w:rPr>
              <w:br/>
            </w:r>
            <w:r w:rsidRPr="00CC6553">
              <w:rPr>
                <w:rFonts w:cs="Arial"/>
                <w:color w:val="000000" w:themeColor="text1"/>
                <w:sz w:val="20"/>
              </w:rPr>
              <w:br/>
              <w:t xml:space="preserve">After excluding COVID-19-related deaths — which disproportionately affected </w:t>
            </w:r>
            <w:r w:rsidRPr="00CC6553">
              <w:rPr>
                <w:rFonts w:cs="Arial"/>
                <w:color w:val="000000" w:themeColor="text1"/>
                <w:sz w:val="20"/>
              </w:rPr>
              <w:lastRenderedPageBreak/>
              <w:t>older patients — the effect of HIC remained comparable in younger and older populations (adjusted HR for older patients: 0.63 [95% CI 0.38–1.02]; interaction p=0.56), confirming the robustness of the benefit across age.</w:t>
            </w:r>
            <w:r w:rsidRPr="00CC6553">
              <w:rPr>
                <w:rFonts w:cs="Arial"/>
                <w:color w:val="000000" w:themeColor="text1"/>
                <w:sz w:val="20"/>
              </w:rPr>
              <w:br/>
            </w:r>
            <w:r w:rsidRPr="00CC6553">
              <w:rPr>
                <w:rFonts w:cs="Arial"/>
                <w:color w:val="000000" w:themeColor="text1"/>
                <w:sz w:val="20"/>
              </w:rPr>
              <w:br/>
              <w:t>Furthermore, older patients achieved similar levels of GDMT optimisation at 90 and 180 days as younger patients, and the safety profile was comparable, with no significant increase in adverse events such as hypotension, hyperkalaemia, or acute kidney injury.</w:t>
            </w:r>
            <w:r w:rsidRPr="00CC6553">
              <w:rPr>
                <w:rFonts w:cs="Arial"/>
                <w:color w:val="000000" w:themeColor="text1"/>
                <w:sz w:val="20"/>
              </w:rPr>
              <w:br/>
            </w:r>
            <w:r w:rsidRPr="00CC6553">
              <w:rPr>
                <w:rFonts w:cs="Arial"/>
                <w:color w:val="000000" w:themeColor="text1"/>
                <w:sz w:val="20"/>
              </w:rPr>
              <w:br/>
              <w:t>These findings counter the assumption that STRONG-HF is only relevant to younger patients and support the applicability of its findings across the age spectrum common in UK CHF care.</w:t>
            </w:r>
            <w:r w:rsidRPr="00CC6553">
              <w:rPr>
                <w:rFonts w:cs="Arial"/>
                <w:color w:val="000000" w:themeColor="text1"/>
                <w:sz w:val="20"/>
              </w:rPr>
              <w:br/>
            </w:r>
            <w:r w:rsidRPr="00CC6553">
              <w:rPr>
                <w:rFonts w:cs="Arial"/>
                <w:color w:val="000000" w:themeColor="text1"/>
                <w:sz w:val="20"/>
              </w:rPr>
              <w:br/>
              <w:t>Arrigo, M., et al. (2023). Safety, tolerability and efficacy of up-titration of guideline-directed medical therapies for acute heart failure in elderly patients: A sub-analysis of the STRONG-HF randomized clinical trial. European Journal of Heart Failure, 25(7), 1145–1155. https://doi.org/10.1002/ejhf.2920</w:t>
            </w:r>
          </w:p>
        </w:tc>
        <w:tc>
          <w:tcPr>
            <w:tcW w:w="2122" w:type="pct"/>
          </w:tcPr>
          <w:p w14:paraId="20E2B56E" w14:textId="71DC4089" w:rsidR="00897293" w:rsidRPr="00CC6553" w:rsidRDefault="00897293" w:rsidP="00B234F1">
            <w:pPr>
              <w:rPr>
                <w:rFonts w:cs="Arial"/>
                <w:color w:val="000000" w:themeColor="text1"/>
                <w:sz w:val="20"/>
              </w:rPr>
            </w:pPr>
            <w:r w:rsidRPr="00CC6553">
              <w:rPr>
                <w:rFonts w:cs="Arial"/>
                <w:color w:val="000000" w:themeColor="text1"/>
                <w:sz w:val="20"/>
              </w:rPr>
              <w:lastRenderedPageBreak/>
              <w:t xml:space="preserve">Arrigo 2023 was considered for inclusion in Evidence Review A and excluded because it was a secondary study of STRONG-HF that did not provide any further information relevant to the protocol. Please note, the protocol pre-specified an age-based subgroup of interest using 75 years as a cut-off. As indicated in Arrigo 2023 only 196 participants were enrolled age &gt;75 </w:t>
            </w:r>
            <w:r w:rsidRPr="00CC6553">
              <w:rPr>
                <w:rFonts w:cs="Arial"/>
                <w:color w:val="000000" w:themeColor="text1"/>
                <w:sz w:val="20"/>
              </w:rPr>
              <w:lastRenderedPageBreak/>
              <w:t xml:space="preserve">years. To meet the protocol, a subgroup with LVEF ≤40% and age &gt;75 years would need to have been reported; this was not available in Arrigo 2023. Therefore this secondary publication of STRONG-HF did not meet the inclusion criteria of this review (please see appendix A for the evidence review protocol).  </w:t>
            </w:r>
          </w:p>
          <w:p w14:paraId="3CDB6C4D" w14:textId="0CDE2531" w:rsidR="00897293" w:rsidRPr="00CC6553" w:rsidRDefault="00897293" w:rsidP="00B234F1">
            <w:pPr>
              <w:rPr>
                <w:rFonts w:cs="Arial"/>
                <w:color w:val="000000" w:themeColor="text1"/>
                <w:sz w:val="20"/>
              </w:rPr>
            </w:pPr>
            <w:r w:rsidRPr="00CC6553">
              <w:rPr>
                <w:rFonts w:cs="Arial"/>
                <w:color w:val="000000" w:themeColor="text1"/>
                <w:sz w:val="20"/>
              </w:rPr>
              <w:t>The age of study participants has been noted by the committee as a limitation of the evidence provided by STRONG-HF as well as all evidence assessed in Evidence Review A; this general limitation has been noted in the committee’s comments outlined on page 56.</w:t>
            </w:r>
          </w:p>
        </w:tc>
      </w:tr>
      <w:tr w:rsidR="00897293" w:rsidRPr="00CC6553" w14:paraId="14688A87" w14:textId="77777777" w:rsidTr="00897293">
        <w:trPr>
          <w:trHeight w:val="300"/>
        </w:trPr>
        <w:tc>
          <w:tcPr>
            <w:tcW w:w="109" w:type="pct"/>
          </w:tcPr>
          <w:p w14:paraId="6E223032"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346</w:t>
            </w:r>
          </w:p>
        </w:tc>
        <w:tc>
          <w:tcPr>
            <w:tcW w:w="143" w:type="pct"/>
          </w:tcPr>
          <w:p w14:paraId="309FE1A1" w14:textId="2066A9CB"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009FB3E3" w14:textId="1D8C9010" w:rsidR="00897293" w:rsidRPr="00CC6553" w:rsidRDefault="00897293" w:rsidP="00B234F1">
            <w:pPr>
              <w:rPr>
                <w:rFonts w:cs="Arial"/>
                <w:bCs/>
                <w:iCs/>
                <w:color w:val="000000" w:themeColor="text1"/>
                <w:sz w:val="20"/>
              </w:rPr>
            </w:pPr>
            <w:r w:rsidRPr="00CC6553">
              <w:rPr>
                <w:rFonts w:cs="Arial"/>
                <w:color w:val="000000" w:themeColor="text1"/>
                <w:sz w:val="20"/>
              </w:rPr>
              <w:t>Roche Diagnostics Limited</w:t>
            </w:r>
          </w:p>
        </w:tc>
        <w:tc>
          <w:tcPr>
            <w:tcW w:w="279" w:type="pct"/>
          </w:tcPr>
          <w:p w14:paraId="09C4A924" w14:textId="347F7BF2" w:rsidR="00897293" w:rsidRPr="00CC6553" w:rsidRDefault="00897293" w:rsidP="00B234F1">
            <w:pPr>
              <w:rPr>
                <w:rFonts w:cs="Arial"/>
                <w:color w:val="000000" w:themeColor="text1"/>
                <w:sz w:val="20"/>
              </w:rPr>
            </w:pPr>
            <w:r w:rsidRPr="00CC6553">
              <w:rPr>
                <w:rFonts w:cs="Arial"/>
                <w:color w:val="000000" w:themeColor="text1"/>
                <w:sz w:val="20"/>
              </w:rPr>
              <w:t>Evidence review A</w:t>
            </w:r>
          </w:p>
        </w:tc>
        <w:tc>
          <w:tcPr>
            <w:tcW w:w="214" w:type="pct"/>
          </w:tcPr>
          <w:p w14:paraId="58997ADB" w14:textId="19C2CD5B" w:rsidR="00897293" w:rsidRPr="00CC6553" w:rsidRDefault="00897293" w:rsidP="00B234F1">
            <w:pPr>
              <w:rPr>
                <w:rFonts w:cs="Arial"/>
                <w:color w:val="000000" w:themeColor="text1"/>
                <w:sz w:val="20"/>
              </w:rPr>
            </w:pPr>
            <w:r w:rsidRPr="00CC6553">
              <w:rPr>
                <w:rFonts w:cs="Arial"/>
                <w:color w:val="000000" w:themeColor="text1"/>
                <w:sz w:val="20"/>
              </w:rPr>
              <w:t>057</w:t>
            </w:r>
          </w:p>
        </w:tc>
        <w:tc>
          <w:tcPr>
            <w:tcW w:w="214" w:type="pct"/>
          </w:tcPr>
          <w:p w14:paraId="130B126B" w14:textId="614CD8C0" w:rsidR="00897293" w:rsidRPr="00CC6553" w:rsidRDefault="00897293" w:rsidP="00B234F1">
            <w:pPr>
              <w:rPr>
                <w:rFonts w:cs="Arial"/>
                <w:color w:val="000000" w:themeColor="text1"/>
                <w:sz w:val="20"/>
              </w:rPr>
            </w:pPr>
            <w:r w:rsidRPr="00CC6553">
              <w:rPr>
                <w:rFonts w:cs="Arial"/>
                <w:color w:val="000000" w:themeColor="text1"/>
                <w:sz w:val="20"/>
              </w:rPr>
              <w:t>005 - 008</w:t>
            </w:r>
          </w:p>
        </w:tc>
        <w:tc>
          <w:tcPr>
            <w:tcW w:w="1521" w:type="pct"/>
          </w:tcPr>
          <w:p w14:paraId="2ACE4F6A" w14:textId="5C241C88" w:rsidR="00897293" w:rsidRPr="00CC6553" w:rsidRDefault="00897293" w:rsidP="00B234F1">
            <w:pPr>
              <w:rPr>
                <w:rFonts w:cs="Arial"/>
                <w:color w:val="000000" w:themeColor="text1"/>
                <w:sz w:val="20"/>
              </w:rPr>
            </w:pPr>
            <w:r w:rsidRPr="00CC6553">
              <w:rPr>
                <w:rFonts w:cs="Arial"/>
                <w:color w:val="000000" w:themeColor="text1"/>
                <w:sz w:val="20"/>
              </w:rPr>
              <w:t>Roche wish to highlight that the ESC 2023 Guidelines for the management of acute heart failure have incorporated STRONG-HF into a Class I, Level of Evidence B recommendation, based on the same dataset evaluated as part of this consultation (1).</w:t>
            </w:r>
            <w:r w:rsidRPr="00CC6553">
              <w:rPr>
                <w:rFonts w:cs="Arial"/>
                <w:color w:val="000000" w:themeColor="text1"/>
                <w:sz w:val="20"/>
              </w:rPr>
              <w:br/>
            </w:r>
            <w:r w:rsidRPr="00CC6553">
              <w:rPr>
                <w:rFonts w:cs="Arial"/>
                <w:color w:val="000000" w:themeColor="text1"/>
                <w:sz w:val="20"/>
              </w:rPr>
              <w:br/>
              <w:t>The ESC explicitly recommends a strategy of rapid initiation and up-titration of GDMT before and shortly after hospital discharge, supported by structured follow-up — precisely the approach tested in STRONG-HF.</w:t>
            </w:r>
            <w:r w:rsidRPr="00CC6553">
              <w:rPr>
                <w:rFonts w:cs="Arial"/>
                <w:color w:val="000000" w:themeColor="text1"/>
                <w:sz w:val="20"/>
              </w:rPr>
              <w:br/>
            </w:r>
            <w:r w:rsidRPr="00CC6553">
              <w:rPr>
                <w:rFonts w:cs="Arial"/>
                <w:color w:val="000000" w:themeColor="text1"/>
                <w:sz w:val="20"/>
              </w:rPr>
              <w:br/>
              <w:t>While NICE raises concerns about uncertainty in the estimates, it is important to emphasise that STRONG-HF is a prospective, multicentre randomised controlled trial that showed a statistically and clinically significant reduction in its primary endpoint (180-day all-cause death or HF readmission, p = 0.0021) (2).</w:t>
            </w:r>
            <w:r w:rsidRPr="00CC6553">
              <w:rPr>
                <w:rFonts w:cs="Arial"/>
                <w:color w:val="000000" w:themeColor="text1"/>
                <w:sz w:val="20"/>
              </w:rPr>
              <w:br/>
            </w:r>
            <w:r w:rsidRPr="00CC6553">
              <w:rPr>
                <w:rFonts w:cs="Arial"/>
                <w:color w:val="000000" w:themeColor="text1"/>
                <w:sz w:val="20"/>
              </w:rPr>
              <w:br/>
              <w:t xml:space="preserve">Furthermore, the consistency of benefit across subgroups and endpoints, and the </w:t>
            </w:r>
            <w:r w:rsidRPr="00CC6553">
              <w:rPr>
                <w:rFonts w:cs="Arial"/>
                <w:color w:val="000000" w:themeColor="text1"/>
                <w:sz w:val="20"/>
              </w:rPr>
              <w:lastRenderedPageBreak/>
              <w:t>lack of a signal for increased harm, strongly support the reliability of the effect observed — particularly for HF hospitalisation, where the absolute risk reduction was substantial (46 fewer events per 1,000 patients).</w:t>
            </w:r>
            <w:r w:rsidRPr="00CC6553">
              <w:rPr>
                <w:rFonts w:cs="Arial"/>
                <w:color w:val="000000" w:themeColor="text1"/>
                <w:sz w:val="20"/>
              </w:rPr>
              <w:br/>
            </w:r>
            <w:r w:rsidRPr="00CC6553">
              <w:rPr>
                <w:rFonts w:cs="Arial"/>
                <w:color w:val="000000" w:themeColor="text1"/>
                <w:sz w:val="20"/>
              </w:rPr>
              <w:br/>
              <w:t>In line with the ESC's endorsement, we urge NICE to reconsider this position and to acknowledge that the current evidence justifies supporting rapid post-discharge optimisation as a viable and beneficial clinical strategy.</w:t>
            </w:r>
            <w:r w:rsidRPr="00CC6553">
              <w:rPr>
                <w:rFonts w:cs="Arial"/>
                <w:color w:val="000000" w:themeColor="text1"/>
                <w:sz w:val="20"/>
              </w:rPr>
              <w:br/>
            </w:r>
            <w:r w:rsidRPr="00CC6553">
              <w:rPr>
                <w:rFonts w:cs="Arial"/>
                <w:color w:val="000000" w:themeColor="text1"/>
                <w:sz w:val="20"/>
              </w:rPr>
              <w:br/>
              <w:t>Furthermore, the ongoing generation of UK real-world evidence, reflecting implementation across multiple NHS sites, should be actively considered, as it will provide valuable insights into the impact of the STRONG-HF pathway within the NHS context.</w:t>
            </w:r>
            <w:r w:rsidRPr="00CC6553">
              <w:rPr>
                <w:rFonts w:cs="Arial"/>
                <w:color w:val="000000" w:themeColor="text1"/>
                <w:sz w:val="20"/>
              </w:rPr>
              <w:br/>
              <w:t>European Society of Cardiology. (2023) 2023 Focused Update of the 2021 ESC Guidelines for the diagnosis and treatment of acute and chronic heart failure. ESC Clinical Practice Guidelines. https://www.escardio.org/Guidelines/Clinical-Practice-Guidelines/Focused-Update-on-Heart-Failure-Guidelines</w:t>
            </w:r>
            <w:r w:rsidRPr="00CC6553">
              <w:rPr>
                <w:rFonts w:cs="Arial"/>
                <w:color w:val="000000" w:themeColor="text1"/>
                <w:sz w:val="20"/>
              </w:rPr>
              <w:br/>
              <w:t>Mebazaa et al. (2022) Safety, tolerability, and efficacy of up-titration of guideline-directed medical therapies for acute heart failure (STRONG-HF): a multinational, open-label, randomised trial. The Lancet, 400(10361), pp. 1–12. https://doi.org/10.1016/S0140-6736(22)02076-1</w:t>
            </w:r>
          </w:p>
        </w:tc>
        <w:tc>
          <w:tcPr>
            <w:tcW w:w="2122" w:type="pct"/>
          </w:tcPr>
          <w:p w14:paraId="024E8955" w14:textId="448133B3" w:rsidR="00897293" w:rsidRPr="00CC6553" w:rsidRDefault="00897293" w:rsidP="00B234F1">
            <w:pPr>
              <w:pStyle w:val="Heading1"/>
              <w:rPr>
                <w:rFonts w:cs="Arial"/>
                <w:b w:val="0"/>
                <w:bCs w:val="0"/>
                <w:color w:val="000000" w:themeColor="text1"/>
                <w:sz w:val="20"/>
              </w:rPr>
            </w:pPr>
            <w:r w:rsidRPr="00CC6553">
              <w:rPr>
                <w:rFonts w:cs="Arial"/>
                <w:b w:val="0"/>
                <w:bCs w:val="0"/>
                <w:color w:val="000000" w:themeColor="text1"/>
                <w:sz w:val="20"/>
              </w:rPr>
              <w:lastRenderedPageBreak/>
              <w:t>Thank-you for your comments on STRONG-HF.</w:t>
            </w:r>
          </w:p>
          <w:p w14:paraId="427BF32F" w14:textId="77777777" w:rsidR="00897293" w:rsidRPr="00CC6553" w:rsidRDefault="00897293" w:rsidP="00B234F1">
            <w:pPr>
              <w:rPr>
                <w:color w:val="000000" w:themeColor="text1"/>
              </w:rPr>
            </w:pPr>
          </w:p>
          <w:p w14:paraId="6975F09B" w14:textId="33CF40BD" w:rsidR="00897293" w:rsidRPr="00CC6553" w:rsidRDefault="00897293" w:rsidP="00B234F1">
            <w:pPr>
              <w:rPr>
                <w:rFonts w:cs="Arial"/>
                <w:color w:val="000000" w:themeColor="text1"/>
                <w:sz w:val="20"/>
              </w:rPr>
            </w:pPr>
            <w:r w:rsidRPr="00CC6553">
              <w:rPr>
                <w:rFonts w:cs="Arial"/>
                <w:color w:val="000000" w:themeColor="text1"/>
                <w:sz w:val="20"/>
              </w:rPr>
              <w:t>Thank-you for highlighting the ESC 2023 guidelines; however, these are focussed on acute heart failure, whereas the NICE guideline is focussed on chronic heart failure.</w:t>
            </w:r>
          </w:p>
          <w:p w14:paraId="300FFB42" w14:textId="797723AE" w:rsidR="00897293" w:rsidRPr="00CC6553" w:rsidRDefault="00897293" w:rsidP="00B234F1">
            <w:pPr>
              <w:rPr>
                <w:rFonts w:cs="Arial"/>
                <w:color w:val="000000" w:themeColor="text1"/>
                <w:sz w:val="20"/>
              </w:rPr>
            </w:pPr>
          </w:p>
          <w:p w14:paraId="1A5D268F" w14:textId="21BBE216" w:rsidR="00897293" w:rsidRPr="00CC6553" w:rsidRDefault="00897293" w:rsidP="00B234F1">
            <w:pPr>
              <w:rPr>
                <w:rFonts w:eastAsia="Arial" w:cs="Arial"/>
                <w:color w:val="000000" w:themeColor="text1"/>
                <w:sz w:val="20"/>
              </w:rPr>
            </w:pPr>
            <w:r w:rsidRPr="00CC6553">
              <w:rPr>
                <w:rFonts w:cs="Arial"/>
                <w:color w:val="000000" w:themeColor="text1"/>
                <w:sz w:val="20"/>
              </w:rPr>
              <w:t xml:space="preserve">The STRONG-HF trial has been considered in evidence review A. The study’s primary endpoint did not meet the evidence review protocol as it is a composite outcome. Instead, the committee considered </w:t>
            </w:r>
            <w:r w:rsidRPr="00CC6553">
              <w:rPr>
                <w:rFonts w:cs="Arial"/>
                <w:color w:val="000000" w:themeColor="text1"/>
                <w:sz w:val="20"/>
              </w:rPr>
              <w:lastRenderedPageBreak/>
              <w:t>evidence from STRONG-HF on mortality and hospitalisation outcomes separately. Certainty of the evidence was assessed using GRADE in accordance with the NICE manual. The committee noted the benefit for all-cause mortality, cardiovascular mortality and heart failure hospitalisation outcomes, but felt uncertainty in the findings due to imprecision and indirectness (leading to ratings of very low and low in GRADE) reduced their confidence in the findings. The direction of effect for adverse events also favoured usual care. Whilst the mortality and hospitalisation outcome data is suggestive of a benefit, these other factors precluded the committee from making a specific direct recommendation based on STRONG-HF. Nevertheless, the committee</w:t>
            </w:r>
            <w:r w:rsidRPr="00CC6553">
              <w:rPr>
                <w:rFonts w:eastAsia="Arial" w:cs="Arial"/>
                <w:color w:val="000000" w:themeColor="text1"/>
                <w:sz w:val="20"/>
              </w:rPr>
              <w:t xml:space="preserve"> acknowledge the value of a rapid optimisation model (based on STRONG-HF) in some circumstances. Therefore, a sentence has been added to section 1.1.12.3 of evidence repo</w:t>
            </w:r>
            <w:r w:rsidRPr="00CC6553">
              <w:rPr>
                <w:rFonts w:cs="Arial"/>
                <w:color w:val="000000" w:themeColor="text1"/>
                <w:sz w:val="20"/>
              </w:rPr>
              <w:t xml:space="preserve">rt A: However, the committee’s final recommendations (recommendations 1.4.1 to 1.4.4 and </w:t>
            </w:r>
            <w:r w:rsidRPr="00CC6553">
              <w:rPr>
                <w:rFonts w:cs="Arial"/>
                <w:color w:val="000000" w:themeColor="text1"/>
                <w:sz w:val="20"/>
              </w:rPr>
              <w:lastRenderedPageBreak/>
              <w:t>1.5.1 to 1.5.3) do not preclude a rapid optimisation approach in appropriate circumstances, if the resources to support this approach are available.</w:t>
            </w:r>
          </w:p>
          <w:p w14:paraId="282BD777" w14:textId="029CF187" w:rsidR="00897293" w:rsidRPr="00CC6553" w:rsidRDefault="00897293" w:rsidP="00B234F1">
            <w:pPr>
              <w:rPr>
                <w:rFonts w:cs="Arial"/>
                <w:color w:val="000000" w:themeColor="text1"/>
                <w:sz w:val="20"/>
              </w:rPr>
            </w:pPr>
            <w:r w:rsidRPr="00CC6553">
              <w:rPr>
                <w:rFonts w:cs="Arial"/>
                <w:color w:val="000000" w:themeColor="text1"/>
                <w:sz w:val="20"/>
              </w:rPr>
              <w:t xml:space="preserve"> </w:t>
            </w:r>
          </w:p>
          <w:p w14:paraId="4E909422" w14:textId="54829101" w:rsidR="00897293" w:rsidRPr="00CC6553" w:rsidRDefault="00897293" w:rsidP="00B234F1">
            <w:pPr>
              <w:spacing w:line="259" w:lineRule="auto"/>
              <w:rPr>
                <w:rFonts w:cs="Arial"/>
                <w:color w:val="000000" w:themeColor="text1"/>
                <w:sz w:val="20"/>
              </w:rPr>
            </w:pPr>
          </w:p>
          <w:p w14:paraId="47C9665B" w14:textId="4F6AD413" w:rsidR="00897293" w:rsidRPr="00CC6553" w:rsidRDefault="00897293" w:rsidP="476BDDBF">
            <w:pPr>
              <w:spacing w:line="259" w:lineRule="auto"/>
              <w:rPr>
                <w:rFonts w:cs="Arial"/>
                <w:color w:val="000000" w:themeColor="text1"/>
                <w:sz w:val="20"/>
              </w:rPr>
            </w:pPr>
            <w:r w:rsidRPr="00CC6553">
              <w:rPr>
                <w:rFonts w:cs="Arial"/>
                <w:color w:val="000000" w:themeColor="text1"/>
                <w:sz w:val="20"/>
              </w:rPr>
              <w:t>Thank you for highlighting this real-world evaluation activity. The review protocol for this update specified that only randomised trial data would be included as this provides the most robust source of data for comparing interventions. Updates to the guideline may be considered as new evidence becomes available, including real world evidence.</w:t>
            </w:r>
          </w:p>
        </w:tc>
      </w:tr>
      <w:tr w:rsidR="00897293" w:rsidRPr="00CC6553" w14:paraId="3FE268C7" w14:textId="77777777" w:rsidTr="00897293">
        <w:trPr>
          <w:trHeight w:val="300"/>
        </w:trPr>
        <w:tc>
          <w:tcPr>
            <w:tcW w:w="109" w:type="pct"/>
          </w:tcPr>
          <w:p w14:paraId="09970BE0"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347</w:t>
            </w:r>
          </w:p>
        </w:tc>
        <w:tc>
          <w:tcPr>
            <w:tcW w:w="143" w:type="pct"/>
          </w:tcPr>
          <w:p w14:paraId="02AF5803" w14:textId="706784FD"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BD01115" w14:textId="4E65DA37" w:rsidR="00897293" w:rsidRPr="00CC6553" w:rsidRDefault="00897293" w:rsidP="00B234F1">
            <w:pPr>
              <w:rPr>
                <w:rFonts w:cs="Arial"/>
                <w:bCs/>
                <w:iCs/>
                <w:color w:val="000000" w:themeColor="text1"/>
                <w:sz w:val="20"/>
              </w:rPr>
            </w:pPr>
            <w:r w:rsidRPr="00CC6553">
              <w:rPr>
                <w:rFonts w:cs="Arial"/>
                <w:color w:val="000000" w:themeColor="text1"/>
                <w:sz w:val="20"/>
              </w:rPr>
              <w:t>NHS Devon ICB</w:t>
            </w:r>
          </w:p>
        </w:tc>
        <w:tc>
          <w:tcPr>
            <w:tcW w:w="279" w:type="pct"/>
          </w:tcPr>
          <w:p w14:paraId="182C09A2" w14:textId="34715702" w:rsidR="00897293" w:rsidRPr="00CC6553" w:rsidRDefault="00897293" w:rsidP="00B234F1">
            <w:pPr>
              <w:rPr>
                <w:rFonts w:cs="Arial"/>
                <w:color w:val="000000" w:themeColor="text1"/>
                <w:sz w:val="20"/>
              </w:rPr>
            </w:pPr>
            <w:r w:rsidRPr="00CC6553">
              <w:rPr>
                <w:rFonts w:cs="Arial"/>
                <w:color w:val="000000" w:themeColor="text1"/>
                <w:sz w:val="20"/>
              </w:rPr>
              <w:t>Evidence review A</w:t>
            </w:r>
          </w:p>
        </w:tc>
        <w:tc>
          <w:tcPr>
            <w:tcW w:w="214" w:type="pct"/>
          </w:tcPr>
          <w:p w14:paraId="6C7A3C67" w14:textId="7B23B832" w:rsidR="00897293" w:rsidRPr="00CC6553" w:rsidRDefault="00897293" w:rsidP="00B234F1">
            <w:pPr>
              <w:rPr>
                <w:rFonts w:cs="Arial"/>
                <w:color w:val="000000" w:themeColor="text1"/>
                <w:sz w:val="20"/>
              </w:rPr>
            </w:pPr>
            <w:r w:rsidRPr="00CC6553">
              <w:rPr>
                <w:rFonts w:cs="Arial"/>
                <w:color w:val="000000" w:themeColor="text1"/>
                <w:sz w:val="20"/>
              </w:rPr>
              <w:t>063</w:t>
            </w:r>
          </w:p>
        </w:tc>
        <w:tc>
          <w:tcPr>
            <w:tcW w:w="214" w:type="pct"/>
          </w:tcPr>
          <w:p w14:paraId="286C303C" w14:textId="245E5984" w:rsidR="00897293" w:rsidRPr="00CC6553" w:rsidRDefault="00897293" w:rsidP="00B234F1">
            <w:pPr>
              <w:rPr>
                <w:rFonts w:cs="Arial"/>
                <w:color w:val="000000" w:themeColor="text1"/>
                <w:sz w:val="20"/>
              </w:rPr>
            </w:pPr>
            <w:r w:rsidRPr="00CC6553">
              <w:rPr>
                <w:rFonts w:cs="Arial"/>
                <w:color w:val="000000" w:themeColor="text1"/>
                <w:sz w:val="20"/>
              </w:rPr>
              <w:t>006</w:t>
            </w:r>
          </w:p>
        </w:tc>
        <w:tc>
          <w:tcPr>
            <w:tcW w:w="1521" w:type="pct"/>
          </w:tcPr>
          <w:p w14:paraId="5983282A" w14:textId="11D44466" w:rsidR="00897293" w:rsidRPr="00CC6553" w:rsidRDefault="00897293" w:rsidP="00B234F1">
            <w:pPr>
              <w:rPr>
                <w:rFonts w:cs="Arial"/>
                <w:color w:val="000000" w:themeColor="text1"/>
                <w:sz w:val="20"/>
              </w:rPr>
            </w:pPr>
            <w:r w:rsidRPr="00CC6553">
              <w:rPr>
                <w:rFonts w:cs="Arial"/>
                <w:color w:val="000000" w:themeColor="text1"/>
                <w:sz w:val="20"/>
              </w:rPr>
              <w:t>With reference to: ‘The committee raised concerns that, in current practice, both ARNI and SGLT2 inhibitor are only prescribed by heart failure specialists, which can be a barrier for people to access these medications’</w:t>
            </w:r>
            <w:r w:rsidRPr="00CC6553">
              <w:rPr>
                <w:rFonts w:cs="Arial"/>
                <w:color w:val="000000" w:themeColor="text1"/>
                <w:sz w:val="20"/>
              </w:rPr>
              <w:br/>
              <w:t>This statement is incorrect. SGLT2 inhibitors are recommended on the advice of a heart failure specialist under TA679, TA773, TA929 and TA902. Under NICE guidance NG28 (Management of type 2 diabetes mellitus) recommendation 1.7.5, a GP may start a SGLT2 inhibitor for chronic heart failure in a type 2 diabetes patient without seeking advice from a heart failure specialist.</w:t>
            </w:r>
          </w:p>
        </w:tc>
        <w:tc>
          <w:tcPr>
            <w:tcW w:w="2122" w:type="pct"/>
          </w:tcPr>
          <w:p w14:paraId="17A8C035" w14:textId="7B16E1EA" w:rsidR="00897293" w:rsidRPr="00CC6553" w:rsidRDefault="00897293" w:rsidP="00B234F1">
            <w:pPr>
              <w:rPr>
                <w:color w:val="000000" w:themeColor="text1"/>
              </w:rPr>
            </w:pPr>
            <w:r w:rsidRPr="00CC6553">
              <w:rPr>
                <w:color w:val="000000" w:themeColor="text1"/>
                <w:sz w:val="20"/>
              </w:rPr>
              <w:t>Thank-you for raising this. Wording in evidence review A has been amended to provide further clarity on prescribing of ARNI and SGLT2 and no longer state that the latter are either currently prescribed on the advice of a specialist or that this is required.</w:t>
            </w:r>
          </w:p>
        </w:tc>
      </w:tr>
      <w:tr w:rsidR="00897293" w:rsidRPr="00CC6553" w14:paraId="67751C8C" w14:textId="77777777" w:rsidTr="00897293">
        <w:trPr>
          <w:trHeight w:val="300"/>
        </w:trPr>
        <w:tc>
          <w:tcPr>
            <w:tcW w:w="109" w:type="pct"/>
          </w:tcPr>
          <w:p w14:paraId="6BDA649F" w14:textId="77777777" w:rsidR="00897293" w:rsidRPr="00CC6553" w:rsidRDefault="00897293" w:rsidP="00B234F1">
            <w:pPr>
              <w:rPr>
                <w:rFonts w:cs="Arial"/>
                <w:color w:val="000000" w:themeColor="text1"/>
                <w:sz w:val="20"/>
              </w:rPr>
            </w:pPr>
            <w:r w:rsidRPr="00CC6553">
              <w:rPr>
                <w:rFonts w:cs="Arial"/>
                <w:color w:val="000000" w:themeColor="text1"/>
                <w:sz w:val="20"/>
              </w:rPr>
              <w:t>348</w:t>
            </w:r>
          </w:p>
        </w:tc>
        <w:tc>
          <w:tcPr>
            <w:tcW w:w="143" w:type="pct"/>
          </w:tcPr>
          <w:p w14:paraId="345308CB" w14:textId="675C01F4"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70853646" w14:textId="4FC3EDD8" w:rsidR="00897293" w:rsidRPr="00CC6553" w:rsidRDefault="00897293" w:rsidP="00B234F1">
            <w:pPr>
              <w:rPr>
                <w:rFonts w:cs="Arial"/>
                <w:bCs/>
                <w:iCs/>
                <w:color w:val="000000" w:themeColor="text1"/>
                <w:sz w:val="20"/>
              </w:rPr>
            </w:pPr>
            <w:r w:rsidRPr="00CC6553">
              <w:rPr>
                <w:rFonts w:cs="Arial"/>
                <w:color w:val="000000" w:themeColor="text1"/>
                <w:sz w:val="20"/>
              </w:rPr>
              <w:t>Roche Diagnostics Limited</w:t>
            </w:r>
          </w:p>
        </w:tc>
        <w:tc>
          <w:tcPr>
            <w:tcW w:w="279" w:type="pct"/>
          </w:tcPr>
          <w:p w14:paraId="4180162A" w14:textId="2A884924" w:rsidR="00897293" w:rsidRPr="00CC6553" w:rsidRDefault="00897293" w:rsidP="00B234F1">
            <w:pPr>
              <w:rPr>
                <w:rFonts w:cs="Arial"/>
                <w:color w:val="000000" w:themeColor="text1"/>
                <w:sz w:val="20"/>
              </w:rPr>
            </w:pPr>
            <w:r w:rsidRPr="00CC6553">
              <w:rPr>
                <w:rFonts w:cs="Arial"/>
                <w:color w:val="000000" w:themeColor="text1"/>
                <w:sz w:val="20"/>
              </w:rPr>
              <w:t>Evidence review A</w:t>
            </w:r>
          </w:p>
        </w:tc>
        <w:tc>
          <w:tcPr>
            <w:tcW w:w="214" w:type="pct"/>
          </w:tcPr>
          <w:p w14:paraId="69DF111D" w14:textId="496AC378" w:rsidR="00897293" w:rsidRPr="00CC6553" w:rsidRDefault="00897293" w:rsidP="00B234F1">
            <w:pPr>
              <w:rPr>
                <w:rFonts w:cs="Arial"/>
                <w:color w:val="000000" w:themeColor="text1"/>
                <w:sz w:val="20"/>
              </w:rPr>
            </w:pPr>
            <w:r w:rsidRPr="00CC6553">
              <w:rPr>
                <w:rFonts w:cs="Arial"/>
                <w:color w:val="000000" w:themeColor="text1"/>
                <w:sz w:val="20"/>
              </w:rPr>
              <w:t>063</w:t>
            </w:r>
          </w:p>
        </w:tc>
        <w:tc>
          <w:tcPr>
            <w:tcW w:w="214" w:type="pct"/>
          </w:tcPr>
          <w:p w14:paraId="2DA066CB" w14:textId="1FD9A0D2" w:rsidR="00897293" w:rsidRPr="00CC6553" w:rsidRDefault="00897293" w:rsidP="00B234F1">
            <w:pPr>
              <w:rPr>
                <w:rFonts w:cs="Arial"/>
                <w:color w:val="000000" w:themeColor="text1"/>
                <w:sz w:val="20"/>
              </w:rPr>
            </w:pPr>
            <w:r w:rsidRPr="00CC6553">
              <w:rPr>
                <w:rFonts w:cs="Arial"/>
                <w:color w:val="000000" w:themeColor="text1"/>
                <w:sz w:val="20"/>
              </w:rPr>
              <w:t>036 - 041</w:t>
            </w:r>
          </w:p>
        </w:tc>
        <w:tc>
          <w:tcPr>
            <w:tcW w:w="1521" w:type="pct"/>
          </w:tcPr>
          <w:p w14:paraId="7D944ABD" w14:textId="7AFB640A" w:rsidR="00897293" w:rsidRPr="00CC6553" w:rsidRDefault="00897293" w:rsidP="00B234F1">
            <w:pPr>
              <w:rPr>
                <w:rFonts w:cs="Arial"/>
                <w:color w:val="000000" w:themeColor="text1"/>
                <w:sz w:val="20"/>
              </w:rPr>
            </w:pPr>
            <w:r w:rsidRPr="00CC6553">
              <w:rPr>
                <w:rFonts w:cs="Arial"/>
                <w:color w:val="000000" w:themeColor="text1"/>
                <w:sz w:val="20"/>
              </w:rPr>
              <w:t>Roche wish to highlight that while the STRONG-HF intervention included five additional follow-up contacts, this can be flexibly adapted to local resource settings,  leveraging virtual consultations, primary care follow-up, and HF nurse models already operational in the NHS.</w:t>
            </w:r>
            <w:r w:rsidRPr="00CC6553">
              <w:rPr>
                <w:rFonts w:cs="Arial"/>
                <w:color w:val="000000" w:themeColor="text1"/>
                <w:sz w:val="20"/>
              </w:rPr>
              <w:br/>
            </w:r>
            <w:r w:rsidRPr="00CC6553">
              <w:rPr>
                <w:rFonts w:cs="Arial"/>
                <w:color w:val="000000" w:themeColor="text1"/>
                <w:sz w:val="20"/>
              </w:rPr>
              <w:br/>
              <w:t xml:space="preserve">The several UK sites which are currently participating in the STRONG-HF pathway </w:t>
            </w:r>
            <w:r w:rsidRPr="00CC6553">
              <w:rPr>
                <w:rFonts w:cs="Arial"/>
                <w:color w:val="000000" w:themeColor="text1"/>
                <w:sz w:val="20"/>
              </w:rPr>
              <w:lastRenderedPageBreak/>
              <w:t>implementation are using a mix of in-person, virtual, and primary care-based approaches to ensure feasibility within NHS workflows. We encourage NICE to assess implementation feasibility through stakeholder engagement with UK RWE sites.</w:t>
            </w:r>
            <w:r w:rsidRPr="00CC6553">
              <w:rPr>
                <w:rFonts w:cs="Arial"/>
                <w:color w:val="000000" w:themeColor="text1"/>
                <w:sz w:val="20"/>
              </w:rPr>
              <w:br/>
            </w:r>
            <w:r w:rsidRPr="00CC6553">
              <w:rPr>
                <w:rFonts w:cs="Arial"/>
                <w:color w:val="000000" w:themeColor="text1"/>
                <w:sz w:val="20"/>
              </w:rPr>
              <w:br/>
              <w:t>Roche urges the committee to consider the international evidence supporting the cost-effectiveness of implementing the STRONG-HF pathway. Economic evaluations from the US and China have shown that rapid GDMT optimisation is highly cost-effective, with ICERs well below conventional thresholds (1-2)</w:t>
            </w:r>
            <w:r w:rsidRPr="00CC6553">
              <w:rPr>
                <w:rFonts w:cs="Arial"/>
                <w:color w:val="000000" w:themeColor="text1"/>
                <w:sz w:val="20"/>
              </w:rPr>
              <w:br/>
            </w:r>
            <w:r w:rsidRPr="00CC6553">
              <w:rPr>
                <w:rFonts w:cs="Arial"/>
                <w:color w:val="000000" w:themeColor="text1"/>
                <w:sz w:val="20"/>
              </w:rPr>
              <w:br/>
              <w:t>International implementation experiences have demonstrated adaptability and cost-neutral scaling of the STRONG-HF pathway. Roche wishes to emphasise that the risk of not acting on early heart failure optimisation far outweighs the theoretical resource barrier, since every preventable readmission carries both financial and human burden.</w:t>
            </w:r>
            <w:r w:rsidRPr="00CC6553">
              <w:rPr>
                <w:rFonts w:cs="Arial"/>
                <w:color w:val="000000" w:themeColor="text1"/>
                <w:sz w:val="20"/>
              </w:rPr>
              <w:br/>
              <w:t>Dixit et al. (2023) An economic modeling analysis of an intensive GDMT optimization program in hospitalized heart failure patients. Circulation: Heart Failure, 16(12), e011218. https://pubmed.ncbi.nlm.nih.gov/37929591/</w:t>
            </w:r>
            <w:r w:rsidRPr="00CC6553">
              <w:rPr>
                <w:rFonts w:cs="Arial"/>
                <w:color w:val="000000" w:themeColor="text1"/>
                <w:sz w:val="20"/>
              </w:rPr>
              <w:br/>
              <w:t>Damasceno et al. (2025) Socio</w:t>
            </w:r>
            <w:r w:rsidRPr="00CC6553">
              <w:rPr>
                <w:rFonts w:ascii="Cambria Math" w:hAnsi="Cambria Math" w:cs="Cambria Math"/>
                <w:color w:val="000000" w:themeColor="text1"/>
                <w:sz w:val="20"/>
              </w:rPr>
              <w:t>‐</w:t>
            </w:r>
            <w:r w:rsidRPr="00CC6553">
              <w:rPr>
                <w:rFonts w:cs="Arial"/>
                <w:color w:val="000000" w:themeColor="text1"/>
                <w:sz w:val="20"/>
              </w:rPr>
              <w:t>economic status and the effect of guideline</w:t>
            </w:r>
            <w:r w:rsidRPr="00CC6553">
              <w:rPr>
                <w:rFonts w:ascii="Cambria Math" w:hAnsi="Cambria Math" w:cs="Cambria Math"/>
                <w:color w:val="000000" w:themeColor="text1"/>
                <w:sz w:val="20"/>
              </w:rPr>
              <w:t>‐</w:t>
            </w:r>
            <w:r w:rsidRPr="00CC6553">
              <w:rPr>
                <w:rFonts w:cs="Arial"/>
                <w:color w:val="000000" w:themeColor="text1"/>
                <w:sz w:val="20"/>
              </w:rPr>
              <w:t>directed medical therapy in the STRONG</w:t>
            </w:r>
            <w:r w:rsidRPr="00CC6553">
              <w:rPr>
                <w:rFonts w:ascii="Cambria Math" w:hAnsi="Cambria Math" w:cs="Cambria Math"/>
                <w:color w:val="000000" w:themeColor="text1"/>
                <w:sz w:val="20"/>
              </w:rPr>
              <w:t>‐</w:t>
            </w:r>
            <w:r w:rsidRPr="00CC6553">
              <w:rPr>
                <w:rFonts w:cs="Arial"/>
                <w:color w:val="000000" w:themeColor="text1"/>
                <w:sz w:val="20"/>
              </w:rPr>
              <w:t>HF study. ESC Heart Failure, 12(3), pp.1594–1605. https://pubmed.ncbi.nlm.nih.gov/39938529/</w:t>
            </w:r>
          </w:p>
        </w:tc>
        <w:tc>
          <w:tcPr>
            <w:tcW w:w="2122" w:type="pct"/>
          </w:tcPr>
          <w:p w14:paraId="048489F6" w14:textId="67B7D916" w:rsidR="00897293" w:rsidRPr="00CC6553" w:rsidRDefault="00897293" w:rsidP="00B234F1">
            <w:pPr>
              <w:rPr>
                <w:rFonts w:eastAsia="Arial" w:cs="Arial"/>
                <w:color w:val="000000" w:themeColor="text1"/>
                <w:sz w:val="20"/>
              </w:rPr>
            </w:pPr>
            <w:r w:rsidRPr="00CC6553">
              <w:rPr>
                <w:rFonts w:eastAsia="Arial" w:cs="Arial"/>
                <w:color w:val="000000" w:themeColor="text1"/>
                <w:sz w:val="20"/>
              </w:rPr>
              <w:lastRenderedPageBreak/>
              <w:t xml:space="preserve">Thank-you for your comments on STRONG-HF, To acknowledge the value of a rapid optimisation model (based on STRONG-HF) in some circumstances, a sentence has been added to section 1.1.12.3 of </w:t>
            </w:r>
            <w:r w:rsidRPr="00CC6553">
              <w:rPr>
                <w:rFonts w:eastAsia="Arial" w:cs="Arial"/>
                <w:color w:val="000000" w:themeColor="text1"/>
                <w:sz w:val="20"/>
              </w:rPr>
              <w:lastRenderedPageBreak/>
              <w:t>evidence repo</w:t>
            </w:r>
            <w:r w:rsidRPr="00CC6553">
              <w:rPr>
                <w:rFonts w:cs="Arial"/>
                <w:color w:val="000000" w:themeColor="text1"/>
                <w:sz w:val="20"/>
              </w:rPr>
              <w:t>rt A: However, the committee’s final recommendations (recommendations 1.4.1 to 1.4.4 and 1.5.1 to 1.5.3) do not preclude a rapid optimisation approach in appropriate circumstances, if the resources to support this approach are available.</w:t>
            </w:r>
          </w:p>
          <w:p w14:paraId="50C07B1C" w14:textId="2ABAF1AD" w:rsidR="00897293" w:rsidRPr="00CC6553" w:rsidRDefault="00897293" w:rsidP="00B234F1">
            <w:pPr>
              <w:rPr>
                <w:color w:val="000000" w:themeColor="text1"/>
              </w:rPr>
            </w:pPr>
          </w:p>
          <w:p w14:paraId="59DF1BAE" w14:textId="6622AE23" w:rsidR="00897293" w:rsidRPr="00CC6553" w:rsidRDefault="00897293" w:rsidP="476BDDBF">
            <w:pPr>
              <w:spacing w:line="259" w:lineRule="auto"/>
              <w:rPr>
                <w:rFonts w:cs="Arial"/>
                <w:color w:val="000000" w:themeColor="text1"/>
                <w:sz w:val="20"/>
              </w:rPr>
            </w:pPr>
            <w:r w:rsidRPr="00CC6553">
              <w:rPr>
                <w:rFonts w:cs="Arial"/>
                <w:color w:val="000000" w:themeColor="text1"/>
                <w:sz w:val="20"/>
              </w:rPr>
              <w:t>Thank you for highlighting this real-world evaluation activity. The review protocol for this update specified that only randomised trial data would be included as this provides the most robust source of data for comparing interventions. Updates to the guideline may be considered as new evidence becomes available, including real world evidence.</w:t>
            </w:r>
          </w:p>
          <w:p w14:paraId="63D16927" w14:textId="71C62750" w:rsidR="00897293" w:rsidRPr="00CC6553" w:rsidRDefault="00897293" w:rsidP="00B234F1">
            <w:pPr>
              <w:spacing w:line="259" w:lineRule="auto"/>
              <w:rPr>
                <w:rFonts w:cs="Arial"/>
                <w:color w:val="000000" w:themeColor="text1"/>
                <w:sz w:val="20"/>
              </w:rPr>
            </w:pPr>
          </w:p>
          <w:p w14:paraId="7ED47E4B" w14:textId="303F7CB9" w:rsidR="00897293" w:rsidRPr="00CC6553" w:rsidRDefault="00897293" w:rsidP="00B234F1">
            <w:pPr>
              <w:rPr>
                <w:color w:val="000000" w:themeColor="text1"/>
              </w:rPr>
            </w:pPr>
            <w:r w:rsidRPr="00CC6553">
              <w:rPr>
                <w:rFonts w:cs="Arial"/>
                <w:color w:val="000000" w:themeColor="text1"/>
                <w:sz w:val="20"/>
              </w:rPr>
              <w:t xml:space="preserve">Thank you for highlighting this cost-effectiveness evidence. The review protocol for this update specified that cost-effectiveness studies from the US and non-OECD countries would not be included. Due to the large differences in the structure and costs associated with these health care systems compared to the UK, the cost-effectiveness conclusions from studies based in the US and China </w:t>
            </w:r>
            <w:r w:rsidRPr="00CC6553">
              <w:rPr>
                <w:rFonts w:cs="Arial"/>
                <w:color w:val="000000" w:themeColor="text1"/>
                <w:sz w:val="20"/>
              </w:rPr>
              <w:lastRenderedPageBreak/>
              <w:t>were judged to be not applicable to the UK.</w:t>
            </w:r>
          </w:p>
          <w:p w14:paraId="02C8F0AF" w14:textId="77777777" w:rsidR="00897293" w:rsidRPr="00CC6553" w:rsidRDefault="00897293" w:rsidP="00B234F1">
            <w:pPr>
              <w:rPr>
                <w:color w:val="000000" w:themeColor="text1"/>
              </w:rPr>
            </w:pPr>
          </w:p>
          <w:p w14:paraId="3D04426D" w14:textId="6EFE1E03" w:rsidR="00897293" w:rsidRPr="00CC6553" w:rsidRDefault="00897293" w:rsidP="00B234F1">
            <w:pPr>
              <w:rPr>
                <w:color w:val="000000" w:themeColor="text1"/>
              </w:rPr>
            </w:pPr>
          </w:p>
        </w:tc>
      </w:tr>
      <w:tr w:rsidR="00897293" w:rsidRPr="00CC6553" w14:paraId="7710AE97" w14:textId="77777777" w:rsidTr="00897293">
        <w:trPr>
          <w:trHeight w:val="300"/>
        </w:trPr>
        <w:tc>
          <w:tcPr>
            <w:tcW w:w="109" w:type="pct"/>
          </w:tcPr>
          <w:p w14:paraId="12D5159B"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349</w:t>
            </w:r>
          </w:p>
        </w:tc>
        <w:tc>
          <w:tcPr>
            <w:tcW w:w="143" w:type="pct"/>
          </w:tcPr>
          <w:p w14:paraId="13AAA09F" w14:textId="1939C5FA"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3E0A7EA" w14:textId="1750AE23" w:rsidR="00897293" w:rsidRPr="00CC6553" w:rsidRDefault="00897293" w:rsidP="00B234F1">
            <w:pPr>
              <w:rPr>
                <w:rFonts w:cs="Arial"/>
                <w:bCs/>
                <w:iCs/>
                <w:color w:val="000000" w:themeColor="text1"/>
                <w:sz w:val="20"/>
              </w:rPr>
            </w:pPr>
            <w:r w:rsidRPr="00CC6553">
              <w:rPr>
                <w:rFonts w:cs="Arial"/>
                <w:color w:val="000000" w:themeColor="text1"/>
                <w:sz w:val="20"/>
              </w:rPr>
              <w:t>Alliance for Heart Failure</w:t>
            </w:r>
          </w:p>
        </w:tc>
        <w:tc>
          <w:tcPr>
            <w:tcW w:w="279" w:type="pct"/>
          </w:tcPr>
          <w:p w14:paraId="2C967FAB" w14:textId="0D352738" w:rsidR="00897293" w:rsidRPr="00CC6553" w:rsidRDefault="00897293" w:rsidP="00B234F1">
            <w:pPr>
              <w:rPr>
                <w:rFonts w:cs="Arial"/>
                <w:color w:val="000000" w:themeColor="text1"/>
                <w:sz w:val="20"/>
              </w:rPr>
            </w:pPr>
            <w:r w:rsidRPr="00CC6553">
              <w:rPr>
                <w:rFonts w:cs="Arial"/>
                <w:color w:val="000000" w:themeColor="text1"/>
                <w:sz w:val="20"/>
              </w:rPr>
              <w:t>Evidence review A</w:t>
            </w:r>
          </w:p>
        </w:tc>
        <w:tc>
          <w:tcPr>
            <w:tcW w:w="214" w:type="pct"/>
          </w:tcPr>
          <w:p w14:paraId="24AC9DC9" w14:textId="1D966D0D" w:rsidR="00897293" w:rsidRPr="00CC6553" w:rsidRDefault="00897293" w:rsidP="00B234F1">
            <w:pPr>
              <w:rPr>
                <w:rFonts w:cs="Arial"/>
                <w:color w:val="000000" w:themeColor="text1"/>
                <w:sz w:val="20"/>
              </w:rPr>
            </w:pPr>
            <w:r w:rsidRPr="00CC6553">
              <w:rPr>
                <w:rFonts w:cs="Arial"/>
                <w:color w:val="000000" w:themeColor="text1"/>
                <w:sz w:val="20"/>
              </w:rPr>
              <w:t>063</w:t>
            </w:r>
          </w:p>
        </w:tc>
        <w:tc>
          <w:tcPr>
            <w:tcW w:w="214" w:type="pct"/>
          </w:tcPr>
          <w:p w14:paraId="0D2DF99F" w14:textId="2EE2578D" w:rsidR="00897293" w:rsidRPr="00CC6553" w:rsidRDefault="00897293" w:rsidP="00B234F1">
            <w:pPr>
              <w:rPr>
                <w:rFonts w:cs="Arial"/>
                <w:color w:val="000000" w:themeColor="text1"/>
                <w:sz w:val="20"/>
              </w:rPr>
            </w:pPr>
            <w:r w:rsidRPr="00CC6553">
              <w:rPr>
                <w:rFonts w:cs="Arial"/>
                <w:color w:val="000000" w:themeColor="text1"/>
                <w:sz w:val="20"/>
              </w:rPr>
              <w:t>036 - 041</w:t>
            </w:r>
          </w:p>
        </w:tc>
        <w:tc>
          <w:tcPr>
            <w:tcW w:w="1521" w:type="pct"/>
          </w:tcPr>
          <w:p w14:paraId="37CDF4D2" w14:textId="5A3D5C68" w:rsidR="00897293" w:rsidRPr="00CC6553" w:rsidRDefault="00897293" w:rsidP="00B234F1">
            <w:pPr>
              <w:rPr>
                <w:rFonts w:cs="Arial"/>
                <w:color w:val="000000" w:themeColor="text1"/>
                <w:sz w:val="20"/>
              </w:rPr>
            </w:pPr>
            <w:r w:rsidRPr="00CC6553">
              <w:rPr>
                <w:rFonts w:cs="Arial"/>
                <w:color w:val="000000" w:themeColor="text1"/>
                <w:sz w:val="20"/>
              </w:rPr>
              <w:t>From a resource perspective, this was not thought to be achievable in the current UK healthcare system. There was concern about rapid titration without careful monitoring.</w:t>
            </w:r>
            <w:r w:rsidRPr="00CC6553">
              <w:rPr>
                <w:rFonts w:cs="Arial"/>
                <w:color w:val="000000" w:themeColor="text1"/>
                <w:sz w:val="20"/>
              </w:rPr>
              <w:br/>
            </w:r>
            <w:r w:rsidRPr="00CC6553">
              <w:rPr>
                <w:rFonts w:cs="Arial"/>
                <w:color w:val="000000" w:themeColor="text1"/>
                <w:sz w:val="20"/>
              </w:rPr>
              <w:br/>
              <w:t xml:space="preserve">Members of the Alliance wish to highlight that while the STRONG-HF intervention involved five additional follow-up contacts, concerns over resourcing should be reconsidered given its potential to be adapted to local NHS resource settings. </w:t>
            </w:r>
            <w:r w:rsidRPr="00CC6553">
              <w:rPr>
                <w:rFonts w:cs="Arial"/>
                <w:color w:val="000000" w:themeColor="text1"/>
                <w:sz w:val="20"/>
              </w:rPr>
              <w:br/>
            </w:r>
            <w:r w:rsidRPr="00CC6553">
              <w:rPr>
                <w:rFonts w:cs="Arial"/>
                <w:color w:val="000000" w:themeColor="text1"/>
                <w:sz w:val="20"/>
              </w:rPr>
              <w:br/>
              <w:t xml:space="preserve">Sites currently implementing the STRONG-HF pathway in the UK are using a blend of in-person, virtual, and primary care-based follow-up, making use of existing heart failure nurse models and digital infrastructure. This demonstrates that the approach is feasible within current NHS workflows. </w:t>
            </w:r>
            <w:r w:rsidRPr="00CC6553">
              <w:rPr>
                <w:rFonts w:cs="Arial"/>
                <w:color w:val="000000" w:themeColor="text1"/>
                <w:sz w:val="20"/>
              </w:rPr>
              <w:br/>
            </w:r>
            <w:r w:rsidRPr="00CC6553">
              <w:rPr>
                <w:rFonts w:cs="Arial"/>
                <w:color w:val="000000" w:themeColor="text1"/>
                <w:sz w:val="20"/>
              </w:rPr>
              <w:br/>
              <w:t xml:space="preserve">We encourage NICE to engage with these UK real-world evidence (RWE) sites to assess implementation feasibility in practice. </w:t>
            </w:r>
            <w:r w:rsidRPr="00CC6553">
              <w:rPr>
                <w:rFonts w:cs="Arial"/>
                <w:color w:val="000000" w:themeColor="text1"/>
                <w:sz w:val="20"/>
              </w:rPr>
              <w:br/>
            </w:r>
            <w:r w:rsidRPr="00CC6553">
              <w:rPr>
                <w:rFonts w:cs="Arial"/>
                <w:color w:val="000000" w:themeColor="text1"/>
                <w:sz w:val="20"/>
              </w:rPr>
              <w:br/>
              <w:t>International evidence also supports the cost-effectiveness of the STRONG-HF pathway. Evaluations from both the US and China found that rapid GDMT optimisation significantly improves outcomes and is highly cost-effective, with incremental cost-effectiveness ratios (ICERs) well below accepted thresholds. Concerns over resourcing should therefore be reconsidered as part of a broader strategical effort across the health service and primary care to reduce the financial and human burden of preventable readmission.</w:t>
            </w:r>
          </w:p>
        </w:tc>
        <w:tc>
          <w:tcPr>
            <w:tcW w:w="2122" w:type="pct"/>
          </w:tcPr>
          <w:p w14:paraId="40BB980D" w14:textId="60C0BD60" w:rsidR="00897293" w:rsidRPr="00CC6553" w:rsidRDefault="00897293" w:rsidP="00B234F1">
            <w:pPr>
              <w:rPr>
                <w:rFonts w:eastAsia="Arial" w:cs="Arial"/>
                <w:color w:val="000000" w:themeColor="text1"/>
                <w:sz w:val="20"/>
              </w:rPr>
            </w:pPr>
            <w:r w:rsidRPr="00CC6553">
              <w:rPr>
                <w:rFonts w:eastAsia="Arial" w:cs="Arial"/>
                <w:color w:val="000000" w:themeColor="text1"/>
                <w:sz w:val="20"/>
              </w:rPr>
              <w:t>Thank-you for your comments on STRONG-HF. To acknowledge the value of a rapid optimisation model (based on STRONG-HF) in some circumstances if resources allow, a sentence has been added to section 1.1.12.3 of evidence repo</w:t>
            </w:r>
            <w:r w:rsidRPr="00CC6553">
              <w:rPr>
                <w:rFonts w:cs="Arial"/>
                <w:color w:val="000000" w:themeColor="text1"/>
                <w:sz w:val="20"/>
              </w:rPr>
              <w:t>rt A: However, the committee’s final recommendations (recommendations 1.4.1 to 1.4.4 and 1.5.1 to 1.5.3) do not preclude a rapid optimisation approach in appropriate circumstances, if the resources to support this approach are available.</w:t>
            </w:r>
          </w:p>
          <w:p w14:paraId="3594A2E6" w14:textId="0303E484" w:rsidR="00897293" w:rsidRPr="00CC6553" w:rsidRDefault="00897293" w:rsidP="00B234F1">
            <w:pPr>
              <w:rPr>
                <w:color w:val="000000" w:themeColor="text1"/>
              </w:rPr>
            </w:pPr>
          </w:p>
          <w:p w14:paraId="2C1F8A54" w14:textId="6393956F" w:rsidR="00897293" w:rsidRPr="00CC6553" w:rsidRDefault="00897293" w:rsidP="476BDDBF">
            <w:pPr>
              <w:pStyle w:val="Heading1"/>
              <w:rPr>
                <w:rFonts w:cs="Arial"/>
                <w:color w:val="000000" w:themeColor="text1"/>
                <w:sz w:val="20"/>
              </w:rPr>
            </w:pPr>
            <w:r w:rsidRPr="00CC6553">
              <w:rPr>
                <w:rFonts w:eastAsia="Arial" w:cs="Arial"/>
                <w:b w:val="0"/>
                <w:bCs w:val="0"/>
                <w:color w:val="000000" w:themeColor="text1"/>
                <w:sz w:val="20"/>
              </w:rPr>
              <w:t>Thank you for highlighting this real-world evaluation activity. The review protocol for this update specified that only randomised trial data would be included as this provides the most robust source of data for comparing interventions.</w:t>
            </w:r>
            <w:r w:rsidRPr="00CC6553">
              <w:rPr>
                <w:rFonts w:cs="Arial"/>
                <w:b w:val="0"/>
                <w:bCs w:val="0"/>
                <w:color w:val="000000" w:themeColor="text1"/>
                <w:sz w:val="20"/>
              </w:rPr>
              <w:t xml:space="preserve"> </w:t>
            </w:r>
            <w:r w:rsidRPr="00CC6553">
              <w:rPr>
                <w:rFonts w:eastAsia="Arial" w:cs="Arial"/>
                <w:b w:val="0"/>
                <w:bCs w:val="0"/>
                <w:color w:val="000000" w:themeColor="text1"/>
                <w:sz w:val="20"/>
              </w:rPr>
              <w:t xml:space="preserve">Updates to the guideline may be considered as new </w:t>
            </w:r>
            <w:r w:rsidRPr="00CC6553">
              <w:rPr>
                <w:rFonts w:eastAsia="Arial" w:cs="Arial"/>
                <w:b w:val="0"/>
                <w:bCs w:val="0"/>
                <w:color w:val="000000" w:themeColor="text1"/>
                <w:sz w:val="20"/>
              </w:rPr>
              <w:lastRenderedPageBreak/>
              <w:t>evidence becomes available, including real world evidence.</w:t>
            </w:r>
          </w:p>
          <w:p w14:paraId="1DAEBDF5" w14:textId="77777777" w:rsidR="00897293" w:rsidRPr="00CC6553" w:rsidRDefault="00897293" w:rsidP="00B234F1">
            <w:pPr>
              <w:pStyle w:val="Heading1"/>
              <w:rPr>
                <w:rFonts w:cs="Arial"/>
                <w:b w:val="0"/>
                <w:bCs w:val="0"/>
                <w:color w:val="000000" w:themeColor="text1"/>
                <w:sz w:val="20"/>
              </w:rPr>
            </w:pPr>
          </w:p>
          <w:p w14:paraId="3B40840B" w14:textId="0EA0A15F" w:rsidR="00897293" w:rsidRPr="00CC6553" w:rsidRDefault="00897293" w:rsidP="00B234F1">
            <w:pPr>
              <w:rPr>
                <w:rFonts w:cs="Arial"/>
                <w:color w:val="000000" w:themeColor="text1"/>
                <w:sz w:val="20"/>
              </w:rPr>
            </w:pPr>
            <w:r w:rsidRPr="00CC6553">
              <w:rPr>
                <w:rFonts w:cs="Arial"/>
                <w:color w:val="000000" w:themeColor="text1"/>
                <w:sz w:val="20"/>
              </w:rPr>
              <w:t>Thank you for highlighting this cost-effectiveness evidence. The review protocol for this update specified that cost-effectiveness studies from the US and non-OECD countries would not be included. Due to the large differences in the structure and costs associated with these health care systems compared to the UK, the cost-effectiveness conclusions from studies based in the US and China were judged to be not applicable to the UK.</w:t>
            </w:r>
          </w:p>
          <w:p w14:paraId="656A465F" w14:textId="188A2D4B" w:rsidR="00897293" w:rsidRPr="00CC6553" w:rsidRDefault="00897293" w:rsidP="00B234F1">
            <w:pPr>
              <w:spacing w:line="259" w:lineRule="auto"/>
              <w:rPr>
                <w:rFonts w:cs="Arial"/>
                <w:color w:val="000000" w:themeColor="text1"/>
                <w:sz w:val="20"/>
              </w:rPr>
            </w:pPr>
          </w:p>
          <w:p w14:paraId="017CB5D7" w14:textId="77777777" w:rsidR="00897293" w:rsidRPr="00CC6553" w:rsidRDefault="00897293" w:rsidP="00B234F1">
            <w:pPr>
              <w:rPr>
                <w:color w:val="000000" w:themeColor="text1"/>
              </w:rPr>
            </w:pPr>
          </w:p>
          <w:p w14:paraId="6C4C2886" w14:textId="77777777" w:rsidR="00897293" w:rsidRPr="00CC6553" w:rsidRDefault="00897293" w:rsidP="00B234F1">
            <w:pPr>
              <w:rPr>
                <w:color w:val="000000" w:themeColor="text1"/>
              </w:rPr>
            </w:pPr>
          </w:p>
          <w:p w14:paraId="7335EEA2" w14:textId="60E5689C" w:rsidR="00897293" w:rsidRPr="00CC6553" w:rsidRDefault="00897293" w:rsidP="00B234F1">
            <w:pPr>
              <w:rPr>
                <w:color w:val="000000" w:themeColor="text1"/>
              </w:rPr>
            </w:pPr>
          </w:p>
        </w:tc>
      </w:tr>
      <w:tr w:rsidR="00897293" w:rsidRPr="00CC6553" w14:paraId="2AFFAF2B" w14:textId="77777777" w:rsidTr="00897293">
        <w:trPr>
          <w:trHeight w:val="300"/>
        </w:trPr>
        <w:tc>
          <w:tcPr>
            <w:tcW w:w="109" w:type="pct"/>
          </w:tcPr>
          <w:p w14:paraId="5606CCDE"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350</w:t>
            </w:r>
          </w:p>
        </w:tc>
        <w:tc>
          <w:tcPr>
            <w:tcW w:w="143" w:type="pct"/>
          </w:tcPr>
          <w:p w14:paraId="5DEE3DC8" w14:textId="53924162"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7C51965" w14:textId="2CE3217F" w:rsidR="00897293" w:rsidRPr="00CC6553" w:rsidRDefault="00897293" w:rsidP="00B234F1">
            <w:pPr>
              <w:rPr>
                <w:rFonts w:cs="Arial"/>
                <w:bCs/>
                <w:iCs/>
                <w:color w:val="000000" w:themeColor="text1"/>
                <w:sz w:val="20"/>
              </w:rPr>
            </w:pPr>
            <w:r w:rsidRPr="00CC6553">
              <w:rPr>
                <w:rFonts w:cs="Arial"/>
                <w:color w:val="000000" w:themeColor="text1"/>
                <w:sz w:val="20"/>
              </w:rPr>
              <w:t>British Cardiovascular Society</w:t>
            </w:r>
          </w:p>
        </w:tc>
        <w:tc>
          <w:tcPr>
            <w:tcW w:w="279" w:type="pct"/>
          </w:tcPr>
          <w:p w14:paraId="7F6BF534" w14:textId="2088D743" w:rsidR="00897293" w:rsidRPr="00CC6553" w:rsidRDefault="00897293" w:rsidP="00B234F1">
            <w:pPr>
              <w:rPr>
                <w:rFonts w:cs="Arial"/>
                <w:color w:val="000000" w:themeColor="text1"/>
                <w:sz w:val="20"/>
              </w:rPr>
            </w:pPr>
            <w:r w:rsidRPr="00CC6553">
              <w:rPr>
                <w:rFonts w:cs="Arial"/>
                <w:color w:val="000000" w:themeColor="text1"/>
                <w:sz w:val="20"/>
              </w:rPr>
              <w:t>Evidence review A</w:t>
            </w:r>
          </w:p>
        </w:tc>
        <w:tc>
          <w:tcPr>
            <w:tcW w:w="214" w:type="pct"/>
          </w:tcPr>
          <w:p w14:paraId="6BAAD0F6" w14:textId="3CB6DBD0" w:rsidR="00897293" w:rsidRPr="00CC6553" w:rsidRDefault="00897293" w:rsidP="00B234F1">
            <w:pPr>
              <w:rPr>
                <w:rFonts w:cs="Arial"/>
                <w:color w:val="000000" w:themeColor="text1"/>
                <w:sz w:val="20"/>
              </w:rPr>
            </w:pPr>
            <w:r w:rsidRPr="00CC6553">
              <w:rPr>
                <w:rFonts w:cs="Arial"/>
                <w:color w:val="000000" w:themeColor="text1"/>
                <w:sz w:val="20"/>
              </w:rPr>
              <w:t>064</w:t>
            </w:r>
          </w:p>
        </w:tc>
        <w:tc>
          <w:tcPr>
            <w:tcW w:w="214" w:type="pct"/>
          </w:tcPr>
          <w:p w14:paraId="131F5DFD" w14:textId="4E1B966D"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356566B0" w14:textId="1366A19A" w:rsidR="00897293" w:rsidRPr="00CC6553" w:rsidRDefault="00897293" w:rsidP="00B234F1">
            <w:pPr>
              <w:rPr>
                <w:rFonts w:cs="Arial"/>
                <w:color w:val="000000" w:themeColor="text1"/>
                <w:sz w:val="20"/>
              </w:rPr>
            </w:pPr>
            <w:r w:rsidRPr="00CC6553">
              <w:rPr>
                <w:rFonts w:cs="Arial"/>
                <w:color w:val="000000" w:themeColor="text1"/>
                <w:sz w:val="20"/>
              </w:rPr>
              <w:t>The benefits of ARNI over ACE-I are described as ‘minor’ and as such there is no need to change in patients already on an ACE-I and diagnosed with HFrEF. PARADIGM-HF showed a 20% RRR in CV outcomes which we do consider minor. Switching in this group should in part be governed by the same rationale as in other people e.g. symptoms.</w:t>
            </w:r>
          </w:p>
        </w:tc>
        <w:tc>
          <w:tcPr>
            <w:tcW w:w="2122" w:type="pct"/>
          </w:tcPr>
          <w:p w14:paraId="6801762E" w14:textId="77777777" w:rsidR="00897293" w:rsidRPr="00CC6553" w:rsidRDefault="00897293" w:rsidP="00B234F1">
            <w:pPr>
              <w:rPr>
                <w:color w:val="000000" w:themeColor="text1"/>
                <w:sz w:val="20"/>
              </w:rPr>
            </w:pPr>
          </w:p>
          <w:p w14:paraId="0E21351F" w14:textId="105962D2" w:rsidR="00897293" w:rsidRPr="00CC6553" w:rsidRDefault="00897293" w:rsidP="00B234F1">
            <w:pPr>
              <w:rPr>
                <w:color w:val="000000" w:themeColor="text1"/>
                <w:sz w:val="20"/>
              </w:rPr>
            </w:pPr>
            <w:r w:rsidRPr="00CC6553">
              <w:rPr>
                <w:color w:val="000000" w:themeColor="text1"/>
                <w:sz w:val="20"/>
              </w:rPr>
              <w:t xml:space="preserve">Thank-you for your comment. The wording in this evidence review A has been amended to better reflect the clinical evidence available: ‘The committee agreed that these patients have already demonstrated tolerance to </w:t>
            </w:r>
            <w:r w:rsidRPr="00CC6553" w:rsidDel="00BC4F1B">
              <w:rPr>
                <w:color w:val="000000" w:themeColor="text1"/>
                <w:sz w:val="20"/>
              </w:rPr>
              <w:t>ACEI</w:t>
            </w:r>
            <w:r w:rsidRPr="00CC6553">
              <w:rPr>
                <w:color w:val="000000" w:themeColor="text1"/>
                <w:sz w:val="20"/>
              </w:rPr>
              <w:t>, so there is no need to switch to ARNI, as ARNI is not cost-effective for those tolerant to ACEI</w:t>
            </w:r>
            <w:r w:rsidRPr="00CC6553" w:rsidDel="00216F26">
              <w:rPr>
                <w:color w:val="000000" w:themeColor="text1"/>
                <w:sz w:val="20"/>
              </w:rPr>
              <w:t>.</w:t>
            </w:r>
            <w:r w:rsidRPr="00CC6553">
              <w:rPr>
                <w:color w:val="000000" w:themeColor="text1"/>
                <w:sz w:val="20"/>
              </w:rPr>
              <w:t>’</w:t>
            </w:r>
          </w:p>
        </w:tc>
      </w:tr>
      <w:tr w:rsidR="00897293" w:rsidRPr="00CC6553" w14:paraId="7DA20DED" w14:textId="77777777" w:rsidTr="00897293">
        <w:trPr>
          <w:trHeight w:val="300"/>
        </w:trPr>
        <w:tc>
          <w:tcPr>
            <w:tcW w:w="109" w:type="pct"/>
          </w:tcPr>
          <w:p w14:paraId="2DEFD459"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351</w:t>
            </w:r>
          </w:p>
        </w:tc>
        <w:tc>
          <w:tcPr>
            <w:tcW w:w="143" w:type="pct"/>
          </w:tcPr>
          <w:p w14:paraId="64B217FF" w14:textId="635247CA"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F4F7E49" w14:textId="66990F16" w:rsidR="00897293" w:rsidRPr="00CC6553" w:rsidRDefault="00897293" w:rsidP="00B234F1">
            <w:pPr>
              <w:rPr>
                <w:rFonts w:cs="Arial"/>
                <w:bCs/>
                <w:iCs/>
                <w:color w:val="000000" w:themeColor="text1"/>
                <w:sz w:val="20"/>
              </w:rPr>
            </w:pPr>
            <w:r w:rsidRPr="00CC6553">
              <w:rPr>
                <w:rFonts w:cs="Arial"/>
                <w:color w:val="000000" w:themeColor="text1"/>
                <w:sz w:val="20"/>
              </w:rPr>
              <w:t>AstraZeneca UK Ltd</w:t>
            </w:r>
          </w:p>
        </w:tc>
        <w:tc>
          <w:tcPr>
            <w:tcW w:w="279" w:type="pct"/>
          </w:tcPr>
          <w:p w14:paraId="47AC7888" w14:textId="18E49EC1" w:rsidR="00897293" w:rsidRPr="00CC6553" w:rsidRDefault="00897293" w:rsidP="00B234F1">
            <w:pPr>
              <w:rPr>
                <w:rFonts w:cs="Arial"/>
                <w:color w:val="000000" w:themeColor="text1"/>
                <w:sz w:val="20"/>
              </w:rPr>
            </w:pPr>
            <w:r w:rsidRPr="00CC6553">
              <w:rPr>
                <w:rFonts w:cs="Arial"/>
                <w:color w:val="000000" w:themeColor="text1"/>
                <w:sz w:val="20"/>
              </w:rPr>
              <w:t>Evidence Review A &amp; C</w:t>
            </w:r>
          </w:p>
        </w:tc>
        <w:tc>
          <w:tcPr>
            <w:tcW w:w="214" w:type="pct"/>
          </w:tcPr>
          <w:p w14:paraId="3E98D438" w14:textId="15AB0AD6" w:rsidR="00897293" w:rsidRPr="00CC6553" w:rsidRDefault="00897293" w:rsidP="00B234F1">
            <w:pPr>
              <w:rPr>
                <w:rFonts w:cs="Arial"/>
                <w:color w:val="000000" w:themeColor="text1"/>
                <w:sz w:val="20"/>
              </w:rPr>
            </w:pPr>
            <w:r w:rsidRPr="00CC6553">
              <w:rPr>
                <w:rFonts w:cs="Arial"/>
                <w:color w:val="000000" w:themeColor="text1"/>
                <w:sz w:val="20"/>
              </w:rPr>
              <w:t>058, 059</w:t>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t>013, 059</w:t>
            </w:r>
          </w:p>
        </w:tc>
        <w:tc>
          <w:tcPr>
            <w:tcW w:w="214" w:type="pct"/>
          </w:tcPr>
          <w:p w14:paraId="081247E2" w14:textId="5DCB7A79" w:rsidR="00897293" w:rsidRPr="00CC6553" w:rsidRDefault="00897293" w:rsidP="00B234F1">
            <w:pPr>
              <w:rPr>
                <w:rFonts w:cs="Arial"/>
                <w:color w:val="000000" w:themeColor="text1"/>
                <w:sz w:val="20"/>
              </w:rPr>
            </w:pPr>
            <w:r w:rsidRPr="00CC6553">
              <w:rPr>
                <w:rFonts w:cs="Arial"/>
                <w:color w:val="000000" w:themeColor="text1"/>
                <w:sz w:val="20"/>
              </w:rPr>
              <w:t>022, 003 - 004</w:t>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t>General, 003 - 004</w:t>
            </w:r>
          </w:p>
        </w:tc>
        <w:tc>
          <w:tcPr>
            <w:tcW w:w="1521" w:type="pct"/>
          </w:tcPr>
          <w:p w14:paraId="405C4CEB" w14:textId="62265FC7" w:rsidR="00897293" w:rsidRPr="00CC6553" w:rsidRDefault="00897293" w:rsidP="00B234F1">
            <w:pPr>
              <w:rPr>
                <w:rFonts w:cs="Arial"/>
                <w:color w:val="000000" w:themeColor="text1"/>
                <w:sz w:val="20"/>
              </w:rPr>
            </w:pPr>
            <w:r w:rsidRPr="00CC6553">
              <w:rPr>
                <w:rFonts w:cs="Arial"/>
                <w:color w:val="000000" w:themeColor="text1"/>
                <w:sz w:val="20"/>
              </w:rPr>
              <w:t>Evidence Review documents A and C provide evidence that there is an increase in hyperkalaemia in people with chronic heart failure receiving MRA and ARB treatment, in both HFrEF patients, and HFpEF patients.</w:t>
            </w:r>
            <w:r w:rsidRPr="00CC6553">
              <w:rPr>
                <w:rFonts w:cs="Arial"/>
                <w:color w:val="000000" w:themeColor="text1"/>
                <w:sz w:val="20"/>
              </w:rPr>
              <w:br/>
            </w:r>
            <w:r w:rsidRPr="00CC6553">
              <w:rPr>
                <w:rFonts w:cs="Arial"/>
                <w:color w:val="000000" w:themeColor="text1"/>
                <w:sz w:val="20"/>
              </w:rPr>
              <w:br/>
              <w:t xml:space="preserve">However, discussion on the monitoring and management of hyperkalaemia in both evidence review documents and the broader guideline (see previous comments) are absent. AstraZeneca are concerned that the focus on the risk of hyperkalaemia only when adding an MRA for those with HFmrEF in Evidence Review B may lead to confusion that monitoring and management of hyperkalaemia is not required for other phenotypes and other RAASi therapies that also increase the risk of hyperkalaemia. </w:t>
            </w:r>
            <w:r w:rsidRPr="00CC6553">
              <w:rPr>
                <w:rFonts w:cs="Arial"/>
                <w:color w:val="000000" w:themeColor="text1"/>
                <w:sz w:val="20"/>
              </w:rPr>
              <w:br/>
            </w:r>
            <w:r w:rsidRPr="00CC6553">
              <w:rPr>
                <w:rFonts w:cs="Arial"/>
                <w:color w:val="000000" w:themeColor="text1"/>
                <w:sz w:val="20"/>
              </w:rPr>
              <w:br/>
              <w:t>AstraZeneca recommend that the evidence review documents acknowledge the risk of hyperkalaemia for all RAASi therapies, regardless of ejection fraction and, aligned to our other comments, highlight the importance of maximising all cardio-protective therapies despite the increased risk of hyperkalaemia.</w:t>
            </w:r>
          </w:p>
        </w:tc>
        <w:tc>
          <w:tcPr>
            <w:tcW w:w="2122" w:type="pct"/>
          </w:tcPr>
          <w:p w14:paraId="0DCE6D6E" w14:textId="31B6CDEC" w:rsidR="00897293" w:rsidRPr="00CC6553" w:rsidRDefault="00897293" w:rsidP="00B234F1">
            <w:pPr>
              <w:pStyle w:val="Heading3"/>
              <w:jc w:val="left"/>
              <w:rPr>
                <w:b w:val="0"/>
                <w:bCs w:val="0"/>
                <w:color w:val="000000" w:themeColor="text1"/>
                <w:sz w:val="20"/>
                <w:szCs w:val="20"/>
              </w:rPr>
            </w:pPr>
            <w:r w:rsidRPr="00CC6553">
              <w:rPr>
                <w:rFonts w:cs="Arial"/>
                <w:b w:val="0"/>
                <w:color w:val="000000" w:themeColor="text1"/>
                <w:sz w:val="20"/>
              </w:rPr>
              <w:t>Thank-you for your comment. Section 1.7 of the guideline refers to starting and monitoring medication use and covers recommendations for use of all therapies. Specifically, recommendation 1.7.8 provides a recommendation on monitoring for potassium concentration increases to more than 5.5 mmol per litre. This is under a heading ‘</w:t>
            </w:r>
            <w:r w:rsidRPr="00CC6553">
              <w:rPr>
                <w:b w:val="0"/>
                <w:bCs w:val="0"/>
                <w:color w:val="000000" w:themeColor="text1"/>
                <w:sz w:val="20"/>
                <w:szCs w:val="20"/>
              </w:rPr>
              <w:t>ACE inhibitors, ARNIs, ARBs and MRAs’ so is relevant to monitoring for hyperkalaemia for all of these medicines.</w:t>
            </w:r>
          </w:p>
          <w:p w14:paraId="73759FB4" w14:textId="77777777" w:rsidR="00897293" w:rsidRPr="00CC6553" w:rsidRDefault="00897293" w:rsidP="00B234F1">
            <w:pPr>
              <w:rPr>
                <w:color w:val="000000" w:themeColor="text1"/>
              </w:rPr>
            </w:pPr>
          </w:p>
          <w:p w14:paraId="316144A6" w14:textId="72317C46" w:rsidR="00897293" w:rsidRPr="00CC6553" w:rsidRDefault="00897293" w:rsidP="00B234F1">
            <w:pPr>
              <w:rPr>
                <w:color w:val="000000" w:themeColor="text1"/>
                <w:sz w:val="20"/>
              </w:rPr>
            </w:pPr>
            <w:r w:rsidRPr="00CC6553">
              <w:rPr>
                <w:color w:val="000000" w:themeColor="text1"/>
                <w:sz w:val="20"/>
              </w:rPr>
              <w:t xml:space="preserve">In some instances, the evidence reviews cross-refer to these monitoring recommendations, when there is evidence suggesting an increase in adverse events, including hyperkalaemia, from a particular combination of medicines. These cross-references are present because, in their decision making, the committee considered that the risk of such adverse events could be </w:t>
            </w:r>
            <w:r w:rsidRPr="00CC6553">
              <w:rPr>
                <w:rFonts w:cs="Arial"/>
                <w:bCs/>
                <w:color w:val="000000" w:themeColor="text1"/>
                <w:sz w:val="20"/>
                <w:szCs w:val="24"/>
              </w:rPr>
              <w:t>best managed by careful monitoring.</w:t>
            </w:r>
          </w:p>
          <w:p w14:paraId="2FFFA678" w14:textId="4348C105" w:rsidR="00897293" w:rsidRPr="00CC6553" w:rsidRDefault="00897293" w:rsidP="00CC6553">
            <w:pPr>
              <w:rPr>
                <w:b/>
                <w:color w:val="000000" w:themeColor="text1"/>
              </w:rPr>
            </w:pPr>
          </w:p>
        </w:tc>
      </w:tr>
      <w:tr w:rsidR="00897293" w:rsidRPr="00CC6553" w14:paraId="32FDFA5B" w14:textId="77777777" w:rsidTr="00897293">
        <w:trPr>
          <w:trHeight w:val="300"/>
        </w:trPr>
        <w:tc>
          <w:tcPr>
            <w:tcW w:w="109" w:type="pct"/>
          </w:tcPr>
          <w:p w14:paraId="4CFD301D"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352</w:t>
            </w:r>
          </w:p>
        </w:tc>
        <w:tc>
          <w:tcPr>
            <w:tcW w:w="143" w:type="pct"/>
          </w:tcPr>
          <w:p w14:paraId="282B9B7C" w14:textId="75353DBD"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2BF89A72" w14:textId="168E83CF" w:rsidR="00897293" w:rsidRPr="00CC6553" w:rsidRDefault="00897293" w:rsidP="00B234F1">
            <w:pPr>
              <w:rPr>
                <w:rFonts w:cs="Arial"/>
                <w:bCs/>
                <w:iCs/>
                <w:color w:val="000000" w:themeColor="text1"/>
                <w:sz w:val="20"/>
              </w:rPr>
            </w:pPr>
            <w:r w:rsidRPr="00CC6553">
              <w:rPr>
                <w:rFonts w:cs="Arial"/>
                <w:color w:val="000000" w:themeColor="text1"/>
                <w:sz w:val="20"/>
              </w:rPr>
              <w:t>Novo Nordisk UK</w:t>
            </w:r>
          </w:p>
        </w:tc>
        <w:tc>
          <w:tcPr>
            <w:tcW w:w="279" w:type="pct"/>
          </w:tcPr>
          <w:p w14:paraId="7B49DC4E" w14:textId="74635152" w:rsidR="00897293" w:rsidRPr="00CC6553" w:rsidRDefault="00897293" w:rsidP="00B234F1">
            <w:pPr>
              <w:rPr>
                <w:rFonts w:cs="Arial"/>
                <w:color w:val="000000" w:themeColor="text1"/>
                <w:sz w:val="20"/>
              </w:rPr>
            </w:pPr>
            <w:r w:rsidRPr="00CC6553">
              <w:rPr>
                <w:rFonts w:cs="Arial"/>
                <w:color w:val="000000" w:themeColor="text1"/>
                <w:sz w:val="20"/>
              </w:rPr>
              <w:t>Evidence review B</w:t>
            </w:r>
          </w:p>
        </w:tc>
        <w:tc>
          <w:tcPr>
            <w:tcW w:w="214" w:type="pct"/>
          </w:tcPr>
          <w:p w14:paraId="5B9594D2" w14:textId="2133AEAD" w:rsidR="00897293" w:rsidRPr="00CC6553" w:rsidRDefault="00897293" w:rsidP="00B234F1">
            <w:pPr>
              <w:rPr>
                <w:rFonts w:cs="Arial"/>
                <w:color w:val="000000" w:themeColor="text1"/>
                <w:sz w:val="20"/>
              </w:rPr>
            </w:pPr>
            <w:r w:rsidRPr="00CC6553">
              <w:rPr>
                <w:rFonts w:cs="Arial"/>
                <w:color w:val="000000" w:themeColor="text1"/>
                <w:sz w:val="20"/>
              </w:rPr>
              <w:t>005</w:t>
            </w:r>
          </w:p>
        </w:tc>
        <w:tc>
          <w:tcPr>
            <w:tcW w:w="214" w:type="pct"/>
          </w:tcPr>
          <w:p w14:paraId="147B1921" w14:textId="56C0EE4D" w:rsidR="00897293" w:rsidRPr="00CC6553" w:rsidRDefault="00897293" w:rsidP="00B234F1">
            <w:pPr>
              <w:rPr>
                <w:rFonts w:cs="Arial"/>
                <w:color w:val="000000" w:themeColor="text1"/>
                <w:sz w:val="20"/>
              </w:rPr>
            </w:pPr>
            <w:r w:rsidRPr="00CC6553">
              <w:rPr>
                <w:rFonts w:cs="Arial"/>
                <w:color w:val="000000" w:themeColor="text1"/>
                <w:sz w:val="20"/>
              </w:rPr>
              <w:t>1.1 Review question</w:t>
            </w:r>
          </w:p>
        </w:tc>
        <w:tc>
          <w:tcPr>
            <w:tcW w:w="1521" w:type="pct"/>
          </w:tcPr>
          <w:p w14:paraId="517FBC7D" w14:textId="4B2E5327" w:rsidR="00897293" w:rsidRPr="00CC6553" w:rsidRDefault="00897293" w:rsidP="00B234F1">
            <w:pPr>
              <w:rPr>
                <w:rFonts w:cs="Arial"/>
                <w:color w:val="000000" w:themeColor="text1"/>
                <w:sz w:val="20"/>
              </w:rPr>
            </w:pPr>
            <w:r w:rsidRPr="00CC6553">
              <w:rPr>
                <w:rFonts w:cs="Arial"/>
                <w:color w:val="000000" w:themeColor="text1"/>
                <w:sz w:val="20"/>
              </w:rPr>
              <w:t xml:space="preserve">Novo Nordisk welcomes NICE’s recognition that the shifting evidence in heart failure warrants an update of the guideline. The current chronic heart failure guidelines were updated eight years after the prior guideline and this latest update has come after a further seven years. During that time, comparatively, the European Society of Cardiology has updated their heart failure guidelines, assessing the same evidence base, in 2012, 2016 and 2021 (with a focussed update of the 2021 guidelines in 2023), reflecting the need for contemporaneous, relevant and evidence-based guidance for clinicians, patients and the wider stakeholder community. </w:t>
            </w:r>
            <w:r w:rsidRPr="00CC6553">
              <w:rPr>
                <w:rFonts w:cs="Arial"/>
                <w:color w:val="000000" w:themeColor="text1"/>
                <w:sz w:val="20"/>
              </w:rPr>
              <w:br/>
            </w:r>
            <w:r w:rsidRPr="00CC6553">
              <w:rPr>
                <w:rFonts w:cs="Arial"/>
                <w:color w:val="000000" w:themeColor="text1"/>
                <w:sz w:val="20"/>
              </w:rPr>
              <w:br/>
              <w:t>It is therefore disappointing that NICE has in this most recent update not even considered the evidence for the GLP-1 RA, semaglutide, in Evidence review B. The data from the STEP-HFpEF and STEP-HFpEF DM trials, which included people with both mildly reduced and preserved ejection fraction, date from 2023 and 2024 respectively and have been incorporated into the UK licence for semaglutide 2.4mg. Further, the 2024 Lancet paper “Semaglutide and cardiovascular outcomes in patients with obesity and prevalent heart failure: a prespecified analysis of the SELECT trial” which examined the effect of semaglutide 2.4 mg in 4,286 people with heart failure, concluded “In patients with atherosclerotic cardiovascular disease and overweight or obesity, treatment with semaglutide 2·4 mg reduced MACE and composite heart failure endpoints compared with placebo in those with and without clinical heart failure, regardless of heart failure subtype. Our findings could facilitate prescribing and result in improved clinical outcomes for this patient group” (Deanfield J et al Lancet. 2024). By failing to scope adequately and therefore consider these important data, it is unfortunately the case that the Guidelines appear to already be out of date.</w:t>
            </w:r>
          </w:p>
        </w:tc>
        <w:tc>
          <w:tcPr>
            <w:tcW w:w="2122" w:type="pct"/>
          </w:tcPr>
          <w:p w14:paraId="454BB792" w14:textId="30388E4F" w:rsidR="00897293" w:rsidRPr="00CC6553" w:rsidRDefault="00897293" w:rsidP="00B234F1">
            <w:pPr>
              <w:pStyle w:val="Heading1"/>
              <w:rPr>
                <w:rFonts w:cs="Arial"/>
                <w:b w:val="0"/>
                <w:bCs w:val="0"/>
                <w:color w:val="000000" w:themeColor="text1"/>
                <w:sz w:val="20"/>
              </w:rPr>
            </w:pPr>
            <w:r w:rsidRPr="00CC6553">
              <w:rPr>
                <w:rFonts w:cs="Arial"/>
                <w:b w:val="0"/>
                <w:bCs w:val="0"/>
                <w:color w:val="000000" w:themeColor="text1"/>
                <w:sz w:val="20"/>
              </w:rPr>
              <w:t>Thank-you for your comments welcoming an update to the guideline.</w:t>
            </w:r>
          </w:p>
          <w:p w14:paraId="0BB54060" w14:textId="5D4665C2" w:rsidR="00897293" w:rsidRPr="00CC6553" w:rsidRDefault="00897293" w:rsidP="00B234F1">
            <w:pPr>
              <w:rPr>
                <w:rFonts w:cs="Arial"/>
                <w:color w:val="000000" w:themeColor="text1"/>
                <w:sz w:val="20"/>
              </w:rPr>
            </w:pPr>
          </w:p>
          <w:p w14:paraId="2C6ED569" w14:textId="16F526EC" w:rsidR="00897293" w:rsidRPr="00CC6553" w:rsidRDefault="00897293" w:rsidP="00B234F1">
            <w:pPr>
              <w:rPr>
                <w:rFonts w:cs="Arial"/>
                <w:color w:val="000000" w:themeColor="text1"/>
                <w:sz w:val="20"/>
              </w:rPr>
            </w:pPr>
            <w:r w:rsidRPr="00CC6553">
              <w:rPr>
                <w:rFonts w:cs="Arial"/>
                <w:color w:val="000000" w:themeColor="text1"/>
                <w:sz w:val="20"/>
              </w:rPr>
              <w:t>We are aware of the publication of the STEP-HF trials. However, as the population of these study participants was LVEF ≥45%, these are participants with CHF and preserved ejection fraction. This guideline update was focussed on CHF with reduced and mildly reduced ejection fraction, with only a single review question on patients with CHF and preserved ejection fraction (Evidence Review D). Consideration of semaglutide in this group was outside the scope of this guideline update.</w:t>
            </w:r>
          </w:p>
        </w:tc>
      </w:tr>
      <w:tr w:rsidR="00897293" w:rsidRPr="00CC6553" w14:paraId="6AA2C218" w14:textId="77777777" w:rsidTr="00897293">
        <w:trPr>
          <w:trHeight w:val="300"/>
        </w:trPr>
        <w:tc>
          <w:tcPr>
            <w:tcW w:w="109" w:type="pct"/>
          </w:tcPr>
          <w:p w14:paraId="547A4D66" w14:textId="77777777" w:rsidR="00897293" w:rsidRPr="00CC6553" w:rsidRDefault="00897293" w:rsidP="00B234F1">
            <w:pPr>
              <w:rPr>
                <w:rFonts w:cs="Arial"/>
                <w:color w:val="000000" w:themeColor="text1"/>
                <w:sz w:val="20"/>
              </w:rPr>
            </w:pPr>
            <w:r w:rsidRPr="00CC6553">
              <w:rPr>
                <w:rFonts w:cs="Arial"/>
                <w:color w:val="000000" w:themeColor="text1"/>
                <w:sz w:val="20"/>
              </w:rPr>
              <w:t>353</w:t>
            </w:r>
          </w:p>
        </w:tc>
        <w:tc>
          <w:tcPr>
            <w:tcW w:w="143" w:type="pct"/>
          </w:tcPr>
          <w:p w14:paraId="72F821CF" w14:textId="3069780E"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343607A6" w14:textId="592F841B" w:rsidR="00897293" w:rsidRPr="00CC6553" w:rsidRDefault="00897293" w:rsidP="00B234F1">
            <w:pPr>
              <w:rPr>
                <w:rFonts w:cs="Arial"/>
                <w:bCs/>
                <w:iCs/>
                <w:color w:val="000000" w:themeColor="text1"/>
                <w:sz w:val="20"/>
              </w:rPr>
            </w:pPr>
            <w:r w:rsidRPr="00CC6553">
              <w:rPr>
                <w:rFonts w:cs="Arial"/>
                <w:color w:val="000000" w:themeColor="text1"/>
                <w:sz w:val="20"/>
              </w:rPr>
              <w:t>Bayer plc</w:t>
            </w:r>
          </w:p>
        </w:tc>
        <w:tc>
          <w:tcPr>
            <w:tcW w:w="279" w:type="pct"/>
          </w:tcPr>
          <w:p w14:paraId="17D0321D" w14:textId="0EEBE38B" w:rsidR="00897293" w:rsidRPr="00CC6553" w:rsidRDefault="00897293" w:rsidP="00B234F1">
            <w:pPr>
              <w:rPr>
                <w:rFonts w:cs="Arial"/>
                <w:color w:val="000000" w:themeColor="text1"/>
                <w:sz w:val="20"/>
              </w:rPr>
            </w:pPr>
            <w:r w:rsidRPr="00CC6553">
              <w:rPr>
                <w:rFonts w:cs="Arial"/>
                <w:color w:val="000000" w:themeColor="text1"/>
                <w:sz w:val="20"/>
              </w:rPr>
              <w:t>Evidence review B</w:t>
            </w:r>
          </w:p>
        </w:tc>
        <w:tc>
          <w:tcPr>
            <w:tcW w:w="214" w:type="pct"/>
          </w:tcPr>
          <w:p w14:paraId="291F4EF7" w14:textId="0A84F5E9" w:rsidR="00897293" w:rsidRPr="00CC6553" w:rsidRDefault="00897293" w:rsidP="00B234F1">
            <w:pPr>
              <w:rPr>
                <w:rFonts w:cs="Arial"/>
                <w:color w:val="000000" w:themeColor="text1"/>
                <w:sz w:val="20"/>
              </w:rPr>
            </w:pPr>
            <w:r w:rsidRPr="00CC6553">
              <w:rPr>
                <w:rFonts w:cs="Arial"/>
                <w:color w:val="000000" w:themeColor="text1"/>
                <w:sz w:val="20"/>
              </w:rPr>
              <w:t>008,</w:t>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t>010,</w:t>
            </w:r>
            <w:r w:rsidRPr="00CC6553">
              <w:rPr>
                <w:rFonts w:cs="Arial"/>
                <w:color w:val="000000" w:themeColor="text1"/>
                <w:sz w:val="20"/>
              </w:rPr>
              <w:br/>
            </w:r>
            <w:r w:rsidRPr="00CC6553">
              <w:rPr>
                <w:rFonts w:cs="Arial"/>
                <w:color w:val="000000" w:themeColor="text1"/>
                <w:sz w:val="20"/>
              </w:rPr>
              <w:br/>
              <w:t>016,</w:t>
            </w:r>
            <w:r w:rsidRPr="00CC6553">
              <w:rPr>
                <w:rFonts w:cs="Arial"/>
                <w:color w:val="000000" w:themeColor="text1"/>
                <w:sz w:val="20"/>
              </w:rPr>
              <w:br/>
            </w:r>
            <w:r w:rsidRPr="00CC6553">
              <w:rPr>
                <w:rFonts w:cs="Arial"/>
                <w:color w:val="000000" w:themeColor="text1"/>
                <w:sz w:val="20"/>
              </w:rPr>
              <w:lastRenderedPageBreak/>
              <w:br/>
            </w:r>
            <w:r w:rsidRPr="00CC6553">
              <w:rPr>
                <w:rFonts w:cs="Arial"/>
                <w:color w:val="000000" w:themeColor="text1"/>
                <w:sz w:val="20"/>
              </w:rPr>
              <w:br/>
              <w:t>100, 101, 102,103,</w:t>
            </w:r>
            <w:r w:rsidRPr="00CC6553">
              <w:rPr>
                <w:rFonts w:cs="Arial"/>
                <w:color w:val="000000" w:themeColor="text1"/>
                <w:sz w:val="20"/>
              </w:rPr>
              <w:br/>
              <w:t>150</w:t>
            </w:r>
          </w:p>
        </w:tc>
        <w:tc>
          <w:tcPr>
            <w:tcW w:w="214" w:type="pct"/>
          </w:tcPr>
          <w:p w14:paraId="312517B3" w14:textId="29DA97C7" w:rsidR="00897293" w:rsidRPr="00CC6553" w:rsidRDefault="00897293" w:rsidP="00B234F1">
            <w:pPr>
              <w:rPr>
                <w:rFonts w:cs="Arial"/>
                <w:color w:val="000000" w:themeColor="text1"/>
                <w:sz w:val="20"/>
              </w:rPr>
            </w:pPr>
            <w:r w:rsidRPr="00CC6553">
              <w:rPr>
                <w:rFonts w:cs="Arial"/>
                <w:color w:val="000000" w:themeColor="text1"/>
                <w:sz w:val="20"/>
              </w:rPr>
              <w:lastRenderedPageBreak/>
              <w:br/>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lastRenderedPageBreak/>
              <w:br/>
            </w:r>
            <w:r w:rsidRPr="00CC6553">
              <w:rPr>
                <w:rFonts w:cs="Arial"/>
                <w:color w:val="000000" w:themeColor="text1"/>
                <w:sz w:val="20"/>
              </w:rPr>
              <w:br/>
              <w:t>Appendices</w:t>
            </w:r>
          </w:p>
        </w:tc>
        <w:tc>
          <w:tcPr>
            <w:tcW w:w="1521" w:type="pct"/>
          </w:tcPr>
          <w:p w14:paraId="770AE9D1" w14:textId="7920D7EC" w:rsidR="00897293" w:rsidRPr="00183929" w:rsidRDefault="00897293" w:rsidP="00B234F1">
            <w:pPr>
              <w:rPr>
                <w:rFonts w:cs="Arial"/>
                <w:color w:val="000000" w:themeColor="text1"/>
                <w:sz w:val="20"/>
              </w:rPr>
            </w:pPr>
            <w:r w:rsidRPr="00183929">
              <w:rPr>
                <w:rFonts w:cs="Arial"/>
                <w:color w:val="000000" w:themeColor="text1"/>
                <w:sz w:val="20"/>
              </w:rPr>
              <w:lastRenderedPageBreak/>
              <w:t>Page 8: Finerenone (Docherty 2024) is an MRA currently unlicensed for CHF, so this has also been considered an indirect intervention.</w:t>
            </w:r>
            <w:r w:rsidRPr="00183929">
              <w:rPr>
                <w:rFonts w:cs="Arial"/>
                <w:color w:val="000000" w:themeColor="text1"/>
                <w:sz w:val="20"/>
              </w:rPr>
              <w:br/>
            </w:r>
            <w:r w:rsidRPr="00183929">
              <w:rPr>
                <w:rFonts w:cs="Arial"/>
                <w:color w:val="000000" w:themeColor="text1"/>
                <w:sz w:val="20"/>
              </w:rPr>
              <w:br/>
              <w:t>Table 2, page 10: Intervention indirectness – finerenone not currently licensed for CHF.</w:t>
            </w:r>
            <w:r w:rsidRPr="00183929">
              <w:rPr>
                <w:rFonts w:cs="Arial"/>
                <w:color w:val="000000" w:themeColor="text1"/>
                <w:sz w:val="20"/>
              </w:rPr>
              <w:br/>
            </w:r>
            <w:r w:rsidRPr="00183929">
              <w:rPr>
                <w:rFonts w:cs="Arial"/>
                <w:color w:val="000000" w:themeColor="text1"/>
                <w:sz w:val="20"/>
              </w:rPr>
              <w:br/>
            </w:r>
            <w:r w:rsidRPr="00183929">
              <w:rPr>
                <w:rFonts w:cs="Arial"/>
                <w:color w:val="000000" w:themeColor="text1"/>
                <w:sz w:val="20"/>
              </w:rPr>
              <w:lastRenderedPageBreak/>
              <w:t>Table 6, page 16, footnote d: Downgraded by 1 increment for intervention indirectness (finerenone not licensed for CHF).</w:t>
            </w:r>
            <w:r w:rsidRPr="00183929">
              <w:rPr>
                <w:rFonts w:cs="Arial"/>
                <w:color w:val="000000" w:themeColor="text1"/>
                <w:sz w:val="20"/>
              </w:rPr>
              <w:br/>
            </w:r>
            <w:r w:rsidRPr="00183929">
              <w:rPr>
                <w:rFonts w:cs="Arial"/>
                <w:color w:val="000000" w:themeColor="text1"/>
                <w:sz w:val="20"/>
              </w:rPr>
              <w:br/>
              <w:t xml:space="preserve">Bayer requests that NICE reconsiders its stance on considering finerenone an indirect intervention and consequently downgrading the evidence. </w:t>
            </w:r>
            <w:r w:rsidRPr="00183929">
              <w:rPr>
                <w:rFonts w:cs="Arial"/>
                <w:color w:val="000000" w:themeColor="text1"/>
                <w:sz w:val="20"/>
              </w:rPr>
              <w:br/>
            </w:r>
            <w:r w:rsidRPr="00183929">
              <w:rPr>
                <w:rFonts w:cs="Arial"/>
                <w:color w:val="000000" w:themeColor="text1"/>
                <w:sz w:val="20"/>
              </w:rPr>
              <w:br/>
            </w:r>
            <w:r w:rsidRPr="00183929">
              <w:rPr>
                <w:rFonts w:cs="Arial"/>
                <w:color w:val="000000" w:themeColor="text1"/>
                <w:sz w:val="20"/>
                <w:u w:val="single"/>
              </w:rPr>
              <w:t>[This text was identified as confidential and has been removed].</w:t>
            </w:r>
            <w:r w:rsidRPr="00183929">
              <w:rPr>
                <w:rFonts w:cs="Arial"/>
                <w:color w:val="000000" w:themeColor="text1"/>
                <w:sz w:val="20"/>
              </w:rPr>
              <w:br/>
            </w:r>
            <w:r w:rsidRPr="00183929">
              <w:rPr>
                <w:rFonts w:cs="Arial"/>
                <w:color w:val="000000" w:themeColor="text1"/>
                <w:sz w:val="20"/>
              </w:rPr>
              <w:br/>
              <w:t>The decision to downgrade the evidence for finerenone on the basis that it is not currently licensed for chronic heart failure introduces a methodological inconsistency and risks undervaluing the most robust and contemporary evidence available for MRAs in HFmrEF and HFpEF.</w:t>
            </w:r>
            <w:r w:rsidRPr="00183929">
              <w:rPr>
                <w:rFonts w:cs="Arial"/>
                <w:color w:val="000000" w:themeColor="text1"/>
                <w:sz w:val="20"/>
              </w:rPr>
              <w:br/>
            </w:r>
            <w:r w:rsidRPr="00183929">
              <w:rPr>
                <w:rFonts w:cs="Arial"/>
                <w:color w:val="000000" w:themeColor="text1"/>
                <w:sz w:val="20"/>
              </w:rPr>
              <w:br/>
              <w:t>Licensing Status ≠ Clinical Relevance or Evidence QualityLicensing is a regulatory endpoint, not a determinant of clinical evidence quality. The FINEARTS-HF trial is a large, global, phase 3 RCT that met its primary endpoint in a well-defined HFmrEF and HFpEF population (LVEF ≥40%), with statistically significant reductions in heart failure hospitalisations and improvements in patient-reported outcomes (e.g. KCCQ scores) over 12 months (Solomon et al., 2024). Downgrading this evidence solely due to licensing status contradicts the principle of basing recommendations on the strength and applicability of clinical data and fails to consider the applicable regulatory licensing timeframe.</w:t>
            </w:r>
            <w:r w:rsidRPr="00183929">
              <w:rPr>
                <w:rFonts w:cs="Arial"/>
                <w:color w:val="000000" w:themeColor="text1"/>
                <w:sz w:val="20"/>
              </w:rPr>
              <w:br/>
              <w:t>Inconsistent Application of Indirectness CriteriaThe review protocol explicitly allowed inclusion of older trials that did not meet the current HFmrEF diagnostic criteria (e.g. structural heart abnormalities or natriuretic peptide thresholds) to avoid excluding “informative” studies (NICE, 2025). This flexibility enabled inclusion of trials such as TOPCAT, which failed to meet its primary endpoint and has well-documented regional inconsistencies. Yet, finerenone—despite meeting modern diagnostic thresholds and demonstrating efficacy—is penalised for a regulatory technicality.</w:t>
            </w:r>
            <w:r w:rsidRPr="00183929">
              <w:rPr>
                <w:rFonts w:cs="Arial"/>
                <w:color w:val="000000" w:themeColor="text1"/>
                <w:sz w:val="20"/>
              </w:rPr>
              <w:br/>
              <w:t xml:space="preserve">Finerenone Is the Only MRA with Positive Phase 3 Data in HFmrEFSpironolactone and eplerenone have not generated new phase 3 data in HFmrEF since the last </w:t>
            </w:r>
            <w:r w:rsidRPr="00183929">
              <w:rPr>
                <w:rFonts w:cs="Arial"/>
                <w:color w:val="000000" w:themeColor="text1"/>
                <w:sz w:val="20"/>
              </w:rPr>
              <w:lastRenderedPageBreak/>
              <w:t>guideline update. The TOPCAT trial, the primary evidence base for spironolactone, did not meet its primary endpoint and has been criticised for regional heterogeneity and protocol adherence issues (Pitt et al., 2014). In contrast, FINEARTS-HF is the only contemporary trial to demonstrate a statistically significant benefit in a HFmrEF population using rigorous inclusion criteria aligned with current definitions (Docherty et al., 2024).</w:t>
            </w:r>
            <w:r w:rsidRPr="00183929">
              <w:rPr>
                <w:rFonts w:cs="Arial"/>
                <w:color w:val="000000" w:themeColor="text1"/>
                <w:sz w:val="20"/>
              </w:rPr>
              <w:br/>
              <w:t>Downgrading finerenone for indirectness due to licensing status is not methodologically justified given the strength, relevance, and recency of the FINEARTS-HF trial. The evidence should be appraised on its clinical merits, particularly considering the absence of new data for other MRAs and the limitations of older trials. A more balanced and evidence-based approach would be to acknowledge finerenone as the only MRA with new, positive phase 3 data in HFmrEF and to reflect this appropriately in the guideline’s grading and recommendations. The European Society of Cardiology (ESC) 2023 guidelines provide a Class I, Level A recommendation for finerenone for the reduction of the risk of heart failure hospitalisation in patients with type 2 diabetes and CKD (McDonagh 2023).</w:t>
            </w:r>
            <w:r w:rsidRPr="00183929">
              <w:rPr>
                <w:rFonts w:cs="Arial"/>
                <w:color w:val="000000" w:themeColor="text1"/>
                <w:sz w:val="20"/>
              </w:rPr>
              <w:br/>
            </w:r>
            <w:r w:rsidRPr="00183929">
              <w:rPr>
                <w:rFonts w:cs="Arial"/>
                <w:color w:val="000000" w:themeColor="text1"/>
                <w:sz w:val="20"/>
              </w:rPr>
              <w:br/>
              <w:t>References</w:t>
            </w:r>
            <w:r w:rsidRPr="00183929">
              <w:rPr>
                <w:rFonts w:cs="Arial"/>
                <w:color w:val="000000" w:themeColor="text1"/>
                <w:sz w:val="20"/>
              </w:rPr>
              <w:br/>
              <w:t>Docherty, K.F., Henderson, A.D., Jhund, P.S., Claggett, B.L., Desai, A.S., Mueller, K., Viswanathan, P., Scalise, A., Lam, C.S.P., Senni, M., Shah, S.J., Voors, A.A., Zannad, F., Pitt, B., Vaduganathan, M., Solomon, S.D. and McMurray, J.J.V., 2024. Efficacy and safety of finerenone across the ejection fraction spectrum in heart failure with mildly reduced and preserved ejection fraction: a prespecified analysis of the FINEARTS-HF trial. Circulation.</w:t>
            </w:r>
            <w:r w:rsidRPr="00183929">
              <w:rPr>
                <w:rFonts w:cs="Arial"/>
                <w:color w:val="000000" w:themeColor="text1"/>
                <w:sz w:val="20"/>
              </w:rPr>
              <w:br/>
              <w:t>Pitt, B., Pfeffer, M.A., Assmann, S.F., Boineau, R., Anand, I.S., Claggett, B., Clausell, N., Desai, A.S., Diaz, R., Fleg, J.L., Gordeev, I., Harty, B., Heitner, J.F., Kenwood, C.T., Lewis, E.F., O'Meara, E., Probstfield, J.L., Shaburishvili, T., Shah, S.J., Solomon, S.D., Sweitzer, N.K., Yang, S. and McKinlay, S.M., 2014. Spironolactone for heart failure with preserved ejection fraction. New England Journal of Medicine, 370(15), pp.1383–1392.</w:t>
            </w:r>
            <w:r w:rsidRPr="00183929">
              <w:rPr>
                <w:rFonts w:cs="Arial"/>
                <w:color w:val="000000" w:themeColor="text1"/>
                <w:sz w:val="20"/>
              </w:rPr>
              <w:br/>
              <w:t xml:space="preserve">Solomon, S.D., McMurray, J.J.V., Vaduganathan, M., Claggett, B., Jhund, P.S., </w:t>
            </w:r>
            <w:r w:rsidRPr="00183929">
              <w:rPr>
                <w:rFonts w:cs="Arial"/>
                <w:color w:val="000000" w:themeColor="text1"/>
                <w:sz w:val="20"/>
              </w:rPr>
              <w:lastRenderedPageBreak/>
              <w:t>Desai, A.S., Henderson, A.D., Lam, C.S.P., Pitt, B., Senni, M., Shah, S.J., Voors, A.A., Zannad, F., et al., 2024. Finerenone in heart failure with mildly reduced or preserved ejection fraction. New England Journal of Medicine, 391(16), pp.1475–1485.</w:t>
            </w:r>
            <w:r w:rsidRPr="00183929">
              <w:rPr>
                <w:rFonts w:cs="Arial"/>
                <w:color w:val="000000" w:themeColor="text1"/>
                <w:sz w:val="20"/>
              </w:rPr>
              <w:br/>
              <w:t>McDonagh, T.A., Metra, M., Adamo, M., et al., 2023. 2023 ESC Guidelines for the diagnosis and treatment of acute and chronic heart failure. European Heart Journal, 44(36), pp.3627–3720.</w:t>
            </w:r>
          </w:p>
        </w:tc>
        <w:tc>
          <w:tcPr>
            <w:tcW w:w="2122" w:type="pct"/>
          </w:tcPr>
          <w:p w14:paraId="045DBC7D" w14:textId="77777777"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lastRenderedPageBreak/>
              <w:t>Thank-you for your comments regarding licensing of the MRA, finerenone, which is included in evidence reviews B and D.</w:t>
            </w:r>
          </w:p>
          <w:p w14:paraId="1CC5F6C4" w14:textId="77777777" w:rsidR="00897293" w:rsidRPr="00CC6553" w:rsidRDefault="00897293" w:rsidP="00B234F1">
            <w:pPr>
              <w:rPr>
                <w:color w:val="000000" w:themeColor="text1"/>
              </w:rPr>
            </w:pPr>
          </w:p>
          <w:p w14:paraId="1FB54A7E" w14:textId="77777777" w:rsidR="00897293" w:rsidRPr="00CC6553" w:rsidRDefault="00897293" w:rsidP="00B234F1">
            <w:pPr>
              <w:rPr>
                <w:rFonts w:cs="Arial"/>
                <w:bCs/>
                <w:color w:val="000000" w:themeColor="text1"/>
                <w:sz w:val="20"/>
              </w:rPr>
            </w:pPr>
            <w:r w:rsidRPr="00CC6553">
              <w:rPr>
                <w:rFonts w:cs="Arial"/>
                <w:bCs/>
                <w:color w:val="000000" w:themeColor="text1"/>
                <w:sz w:val="20"/>
              </w:rPr>
              <w:lastRenderedPageBreak/>
              <w:t>We have reconsidered the downgrading of finerenone for intervention indirectness in these evidence reviews. Downgrading for intervention indirectness has been removed for all evidence reflecting finerenone; evidence reviews B and D have been amended accordingly.</w:t>
            </w:r>
          </w:p>
          <w:p w14:paraId="03F66E2C" w14:textId="77777777" w:rsidR="00897293" w:rsidRPr="00CC6553" w:rsidRDefault="00897293" w:rsidP="00B234F1">
            <w:pPr>
              <w:rPr>
                <w:rFonts w:cs="Arial"/>
                <w:bCs/>
                <w:color w:val="000000" w:themeColor="text1"/>
                <w:sz w:val="20"/>
              </w:rPr>
            </w:pPr>
          </w:p>
          <w:p w14:paraId="74D5B1FD" w14:textId="1643E6AD" w:rsidR="00897293" w:rsidRPr="00CC6553" w:rsidRDefault="00897293" w:rsidP="476BDDBF">
            <w:pPr>
              <w:rPr>
                <w:rFonts w:cs="Arial"/>
                <w:color w:val="000000" w:themeColor="text1"/>
                <w:sz w:val="20"/>
              </w:rPr>
            </w:pPr>
            <w:r w:rsidRPr="00CC6553">
              <w:rPr>
                <w:rFonts w:cs="Arial"/>
                <w:color w:val="000000" w:themeColor="text1"/>
                <w:sz w:val="20"/>
              </w:rPr>
              <w:t xml:space="preserve">Thank-you for your comments about the TOPCAT trial. The committee was aware of the criticisms of the trial. Limitations of this trial are discussed in evidence reviews B and D; these are reflected in the committee’s decision-making. </w:t>
            </w:r>
          </w:p>
          <w:p w14:paraId="184AA810" w14:textId="77777777" w:rsidR="00897293" w:rsidRPr="00CC6553" w:rsidRDefault="00897293" w:rsidP="00B234F1">
            <w:pPr>
              <w:rPr>
                <w:rFonts w:cs="Arial"/>
                <w:bCs/>
                <w:color w:val="000000" w:themeColor="text1"/>
              </w:rPr>
            </w:pPr>
          </w:p>
          <w:p w14:paraId="78B8F52D" w14:textId="578873B5" w:rsidR="00897293" w:rsidRPr="00CC6553" w:rsidRDefault="00897293" w:rsidP="00B234F1">
            <w:pPr>
              <w:rPr>
                <w:color w:val="000000" w:themeColor="text1"/>
              </w:rPr>
            </w:pPr>
          </w:p>
        </w:tc>
      </w:tr>
      <w:tr w:rsidR="00897293" w:rsidRPr="00CC6553" w14:paraId="769C7C82" w14:textId="77777777" w:rsidTr="00897293">
        <w:trPr>
          <w:trHeight w:val="300"/>
        </w:trPr>
        <w:tc>
          <w:tcPr>
            <w:tcW w:w="109" w:type="pct"/>
          </w:tcPr>
          <w:p w14:paraId="00FD1194"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354</w:t>
            </w:r>
          </w:p>
        </w:tc>
        <w:tc>
          <w:tcPr>
            <w:tcW w:w="143" w:type="pct"/>
          </w:tcPr>
          <w:p w14:paraId="0797FBBD" w14:textId="3621D5EE"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CA13223" w14:textId="4B18DB56" w:rsidR="00897293" w:rsidRPr="00CC6553" w:rsidRDefault="00897293" w:rsidP="00B234F1">
            <w:pPr>
              <w:rPr>
                <w:rFonts w:cs="Arial"/>
                <w:bCs/>
                <w:iCs/>
                <w:color w:val="000000" w:themeColor="text1"/>
                <w:sz w:val="20"/>
              </w:rPr>
            </w:pPr>
            <w:r w:rsidRPr="00CC6553">
              <w:rPr>
                <w:rFonts w:cs="Arial"/>
                <w:color w:val="000000" w:themeColor="text1"/>
                <w:sz w:val="20"/>
              </w:rPr>
              <w:t>Bayer plc</w:t>
            </w:r>
          </w:p>
        </w:tc>
        <w:tc>
          <w:tcPr>
            <w:tcW w:w="279" w:type="pct"/>
          </w:tcPr>
          <w:p w14:paraId="7F0D620F" w14:textId="13A33DD9" w:rsidR="00897293" w:rsidRPr="00CC6553" w:rsidRDefault="00897293" w:rsidP="00B234F1">
            <w:pPr>
              <w:rPr>
                <w:rFonts w:cs="Arial"/>
                <w:color w:val="000000" w:themeColor="text1"/>
                <w:sz w:val="20"/>
              </w:rPr>
            </w:pPr>
            <w:r w:rsidRPr="00CC6553">
              <w:rPr>
                <w:rFonts w:cs="Arial"/>
                <w:color w:val="000000" w:themeColor="text1"/>
                <w:sz w:val="20"/>
              </w:rPr>
              <w:t>Evidence review B</w:t>
            </w:r>
          </w:p>
        </w:tc>
        <w:tc>
          <w:tcPr>
            <w:tcW w:w="214" w:type="pct"/>
          </w:tcPr>
          <w:p w14:paraId="3F77CCEA" w14:textId="78886BDF" w:rsidR="00897293" w:rsidRPr="00CC6553" w:rsidRDefault="00897293" w:rsidP="00B234F1">
            <w:pPr>
              <w:rPr>
                <w:rFonts w:cs="Arial"/>
                <w:color w:val="000000" w:themeColor="text1"/>
                <w:sz w:val="20"/>
              </w:rPr>
            </w:pPr>
            <w:r w:rsidRPr="00CC6553">
              <w:rPr>
                <w:rFonts w:cs="Arial"/>
                <w:color w:val="000000" w:themeColor="text1"/>
                <w:sz w:val="20"/>
              </w:rPr>
              <w:t>026</w:t>
            </w:r>
            <w:r w:rsidRPr="00CC6553">
              <w:rPr>
                <w:rFonts w:cs="Arial"/>
                <w:color w:val="000000" w:themeColor="text1"/>
                <w:sz w:val="20"/>
              </w:rPr>
              <w:br/>
            </w:r>
            <w:r w:rsidRPr="00CC6553">
              <w:rPr>
                <w:rFonts w:cs="Arial"/>
                <w:color w:val="000000" w:themeColor="text1"/>
                <w:sz w:val="20"/>
              </w:rPr>
              <w:br/>
              <w:t>027</w:t>
            </w:r>
          </w:p>
        </w:tc>
        <w:tc>
          <w:tcPr>
            <w:tcW w:w="214" w:type="pct"/>
          </w:tcPr>
          <w:p w14:paraId="71FD0366" w14:textId="249F3323" w:rsidR="00897293" w:rsidRPr="00CC6553" w:rsidRDefault="00897293" w:rsidP="00B234F1">
            <w:pPr>
              <w:rPr>
                <w:rFonts w:cs="Arial"/>
                <w:color w:val="000000" w:themeColor="text1"/>
                <w:sz w:val="20"/>
              </w:rPr>
            </w:pPr>
            <w:r w:rsidRPr="00CC6553">
              <w:rPr>
                <w:rFonts w:cs="Arial"/>
                <w:color w:val="000000" w:themeColor="text1"/>
                <w:sz w:val="20"/>
              </w:rPr>
              <w:t>Table 13</w:t>
            </w:r>
            <w:r w:rsidRPr="00CC6553">
              <w:rPr>
                <w:rFonts w:cs="Arial"/>
                <w:color w:val="000000" w:themeColor="text1"/>
                <w:sz w:val="20"/>
              </w:rPr>
              <w:br/>
            </w:r>
            <w:r w:rsidRPr="00CC6553">
              <w:rPr>
                <w:rFonts w:cs="Arial"/>
                <w:color w:val="000000" w:themeColor="text1"/>
                <w:sz w:val="20"/>
              </w:rPr>
              <w:br/>
              <w:t>Table 14</w:t>
            </w:r>
          </w:p>
        </w:tc>
        <w:tc>
          <w:tcPr>
            <w:tcW w:w="1521" w:type="pct"/>
          </w:tcPr>
          <w:p w14:paraId="12784A75" w14:textId="78740749" w:rsidR="00897293" w:rsidRPr="00CC6553" w:rsidRDefault="00897293" w:rsidP="00B234F1">
            <w:pPr>
              <w:rPr>
                <w:rFonts w:cs="Arial"/>
                <w:color w:val="000000" w:themeColor="text1"/>
                <w:sz w:val="20"/>
              </w:rPr>
            </w:pPr>
            <w:r w:rsidRPr="00CC6553">
              <w:rPr>
                <w:rFonts w:cs="Arial"/>
                <w:color w:val="000000" w:themeColor="text1"/>
                <w:sz w:val="20"/>
              </w:rPr>
              <w:t>20mg once daily (CKD), 20mg or 40mg daily FINEARTS-HF trial dosage, cost based on 40mg</w:t>
            </w:r>
            <w:r w:rsidRPr="00CC6553">
              <w:rPr>
                <w:rFonts w:cs="Arial"/>
                <w:color w:val="000000" w:themeColor="text1"/>
                <w:sz w:val="20"/>
              </w:rPr>
              <w:br/>
            </w:r>
            <w:r w:rsidRPr="00CC6553">
              <w:rPr>
                <w:rFonts w:cs="Arial"/>
                <w:color w:val="000000" w:themeColor="text1"/>
                <w:sz w:val="20"/>
              </w:rPr>
              <w:br/>
              <w:t xml:space="preserve">The draft guideline currently estimates the annual cost of finerenone at £956.96, based on two 20 </w:t>
            </w:r>
            <w:r w:rsidRPr="00183929">
              <w:rPr>
                <w:rFonts w:cs="Arial"/>
                <w:color w:val="000000" w:themeColor="text1"/>
                <w:sz w:val="20"/>
              </w:rPr>
              <w:t xml:space="preserve">mg tablets taken daily. However, </w:t>
            </w:r>
            <w:r w:rsidRPr="00183929">
              <w:rPr>
                <w:rFonts w:cs="Arial"/>
                <w:color w:val="000000" w:themeColor="text1"/>
                <w:sz w:val="20"/>
                <w:u w:val="single"/>
              </w:rPr>
              <w:t>[This text was identified as confidential and has been removed].</w:t>
            </w:r>
            <w:r w:rsidRPr="00183929">
              <w:rPr>
                <w:rFonts w:cs="Arial"/>
                <w:color w:val="000000" w:themeColor="text1"/>
                <w:sz w:val="20"/>
              </w:rPr>
              <w:t>Therefore</w:t>
            </w:r>
            <w:r w:rsidRPr="00CC6553">
              <w:rPr>
                <w:rFonts w:cs="Arial"/>
                <w:color w:val="000000" w:themeColor="text1"/>
                <w:sz w:val="20"/>
              </w:rPr>
              <w:t>, the actual annual cost of finerenone should be much lower than what is currently stated in the draft guideline.</w:t>
            </w:r>
          </w:p>
        </w:tc>
        <w:tc>
          <w:tcPr>
            <w:tcW w:w="2122" w:type="pct"/>
          </w:tcPr>
          <w:p w14:paraId="2BCD1B49" w14:textId="4AB30A46"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Thank you for your comment. </w:t>
            </w:r>
            <w:r w:rsidRPr="00CC6553">
              <w:rPr>
                <w:rFonts w:cs="Arial"/>
                <w:b w:val="0"/>
                <w:color w:val="000000" w:themeColor="text1"/>
                <w:sz w:val="20"/>
              </w:rPr>
              <w:br/>
              <w:t>We have estimated the total annual cost based on the current prices available on the BNF. As the expected price is confidential we are unable to use this price in the guideline. The expected cost will be used during the technolog</w:t>
            </w:r>
            <w:r>
              <w:rPr>
                <w:rFonts w:cs="Arial"/>
                <w:b w:val="0"/>
                <w:color w:val="000000" w:themeColor="text1"/>
                <w:sz w:val="20"/>
              </w:rPr>
              <w:t xml:space="preserve">y </w:t>
            </w:r>
            <w:r w:rsidRPr="00CC6553">
              <w:rPr>
                <w:rFonts w:cs="Arial"/>
                <w:b w:val="0"/>
                <w:color w:val="000000" w:themeColor="text1"/>
                <w:sz w:val="20"/>
              </w:rPr>
              <w:t xml:space="preserve">appraisal process. </w:t>
            </w:r>
          </w:p>
        </w:tc>
      </w:tr>
      <w:tr w:rsidR="00897293" w:rsidRPr="00CC6553" w14:paraId="4C94038C" w14:textId="77777777" w:rsidTr="00897293">
        <w:trPr>
          <w:trHeight w:val="300"/>
        </w:trPr>
        <w:tc>
          <w:tcPr>
            <w:tcW w:w="109" w:type="pct"/>
          </w:tcPr>
          <w:p w14:paraId="6C6181E2" w14:textId="77777777" w:rsidR="00897293" w:rsidRPr="00CC6553" w:rsidRDefault="00897293" w:rsidP="00B234F1">
            <w:pPr>
              <w:rPr>
                <w:rFonts w:cs="Arial"/>
                <w:color w:val="000000" w:themeColor="text1"/>
                <w:sz w:val="20"/>
              </w:rPr>
            </w:pPr>
            <w:r w:rsidRPr="00CC6553">
              <w:rPr>
                <w:rFonts w:cs="Arial"/>
                <w:color w:val="000000" w:themeColor="text1"/>
                <w:sz w:val="20"/>
              </w:rPr>
              <w:t>355</w:t>
            </w:r>
          </w:p>
        </w:tc>
        <w:tc>
          <w:tcPr>
            <w:tcW w:w="143" w:type="pct"/>
          </w:tcPr>
          <w:p w14:paraId="73C0A246" w14:textId="7604E69A"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401E5C47" w14:textId="350F921D" w:rsidR="00897293" w:rsidRPr="00CC6553" w:rsidRDefault="00897293" w:rsidP="00B234F1">
            <w:pPr>
              <w:rPr>
                <w:rFonts w:cs="Arial"/>
                <w:bCs/>
                <w:iCs/>
                <w:color w:val="000000" w:themeColor="text1"/>
                <w:sz w:val="20"/>
              </w:rPr>
            </w:pPr>
            <w:r w:rsidRPr="00CC6553">
              <w:rPr>
                <w:rFonts w:cs="Arial"/>
                <w:color w:val="000000" w:themeColor="text1"/>
                <w:sz w:val="20"/>
              </w:rPr>
              <w:t>AstraZeneca UK Ltd</w:t>
            </w:r>
          </w:p>
        </w:tc>
        <w:tc>
          <w:tcPr>
            <w:tcW w:w="279" w:type="pct"/>
          </w:tcPr>
          <w:p w14:paraId="67C6EB94" w14:textId="3165393A" w:rsidR="00897293" w:rsidRPr="00CC6553" w:rsidRDefault="00897293" w:rsidP="00B234F1">
            <w:pPr>
              <w:rPr>
                <w:rFonts w:cs="Arial"/>
                <w:color w:val="000000" w:themeColor="text1"/>
                <w:sz w:val="20"/>
              </w:rPr>
            </w:pPr>
            <w:r w:rsidRPr="00CC6553">
              <w:rPr>
                <w:rFonts w:cs="Arial"/>
                <w:color w:val="000000" w:themeColor="text1"/>
                <w:sz w:val="20"/>
              </w:rPr>
              <w:t>Evidence Review B</w:t>
            </w:r>
          </w:p>
        </w:tc>
        <w:tc>
          <w:tcPr>
            <w:tcW w:w="214" w:type="pct"/>
          </w:tcPr>
          <w:p w14:paraId="55487A29" w14:textId="135145FB" w:rsidR="00897293" w:rsidRPr="00CC6553" w:rsidRDefault="00897293" w:rsidP="00B234F1">
            <w:pPr>
              <w:rPr>
                <w:rFonts w:cs="Arial"/>
                <w:color w:val="000000" w:themeColor="text1"/>
                <w:sz w:val="20"/>
              </w:rPr>
            </w:pPr>
            <w:r w:rsidRPr="00CC6553">
              <w:rPr>
                <w:rFonts w:cs="Arial"/>
                <w:color w:val="000000" w:themeColor="text1"/>
                <w:sz w:val="20"/>
              </w:rPr>
              <w:t>031</w:t>
            </w:r>
          </w:p>
        </w:tc>
        <w:tc>
          <w:tcPr>
            <w:tcW w:w="214" w:type="pct"/>
          </w:tcPr>
          <w:p w14:paraId="5883583A" w14:textId="2FF674D8"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41DC8109" w14:textId="4B38E7C4" w:rsidR="00897293" w:rsidRPr="00CC6553" w:rsidRDefault="00897293" w:rsidP="00B234F1">
            <w:pPr>
              <w:rPr>
                <w:rFonts w:cs="Arial"/>
                <w:color w:val="000000" w:themeColor="text1"/>
                <w:sz w:val="20"/>
              </w:rPr>
            </w:pPr>
            <w:r w:rsidRPr="00CC6553">
              <w:rPr>
                <w:rFonts w:cs="Arial"/>
                <w:color w:val="000000" w:themeColor="text1"/>
                <w:sz w:val="20"/>
              </w:rPr>
              <w:t>‘The committee considered potassium levels to be important to monitor, but that hyperkalaemia is not a harm that outweighs the clinically important benefit of MRAs on mortality and hospitalisation for HF’.</w:t>
            </w:r>
            <w:r w:rsidRPr="00CC6553">
              <w:rPr>
                <w:color w:val="000000" w:themeColor="text1"/>
              </w:rPr>
              <w:br/>
            </w:r>
            <w:r w:rsidRPr="00CC6553">
              <w:rPr>
                <w:color w:val="000000" w:themeColor="text1"/>
              </w:rPr>
              <w:br/>
            </w:r>
            <w:r w:rsidRPr="00CC6553">
              <w:rPr>
                <w:rFonts w:cs="Arial"/>
                <w:color w:val="000000" w:themeColor="text1"/>
                <w:sz w:val="20"/>
              </w:rPr>
              <w:t>AstraZeneca agrees with this statement, however note that this conclusion applies to all RAASi therapies (i.e., ACEi, ARB, ARNI and MRA), utilised in all heart failure phenotypes (rEF, mrEF, pEF) as all provide cardiorenal protection and improved outcomes CITATION Swe871 \l 2057  [19] CITATION SOL911 \l 2057  [20] CITATION Pac991 \l 2057  [21] CITATION Pit99 \l 2057  [22] CITATION Zan111 \l 2057  [23] CITATION McM141 \l 2057  [24]. AstraZeneca are concerned that the focus on MRAs may lead to confusion that monitoring is not required for other RAASi therapies that also increase the risk of hyperkalaemia.</w:t>
            </w:r>
            <w:r w:rsidRPr="00CC6553">
              <w:rPr>
                <w:color w:val="000000" w:themeColor="text1"/>
              </w:rPr>
              <w:br/>
            </w:r>
            <w:r w:rsidRPr="00CC6553">
              <w:rPr>
                <w:color w:val="000000" w:themeColor="text1"/>
              </w:rPr>
              <w:br/>
            </w:r>
            <w:r w:rsidRPr="00CC6553">
              <w:rPr>
                <w:rFonts w:cs="Arial"/>
                <w:color w:val="000000" w:themeColor="text1"/>
                <w:sz w:val="20"/>
              </w:rPr>
              <w:t xml:space="preserve">Hyperkalaemia should not prevent the use of MRA or RAASi therapy, as it can be managed whilst maintaining heart failure treatment with the use of potassium </w:t>
            </w:r>
            <w:r w:rsidRPr="00CC6553">
              <w:rPr>
                <w:rFonts w:cs="Arial"/>
                <w:color w:val="000000" w:themeColor="text1"/>
                <w:sz w:val="20"/>
              </w:rPr>
              <w:lastRenderedPageBreak/>
              <w:t>binders, which have been evaluate by NICE and recommended as clinically and cost-effective treatment options.</w:t>
            </w:r>
            <w:r w:rsidRPr="00CC6553">
              <w:rPr>
                <w:color w:val="000000" w:themeColor="text1"/>
              </w:rPr>
              <w:br/>
            </w:r>
            <w:r w:rsidRPr="00CC6553">
              <w:rPr>
                <w:color w:val="000000" w:themeColor="text1"/>
              </w:rPr>
              <w:br/>
            </w:r>
            <w:r w:rsidRPr="00CC6553">
              <w:rPr>
                <w:rFonts w:cs="Arial"/>
                <w:color w:val="000000" w:themeColor="text1"/>
                <w:sz w:val="20"/>
              </w:rPr>
              <w:t>AstraZeneca recommend that the guideline provide further guidance on the management of hyperkalaemia for those with mildly reduced left ventricular ejection fraction. This should include:</w:t>
            </w:r>
            <w:r w:rsidRPr="00CC6553">
              <w:rPr>
                <w:color w:val="000000" w:themeColor="text1"/>
              </w:rPr>
              <w:br/>
            </w:r>
            <w:r w:rsidRPr="00CC6553">
              <w:rPr>
                <w:rFonts w:cs="Arial"/>
                <w:color w:val="000000" w:themeColor="text1"/>
                <w:sz w:val="20"/>
              </w:rPr>
              <w:t xml:space="preserve">Highlighting that the clinical important benefits of guideline recommended therapies outweigh the increased risk of hyperkalaemia. </w:t>
            </w:r>
            <w:r w:rsidRPr="00CC6553">
              <w:rPr>
                <w:color w:val="000000" w:themeColor="text1"/>
              </w:rPr>
              <w:br/>
            </w:r>
            <w:r w:rsidRPr="00CC6553">
              <w:rPr>
                <w:rFonts w:cs="Arial"/>
                <w:color w:val="000000" w:themeColor="text1"/>
                <w:sz w:val="20"/>
              </w:rPr>
              <w:t>Describe the options available to manage the risk of hyperkalaemia in clinical practice, with reference to the existing NICE guidance of potassium binders for the treatment of hyperkalaemia in heart failure patients, sodium zirconium cyclosilicate (TA599, 2022) CITATION NIC22 \l 2057  [17] and patiromer (TA623, 2020) CITATION NIC20 \l 2057  [18].</w:t>
            </w:r>
            <w:r w:rsidRPr="00CC6553">
              <w:rPr>
                <w:color w:val="000000" w:themeColor="text1"/>
              </w:rPr>
              <w:br/>
            </w:r>
            <w:r w:rsidRPr="00CC6553">
              <w:rPr>
                <w:rFonts w:cs="Arial"/>
                <w:color w:val="000000" w:themeColor="text1"/>
                <w:sz w:val="20"/>
              </w:rPr>
              <w:t>Recommend that down-titration or discontinuation of all cardio-protective therapies should be a last resort in hyperkalaemia, and if this does occur the need to re-initiate and optimise therapy where possible to maintain cardiorenal protection.</w:t>
            </w:r>
            <w:r w:rsidRPr="00CC6553">
              <w:rPr>
                <w:color w:val="000000" w:themeColor="text1"/>
              </w:rPr>
              <w:br/>
            </w:r>
            <w:r w:rsidRPr="00CC6553">
              <w:rPr>
                <w:color w:val="000000" w:themeColor="text1"/>
              </w:rPr>
              <w:br/>
            </w:r>
            <w:r w:rsidRPr="00CC6553">
              <w:rPr>
                <w:rFonts w:cs="Arial"/>
                <w:color w:val="000000" w:themeColor="text1"/>
                <w:sz w:val="20"/>
              </w:rPr>
              <w:t>AstraZeneca recommend that NICE refer clinicians to available treatment options for hyperkalaemia and incorporate the available NICE guidance sodium zirconium cyclosilicate (TA599, 2022) CITATION NIC22 \l 2057  [17] and patiromer (TA623, 2020) CITATION NIC20 \l 2057  [18] to ensure HCPs are aware of the available pharmacological treatment for hyperkalaemia.</w:t>
            </w:r>
          </w:p>
        </w:tc>
        <w:tc>
          <w:tcPr>
            <w:tcW w:w="2122" w:type="pct"/>
          </w:tcPr>
          <w:p w14:paraId="6470A170" w14:textId="77777777" w:rsidR="00897293" w:rsidRPr="00CC6553" w:rsidRDefault="00897293" w:rsidP="00B234F1">
            <w:pPr>
              <w:pStyle w:val="Heading3"/>
              <w:jc w:val="left"/>
              <w:rPr>
                <w:b w:val="0"/>
                <w:bCs w:val="0"/>
                <w:color w:val="000000" w:themeColor="text1"/>
                <w:sz w:val="20"/>
                <w:szCs w:val="20"/>
              </w:rPr>
            </w:pPr>
            <w:r w:rsidRPr="00CC6553">
              <w:rPr>
                <w:rFonts w:cs="Arial"/>
                <w:b w:val="0"/>
                <w:color w:val="000000" w:themeColor="text1"/>
                <w:sz w:val="20"/>
              </w:rPr>
              <w:lastRenderedPageBreak/>
              <w:t>Thank-you for your comment. Section 1.7 of the guideline refers to starting and monitoring medication use and covers recommendations for use of all therapies. Specifically, recommendation 1.7.8 provides a recommendation on monitoring for potassium concentration increases to more than 5.5 mmol per litre. This is under a heading ‘</w:t>
            </w:r>
            <w:r w:rsidRPr="00CC6553">
              <w:rPr>
                <w:b w:val="0"/>
                <w:bCs w:val="0"/>
                <w:color w:val="000000" w:themeColor="text1"/>
                <w:sz w:val="20"/>
                <w:szCs w:val="20"/>
              </w:rPr>
              <w:t>ACE inhibitors, ARNIs, ARBs and MRAs’ so is relevant to monitoring for hyperkalaemia for all of these medicines.</w:t>
            </w:r>
          </w:p>
          <w:p w14:paraId="4FEE35C8" w14:textId="77777777" w:rsidR="00897293" w:rsidRPr="00CC6553" w:rsidRDefault="00897293" w:rsidP="00B234F1">
            <w:pPr>
              <w:rPr>
                <w:color w:val="000000" w:themeColor="text1"/>
              </w:rPr>
            </w:pPr>
          </w:p>
          <w:p w14:paraId="0092094F" w14:textId="77777777" w:rsidR="00897293" w:rsidRPr="00CC6553" w:rsidRDefault="00897293" w:rsidP="00B234F1">
            <w:pPr>
              <w:rPr>
                <w:color w:val="000000" w:themeColor="text1"/>
                <w:sz w:val="20"/>
              </w:rPr>
            </w:pPr>
            <w:r w:rsidRPr="00CC6553">
              <w:rPr>
                <w:color w:val="000000" w:themeColor="text1"/>
                <w:sz w:val="20"/>
              </w:rPr>
              <w:lastRenderedPageBreak/>
              <w:t xml:space="preserve">In some instances, the evidence reviews cross-refer to these monitoring recommendations, when there is evidence suggesting an increase in adverse events, including hyperkalaemia, from a particular combination of medicines. These cross-references are present because, in their decision making, the committee considered that the risk of such adverse events could be </w:t>
            </w:r>
            <w:r w:rsidRPr="00CC6553">
              <w:rPr>
                <w:rFonts w:cs="Arial"/>
                <w:bCs/>
                <w:color w:val="000000" w:themeColor="text1"/>
                <w:sz w:val="20"/>
                <w:szCs w:val="24"/>
              </w:rPr>
              <w:t>best managed by careful monitoring.</w:t>
            </w:r>
          </w:p>
          <w:p w14:paraId="33C355B9" w14:textId="77777777" w:rsidR="00897293" w:rsidRPr="00CC6553" w:rsidRDefault="00897293" w:rsidP="00B234F1">
            <w:pPr>
              <w:rPr>
                <w:rFonts w:cs="Arial"/>
                <w:bCs/>
                <w:color w:val="000000" w:themeColor="text1"/>
                <w:sz w:val="20"/>
                <w:szCs w:val="24"/>
              </w:rPr>
            </w:pPr>
          </w:p>
          <w:p w14:paraId="787DDD18" w14:textId="77777777" w:rsidR="00897293" w:rsidRPr="00CC6553" w:rsidRDefault="00897293" w:rsidP="00B234F1">
            <w:pPr>
              <w:rPr>
                <w:rFonts w:cs="Arial"/>
                <w:bCs/>
                <w:color w:val="000000" w:themeColor="text1"/>
                <w:sz w:val="20"/>
                <w:szCs w:val="24"/>
              </w:rPr>
            </w:pPr>
            <w:r w:rsidRPr="00CC6553">
              <w:rPr>
                <w:rFonts w:cs="Arial"/>
                <w:bCs/>
                <w:color w:val="000000" w:themeColor="text1"/>
                <w:sz w:val="20"/>
                <w:szCs w:val="24"/>
              </w:rPr>
              <w:t xml:space="preserve">The committee’s recommendations do not prevent the use of MRA or RAASI therapy based on the risk of hyperkalaemia. Risks can be best managed by careful monitoring as outlined in recommendations outlined in section 1.7. </w:t>
            </w:r>
          </w:p>
          <w:p w14:paraId="4D9575CD" w14:textId="77777777" w:rsidR="00897293" w:rsidRPr="00CC6553" w:rsidRDefault="00897293" w:rsidP="00B234F1">
            <w:pPr>
              <w:rPr>
                <w:rFonts w:cs="Arial"/>
                <w:bCs/>
                <w:color w:val="000000" w:themeColor="text1"/>
                <w:sz w:val="20"/>
                <w:szCs w:val="24"/>
              </w:rPr>
            </w:pPr>
          </w:p>
          <w:p w14:paraId="445B3F5E" w14:textId="7770B48A" w:rsidR="00897293" w:rsidRPr="00CC6553" w:rsidRDefault="00897293" w:rsidP="00B234F1">
            <w:pPr>
              <w:rPr>
                <w:color w:val="000000" w:themeColor="text1"/>
                <w:sz w:val="20"/>
              </w:rPr>
            </w:pPr>
            <w:r w:rsidRPr="00CC6553">
              <w:rPr>
                <w:rFonts w:cs="Arial"/>
                <w:bCs/>
                <w:color w:val="000000" w:themeColor="text1"/>
                <w:sz w:val="20"/>
                <w:szCs w:val="24"/>
              </w:rPr>
              <w:t>The guideline has been amended to add references to relevant TAs on the use of potassium binders. See text below recommendation 1.7.8: ‘See NICE TA623</w:t>
            </w:r>
            <w:r w:rsidRPr="009B3C47">
              <w:rPr>
                <w:b/>
                <w:color w:val="000000" w:themeColor="text1"/>
              </w:rPr>
              <w:t xml:space="preserve"> </w:t>
            </w:r>
            <w:r w:rsidRPr="00CC6553">
              <w:rPr>
                <w:rFonts w:cs="Arial"/>
                <w:bCs/>
                <w:color w:val="000000" w:themeColor="text1"/>
                <w:sz w:val="20"/>
                <w:szCs w:val="24"/>
              </w:rPr>
              <w:t>Patiromer for treating hyperkalaemia and TA 599 Sodium zirconium cyclosilicate for treating hyperkalaemia’.</w:t>
            </w:r>
          </w:p>
          <w:p w14:paraId="434F198D" w14:textId="60203580" w:rsidR="00897293" w:rsidRPr="00CC6553" w:rsidRDefault="00897293" w:rsidP="00B234F1">
            <w:pPr>
              <w:pStyle w:val="Heading1"/>
              <w:rPr>
                <w:rFonts w:cs="Arial"/>
                <w:b w:val="0"/>
                <w:color w:val="000000" w:themeColor="text1"/>
                <w:sz w:val="20"/>
              </w:rPr>
            </w:pPr>
          </w:p>
        </w:tc>
      </w:tr>
      <w:tr w:rsidR="00897293" w:rsidRPr="00CC6553" w14:paraId="678D995F" w14:textId="77777777" w:rsidTr="00897293">
        <w:trPr>
          <w:trHeight w:val="300"/>
        </w:trPr>
        <w:tc>
          <w:tcPr>
            <w:tcW w:w="109" w:type="pct"/>
          </w:tcPr>
          <w:p w14:paraId="6558FD14"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356</w:t>
            </w:r>
          </w:p>
        </w:tc>
        <w:tc>
          <w:tcPr>
            <w:tcW w:w="143" w:type="pct"/>
          </w:tcPr>
          <w:p w14:paraId="21F1E5B3" w14:textId="54E1E393"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5805BA0D" w14:textId="78E45FCE" w:rsidR="00897293" w:rsidRPr="00CC6553" w:rsidRDefault="00897293" w:rsidP="00B234F1">
            <w:pPr>
              <w:rPr>
                <w:rFonts w:cs="Arial"/>
                <w:bCs/>
                <w:iCs/>
                <w:color w:val="000000" w:themeColor="text1"/>
                <w:sz w:val="20"/>
              </w:rPr>
            </w:pPr>
            <w:r w:rsidRPr="00CC6553">
              <w:rPr>
                <w:rFonts w:cs="Arial"/>
                <w:color w:val="000000" w:themeColor="text1"/>
                <w:sz w:val="20"/>
              </w:rPr>
              <w:t>AstraZeneca UK Ltd</w:t>
            </w:r>
          </w:p>
        </w:tc>
        <w:tc>
          <w:tcPr>
            <w:tcW w:w="279" w:type="pct"/>
          </w:tcPr>
          <w:p w14:paraId="6EBF5D23" w14:textId="6C3C6722" w:rsidR="00897293" w:rsidRPr="00CC6553" w:rsidRDefault="00897293" w:rsidP="00B234F1">
            <w:pPr>
              <w:rPr>
                <w:rFonts w:cs="Arial"/>
                <w:color w:val="000000" w:themeColor="text1"/>
                <w:sz w:val="20"/>
              </w:rPr>
            </w:pPr>
            <w:r w:rsidRPr="00CC6553">
              <w:rPr>
                <w:rFonts w:cs="Arial"/>
                <w:color w:val="000000" w:themeColor="text1"/>
                <w:sz w:val="20"/>
              </w:rPr>
              <w:t>Evidence Review B</w:t>
            </w:r>
          </w:p>
        </w:tc>
        <w:tc>
          <w:tcPr>
            <w:tcW w:w="214" w:type="pct"/>
          </w:tcPr>
          <w:p w14:paraId="3E64EE71" w14:textId="644D6295" w:rsidR="00897293" w:rsidRPr="00CC6553" w:rsidRDefault="00897293" w:rsidP="00B234F1">
            <w:pPr>
              <w:rPr>
                <w:rFonts w:cs="Arial"/>
                <w:color w:val="000000" w:themeColor="text1"/>
                <w:sz w:val="20"/>
              </w:rPr>
            </w:pPr>
            <w:r w:rsidRPr="00CC6553">
              <w:rPr>
                <w:rFonts w:cs="Arial"/>
                <w:color w:val="000000" w:themeColor="text1"/>
                <w:sz w:val="20"/>
              </w:rPr>
              <w:t>031</w:t>
            </w:r>
          </w:p>
        </w:tc>
        <w:tc>
          <w:tcPr>
            <w:tcW w:w="214" w:type="pct"/>
          </w:tcPr>
          <w:p w14:paraId="411C4017" w14:textId="07CBE93D"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73D3806E" w14:textId="2E24830D" w:rsidR="00897293" w:rsidRPr="00CC6553" w:rsidRDefault="00897293" w:rsidP="0CB02657">
            <w:pPr>
              <w:rPr>
                <w:rFonts w:cs="Arial"/>
                <w:color w:val="000000" w:themeColor="text1"/>
                <w:sz w:val="20"/>
              </w:rPr>
            </w:pPr>
            <w:r w:rsidRPr="00CC6553">
              <w:rPr>
                <w:rFonts w:cs="Arial"/>
                <w:color w:val="000000" w:themeColor="text1"/>
                <w:sz w:val="20"/>
              </w:rPr>
              <w:t xml:space="preserve">The committee comment that ‘monitoring is best left to clinical judgement as individual clinical situations impact on the frequency of monitoring and extent of </w:t>
            </w:r>
            <w:r w:rsidRPr="00CC6553">
              <w:rPr>
                <w:rFonts w:cs="Arial"/>
                <w:color w:val="000000" w:themeColor="text1"/>
                <w:sz w:val="20"/>
              </w:rPr>
              <w:lastRenderedPageBreak/>
              <w:t>risk’ - whilst clinical judgement of individual clinical situations should impact the frequency of monitoring, there remains a need for routine potassium monitoring to ensure the safe prescribing of RAASi medicines that increase the risk of hyperkalaemia and to avoid undiagnosed persistent hyperkalaemia and thus avoidable morbidity and mortality in heart failure patients. This is in line with the guideline recommendation 1.7.7 made which provides NICE provides a suggested schedule if the person is taking an ACE inhibitor, ARNI, ARB or MRA.</w:t>
            </w:r>
            <w:r w:rsidRPr="00CC6553">
              <w:rPr>
                <w:color w:val="000000" w:themeColor="text1"/>
              </w:rPr>
              <w:br/>
            </w:r>
            <w:r w:rsidRPr="00CC6553">
              <w:rPr>
                <w:color w:val="000000" w:themeColor="text1"/>
              </w:rPr>
              <w:br/>
            </w:r>
            <w:r w:rsidRPr="00CC6553">
              <w:rPr>
                <w:rFonts w:cs="Arial"/>
                <w:color w:val="000000" w:themeColor="text1"/>
                <w:sz w:val="20"/>
              </w:rPr>
              <w:t>AstraZeneca recommend the wording be amended to ‘Patients should be routinely monitored if they are taking a medicine that increases the risk of hyperkalaemia, including MRAs. Clinical judgement should inform the frequency of monitoring due to individual clinical situations and extent of risk’.</w:t>
            </w:r>
          </w:p>
        </w:tc>
        <w:tc>
          <w:tcPr>
            <w:tcW w:w="2122" w:type="pct"/>
          </w:tcPr>
          <w:p w14:paraId="28AF796B" w14:textId="49015BA2" w:rsidR="00897293" w:rsidRPr="00CC6553" w:rsidRDefault="00897293" w:rsidP="0CB02657">
            <w:pPr>
              <w:pStyle w:val="Heading1"/>
              <w:rPr>
                <w:rFonts w:cs="Arial"/>
                <w:b w:val="0"/>
                <w:bCs w:val="0"/>
                <w:color w:val="000000" w:themeColor="text1"/>
                <w:sz w:val="20"/>
              </w:rPr>
            </w:pPr>
            <w:r w:rsidRPr="00CC6553">
              <w:rPr>
                <w:rFonts w:cs="Arial"/>
                <w:b w:val="0"/>
                <w:bCs w:val="0"/>
                <w:color w:val="000000" w:themeColor="text1"/>
                <w:sz w:val="20"/>
              </w:rPr>
              <w:lastRenderedPageBreak/>
              <w:t xml:space="preserve">Thank you for your comment.  Electrolytes are included in the </w:t>
            </w:r>
            <w:r w:rsidRPr="00CC6553">
              <w:rPr>
                <w:rFonts w:cs="Arial"/>
                <w:b w:val="0"/>
                <w:bCs w:val="0"/>
                <w:color w:val="000000" w:themeColor="text1"/>
                <w:sz w:val="20"/>
              </w:rPr>
              <w:lastRenderedPageBreak/>
              <w:t>recommendation on monitoring in section 1.7. Specifically, recommendation 1.7.8 provides a recommendation on monitoring for potassium concentration increases to more than 5.5 mmol per litre. This is under a heading ‘</w:t>
            </w:r>
            <w:r w:rsidRPr="00CC6553">
              <w:rPr>
                <w:b w:val="0"/>
                <w:bCs w:val="0"/>
                <w:color w:val="000000" w:themeColor="text1"/>
                <w:sz w:val="20"/>
              </w:rPr>
              <w:t>ACE inhibitors, ARNIs, ARBs and MRAs’ so is relevant to monitoring for hyperkalaemia for all of these medicines.</w:t>
            </w:r>
          </w:p>
          <w:p w14:paraId="1E022944" w14:textId="77777777" w:rsidR="00897293" w:rsidRPr="00CC6553" w:rsidRDefault="00897293" w:rsidP="0CB02657">
            <w:pPr>
              <w:rPr>
                <w:color w:val="000000" w:themeColor="text1"/>
                <w:sz w:val="20"/>
              </w:rPr>
            </w:pPr>
          </w:p>
          <w:p w14:paraId="32CAEDED" w14:textId="77777777" w:rsidR="00897293" w:rsidRPr="00CC6553" w:rsidRDefault="00897293" w:rsidP="0CB02657">
            <w:pPr>
              <w:rPr>
                <w:color w:val="000000" w:themeColor="text1"/>
                <w:sz w:val="20"/>
              </w:rPr>
            </w:pPr>
          </w:p>
          <w:p w14:paraId="42C3C75F" w14:textId="77777777" w:rsidR="00897293" w:rsidRPr="00CC6553" w:rsidRDefault="00897293" w:rsidP="0CB02657">
            <w:pPr>
              <w:rPr>
                <w:color w:val="000000" w:themeColor="text1"/>
                <w:sz w:val="20"/>
              </w:rPr>
            </w:pPr>
          </w:p>
          <w:p w14:paraId="7BD00FFB" w14:textId="4CAF4B90" w:rsidR="00897293" w:rsidRPr="00CC6553" w:rsidRDefault="00897293" w:rsidP="0CB02657">
            <w:pPr>
              <w:rPr>
                <w:color w:val="000000" w:themeColor="text1"/>
                <w:sz w:val="20"/>
              </w:rPr>
            </w:pPr>
            <w:r w:rsidRPr="00CC6553">
              <w:rPr>
                <w:color w:val="000000" w:themeColor="text1"/>
                <w:sz w:val="20"/>
              </w:rPr>
              <w:t>The wording of the monitoring recommendations was discussed at length by the committee, with a view to reaching a compromise position that gave a degree of guidance but also room for clinical consideration.</w:t>
            </w:r>
          </w:p>
          <w:p w14:paraId="13F2E025" w14:textId="4289C33A" w:rsidR="00897293" w:rsidRPr="00CC6553" w:rsidRDefault="00897293" w:rsidP="0CB02657">
            <w:pPr>
              <w:rPr>
                <w:color w:val="000000" w:themeColor="text1"/>
                <w:sz w:val="20"/>
              </w:rPr>
            </w:pPr>
          </w:p>
        </w:tc>
      </w:tr>
      <w:tr w:rsidR="00897293" w:rsidRPr="00CC6553" w14:paraId="4D8629E4" w14:textId="77777777" w:rsidTr="00897293">
        <w:trPr>
          <w:trHeight w:val="300"/>
        </w:trPr>
        <w:tc>
          <w:tcPr>
            <w:tcW w:w="109" w:type="pct"/>
          </w:tcPr>
          <w:p w14:paraId="3E41B89D"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357</w:t>
            </w:r>
          </w:p>
        </w:tc>
        <w:tc>
          <w:tcPr>
            <w:tcW w:w="143" w:type="pct"/>
          </w:tcPr>
          <w:p w14:paraId="7A543679" w14:textId="339E4E0C"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0BBABF30" w14:textId="5B24FD79" w:rsidR="00897293" w:rsidRPr="00CC6553" w:rsidRDefault="00897293" w:rsidP="00B234F1">
            <w:pPr>
              <w:rPr>
                <w:rFonts w:cs="Arial"/>
                <w:bCs/>
                <w:iCs/>
                <w:color w:val="000000" w:themeColor="text1"/>
                <w:sz w:val="20"/>
              </w:rPr>
            </w:pPr>
            <w:r w:rsidRPr="00CC6553">
              <w:rPr>
                <w:rFonts w:cs="Arial"/>
                <w:color w:val="000000" w:themeColor="text1"/>
                <w:sz w:val="20"/>
              </w:rPr>
              <w:t>AstraZeneca UK Ltd</w:t>
            </w:r>
          </w:p>
        </w:tc>
        <w:tc>
          <w:tcPr>
            <w:tcW w:w="279" w:type="pct"/>
          </w:tcPr>
          <w:p w14:paraId="16455866" w14:textId="351CE000" w:rsidR="00897293" w:rsidRPr="00CC6553" w:rsidRDefault="00897293" w:rsidP="00B234F1">
            <w:pPr>
              <w:rPr>
                <w:rFonts w:cs="Arial"/>
                <w:color w:val="000000" w:themeColor="text1"/>
                <w:sz w:val="20"/>
              </w:rPr>
            </w:pPr>
            <w:r w:rsidRPr="00CC6553">
              <w:rPr>
                <w:rFonts w:cs="Arial"/>
                <w:color w:val="000000" w:themeColor="text1"/>
                <w:sz w:val="20"/>
              </w:rPr>
              <w:t>Evidence Review B</w:t>
            </w:r>
          </w:p>
        </w:tc>
        <w:tc>
          <w:tcPr>
            <w:tcW w:w="214" w:type="pct"/>
          </w:tcPr>
          <w:p w14:paraId="7D5D1139" w14:textId="2FCA400F" w:rsidR="00897293" w:rsidRPr="00CC6553" w:rsidRDefault="00897293" w:rsidP="00B234F1">
            <w:pPr>
              <w:rPr>
                <w:rFonts w:cs="Arial"/>
                <w:color w:val="000000" w:themeColor="text1"/>
                <w:sz w:val="20"/>
              </w:rPr>
            </w:pPr>
            <w:r w:rsidRPr="00CC6553">
              <w:rPr>
                <w:rFonts w:cs="Arial"/>
                <w:color w:val="000000" w:themeColor="text1"/>
                <w:sz w:val="20"/>
              </w:rPr>
              <w:t>031</w:t>
            </w:r>
          </w:p>
        </w:tc>
        <w:tc>
          <w:tcPr>
            <w:tcW w:w="214" w:type="pct"/>
          </w:tcPr>
          <w:p w14:paraId="766AC58B" w14:textId="7D08540A"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79295FDA" w14:textId="438D069C" w:rsidR="00897293" w:rsidRPr="00CC6553" w:rsidRDefault="00897293" w:rsidP="00B234F1">
            <w:pPr>
              <w:rPr>
                <w:rFonts w:cs="Arial"/>
                <w:color w:val="000000" w:themeColor="text1"/>
                <w:sz w:val="20"/>
              </w:rPr>
            </w:pPr>
            <w:r w:rsidRPr="00CC6553">
              <w:rPr>
                <w:rFonts w:cs="Arial"/>
                <w:color w:val="000000" w:themeColor="text1"/>
                <w:sz w:val="20"/>
              </w:rPr>
              <w:t xml:space="preserve">Evidence Review B states that ‘hyperkalaemia is asymptomatic until it becomes life threatening, so it is an important parameter to monitor after introduction of MRAs’. </w:t>
            </w:r>
            <w:r w:rsidRPr="00CC6553">
              <w:rPr>
                <w:rFonts w:cs="Arial"/>
                <w:color w:val="000000" w:themeColor="text1"/>
                <w:sz w:val="20"/>
              </w:rPr>
              <w:br/>
            </w:r>
            <w:r w:rsidRPr="00CC6553">
              <w:rPr>
                <w:rFonts w:cs="Arial"/>
                <w:color w:val="000000" w:themeColor="text1"/>
                <w:sz w:val="20"/>
              </w:rPr>
              <w:br/>
              <w:t xml:space="preserve">AstraZeneca agree that an acute hyperkalaemia event can be life-threatening, whilst symptoms of persistent hyperkalaemia can often be absent or non-specific.  However, AstraZeneca consider that the committee fails to acknowledge that persistent hyperkalaemia itself can be a serious health concern in heart failure patients, due to its effect on the heart and muscles, with evidence showing that those with an SK level of ≥5.5 mmol/L are at greater risk of a range of adverse clinical outcomes, including hospitalisation, mortality and MACE than those with </w:t>
            </w:r>
            <w:r w:rsidRPr="00CC6553">
              <w:rPr>
                <w:rFonts w:cs="Arial"/>
                <w:color w:val="000000" w:themeColor="text1"/>
                <w:sz w:val="20"/>
              </w:rPr>
              <w:lastRenderedPageBreak/>
              <w:t>normokalaemia CITATION Pal201 \l 2057  [25] CITATION Qin172 \l 2057  [26] CITATION Kov181 \l 2057  [27] CITATION Tho171 \l 2057  [28] CITATION Qin173 \l 2057  [29]. The ESC heart failure guideline notes that serum potassium levels have a U-shaped relation with mortality, with the lowest risk of death within a relatively narrow range of 4–5 mmol/L CITATION Eur23 \l 2057  [14]. Furthermore, if hyperkalaemia is left untreated, patients serum potassium often continues to rise, and patients are at risk of having a life-threatening acute event.</w:t>
            </w:r>
            <w:r w:rsidRPr="00CC6553">
              <w:rPr>
                <w:rFonts w:cs="Arial"/>
                <w:color w:val="000000" w:themeColor="text1"/>
                <w:sz w:val="20"/>
              </w:rPr>
              <w:br/>
            </w:r>
            <w:r w:rsidRPr="00CC6553">
              <w:rPr>
                <w:rFonts w:cs="Arial"/>
                <w:color w:val="000000" w:themeColor="text1"/>
                <w:sz w:val="20"/>
              </w:rPr>
              <w:br/>
              <w:t>AstraZeneca are concerned that evidence review could be interpreted that the monitoring and management of hyperkalaemia is only to stop life-threatening acute hyperkalaemia, whereas persistent hyperkalaemia should be proactively managed to reduce the adverse impact it has on patients and to reduce the risk of a life-threatening event from occurring. AstraZeneca recommend that the guideline should differentiate between persistent hyperkalaemia throughout the guideline documents where relevant and acknowledge the risk of persistent elevated serum potassium to ensure healthcare professionals are aware that persistent hyperkalaemia is effectively monitored and managed in clinical practice.</w:t>
            </w:r>
          </w:p>
        </w:tc>
        <w:tc>
          <w:tcPr>
            <w:tcW w:w="2122" w:type="pct"/>
          </w:tcPr>
          <w:p w14:paraId="09160928" w14:textId="7DAC2181" w:rsidR="00897293" w:rsidRPr="00CC6553" w:rsidRDefault="00897293" w:rsidP="476BDDBF">
            <w:pPr>
              <w:rPr>
                <w:color w:val="000000" w:themeColor="text1"/>
              </w:rPr>
            </w:pPr>
          </w:p>
          <w:p w14:paraId="434F1FDD" w14:textId="519DF66C" w:rsidR="00897293" w:rsidRPr="00CC6553" w:rsidRDefault="00897293" w:rsidP="476BDDBF">
            <w:pPr>
              <w:rPr>
                <w:rFonts w:cs="Arial"/>
                <w:color w:val="000000" w:themeColor="text1"/>
                <w:sz w:val="20"/>
              </w:rPr>
            </w:pPr>
            <w:r w:rsidRPr="00CC6553">
              <w:rPr>
                <w:rFonts w:cs="Arial"/>
                <w:color w:val="000000" w:themeColor="text1"/>
                <w:sz w:val="20"/>
              </w:rPr>
              <w:t>The committee discussed the risk of hyperkalaemia in patients taking MRAs. The necessity for careful monitoring is discussed in the committee discussion on p31 of evidence review B. Furthermore guiding principles on monitoring are provided in recommendations 1.7.6 to 1.7.9.</w:t>
            </w:r>
          </w:p>
        </w:tc>
      </w:tr>
      <w:tr w:rsidR="00897293" w:rsidRPr="00CC6553" w14:paraId="0FAA953C" w14:textId="77777777" w:rsidTr="00897293">
        <w:trPr>
          <w:trHeight w:val="300"/>
        </w:trPr>
        <w:tc>
          <w:tcPr>
            <w:tcW w:w="109" w:type="pct"/>
          </w:tcPr>
          <w:p w14:paraId="2F01EA0B" w14:textId="77777777" w:rsidR="00897293" w:rsidRPr="00CC6553" w:rsidRDefault="00897293" w:rsidP="00B234F1">
            <w:pPr>
              <w:rPr>
                <w:rFonts w:cs="Arial"/>
                <w:color w:val="000000" w:themeColor="text1"/>
                <w:sz w:val="20"/>
              </w:rPr>
            </w:pPr>
            <w:r w:rsidRPr="00CC6553">
              <w:rPr>
                <w:rFonts w:cs="Arial"/>
                <w:color w:val="000000" w:themeColor="text1"/>
                <w:sz w:val="20"/>
              </w:rPr>
              <w:t>358</w:t>
            </w:r>
          </w:p>
        </w:tc>
        <w:tc>
          <w:tcPr>
            <w:tcW w:w="143" w:type="pct"/>
          </w:tcPr>
          <w:p w14:paraId="777C7625" w14:textId="144355A2"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7CCD5496" w14:textId="7638DBD9" w:rsidR="00897293" w:rsidRPr="00CC6553" w:rsidRDefault="00897293" w:rsidP="00B234F1">
            <w:pPr>
              <w:rPr>
                <w:rFonts w:cs="Arial"/>
                <w:bCs/>
                <w:iCs/>
                <w:color w:val="000000" w:themeColor="text1"/>
                <w:sz w:val="20"/>
              </w:rPr>
            </w:pPr>
            <w:r w:rsidRPr="00CC6553">
              <w:rPr>
                <w:rFonts w:cs="Arial"/>
                <w:color w:val="000000" w:themeColor="text1"/>
                <w:sz w:val="20"/>
              </w:rPr>
              <w:t>Bayer plc</w:t>
            </w:r>
          </w:p>
        </w:tc>
        <w:tc>
          <w:tcPr>
            <w:tcW w:w="279" w:type="pct"/>
          </w:tcPr>
          <w:p w14:paraId="6C32F51A" w14:textId="7E571647" w:rsidR="00897293" w:rsidRPr="00CC6553" w:rsidRDefault="00897293" w:rsidP="00B234F1">
            <w:pPr>
              <w:rPr>
                <w:rFonts w:cs="Arial"/>
                <w:color w:val="000000" w:themeColor="text1"/>
                <w:sz w:val="20"/>
              </w:rPr>
            </w:pPr>
            <w:r w:rsidRPr="00CC6553">
              <w:rPr>
                <w:rFonts w:cs="Arial"/>
                <w:color w:val="000000" w:themeColor="text1"/>
                <w:sz w:val="20"/>
              </w:rPr>
              <w:t>Evidence review B</w:t>
            </w:r>
          </w:p>
        </w:tc>
        <w:tc>
          <w:tcPr>
            <w:tcW w:w="214" w:type="pct"/>
          </w:tcPr>
          <w:p w14:paraId="79F1D4F6" w14:textId="6DFEAB22" w:rsidR="00897293" w:rsidRPr="00CC6553" w:rsidRDefault="00897293" w:rsidP="00B234F1">
            <w:pPr>
              <w:rPr>
                <w:rFonts w:cs="Arial"/>
                <w:color w:val="000000" w:themeColor="text1"/>
                <w:sz w:val="20"/>
              </w:rPr>
            </w:pPr>
            <w:r w:rsidRPr="00CC6553">
              <w:rPr>
                <w:rFonts w:cs="Arial"/>
                <w:color w:val="000000" w:themeColor="text1"/>
                <w:sz w:val="20"/>
              </w:rPr>
              <w:t>032</w:t>
            </w:r>
          </w:p>
        </w:tc>
        <w:tc>
          <w:tcPr>
            <w:tcW w:w="214" w:type="pct"/>
          </w:tcPr>
          <w:p w14:paraId="4D83DE92" w14:textId="5DF8359B"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56FE74F5" w14:textId="2DCAEFF8" w:rsidR="00897293" w:rsidRPr="00CC6553" w:rsidRDefault="00897293" w:rsidP="00B234F1">
            <w:pPr>
              <w:rPr>
                <w:rFonts w:cs="Arial"/>
                <w:color w:val="000000" w:themeColor="text1"/>
                <w:sz w:val="20"/>
              </w:rPr>
            </w:pPr>
            <w:r w:rsidRPr="00CC6553">
              <w:rPr>
                <w:rFonts w:cs="Arial"/>
                <w:color w:val="000000" w:themeColor="text1"/>
                <w:sz w:val="20"/>
              </w:rPr>
              <w:t>The cost of treatment was significantly lower with ACE inhibitor, ARB, beta-blockers and spironolactone than SGLT2 inhibitors. However, this lower cost does not apply to finerenone and sacubitril/valsartan.</w:t>
            </w:r>
            <w:r w:rsidRPr="00CC6553">
              <w:rPr>
                <w:rFonts w:cs="Arial"/>
                <w:color w:val="000000" w:themeColor="text1"/>
                <w:sz w:val="20"/>
              </w:rPr>
              <w:br/>
            </w:r>
            <w:r w:rsidRPr="00CC6553">
              <w:rPr>
                <w:rFonts w:cs="Arial"/>
                <w:color w:val="000000" w:themeColor="text1"/>
                <w:sz w:val="20"/>
              </w:rPr>
              <w:br/>
              <w:t xml:space="preserve">Bayer would like to </w:t>
            </w:r>
            <w:r w:rsidRPr="00183929">
              <w:rPr>
                <w:rFonts w:cs="Arial"/>
                <w:color w:val="000000" w:themeColor="text1"/>
                <w:sz w:val="20"/>
              </w:rPr>
              <w:t xml:space="preserve">reiterate that the </w:t>
            </w:r>
            <w:r w:rsidRPr="00183929">
              <w:rPr>
                <w:rFonts w:cs="Arial"/>
                <w:color w:val="000000" w:themeColor="text1"/>
                <w:sz w:val="20"/>
                <w:u w:val="single"/>
              </w:rPr>
              <w:t>[This text was identified as confidential and has been removed].</w:t>
            </w:r>
            <w:r w:rsidRPr="00183929">
              <w:rPr>
                <w:rFonts w:cs="Arial"/>
                <w:color w:val="000000" w:themeColor="text1"/>
                <w:sz w:val="20"/>
              </w:rPr>
              <w:t>Therefore</w:t>
            </w:r>
            <w:r w:rsidRPr="00CC6553">
              <w:rPr>
                <w:rFonts w:cs="Arial"/>
                <w:color w:val="000000" w:themeColor="text1"/>
                <w:sz w:val="20"/>
              </w:rPr>
              <w:t>, we request that the wording of this text is reviewed.</w:t>
            </w:r>
            <w:r w:rsidRPr="00CC6553">
              <w:rPr>
                <w:rFonts w:cs="Arial"/>
                <w:color w:val="000000" w:themeColor="text1"/>
                <w:sz w:val="20"/>
              </w:rPr>
              <w:br/>
            </w:r>
            <w:r w:rsidRPr="00CC6553">
              <w:rPr>
                <w:rFonts w:cs="Arial"/>
                <w:color w:val="000000" w:themeColor="text1"/>
                <w:sz w:val="20"/>
              </w:rPr>
              <w:br/>
              <w:t>Suggested wording: The cost of treatment was significantly lower with ACE inhibitor, ARB, beta-blockers and spironolactone than SGLT2 inhibitors. However, this lower cost does not apply to sacubitril/valsartan.</w:t>
            </w:r>
          </w:p>
        </w:tc>
        <w:tc>
          <w:tcPr>
            <w:tcW w:w="2122" w:type="pct"/>
          </w:tcPr>
          <w:p w14:paraId="7AD9C6BF" w14:textId="7D60F600" w:rsidR="00897293" w:rsidRPr="00CC6553" w:rsidRDefault="00897293" w:rsidP="007B2210">
            <w:r w:rsidRPr="00024690">
              <w:rPr>
                <w:rFonts w:cs="Arial"/>
                <w:color w:val="000000" w:themeColor="text1"/>
                <w:sz w:val="20"/>
              </w:rPr>
              <w:t>Thank you for your comment, this has been edited as suggested.</w:t>
            </w:r>
            <w:r w:rsidRPr="00CC6553">
              <w:t xml:space="preserve"> </w:t>
            </w:r>
          </w:p>
        </w:tc>
      </w:tr>
      <w:tr w:rsidR="00897293" w:rsidRPr="00CC6553" w14:paraId="60275D91" w14:textId="77777777" w:rsidTr="00897293">
        <w:trPr>
          <w:trHeight w:val="300"/>
        </w:trPr>
        <w:tc>
          <w:tcPr>
            <w:tcW w:w="109" w:type="pct"/>
          </w:tcPr>
          <w:p w14:paraId="1E2BDE6A" w14:textId="77777777" w:rsidR="00897293" w:rsidRPr="00CC6553" w:rsidRDefault="00897293" w:rsidP="00B234F1">
            <w:pPr>
              <w:rPr>
                <w:rFonts w:cs="Arial"/>
                <w:color w:val="000000" w:themeColor="text1"/>
                <w:sz w:val="20"/>
              </w:rPr>
            </w:pPr>
            <w:r w:rsidRPr="00CC6553">
              <w:rPr>
                <w:rFonts w:cs="Arial"/>
                <w:color w:val="000000" w:themeColor="text1"/>
                <w:sz w:val="20"/>
              </w:rPr>
              <w:t>359</w:t>
            </w:r>
          </w:p>
        </w:tc>
        <w:tc>
          <w:tcPr>
            <w:tcW w:w="143" w:type="pct"/>
          </w:tcPr>
          <w:p w14:paraId="14004427" w14:textId="648A2014"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943561F" w14:textId="21FD85FF" w:rsidR="00897293" w:rsidRPr="00CC6553" w:rsidRDefault="00897293" w:rsidP="00B234F1">
            <w:pPr>
              <w:rPr>
                <w:rFonts w:cs="Arial"/>
                <w:bCs/>
                <w:iCs/>
                <w:color w:val="000000" w:themeColor="text1"/>
                <w:sz w:val="20"/>
              </w:rPr>
            </w:pPr>
            <w:r w:rsidRPr="00CC6553">
              <w:rPr>
                <w:rFonts w:cs="Arial"/>
                <w:color w:val="000000" w:themeColor="text1"/>
                <w:sz w:val="20"/>
              </w:rPr>
              <w:t>Bayer plc</w:t>
            </w:r>
          </w:p>
        </w:tc>
        <w:tc>
          <w:tcPr>
            <w:tcW w:w="279" w:type="pct"/>
          </w:tcPr>
          <w:p w14:paraId="574BC7D0" w14:textId="160A3C3D" w:rsidR="00897293" w:rsidRPr="00CC6553" w:rsidRDefault="00897293" w:rsidP="00B234F1">
            <w:pPr>
              <w:rPr>
                <w:rFonts w:cs="Arial"/>
                <w:color w:val="000000" w:themeColor="text1"/>
                <w:sz w:val="20"/>
              </w:rPr>
            </w:pPr>
            <w:r w:rsidRPr="00CC6553">
              <w:rPr>
                <w:rFonts w:cs="Arial"/>
                <w:color w:val="000000" w:themeColor="text1"/>
                <w:sz w:val="20"/>
              </w:rPr>
              <w:t>Evidence review B</w:t>
            </w:r>
          </w:p>
        </w:tc>
        <w:tc>
          <w:tcPr>
            <w:tcW w:w="214" w:type="pct"/>
          </w:tcPr>
          <w:p w14:paraId="113D6DA0" w14:textId="21B5B745" w:rsidR="00897293" w:rsidRPr="00CC6553" w:rsidRDefault="00897293" w:rsidP="00B234F1">
            <w:pPr>
              <w:rPr>
                <w:rFonts w:cs="Arial"/>
                <w:color w:val="000000" w:themeColor="text1"/>
                <w:sz w:val="20"/>
              </w:rPr>
            </w:pPr>
            <w:r w:rsidRPr="00CC6553">
              <w:rPr>
                <w:rFonts w:cs="Arial"/>
                <w:color w:val="000000" w:themeColor="text1"/>
                <w:sz w:val="20"/>
              </w:rPr>
              <w:t>033</w:t>
            </w:r>
          </w:p>
        </w:tc>
        <w:tc>
          <w:tcPr>
            <w:tcW w:w="214" w:type="pct"/>
          </w:tcPr>
          <w:p w14:paraId="7CA35EA6" w14:textId="53449401"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22730A1B" w14:textId="08EEBE36" w:rsidR="00897293" w:rsidRPr="00CC6553" w:rsidRDefault="00897293" w:rsidP="00B234F1">
            <w:pPr>
              <w:rPr>
                <w:rFonts w:cs="Arial"/>
                <w:color w:val="000000" w:themeColor="text1"/>
                <w:sz w:val="20"/>
              </w:rPr>
            </w:pPr>
            <w:r w:rsidRPr="00CC6553">
              <w:rPr>
                <w:rFonts w:cs="Arial"/>
                <w:color w:val="000000" w:themeColor="text1"/>
                <w:sz w:val="20"/>
              </w:rPr>
              <w:t>Some of the clinical evidence for MRAs was based on studies of finerenone. The committee discussed that the evidence supported a class effect; however, finerenone is associated with a high cost.</w:t>
            </w:r>
            <w:r w:rsidRPr="00CC6553">
              <w:rPr>
                <w:rFonts w:cs="Arial"/>
                <w:color w:val="000000" w:themeColor="text1"/>
                <w:sz w:val="20"/>
              </w:rPr>
              <w:br/>
            </w:r>
            <w:r w:rsidRPr="00CC6553">
              <w:rPr>
                <w:rFonts w:cs="Arial"/>
                <w:color w:val="000000" w:themeColor="text1"/>
                <w:sz w:val="20"/>
              </w:rPr>
              <w:br/>
              <w:t xml:space="preserve">Bayer supports the inclusion of recommendations for the use of MRAs in the </w:t>
            </w:r>
            <w:r w:rsidRPr="00CC6553">
              <w:rPr>
                <w:rFonts w:cs="Arial"/>
                <w:color w:val="000000" w:themeColor="text1"/>
                <w:sz w:val="20"/>
              </w:rPr>
              <w:lastRenderedPageBreak/>
              <w:t>management of HFmrEF. However, we would like to note that steroidal MRAs (sMRAs e.g. spironolactone, eplerenone) and non-steroidal MRAs (nsMRAs e.g. finerenone) differ significantly in mechanism of action, receptor selectivity, tissue distribution, and clinical safety profiles. Steroidal agents are associated with off-target hormonal effects and a higher risk of hyperkalemia, particularly in patients with CKD. In contrast, finerenone, a non-steroidal MRA, demonstrates greater mineralocorticoid receptor selectivity, balanced heart-kidney distribution, and lower incidence of renal and electrolyte-related adverse events (Agarwal et al., 2021).</w:t>
            </w:r>
            <w:r w:rsidRPr="00CC6553">
              <w:rPr>
                <w:rFonts w:cs="Arial"/>
                <w:color w:val="000000" w:themeColor="text1"/>
                <w:sz w:val="20"/>
              </w:rPr>
              <w:br/>
            </w:r>
            <w:r w:rsidRPr="00CC6553">
              <w:rPr>
                <w:rFonts w:cs="Arial"/>
                <w:color w:val="000000" w:themeColor="text1"/>
                <w:sz w:val="20"/>
              </w:rPr>
              <w:br/>
              <w:t>Emerging literature further supports this distinction. Non-steroidal MRAs like finerenone exhibit unique molecular binding characteristics and anti-inflammatory and anti-fibrotic effects not observed with steroidal MRAs (Kolkhof et al., 2021). These pharmacological differences translate into clinically meaningful outcomes, particularly in patients with comorbid CKD or diabetes.</w:t>
            </w:r>
            <w:r w:rsidRPr="00CC6553">
              <w:rPr>
                <w:rFonts w:cs="Arial"/>
                <w:color w:val="000000" w:themeColor="text1"/>
                <w:sz w:val="20"/>
              </w:rPr>
              <w:br/>
            </w:r>
            <w:r w:rsidRPr="00CC6553">
              <w:rPr>
                <w:rFonts w:cs="Arial"/>
                <w:color w:val="000000" w:themeColor="text1"/>
                <w:sz w:val="20"/>
              </w:rPr>
              <w:br/>
              <w:t xml:space="preserve">NICE has acknowledged these differences in Technology Appraisal TA877, recommending finerenone for patients with CKD and type 2 diabetes based on the FIDELIO-DKD and FIGARO-DKD trials. The clinical experts agreed that finerenone and spironolactone are different and are used in different contexts (NICE, 2023). In a similar vein, NICE should acknowledge the differences between sMRAs and nsMRAs in its heart failure guideline. </w:t>
            </w:r>
            <w:r w:rsidRPr="00CC6553">
              <w:rPr>
                <w:rFonts w:cs="Arial"/>
                <w:color w:val="000000" w:themeColor="text1"/>
                <w:sz w:val="20"/>
              </w:rPr>
              <w:br/>
            </w:r>
            <w:r w:rsidRPr="00CC6553">
              <w:rPr>
                <w:rFonts w:cs="Arial"/>
                <w:color w:val="000000" w:themeColor="text1"/>
                <w:sz w:val="20"/>
              </w:rPr>
              <w:br/>
              <w:t>References</w:t>
            </w:r>
            <w:r w:rsidRPr="00CC6553">
              <w:rPr>
                <w:rFonts w:cs="Arial"/>
                <w:color w:val="000000" w:themeColor="text1"/>
                <w:sz w:val="20"/>
              </w:rPr>
              <w:br/>
              <w:t>Agarwal, R. et al. (2021) ‘Cardiovascular and kidney outcomes with finerenone in patients with type 2 diabetes and chronic kidney disease: the FIDELITY pooled analysis’, New England Journal of Medicine, 385(24), pp. 2252–2263.</w:t>
            </w:r>
            <w:r w:rsidRPr="00CC6553">
              <w:rPr>
                <w:rFonts w:cs="Arial"/>
                <w:color w:val="000000" w:themeColor="text1"/>
                <w:sz w:val="20"/>
              </w:rPr>
              <w:br/>
              <w:t>Kolkhof, P. et al. (2021) ‘Steroidal and non-steroidal mineralocorticoid receptor antagonists in cardiorenal medicine’, European Heart Journal, 42(2), pp. 152–161. Available at: https://academic.oup.com/eurheartj/article/42/2/152/5936792 (Accessed: 25 June 2025).</w:t>
            </w:r>
            <w:r w:rsidRPr="00CC6553">
              <w:rPr>
                <w:rFonts w:cs="Arial"/>
                <w:color w:val="000000" w:themeColor="text1"/>
                <w:sz w:val="20"/>
              </w:rPr>
              <w:br/>
            </w:r>
            <w:r w:rsidRPr="00CC6553">
              <w:rPr>
                <w:rFonts w:cs="Arial"/>
                <w:color w:val="000000" w:themeColor="text1"/>
                <w:sz w:val="20"/>
              </w:rPr>
              <w:lastRenderedPageBreak/>
              <w:t>NICE (2023) Finerenone for treating chronic kidney disease in type 2 diabetes. Technology appraisal guidance [TA877]. Available at: https://www.nice.org.uk/guidance/ta877 (Accessed: 25 June 2025).</w:t>
            </w:r>
            <w:r w:rsidRPr="00CC6553">
              <w:rPr>
                <w:rFonts w:cs="Arial"/>
                <w:color w:val="000000" w:themeColor="text1"/>
                <w:sz w:val="20"/>
              </w:rPr>
              <w:br/>
              <w:t>NICE (2025) Chronic heart failure in adults: diagnosis and management (draft guideline). Available at: https://www.nice.org.uk/guidance/indevelopment/gid-ng10405 (Accessed: 25 June 2025)</w:t>
            </w:r>
          </w:p>
        </w:tc>
        <w:tc>
          <w:tcPr>
            <w:tcW w:w="2122" w:type="pct"/>
          </w:tcPr>
          <w:p w14:paraId="424397F5" w14:textId="492E4628" w:rsidR="00897293" w:rsidRPr="00CC6553" w:rsidRDefault="00897293" w:rsidP="00B234F1">
            <w:pPr>
              <w:rPr>
                <w:rFonts w:cs="Arial"/>
                <w:bCs/>
                <w:color w:val="000000" w:themeColor="text1"/>
                <w:sz w:val="20"/>
              </w:rPr>
            </w:pPr>
            <w:r w:rsidRPr="00CC6553">
              <w:rPr>
                <w:rFonts w:cs="Arial"/>
                <w:bCs/>
                <w:color w:val="000000" w:themeColor="text1"/>
                <w:sz w:val="20"/>
              </w:rPr>
              <w:lastRenderedPageBreak/>
              <w:t xml:space="preserve">Thank-you for your comments supporting recommendations for use of MRAs in HFmrEF. The committee </w:t>
            </w:r>
            <w:r w:rsidRPr="00CC6553">
              <w:rPr>
                <w:rFonts w:cs="Arial"/>
                <w:color w:val="000000" w:themeColor="text1"/>
                <w:sz w:val="20"/>
              </w:rPr>
              <w:t>agreed to make</w:t>
            </w:r>
            <w:r w:rsidRPr="00CC6553">
              <w:rPr>
                <w:rFonts w:cs="Arial"/>
                <w:bCs/>
                <w:color w:val="000000" w:themeColor="text1"/>
                <w:sz w:val="20"/>
              </w:rPr>
              <w:t xml:space="preserve"> a medicine class-based recommendation for MRAs. </w:t>
            </w:r>
            <w:r w:rsidRPr="00CC6553">
              <w:rPr>
                <w:rFonts w:cs="Arial"/>
                <w:bCs/>
                <w:color w:val="000000" w:themeColor="text1"/>
                <w:sz w:val="20"/>
              </w:rPr>
              <w:lastRenderedPageBreak/>
              <w:t>This is in line with the approach taken across this CHF guideline update to consider evidence per class of medicines, rather than split the evidence per individual medicine. The committee is aware that individual circumstances will feature in clinician’s decisions on exactly which medicine to use. They were comfortable with clinicians using their judgement; a sentence has been added to the summary of the committee’s discussion (p 32 of evidence review B) to reflect this: ‘Clinical judgement is also important when selecting individual medicines to use within a class of drugs.’</w:t>
            </w:r>
          </w:p>
          <w:p w14:paraId="6DF5B0D2" w14:textId="77777777" w:rsidR="00897293" w:rsidRPr="00CC6553" w:rsidRDefault="00897293" w:rsidP="00B234F1">
            <w:pPr>
              <w:rPr>
                <w:rFonts w:cs="Arial"/>
                <w:bCs/>
                <w:color w:val="000000" w:themeColor="text1"/>
                <w:sz w:val="20"/>
              </w:rPr>
            </w:pPr>
          </w:p>
          <w:p w14:paraId="325774C4" w14:textId="27D81BE8" w:rsidR="00897293" w:rsidRPr="00CC6553" w:rsidRDefault="00897293" w:rsidP="00B234F1">
            <w:pPr>
              <w:pStyle w:val="Heading1"/>
              <w:rPr>
                <w:color w:val="000000" w:themeColor="text1"/>
              </w:rPr>
            </w:pPr>
            <w:r w:rsidRPr="00CC6553">
              <w:rPr>
                <w:rFonts w:cs="Arial"/>
                <w:b w:val="0"/>
                <w:color w:val="000000" w:themeColor="text1"/>
                <w:sz w:val="20"/>
              </w:rPr>
              <w:t>The committee noted the high costs associated with finerenone given we have not undertaken cost-effectiveness analysis for finerenone. However, it is anticipated the cost-effectiveness of finerenone will be assessed as part of the technological appraisal which is currently in development.</w:t>
            </w:r>
            <w:r w:rsidRPr="00CC6553">
              <w:rPr>
                <w:color w:val="000000" w:themeColor="text1"/>
              </w:rPr>
              <w:t xml:space="preserve"> </w:t>
            </w:r>
          </w:p>
        </w:tc>
      </w:tr>
      <w:tr w:rsidR="00897293" w:rsidRPr="00CC6553" w14:paraId="3650E260" w14:textId="77777777" w:rsidTr="00897293">
        <w:trPr>
          <w:trHeight w:val="300"/>
        </w:trPr>
        <w:tc>
          <w:tcPr>
            <w:tcW w:w="109" w:type="pct"/>
          </w:tcPr>
          <w:p w14:paraId="613D5FC3"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360</w:t>
            </w:r>
          </w:p>
        </w:tc>
        <w:tc>
          <w:tcPr>
            <w:tcW w:w="143" w:type="pct"/>
          </w:tcPr>
          <w:p w14:paraId="0A8F9EC0" w14:textId="4A03DAE9"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42C9D63C" w14:textId="10F1E674" w:rsidR="00897293" w:rsidRPr="00CC6553" w:rsidRDefault="00897293" w:rsidP="00B234F1">
            <w:pPr>
              <w:rPr>
                <w:rFonts w:cs="Arial"/>
                <w:bCs/>
                <w:iCs/>
                <w:color w:val="000000" w:themeColor="text1"/>
                <w:sz w:val="20"/>
              </w:rPr>
            </w:pPr>
            <w:r w:rsidRPr="00CC6553">
              <w:rPr>
                <w:rFonts w:cs="Arial"/>
                <w:color w:val="000000" w:themeColor="text1"/>
                <w:sz w:val="20"/>
              </w:rPr>
              <w:t>Bayer plc</w:t>
            </w:r>
          </w:p>
        </w:tc>
        <w:tc>
          <w:tcPr>
            <w:tcW w:w="279" w:type="pct"/>
          </w:tcPr>
          <w:p w14:paraId="542C9543" w14:textId="2B22A065" w:rsidR="00897293" w:rsidRPr="00CC6553" w:rsidRDefault="00897293" w:rsidP="00B234F1">
            <w:pPr>
              <w:rPr>
                <w:rFonts w:cs="Arial"/>
                <w:color w:val="000000" w:themeColor="text1"/>
                <w:sz w:val="20"/>
              </w:rPr>
            </w:pPr>
            <w:r w:rsidRPr="00CC6553">
              <w:rPr>
                <w:rFonts w:cs="Arial"/>
                <w:color w:val="000000" w:themeColor="text1"/>
                <w:sz w:val="20"/>
              </w:rPr>
              <w:t>Evidence review B</w:t>
            </w:r>
          </w:p>
        </w:tc>
        <w:tc>
          <w:tcPr>
            <w:tcW w:w="214" w:type="pct"/>
          </w:tcPr>
          <w:p w14:paraId="4D670088" w14:textId="6A701BA1" w:rsidR="00897293" w:rsidRPr="00CC6553" w:rsidRDefault="00897293" w:rsidP="00B234F1">
            <w:pPr>
              <w:rPr>
                <w:rFonts w:cs="Arial"/>
                <w:color w:val="000000" w:themeColor="text1"/>
                <w:sz w:val="20"/>
              </w:rPr>
            </w:pPr>
            <w:r w:rsidRPr="00CC6553">
              <w:rPr>
                <w:rFonts w:cs="Arial"/>
                <w:color w:val="000000" w:themeColor="text1"/>
                <w:sz w:val="20"/>
              </w:rPr>
              <w:t>033</w:t>
            </w:r>
          </w:p>
        </w:tc>
        <w:tc>
          <w:tcPr>
            <w:tcW w:w="214" w:type="pct"/>
          </w:tcPr>
          <w:p w14:paraId="038C4F68" w14:textId="69E0E0A1"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38CEEEC5" w14:textId="74C6B920" w:rsidR="00897293" w:rsidRPr="00CC6553" w:rsidRDefault="00897293" w:rsidP="00B234F1">
            <w:pPr>
              <w:rPr>
                <w:rFonts w:cs="Arial"/>
                <w:color w:val="000000" w:themeColor="text1"/>
                <w:sz w:val="20"/>
              </w:rPr>
            </w:pPr>
            <w:r w:rsidRPr="00CC6553">
              <w:rPr>
                <w:rFonts w:cs="Arial"/>
                <w:color w:val="000000" w:themeColor="text1"/>
                <w:sz w:val="20"/>
              </w:rPr>
              <w:t>Finerenone is expected to have a more favourable side effect profile than spironolactone. However, given its significantly higher acquisition cost and the lack of evidence for greater clinical effectiveness, the cost effectiveness of finerenone remains uncertain.</w:t>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t xml:space="preserve">We would like to state that NICE is yet to formally evaluate the clinical and cost-effectiveness of finerenone so it seems inappropriate to make this conclusion ahead of the health technology assessment which is in development. Bayer would therefore request that this wording be revised to </w:t>
            </w:r>
            <w:r w:rsidRPr="00183929">
              <w:rPr>
                <w:rFonts w:cs="Arial"/>
                <w:color w:val="000000" w:themeColor="text1"/>
                <w:sz w:val="20"/>
              </w:rPr>
              <w:t>reflect this status accurately.</w:t>
            </w:r>
            <w:r w:rsidRPr="00183929">
              <w:rPr>
                <w:rFonts w:cs="Arial"/>
                <w:color w:val="000000" w:themeColor="text1"/>
                <w:sz w:val="20"/>
              </w:rPr>
              <w:br/>
            </w:r>
            <w:r w:rsidRPr="00183929">
              <w:rPr>
                <w:rFonts w:cs="Arial"/>
                <w:color w:val="000000" w:themeColor="text1"/>
                <w:sz w:val="20"/>
              </w:rPr>
              <w:br/>
            </w:r>
            <w:r w:rsidRPr="00183929">
              <w:rPr>
                <w:rFonts w:cs="Arial"/>
                <w:color w:val="000000" w:themeColor="text1"/>
                <w:sz w:val="20"/>
              </w:rPr>
              <w:br/>
            </w:r>
            <w:r w:rsidRPr="00183929">
              <w:rPr>
                <w:rFonts w:cs="Arial"/>
                <w:color w:val="000000" w:themeColor="text1"/>
                <w:sz w:val="20"/>
                <w:u w:val="single"/>
              </w:rPr>
              <w:t>[This text was identified as confidential and has been removed].</w:t>
            </w:r>
            <w:r w:rsidRPr="00CC6553">
              <w:rPr>
                <w:rFonts w:cs="Arial"/>
                <w:color w:val="000000" w:themeColor="text1"/>
                <w:sz w:val="20"/>
              </w:rPr>
              <w:br/>
            </w:r>
            <w:r w:rsidRPr="00CC6553">
              <w:rPr>
                <w:rFonts w:cs="Arial"/>
                <w:color w:val="000000" w:themeColor="text1"/>
                <w:sz w:val="20"/>
              </w:rPr>
              <w:br/>
              <w:t>Suggested wording: Finerenone is expected to have a more favourable side effect profile than spironolactone. The cost-effectiveness of finerenone will be assessed by NICE later in 2025.</w:t>
            </w:r>
          </w:p>
        </w:tc>
        <w:tc>
          <w:tcPr>
            <w:tcW w:w="2122" w:type="pct"/>
          </w:tcPr>
          <w:p w14:paraId="6A1AC7AF" w14:textId="58CEF93F" w:rsidR="00897293" w:rsidRPr="00CC6553" w:rsidRDefault="00897293" w:rsidP="00B234F1">
            <w:pPr>
              <w:rPr>
                <w:rFonts w:cs="Arial"/>
                <w:color w:val="000000" w:themeColor="text1"/>
                <w:sz w:val="20"/>
              </w:rPr>
            </w:pPr>
            <w:r w:rsidRPr="00CC6553">
              <w:rPr>
                <w:rFonts w:cs="Arial"/>
                <w:bCs/>
                <w:color w:val="000000" w:themeColor="text1"/>
                <w:sz w:val="20"/>
              </w:rPr>
              <w:t>Thank you for your comment.</w:t>
            </w:r>
          </w:p>
          <w:p w14:paraId="5DD34541" w14:textId="2B3ED3DD" w:rsidR="00897293" w:rsidRPr="00CC6553" w:rsidRDefault="00897293" w:rsidP="00B234F1">
            <w:pPr>
              <w:rPr>
                <w:rFonts w:cs="Arial"/>
                <w:bCs/>
                <w:color w:val="000000" w:themeColor="text1"/>
                <w:sz w:val="20"/>
              </w:rPr>
            </w:pPr>
          </w:p>
          <w:p w14:paraId="704F509D" w14:textId="24BE028F" w:rsidR="00897293" w:rsidRPr="00CC6553" w:rsidRDefault="00897293" w:rsidP="00B234F1">
            <w:pPr>
              <w:rPr>
                <w:rFonts w:cs="Arial"/>
                <w:bCs/>
                <w:color w:val="000000" w:themeColor="text1"/>
                <w:sz w:val="20"/>
              </w:rPr>
            </w:pPr>
            <w:r w:rsidRPr="00CC6553">
              <w:rPr>
                <w:rFonts w:cs="Arial"/>
                <w:bCs/>
                <w:color w:val="000000" w:themeColor="text1"/>
                <w:sz w:val="20"/>
              </w:rPr>
              <w:t>The sentence was edited as: “Finerenone is expected to have a more favourable side effect profile than spironolactone. The cost-effectiveness of finerenone for treating heart failure with preserved or mildly reduced ejection fraction will be formally assessed by NICE later in 2025.”</w:t>
            </w:r>
          </w:p>
          <w:p w14:paraId="75AAD8ED" w14:textId="7D7EC866" w:rsidR="00897293" w:rsidRPr="00CC6553" w:rsidRDefault="00897293" w:rsidP="00B234F1">
            <w:pPr>
              <w:rPr>
                <w:color w:val="000000" w:themeColor="text1"/>
              </w:rPr>
            </w:pPr>
          </w:p>
        </w:tc>
      </w:tr>
      <w:tr w:rsidR="00897293" w:rsidRPr="00CC6553" w14:paraId="69370A7C" w14:textId="77777777" w:rsidTr="00897293">
        <w:trPr>
          <w:trHeight w:val="300"/>
        </w:trPr>
        <w:tc>
          <w:tcPr>
            <w:tcW w:w="109" w:type="pct"/>
          </w:tcPr>
          <w:p w14:paraId="58095477" w14:textId="77777777" w:rsidR="00897293" w:rsidRPr="00CC6553" w:rsidRDefault="00897293" w:rsidP="00B234F1">
            <w:pPr>
              <w:rPr>
                <w:rFonts w:cs="Arial"/>
                <w:color w:val="000000" w:themeColor="text1"/>
                <w:sz w:val="20"/>
              </w:rPr>
            </w:pPr>
            <w:r w:rsidRPr="00CC6553">
              <w:rPr>
                <w:rFonts w:cs="Arial"/>
                <w:color w:val="000000" w:themeColor="text1"/>
                <w:sz w:val="20"/>
              </w:rPr>
              <w:t>361</w:t>
            </w:r>
          </w:p>
        </w:tc>
        <w:tc>
          <w:tcPr>
            <w:tcW w:w="143" w:type="pct"/>
          </w:tcPr>
          <w:p w14:paraId="78FA4007" w14:textId="3D2C47D3"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337754D7" w14:textId="66CC394D" w:rsidR="00897293" w:rsidRPr="00CC6553" w:rsidRDefault="00897293" w:rsidP="00B234F1">
            <w:pPr>
              <w:rPr>
                <w:rFonts w:cs="Arial"/>
                <w:bCs/>
                <w:iCs/>
                <w:color w:val="000000" w:themeColor="text1"/>
                <w:sz w:val="20"/>
              </w:rPr>
            </w:pPr>
            <w:r w:rsidRPr="00CC6553">
              <w:rPr>
                <w:rFonts w:cs="Arial"/>
                <w:color w:val="000000" w:themeColor="text1"/>
                <w:sz w:val="20"/>
              </w:rPr>
              <w:t>Roche Diagnostics Limited</w:t>
            </w:r>
          </w:p>
        </w:tc>
        <w:tc>
          <w:tcPr>
            <w:tcW w:w="279" w:type="pct"/>
          </w:tcPr>
          <w:p w14:paraId="03FE7F2C" w14:textId="43BF1C09" w:rsidR="00897293" w:rsidRPr="00CC6553" w:rsidRDefault="00897293" w:rsidP="00B234F1">
            <w:pPr>
              <w:rPr>
                <w:rFonts w:cs="Arial"/>
                <w:color w:val="000000" w:themeColor="text1"/>
                <w:sz w:val="20"/>
              </w:rPr>
            </w:pPr>
            <w:r w:rsidRPr="00CC6553">
              <w:rPr>
                <w:rFonts w:cs="Arial"/>
                <w:color w:val="000000" w:themeColor="text1"/>
                <w:sz w:val="20"/>
              </w:rPr>
              <w:t>Evidence review B</w:t>
            </w:r>
          </w:p>
        </w:tc>
        <w:tc>
          <w:tcPr>
            <w:tcW w:w="214" w:type="pct"/>
          </w:tcPr>
          <w:p w14:paraId="55615DE6" w14:textId="15A34FAD" w:rsidR="00897293" w:rsidRPr="00CC6553" w:rsidRDefault="00897293" w:rsidP="00B234F1">
            <w:pPr>
              <w:rPr>
                <w:rFonts w:cs="Arial"/>
                <w:color w:val="000000" w:themeColor="text1"/>
                <w:sz w:val="20"/>
              </w:rPr>
            </w:pPr>
            <w:r w:rsidRPr="00CC6553">
              <w:rPr>
                <w:rFonts w:cs="Arial"/>
                <w:color w:val="000000" w:themeColor="text1"/>
                <w:sz w:val="20"/>
              </w:rPr>
              <w:t>155</w:t>
            </w:r>
          </w:p>
        </w:tc>
        <w:tc>
          <w:tcPr>
            <w:tcW w:w="214" w:type="pct"/>
          </w:tcPr>
          <w:p w14:paraId="135C3320" w14:textId="3534617C" w:rsidR="00897293" w:rsidRPr="00CC6553" w:rsidRDefault="00897293" w:rsidP="00B234F1">
            <w:pPr>
              <w:rPr>
                <w:rFonts w:cs="Arial"/>
                <w:color w:val="000000" w:themeColor="text1"/>
                <w:sz w:val="20"/>
              </w:rPr>
            </w:pPr>
            <w:r w:rsidRPr="00CC6553">
              <w:rPr>
                <w:rFonts w:cs="Arial"/>
                <w:color w:val="000000" w:themeColor="text1"/>
                <w:sz w:val="20"/>
              </w:rPr>
              <w:t>Table 22</w:t>
            </w:r>
          </w:p>
        </w:tc>
        <w:tc>
          <w:tcPr>
            <w:tcW w:w="1521" w:type="pct"/>
          </w:tcPr>
          <w:p w14:paraId="5321FBAF" w14:textId="358CB062" w:rsidR="00897293" w:rsidRPr="00CC6553" w:rsidRDefault="00897293" w:rsidP="00B234F1">
            <w:pPr>
              <w:rPr>
                <w:rFonts w:cs="Arial"/>
                <w:color w:val="000000" w:themeColor="text1"/>
                <w:sz w:val="20"/>
              </w:rPr>
            </w:pPr>
            <w:r w:rsidRPr="00CC6553">
              <w:rPr>
                <w:rFonts w:cs="Arial"/>
                <w:color w:val="000000" w:themeColor="text1"/>
                <w:sz w:val="20"/>
              </w:rPr>
              <w:t>Roche wish to highlight that the STRONG-HF should have been considered in this evidence review given that the trial included patients admitted with acute heart failure irrespective of their left ventricular ejection fraction. Patients with HFmrEF (LVEF 41%-49%) were part of the study population. For patients with LVEF &gt;40% (which includes HFmrEF), the primary endpoint occurred in 10.7% in the HIC group compared to 23.3% in the UC group, representing a risk difference of 12.5%. The study's conclusions state that the rapid up-titration of oral medications and close follow-up "reduce 180-day death and HF rehospitalization after AHF hospitalization independently from LVEF" (1).</w:t>
            </w:r>
            <w:r w:rsidRPr="00CC6553">
              <w:rPr>
                <w:rFonts w:cs="Arial"/>
                <w:color w:val="000000" w:themeColor="text1"/>
                <w:sz w:val="20"/>
              </w:rPr>
              <w:br/>
            </w:r>
            <w:r w:rsidRPr="00CC6553">
              <w:rPr>
                <w:rFonts w:cs="Arial"/>
                <w:color w:val="000000" w:themeColor="text1"/>
                <w:sz w:val="20"/>
              </w:rPr>
              <w:lastRenderedPageBreak/>
              <w:br/>
              <w:t>Furthermore, additional meta-analyses and ESC/ACC reviews highlight that patients with mildly reduced EF derive similar benefits from GDMT as those with reduced EF, supporting inclusion of this subgroup in guidelines. (2-3)</w:t>
            </w:r>
            <w:r w:rsidRPr="00CC6553">
              <w:rPr>
                <w:rFonts w:cs="Arial"/>
                <w:color w:val="000000" w:themeColor="text1"/>
                <w:sz w:val="20"/>
              </w:rPr>
              <w:br/>
              <w:t>Mebazaa et al. (2022) Safety, tolerability, and efficacy of up-titration of guideline-directed medical therapies for acute heart failure (STRONG-HF): a multinational, open-label, randomised trial. The Lancet, 400(10361), pp. 1–12. https://doi.org/10.1016/S0140-6736(22)02076-1.</w:t>
            </w:r>
            <w:r w:rsidRPr="00CC6553">
              <w:rPr>
                <w:rFonts w:cs="Arial"/>
                <w:color w:val="000000" w:themeColor="text1"/>
                <w:sz w:val="20"/>
              </w:rPr>
              <w:br/>
              <w:t>Savarese G, Stolfo D, Sinagra G, Lund LH. Heart failure with mid-range or mildly reduced ejection fraction. Nat Rev Cardiol. 2022 Feb;19(2):100-116. doi: 10.1038/s41569-021-00605-5.</w:t>
            </w:r>
            <w:r w:rsidRPr="00CC6553">
              <w:rPr>
                <w:rFonts w:cs="Arial"/>
                <w:color w:val="000000" w:themeColor="text1"/>
                <w:sz w:val="20"/>
              </w:rPr>
              <w:br/>
              <w:t>Kittleson MM, Panjrath GS, Amancherla K, Davis LL, Deswal A, Dixon DL, Januzzi JL Jr, Yancy CW. 2023 ACC Expert Consensus Decision Pathway on Management of Heart Failure With Preserved Ejection Fraction: A Report of the American College of Cardiology Solution Set Oversight Committee. J Am Coll Cardiol. 2023 May 9;81(18):1835-1878. doi: 10.1016/j.jacc.2023.03.393.</w:t>
            </w:r>
          </w:p>
        </w:tc>
        <w:tc>
          <w:tcPr>
            <w:tcW w:w="2122" w:type="pct"/>
          </w:tcPr>
          <w:p w14:paraId="41824716" w14:textId="0B8C1A3F" w:rsidR="00897293" w:rsidRPr="00CC6553" w:rsidRDefault="00897293" w:rsidP="00B234F1">
            <w:pPr>
              <w:pStyle w:val="Heading1"/>
              <w:rPr>
                <w:rFonts w:cs="Arial"/>
                <w:b w:val="0"/>
                <w:bCs w:val="0"/>
                <w:color w:val="000000" w:themeColor="text1"/>
                <w:sz w:val="20"/>
              </w:rPr>
            </w:pPr>
            <w:r w:rsidRPr="00CC6553">
              <w:rPr>
                <w:rFonts w:cs="Arial"/>
                <w:b w:val="0"/>
                <w:bCs w:val="0"/>
                <w:color w:val="000000" w:themeColor="text1"/>
                <w:sz w:val="20"/>
              </w:rPr>
              <w:lastRenderedPageBreak/>
              <w:t xml:space="preserve">Thank-you for your comments on STRONG-HF. This study was assessed for inclusion in Evidence Review B but was excluded because population characteristics did not </w:t>
            </w:r>
            <w:r>
              <w:rPr>
                <w:rFonts w:cs="Arial"/>
                <w:b w:val="0"/>
                <w:bCs w:val="0"/>
                <w:color w:val="000000" w:themeColor="text1"/>
                <w:sz w:val="20"/>
              </w:rPr>
              <w:t>meet</w:t>
            </w:r>
            <w:r w:rsidRPr="00CC6553">
              <w:rPr>
                <w:rFonts w:cs="Arial"/>
                <w:b w:val="0"/>
                <w:bCs w:val="0"/>
                <w:color w:val="000000" w:themeColor="text1"/>
                <w:sz w:val="20"/>
              </w:rPr>
              <w:t xml:space="preserve"> the protocol</w:t>
            </w:r>
            <w:r>
              <w:rPr>
                <w:rFonts w:cs="Arial"/>
                <w:b w:val="0"/>
                <w:bCs w:val="0"/>
                <w:color w:val="000000" w:themeColor="text1"/>
                <w:sz w:val="20"/>
              </w:rPr>
              <w:t xml:space="preserve"> inclusion criteria</w:t>
            </w:r>
            <w:r w:rsidRPr="00CC6553">
              <w:rPr>
                <w:rFonts w:cs="Arial"/>
                <w:b w:val="0"/>
                <w:bCs w:val="0"/>
                <w:color w:val="000000" w:themeColor="text1"/>
                <w:sz w:val="20"/>
              </w:rPr>
              <w:t xml:space="preserve">. To meet the protocol a subgroup defined as having a LVEF 41-49% was required, not simply </w:t>
            </w:r>
            <w:r w:rsidRPr="00CC6553">
              <w:rPr>
                <w:rFonts w:cs="Arial"/>
                <w:b w:val="0"/>
                <w:bCs w:val="0"/>
                <w:color w:val="000000" w:themeColor="text1"/>
                <w:sz w:val="20"/>
              </w:rPr>
              <w:lastRenderedPageBreak/>
              <w:t>LVEF&gt;40%. At least 80% of a study/subgroup population needed to meet the definition of mrEF (LVEF 41-49%) for the study/subgroup to be included.</w:t>
            </w:r>
          </w:p>
          <w:p w14:paraId="02C7E6F5" w14:textId="419F7B44" w:rsidR="00897293" w:rsidRPr="00CC6553" w:rsidRDefault="00897293" w:rsidP="00B234F1">
            <w:pPr>
              <w:rPr>
                <w:color w:val="000000" w:themeColor="text1"/>
              </w:rPr>
            </w:pPr>
          </w:p>
          <w:p w14:paraId="7C42AA38" w14:textId="74C758D8" w:rsidR="00897293" w:rsidRPr="00CC6553" w:rsidRDefault="00897293" w:rsidP="00B234F1">
            <w:pPr>
              <w:rPr>
                <w:rFonts w:cs="Arial"/>
                <w:color w:val="000000" w:themeColor="text1"/>
                <w:sz w:val="20"/>
              </w:rPr>
            </w:pPr>
            <w:r w:rsidRPr="00CC6553">
              <w:rPr>
                <w:rFonts w:cs="Arial"/>
                <w:color w:val="000000" w:themeColor="text1"/>
                <w:sz w:val="20"/>
              </w:rPr>
              <w:t>Thank-you for highlighting these additional references. Savarese (2022) was assessed for inclusion in Evidence Review B but excluded because it did not report any outcomes relevant to the protocol.</w:t>
            </w:r>
          </w:p>
          <w:p w14:paraId="39C6F3AD" w14:textId="02CE39FF" w:rsidR="00897293" w:rsidRPr="00CC6553" w:rsidRDefault="00897293" w:rsidP="00B234F1">
            <w:pPr>
              <w:rPr>
                <w:rFonts w:cs="Arial"/>
                <w:color w:val="000000" w:themeColor="text1"/>
                <w:sz w:val="20"/>
              </w:rPr>
            </w:pPr>
          </w:p>
          <w:p w14:paraId="59C15718" w14:textId="236FC547" w:rsidR="00897293" w:rsidRPr="00CC6553" w:rsidRDefault="00897293" w:rsidP="00B234F1">
            <w:pPr>
              <w:rPr>
                <w:color w:val="000000" w:themeColor="text1"/>
              </w:rPr>
            </w:pPr>
            <w:r w:rsidRPr="00CC6553">
              <w:rPr>
                <w:rFonts w:cs="Arial"/>
                <w:color w:val="000000" w:themeColor="text1"/>
                <w:sz w:val="20"/>
              </w:rPr>
              <w:t>The 2023 ACC Expert consensus Decision pathway focuses on CHF with preserved ejection fraction (defined as LVEF ≥50%); this has not been considered in Evidence Review B because the LVEF does not meet the protocol definition of mildly reduced ejection fraction (LVEF of 41-79%).</w:t>
            </w:r>
          </w:p>
        </w:tc>
      </w:tr>
      <w:tr w:rsidR="00897293" w:rsidRPr="00CC6553" w14:paraId="1A8A6C37" w14:textId="77777777" w:rsidTr="00897293">
        <w:trPr>
          <w:trHeight w:val="300"/>
        </w:trPr>
        <w:tc>
          <w:tcPr>
            <w:tcW w:w="109" w:type="pct"/>
          </w:tcPr>
          <w:p w14:paraId="7F9A1DEB"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362</w:t>
            </w:r>
          </w:p>
        </w:tc>
        <w:tc>
          <w:tcPr>
            <w:tcW w:w="143" w:type="pct"/>
          </w:tcPr>
          <w:p w14:paraId="567ACFA2" w14:textId="71576D60"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407C5F14" w14:textId="420BEA8B" w:rsidR="00897293" w:rsidRPr="00CC6553" w:rsidRDefault="00897293" w:rsidP="00B234F1">
            <w:pPr>
              <w:rPr>
                <w:rFonts w:cs="Arial"/>
                <w:bCs/>
                <w:iCs/>
                <w:color w:val="000000" w:themeColor="text1"/>
                <w:sz w:val="20"/>
              </w:rPr>
            </w:pPr>
            <w:r w:rsidRPr="00CC6553">
              <w:rPr>
                <w:rFonts w:cs="Arial"/>
                <w:color w:val="000000" w:themeColor="text1"/>
                <w:sz w:val="20"/>
              </w:rPr>
              <w:t>Bayer plc</w:t>
            </w:r>
          </w:p>
        </w:tc>
        <w:tc>
          <w:tcPr>
            <w:tcW w:w="279" w:type="pct"/>
          </w:tcPr>
          <w:p w14:paraId="7E586B50" w14:textId="5E31BB46" w:rsidR="00897293" w:rsidRPr="00CC6553" w:rsidRDefault="00897293" w:rsidP="00B234F1">
            <w:pPr>
              <w:rPr>
                <w:rFonts w:cs="Arial"/>
                <w:color w:val="000000" w:themeColor="text1"/>
                <w:sz w:val="20"/>
              </w:rPr>
            </w:pPr>
            <w:r w:rsidRPr="00CC6553">
              <w:rPr>
                <w:rFonts w:cs="Arial"/>
                <w:color w:val="000000" w:themeColor="text1"/>
                <w:sz w:val="20"/>
              </w:rPr>
              <w:t>Evidence review B</w:t>
            </w:r>
            <w:r w:rsidRPr="00CC6553">
              <w:rPr>
                <w:rFonts w:cs="Arial"/>
                <w:color w:val="000000" w:themeColor="text1"/>
                <w:sz w:val="20"/>
              </w:rPr>
              <w:br/>
            </w:r>
            <w:r w:rsidRPr="00CC6553">
              <w:rPr>
                <w:rFonts w:cs="Arial"/>
                <w:color w:val="000000" w:themeColor="text1"/>
                <w:sz w:val="20"/>
              </w:rPr>
              <w:br/>
              <w:t>Evidence review D</w:t>
            </w:r>
          </w:p>
        </w:tc>
        <w:tc>
          <w:tcPr>
            <w:tcW w:w="214" w:type="pct"/>
          </w:tcPr>
          <w:p w14:paraId="2119CF3B" w14:textId="34EA5209"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762FC4F3" w14:textId="1C59E270"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21A39929" w14:textId="3F509AE2" w:rsidR="00897293" w:rsidRPr="00CC6553" w:rsidRDefault="00897293" w:rsidP="00B234F1">
            <w:pPr>
              <w:rPr>
                <w:rFonts w:cs="Arial"/>
                <w:color w:val="000000" w:themeColor="text1"/>
                <w:sz w:val="20"/>
              </w:rPr>
            </w:pPr>
            <w:r w:rsidRPr="00CC6553">
              <w:rPr>
                <w:rFonts w:cs="Arial"/>
                <w:color w:val="000000" w:themeColor="text1"/>
                <w:sz w:val="20"/>
              </w:rPr>
              <w:t>We would like to draw your attention to section 8.1 of the NICE guideline manual, which indicates that a guideline committee typically cannot publish its own recommendations on health technologies that are either covered by existing guidance or are still in development. Additionally, this section notes that new medicines and significant new indications are to be evaluated according to section 3.17 of the 2019 voluntary scheme for branded medicine pricing and access, as outlined on the GOV.UK website. This section states, “All New Active Substances in their first indication, and extensions to their Marketing Authorisation to add a significant new therapeutic indication, will undergo an appropriate NICE appraisal, except where there is a clear rationale not to do so."</w:t>
            </w:r>
            <w:r w:rsidRPr="00CC6553">
              <w:rPr>
                <w:rFonts w:cs="Arial"/>
                <w:color w:val="000000" w:themeColor="text1"/>
                <w:sz w:val="20"/>
              </w:rPr>
              <w:br/>
            </w:r>
            <w:r w:rsidRPr="00CC6553">
              <w:rPr>
                <w:rFonts w:cs="Arial"/>
                <w:color w:val="000000" w:themeColor="text1"/>
                <w:sz w:val="20"/>
              </w:rPr>
              <w:lastRenderedPageBreak/>
              <w:br/>
              <w:t>In light of this information, Bayer believes that the current wording in the draft guideline regarding finerenone does not fully recognise that it is the subject of a health technology guidance currently under development.</w:t>
            </w:r>
            <w:r w:rsidRPr="00CC6553">
              <w:rPr>
                <w:rFonts w:cs="Arial"/>
                <w:color w:val="000000" w:themeColor="text1"/>
                <w:sz w:val="20"/>
              </w:rPr>
              <w:br/>
            </w:r>
            <w:r w:rsidRPr="00CC6553">
              <w:rPr>
                <w:rFonts w:cs="Arial"/>
                <w:color w:val="000000" w:themeColor="text1"/>
                <w:sz w:val="20"/>
              </w:rPr>
              <w:br/>
              <w:t>Therefore, Bayer requests a revision of the wording used in Evidence review B (page 33) and D (page 20) to accurately reflect this status. Specifically, rather than stating that the cost-effectiveness of finerenone is uncertain, we would suggest that the guideline indicates that the “cost-effectiveness of finerenone is currently being assessed.”</w:t>
            </w:r>
            <w:r w:rsidRPr="00CC6553">
              <w:rPr>
                <w:rFonts w:cs="Arial"/>
                <w:color w:val="000000" w:themeColor="text1"/>
                <w:sz w:val="20"/>
              </w:rPr>
              <w:br/>
            </w:r>
            <w:r w:rsidRPr="00CC6553">
              <w:rPr>
                <w:rFonts w:cs="Arial"/>
                <w:color w:val="000000" w:themeColor="text1"/>
                <w:sz w:val="20"/>
              </w:rPr>
              <w:br/>
              <w:t>References</w:t>
            </w:r>
            <w:r w:rsidRPr="00CC6553">
              <w:rPr>
                <w:rFonts w:cs="Arial"/>
                <w:color w:val="000000" w:themeColor="text1"/>
                <w:sz w:val="20"/>
              </w:rPr>
              <w:br/>
              <w:t>1.Developing NICE guidelines: the manual https://www.nice.org.uk/process/pmg20 (Accessed June 2025)</w:t>
            </w:r>
            <w:r w:rsidRPr="00CC6553">
              <w:rPr>
                <w:rFonts w:cs="Arial"/>
                <w:color w:val="000000" w:themeColor="text1"/>
                <w:sz w:val="20"/>
              </w:rPr>
              <w:br/>
              <w:t>2. 2019 voluntary scheme for branded medicines pricing and access published on the GOV.UK website. https://www.gov.uk/government/publications/voluntary-scheme-for-branded-medicines-pricing-and-access (Accessed June 2025)</w:t>
            </w:r>
            <w:r w:rsidRPr="00CC6553">
              <w:rPr>
                <w:rFonts w:cs="Arial"/>
                <w:color w:val="000000" w:themeColor="text1"/>
                <w:sz w:val="20"/>
              </w:rPr>
              <w:br/>
              <w:t>3. Finerenone for treating heart failure with preserved or mildly reduced ejection fraction ID6514</w:t>
            </w:r>
            <w:r w:rsidRPr="00CC6553">
              <w:rPr>
                <w:rFonts w:cs="Arial"/>
                <w:color w:val="000000" w:themeColor="text1"/>
                <w:sz w:val="20"/>
              </w:rPr>
              <w:br/>
              <w:t>In development [GID-TA11651] https://www.nice.org.uk/guidance/indevelopment/gid-ta11651 (Accessed June 2025)</w:t>
            </w:r>
          </w:p>
        </w:tc>
        <w:tc>
          <w:tcPr>
            <w:tcW w:w="2122" w:type="pct"/>
          </w:tcPr>
          <w:p w14:paraId="65504FE4" w14:textId="77777777" w:rsidR="00897293" w:rsidRPr="00CC6553" w:rsidRDefault="00897293" w:rsidP="00B234F1">
            <w:pPr>
              <w:rPr>
                <w:rFonts w:cs="Arial"/>
                <w:bCs/>
                <w:color w:val="000000" w:themeColor="text1"/>
                <w:sz w:val="20"/>
              </w:rPr>
            </w:pPr>
            <w:r w:rsidRPr="00CC6553">
              <w:rPr>
                <w:rFonts w:cs="Arial"/>
                <w:bCs/>
                <w:color w:val="000000" w:themeColor="text1"/>
                <w:sz w:val="20"/>
              </w:rPr>
              <w:lastRenderedPageBreak/>
              <w:t>Thank you for your comment.</w:t>
            </w:r>
          </w:p>
          <w:p w14:paraId="5515C813" w14:textId="77777777" w:rsidR="00897293" w:rsidRPr="00CC6553" w:rsidRDefault="00897293" w:rsidP="00B234F1">
            <w:pPr>
              <w:rPr>
                <w:rFonts w:cs="Arial"/>
                <w:bCs/>
                <w:color w:val="000000" w:themeColor="text1"/>
                <w:sz w:val="20"/>
              </w:rPr>
            </w:pPr>
          </w:p>
          <w:p w14:paraId="3FA97079" w14:textId="60E9D6A2" w:rsidR="00897293" w:rsidRPr="00CC6553" w:rsidRDefault="00897293" w:rsidP="00B234F1">
            <w:pPr>
              <w:rPr>
                <w:rFonts w:cs="Arial"/>
                <w:bCs/>
                <w:color w:val="000000" w:themeColor="text1"/>
                <w:sz w:val="20"/>
              </w:rPr>
            </w:pPr>
            <w:r w:rsidRPr="00CC6553">
              <w:rPr>
                <w:rFonts w:cs="Arial"/>
                <w:bCs/>
                <w:color w:val="000000" w:themeColor="text1"/>
                <w:sz w:val="20"/>
              </w:rPr>
              <w:t xml:space="preserve">The sentences in evidence review B and D were edited as: “Finerenone is expected to have a more favourable side effect profile than spironolactone. The cost-effectiveness of finerenone for treating heart failure with preserved or mildly reduced ejection fraction </w:t>
            </w:r>
            <w:r w:rsidRPr="00CC6553">
              <w:rPr>
                <w:rFonts w:cs="Arial"/>
                <w:bCs/>
                <w:color w:val="000000" w:themeColor="text1"/>
                <w:sz w:val="20"/>
              </w:rPr>
              <w:lastRenderedPageBreak/>
              <w:t>will be formally assessed by NICE later in 2025.”</w:t>
            </w:r>
          </w:p>
          <w:p w14:paraId="1C378F8A" w14:textId="140CF07A" w:rsidR="00897293" w:rsidRPr="00CC6553" w:rsidRDefault="00897293" w:rsidP="00B234F1">
            <w:pPr>
              <w:rPr>
                <w:color w:val="000000" w:themeColor="text1"/>
              </w:rPr>
            </w:pPr>
          </w:p>
        </w:tc>
      </w:tr>
      <w:tr w:rsidR="00897293" w:rsidRPr="00CC6553" w14:paraId="390EDE9A" w14:textId="77777777" w:rsidTr="00897293">
        <w:trPr>
          <w:trHeight w:val="300"/>
        </w:trPr>
        <w:tc>
          <w:tcPr>
            <w:tcW w:w="109" w:type="pct"/>
          </w:tcPr>
          <w:p w14:paraId="4B662D9B"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363</w:t>
            </w:r>
          </w:p>
        </w:tc>
        <w:tc>
          <w:tcPr>
            <w:tcW w:w="143" w:type="pct"/>
          </w:tcPr>
          <w:p w14:paraId="29F072EB" w14:textId="1252B2C9"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08757286" w14:textId="09A184F7" w:rsidR="00897293" w:rsidRPr="00CC6553" w:rsidRDefault="00897293" w:rsidP="00B234F1">
            <w:pPr>
              <w:rPr>
                <w:rFonts w:cs="Arial"/>
                <w:bCs/>
                <w:iCs/>
                <w:color w:val="000000" w:themeColor="text1"/>
                <w:sz w:val="20"/>
              </w:rPr>
            </w:pPr>
            <w:r w:rsidRPr="00CC6553">
              <w:rPr>
                <w:rFonts w:cs="Arial"/>
                <w:color w:val="000000" w:themeColor="text1"/>
                <w:sz w:val="20"/>
              </w:rPr>
              <w:t>Pharmacosmos UK Ltd</w:t>
            </w:r>
          </w:p>
        </w:tc>
        <w:tc>
          <w:tcPr>
            <w:tcW w:w="279" w:type="pct"/>
          </w:tcPr>
          <w:p w14:paraId="1CB7274B" w14:textId="1476B733" w:rsidR="00897293" w:rsidRPr="00CC6553" w:rsidRDefault="00897293" w:rsidP="00B234F1">
            <w:pPr>
              <w:rPr>
                <w:rFonts w:cs="Arial"/>
                <w:color w:val="000000" w:themeColor="text1"/>
                <w:sz w:val="20"/>
              </w:rPr>
            </w:pPr>
            <w:r w:rsidRPr="00CC6553">
              <w:rPr>
                <w:rFonts w:cs="Arial"/>
                <w:color w:val="000000" w:themeColor="text1"/>
                <w:sz w:val="20"/>
              </w:rPr>
              <w:t>Evidence review C</w:t>
            </w:r>
          </w:p>
        </w:tc>
        <w:tc>
          <w:tcPr>
            <w:tcW w:w="214" w:type="pct"/>
          </w:tcPr>
          <w:p w14:paraId="396B2CF5" w14:textId="295ECD3C" w:rsidR="00897293" w:rsidRPr="00CC6553" w:rsidRDefault="00897293" w:rsidP="00B234F1">
            <w:pPr>
              <w:rPr>
                <w:rFonts w:cs="Arial"/>
                <w:color w:val="000000" w:themeColor="text1"/>
                <w:sz w:val="20"/>
              </w:rPr>
            </w:pPr>
            <w:r w:rsidRPr="00CC6553">
              <w:rPr>
                <w:rFonts w:cs="Arial"/>
                <w:color w:val="000000" w:themeColor="text1"/>
                <w:sz w:val="20"/>
              </w:rPr>
              <w:t>011 - 012</w:t>
            </w:r>
          </w:p>
        </w:tc>
        <w:tc>
          <w:tcPr>
            <w:tcW w:w="214" w:type="pct"/>
          </w:tcPr>
          <w:p w14:paraId="5FA87C22" w14:textId="34F448FF" w:rsidR="00897293" w:rsidRPr="00CC6553" w:rsidRDefault="00897293" w:rsidP="00B234F1">
            <w:pPr>
              <w:rPr>
                <w:rFonts w:cs="Arial"/>
                <w:color w:val="000000" w:themeColor="text1"/>
                <w:sz w:val="20"/>
              </w:rPr>
            </w:pPr>
            <w:r w:rsidRPr="00CC6553">
              <w:rPr>
                <w:rFonts w:cs="Arial"/>
                <w:color w:val="000000" w:themeColor="text1"/>
                <w:sz w:val="20"/>
              </w:rPr>
              <w:t>033 - 036, 002 - 009</w:t>
            </w:r>
          </w:p>
        </w:tc>
        <w:tc>
          <w:tcPr>
            <w:tcW w:w="1521" w:type="pct"/>
          </w:tcPr>
          <w:p w14:paraId="5DAF08FB" w14:textId="2C5AE5E8" w:rsidR="00897293" w:rsidRPr="00CC6553" w:rsidRDefault="00897293" w:rsidP="00B234F1">
            <w:pPr>
              <w:rPr>
                <w:rFonts w:cs="Arial"/>
                <w:color w:val="000000" w:themeColor="text1"/>
                <w:sz w:val="20"/>
              </w:rPr>
            </w:pPr>
            <w:r w:rsidRPr="00CC6553">
              <w:rPr>
                <w:rFonts w:cs="Arial"/>
                <w:color w:val="000000" w:themeColor="text1"/>
                <w:sz w:val="20"/>
              </w:rPr>
              <w:t xml:space="preserve">Summary of studies included in evidence review-  Kalra et al 2022a (IRONMAN) &amp; Subsidiary studies (Kalra 2022b, Cleland 2024, Foley 2024) – the analysis of the endpoints from these studies appear to have excluded hospitalisations due to heart failure. The primary endpoint of the IRONMAN study was a composite of hospitalisations for heart failure (HFH) and cardiovascular death, the secondary analysis of HFH demonstrated a RR 0.80 (0.062-1.03) in the full analysis set, and 0.76 (0.53-1.03) in the covid sensitivity set. </w:t>
            </w:r>
            <w:r w:rsidRPr="00CC6553">
              <w:rPr>
                <w:color w:val="000000" w:themeColor="text1"/>
              </w:rPr>
              <w:br/>
            </w:r>
            <w:r w:rsidRPr="00CC6553">
              <w:rPr>
                <w:rFonts w:cs="Arial"/>
                <w:color w:val="000000" w:themeColor="text1"/>
                <w:sz w:val="20"/>
              </w:rPr>
              <w:t>Graham et al 2023 meta-analysis following IRONMAN showed improvements as a class of drugs - RR 0.67 (0.47-0.97) for HFH</w:t>
            </w:r>
            <w:r w:rsidRPr="00CC6553">
              <w:rPr>
                <w:color w:val="000000" w:themeColor="text1"/>
              </w:rPr>
              <w:br/>
            </w:r>
            <w:r w:rsidRPr="00CC6553">
              <w:rPr>
                <w:rFonts w:cs="Arial"/>
                <w:color w:val="000000" w:themeColor="text1"/>
                <w:sz w:val="20"/>
              </w:rPr>
              <w:lastRenderedPageBreak/>
              <w:t>We ask that the committee include the hospitalisation for heart failure data from the IRONMAN study in the data review.</w:t>
            </w:r>
          </w:p>
        </w:tc>
        <w:tc>
          <w:tcPr>
            <w:tcW w:w="2122" w:type="pct"/>
          </w:tcPr>
          <w:p w14:paraId="68C48F06" w14:textId="1B422B53" w:rsidR="00897293" w:rsidRPr="00CC6553" w:rsidRDefault="00897293" w:rsidP="00B234F1">
            <w:pPr>
              <w:pStyle w:val="Heading1"/>
              <w:rPr>
                <w:rFonts w:cs="Arial"/>
                <w:b w:val="0"/>
                <w:bCs w:val="0"/>
                <w:color w:val="000000" w:themeColor="text1"/>
                <w:sz w:val="20"/>
              </w:rPr>
            </w:pPr>
            <w:r w:rsidRPr="00CC6553">
              <w:rPr>
                <w:rFonts w:cs="Arial"/>
                <w:b w:val="0"/>
                <w:bCs w:val="0"/>
                <w:color w:val="000000" w:themeColor="text1"/>
                <w:sz w:val="20"/>
              </w:rPr>
              <w:lastRenderedPageBreak/>
              <w:t xml:space="preserve">Thank you for your comment. Hospitalisation for heart failure has been included in the clinical evidence review as a rate ratio reported in the IRONMAN trial. This outcome was omitted from the summary of included studies table (table 2, section 1.1.5) but is now added. It was included in the actual </w:t>
            </w:r>
            <w:r w:rsidRPr="00CC6553">
              <w:rPr>
                <w:rFonts w:cs="Arial"/>
                <w:b w:val="0"/>
                <w:bCs w:val="0"/>
                <w:color w:val="000000" w:themeColor="text1"/>
                <w:sz w:val="20"/>
              </w:rPr>
              <w:lastRenderedPageBreak/>
              <w:t>analyses reported in section 1.11.6 in the evidence review.</w:t>
            </w:r>
          </w:p>
          <w:p w14:paraId="5063049E" w14:textId="77777777" w:rsidR="00897293" w:rsidRPr="00CC6553" w:rsidRDefault="00897293" w:rsidP="00B234F1">
            <w:pPr>
              <w:rPr>
                <w:color w:val="000000" w:themeColor="text1"/>
              </w:rPr>
            </w:pPr>
          </w:p>
          <w:p w14:paraId="1EF85CDA" w14:textId="5EDFDE0C" w:rsidR="00897293" w:rsidRPr="00CC6553" w:rsidRDefault="00897293" w:rsidP="00B234F1">
            <w:pPr>
              <w:rPr>
                <w:color w:val="000000" w:themeColor="text1"/>
              </w:rPr>
            </w:pPr>
          </w:p>
        </w:tc>
      </w:tr>
      <w:tr w:rsidR="00897293" w:rsidRPr="00CC6553" w14:paraId="1773F820" w14:textId="77777777" w:rsidTr="00897293">
        <w:trPr>
          <w:trHeight w:val="300"/>
        </w:trPr>
        <w:tc>
          <w:tcPr>
            <w:tcW w:w="109" w:type="pct"/>
          </w:tcPr>
          <w:p w14:paraId="0A7E97C2"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364</w:t>
            </w:r>
          </w:p>
        </w:tc>
        <w:tc>
          <w:tcPr>
            <w:tcW w:w="143" w:type="pct"/>
          </w:tcPr>
          <w:p w14:paraId="3590B0D7" w14:textId="31BF0302"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0ADCE6E6" w14:textId="07E3321B" w:rsidR="00897293" w:rsidRPr="00CC6553" w:rsidRDefault="00897293" w:rsidP="00B234F1">
            <w:pPr>
              <w:rPr>
                <w:rFonts w:cs="Arial"/>
                <w:bCs/>
                <w:iCs/>
                <w:color w:val="000000" w:themeColor="text1"/>
                <w:sz w:val="20"/>
              </w:rPr>
            </w:pPr>
            <w:r w:rsidRPr="00CC6553">
              <w:rPr>
                <w:rFonts w:cs="Arial"/>
                <w:color w:val="000000" w:themeColor="text1"/>
                <w:sz w:val="20"/>
              </w:rPr>
              <w:t>CSL Vifor</w:t>
            </w:r>
          </w:p>
        </w:tc>
        <w:tc>
          <w:tcPr>
            <w:tcW w:w="279" w:type="pct"/>
          </w:tcPr>
          <w:p w14:paraId="5792C145" w14:textId="3205E923" w:rsidR="00897293" w:rsidRPr="00CC6553" w:rsidRDefault="00897293" w:rsidP="00B234F1">
            <w:pPr>
              <w:rPr>
                <w:rFonts w:cs="Arial"/>
                <w:color w:val="000000" w:themeColor="text1"/>
                <w:sz w:val="20"/>
              </w:rPr>
            </w:pPr>
            <w:r w:rsidRPr="00CC6553">
              <w:rPr>
                <w:rFonts w:cs="Arial"/>
                <w:color w:val="000000" w:themeColor="text1"/>
                <w:sz w:val="20"/>
              </w:rPr>
              <w:t>Evidence review C</w:t>
            </w:r>
          </w:p>
        </w:tc>
        <w:tc>
          <w:tcPr>
            <w:tcW w:w="214" w:type="pct"/>
          </w:tcPr>
          <w:p w14:paraId="340D6B5A" w14:textId="27CDA774" w:rsidR="00897293" w:rsidRPr="00CC6553" w:rsidRDefault="00897293" w:rsidP="00B234F1">
            <w:pPr>
              <w:rPr>
                <w:rFonts w:cs="Arial"/>
                <w:color w:val="000000" w:themeColor="text1"/>
                <w:sz w:val="20"/>
              </w:rPr>
            </w:pPr>
            <w:r w:rsidRPr="00CC6553">
              <w:rPr>
                <w:rFonts w:cs="Arial"/>
                <w:color w:val="000000" w:themeColor="text1"/>
                <w:sz w:val="20"/>
              </w:rPr>
              <w:t>030</w:t>
            </w:r>
          </w:p>
        </w:tc>
        <w:tc>
          <w:tcPr>
            <w:tcW w:w="214" w:type="pct"/>
          </w:tcPr>
          <w:p w14:paraId="01DC3C22" w14:textId="179DC869" w:rsidR="00897293" w:rsidRPr="00CC6553" w:rsidRDefault="00897293" w:rsidP="00B234F1">
            <w:pPr>
              <w:rPr>
                <w:rFonts w:cs="Arial"/>
                <w:color w:val="000000" w:themeColor="text1"/>
                <w:sz w:val="20"/>
              </w:rPr>
            </w:pPr>
            <w:r w:rsidRPr="00CC6553">
              <w:rPr>
                <w:rFonts w:cs="Arial"/>
                <w:color w:val="000000" w:themeColor="text1"/>
                <w:sz w:val="20"/>
              </w:rPr>
              <w:t>003</w:t>
            </w:r>
          </w:p>
        </w:tc>
        <w:tc>
          <w:tcPr>
            <w:tcW w:w="1521" w:type="pct"/>
          </w:tcPr>
          <w:p w14:paraId="78FB8F0F" w14:textId="1B1E319F" w:rsidR="00897293" w:rsidRPr="00CC6553" w:rsidRDefault="00897293" w:rsidP="00B234F1">
            <w:pPr>
              <w:rPr>
                <w:rFonts w:cs="Arial"/>
                <w:color w:val="000000" w:themeColor="text1"/>
                <w:sz w:val="20"/>
              </w:rPr>
            </w:pPr>
            <w:r w:rsidRPr="00CC6553">
              <w:rPr>
                <w:rFonts w:cs="Arial"/>
                <w:color w:val="000000" w:themeColor="text1"/>
                <w:sz w:val="20"/>
              </w:rPr>
              <w:t>We would like to challenge the key assumption made by the committee in concluding that ferric derisomaltose (FDI) is likely to be more cost-effective or and potentially cost-saving compared with ferric carboxymaltose (FCM):</w:t>
            </w:r>
            <w:r w:rsidRPr="00CC6553">
              <w:rPr>
                <w:rFonts w:cs="Arial"/>
                <w:color w:val="000000" w:themeColor="text1"/>
                <w:sz w:val="20"/>
              </w:rPr>
              <w:br/>
              <w:t>Assumption: Use of published list prices as a basis of economic evaluation</w:t>
            </w:r>
            <w:r w:rsidRPr="00CC6553">
              <w:rPr>
                <w:rFonts w:cs="Arial"/>
                <w:color w:val="000000" w:themeColor="text1"/>
                <w:sz w:val="20"/>
              </w:rPr>
              <w:br/>
              <w:t xml:space="preserve">Using published list prices as a basis of the economic evaluation might lead to inaccurate conclusions as these products are subject to confidential pricing under regional Commercial Medicines Unit (CMU) framework agreements, and the prices actually paid for individual presentations may be significantly lower than the list price, and significant differences might exist between these products. Additionally, it is important to note that other factors impacting the true cost such as rebates paid via the 2024 voluntary scheme for branded medicines pricing using and redacting. The current tender prices agreed with the CMU whilst considered commercial in confidence and require redacting, would provide a more informed accurate economic evaluation.  </w:t>
            </w:r>
            <w:r w:rsidRPr="00CC6553">
              <w:rPr>
                <w:rFonts w:cs="Arial"/>
                <w:color w:val="000000" w:themeColor="text1"/>
                <w:sz w:val="20"/>
              </w:rPr>
              <w:br/>
              <w:t>For consideration, recent approval of other brands of FCM may affect pricing in for the NHS and future frameworks therefore broad cost effectiveness comments within the document may not be accurate or informative to the NHS budget holders.</w:t>
            </w:r>
            <w:r w:rsidRPr="00CC6553">
              <w:rPr>
                <w:rFonts w:cs="Arial"/>
                <w:color w:val="000000" w:themeColor="text1"/>
                <w:sz w:val="20"/>
              </w:rPr>
              <w:br/>
              <w:t>In conclusion, given that list prices don’t necessarily reflect the actual prices paid, these should not be used to formulate economic evaluations. We recommend that the committee re-evaluate the cost assumptions of both products based on the current prices agreed with the CMU and consider that even these prices might be affected very soon by recent approval of other brands of FCM.</w:t>
            </w:r>
          </w:p>
        </w:tc>
        <w:tc>
          <w:tcPr>
            <w:tcW w:w="2122" w:type="pct"/>
          </w:tcPr>
          <w:p w14:paraId="7EB90BA1" w14:textId="77777777"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Thank you for your comment. </w:t>
            </w:r>
          </w:p>
          <w:p w14:paraId="4C95D1FF" w14:textId="77777777" w:rsidR="00897293" w:rsidRPr="00CC6553" w:rsidRDefault="00897293" w:rsidP="00B234F1">
            <w:pPr>
              <w:pStyle w:val="Heading1"/>
              <w:rPr>
                <w:rFonts w:cs="Arial"/>
                <w:b w:val="0"/>
                <w:color w:val="000000" w:themeColor="text1"/>
                <w:sz w:val="20"/>
              </w:rPr>
            </w:pPr>
          </w:p>
          <w:p w14:paraId="4373DA28" w14:textId="772129A1"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We could only report the listed prices in the unit costs section as we are unable to publish confidential prices. Please note that no cost-effectiveness analysis comparing FDI and FCM was conducted.</w:t>
            </w:r>
          </w:p>
          <w:p w14:paraId="65AC20D2" w14:textId="337B9535" w:rsidR="00897293" w:rsidRPr="00CC6553" w:rsidRDefault="00897293" w:rsidP="00B234F1">
            <w:pPr>
              <w:pStyle w:val="Heading1"/>
              <w:rPr>
                <w:rFonts w:cs="Arial"/>
                <w:b w:val="0"/>
                <w:color w:val="000000" w:themeColor="text1"/>
                <w:sz w:val="20"/>
              </w:rPr>
            </w:pPr>
            <w:r w:rsidRPr="00CC6553">
              <w:rPr>
                <w:color w:val="000000" w:themeColor="text1"/>
              </w:rPr>
              <w:br/>
            </w:r>
            <w:r w:rsidRPr="00CC6553">
              <w:rPr>
                <w:rFonts w:cs="Arial"/>
                <w:b w:val="0"/>
                <w:color w:val="000000" w:themeColor="text1"/>
                <w:sz w:val="20"/>
              </w:rPr>
              <w:t>We have changed the wording to “the committee expected that ferric derisomaltose would be another cost-effective option compared to no treatment” to avoid making any comparison between ferric carboxymaltose, ferric derisomaltose or iron sucrose.</w:t>
            </w:r>
            <w:r w:rsidRPr="00CC6553">
              <w:rPr>
                <w:rFonts w:cs="Arial"/>
                <w:color w:val="000000" w:themeColor="text1"/>
                <w:sz w:val="20"/>
              </w:rPr>
              <w:t xml:space="preserve"> </w:t>
            </w:r>
          </w:p>
        </w:tc>
      </w:tr>
      <w:tr w:rsidR="00897293" w:rsidRPr="00CC6553" w14:paraId="0DF2AD3B" w14:textId="77777777" w:rsidTr="00897293">
        <w:trPr>
          <w:trHeight w:val="300"/>
        </w:trPr>
        <w:tc>
          <w:tcPr>
            <w:tcW w:w="109" w:type="pct"/>
          </w:tcPr>
          <w:p w14:paraId="5702A350" w14:textId="77777777" w:rsidR="00897293" w:rsidRPr="00CC6553" w:rsidRDefault="00897293" w:rsidP="00B234F1">
            <w:pPr>
              <w:rPr>
                <w:rFonts w:cs="Arial"/>
                <w:color w:val="000000" w:themeColor="text1"/>
                <w:sz w:val="20"/>
              </w:rPr>
            </w:pPr>
            <w:r w:rsidRPr="00CC6553">
              <w:rPr>
                <w:rFonts w:cs="Arial"/>
                <w:color w:val="000000" w:themeColor="text1"/>
                <w:sz w:val="20"/>
              </w:rPr>
              <w:t>365</w:t>
            </w:r>
          </w:p>
        </w:tc>
        <w:tc>
          <w:tcPr>
            <w:tcW w:w="143" w:type="pct"/>
          </w:tcPr>
          <w:p w14:paraId="1B401D0A" w14:textId="7062738E"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05A6CE78" w14:textId="0BF803C7" w:rsidR="00897293" w:rsidRPr="00CC6553" w:rsidRDefault="00897293" w:rsidP="00B234F1">
            <w:pPr>
              <w:rPr>
                <w:rFonts w:cs="Arial"/>
                <w:bCs/>
                <w:iCs/>
                <w:color w:val="000000" w:themeColor="text1"/>
                <w:sz w:val="20"/>
              </w:rPr>
            </w:pPr>
            <w:r w:rsidRPr="00CC6553">
              <w:rPr>
                <w:rFonts w:cs="Arial"/>
                <w:color w:val="000000" w:themeColor="text1"/>
                <w:sz w:val="20"/>
              </w:rPr>
              <w:t>Pharmacosmos UK Ltd</w:t>
            </w:r>
          </w:p>
        </w:tc>
        <w:tc>
          <w:tcPr>
            <w:tcW w:w="279" w:type="pct"/>
          </w:tcPr>
          <w:p w14:paraId="6B4B9028" w14:textId="44B5A011" w:rsidR="00897293" w:rsidRPr="00CC6553" w:rsidRDefault="00897293" w:rsidP="00B234F1">
            <w:pPr>
              <w:rPr>
                <w:rFonts w:cs="Arial"/>
                <w:color w:val="000000" w:themeColor="text1"/>
                <w:sz w:val="20"/>
              </w:rPr>
            </w:pPr>
            <w:r w:rsidRPr="00CC6553">
              <w:rPr>
                <w:rFonts w:cs="Arial"/>
                <w:color w:val="000000" w:themeColor="text1"/>
                <w:sz w:val="20"/>
              </w:rPr>
              <w:t>Evidence review C</w:t>
            </w:r>
          </w:p>
        </w:tc>
        <w:tc>
          <w:tcPr>
            <w:tcW w:w="214" w:type="pct"/>
          </w:tcPr>
          <w:p w14:paraId="4CE64212" w14:textId="06CA7D8D" w:rsidR="00897293" w:rsidRPr="00CC6553" w:rsidRDefault="00897293" w:rsidP="00B234F1">
            <w:pPr>
              <w:rPr>
                <w:rFonts w:cs="Arial"/>
                <w:color w:val="000000" w:themeColor="text1"/>
                <w:sz w:val="20"/>
              </w:rPr>
            </w:pPr>
            <w:r w:rsidRPr="00CC6553">
              <w:rPr>
                <w:rFonts w:cs="Arial"/>
                <w:color w:val="000000" w:themeColor="text1"/>
                <w:sz w:val="20"/>
              </w:rPr>
              <w:t>030</w:t>
            </w:r>
          </w:p>
        </w:tc>
        <w:tc>
          <w:tcPr>
            <w:tcW w:w="214" w:type="pct"/>
          </w:tcPr>
          <w:p w14:paraId="388189FA" w14:textId="3632C096" w:rsidR="00897293" w:rsidRPr="00CC6553" w:rsidRDefault="00897293" w:rsidP="00B234F1">
            <w:pPr>
              <w:rPr>
                <w:rFonts w:cs="Arial"/>
                <w:color w:val="000000" w:themeColor="text1"/>
                <w:sz w:val="20"/>
              </w:rPr>
            </w:pPr>
            <w:r w:rsidRPr="00CC6553">
              <w:rPr>
                <w:rFonts w:cs="Arial"/>
                <w:color w:val="000000" w:themeColor="text1"/>
                <w:sz w:val="20"/>
              </w:rPr>
              <w:t>003</w:t>
            </w:r>
          </w:p>
        </w:tc>
        <w:tc>
          <w:tcPr>
            <w:tcW w:w="1521" w:type="pct"/>
          </w:tcPr>
          <w:p w14:paraId="5C9702B3" w14:textId="13AFFC5F" w:rsidR="00897293" w:rsidRPr="00CC6553" w:rsidRDefault="00897293" w:rsidP="00B234F1">
            <w:pPr>
              <w:rPr>
                <w:rFonts w:cs="Arial"/>
                <w:color w:val="000000" w:themeColor="text1"/>
                <w:sz w:val="20"/>
              </w:rPr>
            </w:pPr>
            <w:r w:rsidRPr="00CC6553">
              <w:rPr>
                <w:rFonts w:cs="Arial"/>
                <w:color w:val="000000" w:themeColor="text1"/>
                <w:sz w:val="20"/>
              </w:rPr>
              <w:t>Table 8 - Only two formulations are included within the table. Ferric derisomaltose (Monofer) is also available in 100mg/1ml at a unit cost of £84.75 (BNF2024)</w:t>
            </w:r>
          </w:p>
        </w:tc>
        <w:tc>
          <w:tcPr>
            <w:tcW w:w="2122" w:type="pct"/>
          </w:tcPr>
          <w:p w14:paraId="284F86CA" w14:textId="54F94F36"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Thank you for your comment, the additional formulation has been added to the unit cost table. </w:t>
            </w:r>
          </w:p>
        </w:tc>
      </w:tr>
      <w:tr w:rsidR="00897293" w:rsidRPr="00CC6553" w14:paraId="451B5282" w14:textId="77777777" w:rsidTr="00897293">
        <w:trPr>
          <w:trHeight w:val="300"/>
        </w:trPr>
        <w:tc>
          <w:tcPr>
            <w:tcW w:w="109" w:type="pct"/>
          </w:tcPr>
          <w:p w14:paraId="31EC6C9A"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366</w:t>
            </w:r>
          </w:p>
        </w:tc>
        <w:tc>
          <w:tcPr>
            <w:tcW w:w="143" w:type="pct"/>
          </w:tcPr>
          <w:p w14:paraId="560F2450" w14:textId="617192C4"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DF0FF22" w14:textId="5D184344" w:rsidR="00897293" w:rsidRPr="00CC6553" w:rsidRDefault="00897293" w:rsidP="00B234F1">
            <w:pPr>
              <w:rPr>
                <w:rFonts w:cs="Arial"/>
                <w:bCs/>
                <w:iCs/>
                <w:color w:val="000000" w:themeColor="text1"/>
                <w:sz w:val="20"/>
              </w:rPr>
            </w:pPr>
            <w:r w:rsidRPr="00CC6553">
              <w:rPr>
                <w:rFonts w:cs="Arial"/>
                <w:color w:val="000000" w:themeColor="text1"/>
                <w:sz w:val="20"/>
              </w:rPr>
              <w:t>Pharmacosmos UK Ltd</w:t>
            </w:r>
          </w:p>
        </w:tc>
        <w:tc>
          <w:tcPr>
            <w:tcW w:w="279" w:type="pct"/>
          </w:tcPr>
          <w:p w14:paraId="41788EAC" w14:textId="06D96E49" w:rsidR="00897293" w:rsidRPr="00CC6553" w:rsidRDefault="00897293" w:rsidP="00B234F1">
            <w:pPr>
              <w:rPr>
                <w:rFonts w:cs="Arial"/>
                <w:color w:val="000000" w:themeColor="text1"/>
                <w:sz w:val="20"/>
              </w:rPr>
            </w:pPr>
            <w:r w:rsidRPr="00CC6553">
              <w:rPr>
                <w:rFonts w:cs="Arial"/>
                <w:color w:val="000000" w:themeColor="text1"/>
                <w:sz w:val="20"/>
              </w:rPr>
              <w:t>Evidence review C</w:t>
            </w:r>
          </w:p>
        </w:tc>
        <w:tc>
          <w:tcPr>
            <w:tcW w:w="214" w:type="pct"/>
          </w:tcPr>
          <w:p w14:paraId="490635B9" w14:textId="5E688D2E" w:rsidR="00897293" w:rsidRPr="00CC6553" w:rsidRDefault="00897293" w:rsidP="00B234F1">
            <w:pPr>
              <w:rPr>
                <w:rFonts w:cs="Arial"/>
                <w:color w:val="000000" w:themeColor="text1"/>
                <w:sz w:val="20"/>
              </w:rPr>
            </w:pPr>
            <w:r w:rsidRPr="00CC6553">
              <w:rPr>
                <w:rFonts w:cs="Arial"/>
                <w:color w:val="000000" w:themeColor="text1"/>
                <w:sz w:val="20"/>
              </w:rPr>
              <w:t>031</w:t>
            </w:r>
          </w:p>
        </w:tc>
        <w:tc>
          <w:tcPr>
            <w:tcW w:w="214" w:type="pct"/>
          </w:tcPr>
          <w:p w14:paraId="0E47E0DD" w14:textId="6BFD136C" w:rsidR="00897293" w:rsidRPr="00CC6553" w:rsidRDefault="00897293" w:rsidP="00B234F1">
            <w:pPr>
              <w:rPr>
                <w:rFonts w:cs="Arial"/>
                <w:color w:val="000000" w:themeColor="text1"/>
                <w:sz w:val="20"/>
              </w:rPr>
            </w:pPr>
            <w:r w:rsidRPr="00CC6553">
              <w:rPr>
                <w:rFonts w:cs="Arial"/>
                <w:color w:val="000000" w:themeColor="text1"/>
                <w:sz w:val="20"/>
              </w:rPr>
              <w:t>003 - 004</w:t>
            </w:r>
          </w:p>
        </w:tc>
        <w:tc>
          <w:tcPr>
            <w:tcW w:w="1521" w:type="pct"/>
          </w:tcPr>
          <w:p w14:paraId="768A2BEA" w14:textId="54130306" w:rsidR="00897293" w:rsidRPr="00CC6553" w:rsidRDefault="00897293" w:rsidP="00B234F1">
            <w:pPr>
              <w:rPr>
                <w:rFonts w:cs="Arial"/>
                <w:color w:val="000000" w:themeColor="text1"/>
                <w:sz w:val="20"/>
              </w:rPr>
            </w:pPr>
            <w:r w:rsidRPr="00CC6553">
              <w:rPr>
                <w:rFonts w:cs="Arial"/>
                <w:color w:val="000000" w:themeColor="text1"/>
                <w:sz w:val="20"/>
              </w:rPr>
              <w:t>Mean IRONMAN (Kalra 2022a) clinical trial dosing (1978mg with standard deviation of 949mg) is rounded up to 2 doses of 1000mg to derive an overestimated cost/annum of £464 for ferric derisomaltose (Monofer). Based on recent iron definciency in heart failure trials the average iron need per treatment is 1467mg (1496 mg if AFFIRM is excluded). As mentioned on page 36, patients could expect to receive this with Monofer in a single visit in most cases. The costing assumed in the IRONMAN calculation is at odds with Pollock 2024 where they calculated the cost per patient for receiving Monofer to be £388</w:t>
            </w:r>
          </w:p>
        </w:tc>
        <w:tc>
          <w:tcPr>
            <w:tcW w:w="2122" w:type="pct"/>
          </w:tcPr>
          <w:p w14:paraId="2DC3A19A" w14:textId="2717DE02"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Thank you for your comment, a conservative estimate has been used given in some cases two visits may still be required. The full vial cost is used to take into account the remainder of the vial is likely to be wasted. From the abstract of Pollock 2024 it is also unclear whether the costs associated with administration were accounted for. This could explain the difference in the cost calculated. </w:t>
            </w:r>
          </w:p>
        </w:tc>
      </w:tr>
      <w:tr w:rsidR="00897293" w:rsidRPr="00CC6553" w14:paraId="2E6370AE" w14:textId="77777777" w:rsidTr="00897293">
        <w:trPr>
          <w:trHeight w:val="300"/>
        </w:trPr>
        <w:tc>
          <w:tcPr>
            <w:tcW w:w="109" w:type="pct"/>
          </w:tcPr>
          <w:p w14:paraId="44391C98" w14:textId="77777777" w:rsidR="00897293" w:rsidRPr="00CC6553" w:rsidRDefault="00897293" w:rsidP="00B234F1">
            <w:pPr>
              <w:rPr>
                <w:rFonts w:cs="Arial"/>
                <w:color w:val="000000" w:themeColor="text1"/>
                <w:sz w:val="20"/>
              </w:rPr>
            </w:pPr>
            <w:r w:rsidRPr="00CC6553">
              <w:rPr>
                <w:rFonts w:cs="Arial"/>
                <w:color w:val="000000" w:themeColor="text1"/>
                <w:sz w:val="20"/>
              </w:rPr>
              <w:t>367</w:t>
            </w:r>
          </w:p>
        </w:tc>
        <w:tc>
          <w:tcPr>
            <w:tcW w:w="143" w:type="pct"/>
          </w:tcPr>
          <w:p w14:paraId="5E0AC51D" w14:textId="13BAE30F"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5E38D7D4" w14:textId="03A58487" w:rsidR="00897293" w:rsidRPr="00CC6553" w:rsidRDefault="00897293" w:rsidP="00B234F1">
            <w:pPr>
              <w:rPr>
                <w:rFonts w:cs="Arial"/>
                <w:bCs/>
                <w:iCs/>
                <w:color w:val="000000" w:themeColor="text1"/>
                <w:sz w:val="20"/>
              </w:rPr>
            </w:pPr>
            <w:r w:rsidRPr="00CC6553">
              <w:rPr>
                <w:rFonts w:cs="Arial"/>
                <w:color w:val="000000" w:themeColor="text1"/>
                <w:sz w:val="20"/>
              </w:rPr>
              <w:t>Pharmacosmos UK Ltd</w:t>
            </w:r>
          </w:p>
        </w:tc>
        <w:tc>
          <w:tcPr>
            <w:tcW w:w="279" w:type="pct"/>
          </w:tcPr>
          <w:p w14:paraId="45BCC83E" w14:textId="7FD9ECDB" w:rsidR="00897293" w:rsidRPr="00CC6553" w:rsidRDefault="00897293" w:rsidP="00B234F1">
            <w:pPr>
              <w:rPr>
                <w:rFonts w:cs="Arial"/>
                <w:color w:val="000000" w:themeColor="text1"/>
                <w:sz w:val="20"/>
              </w:rPr>
            </w:pPr>
            <w:r w:rsidRPr="00CC6553">
              <w:rPr>
                <w:rFonts w:cs="Arial"/>
                <w:color w:val="000000" w:themeColor="text1"/>
                <w:sz w:val="20"/>
              </w:rPr>
              <w:t>Evidence review C</w:t>
            </w:r>
          </w:p>
        </w:tc>
        <w:tc>
          <w:tcPr>
            <w:tcW w:w="214" w:type="pct"/>
          </w:tcPr>
          <w:p w14:paraId="765ABF66" w14:textId="66608824" w:rsidR="00897293" w:rsidRPr="00CC6553" w:rsidRDefault="00897293" w:rsidP="00B234F1">
            <w:pPr>
              <w:rPr>
                <w:rFonts w:cs="Arial"/>
                <w:color w:val="000000" w:themeColor="text1"/>
                <w:sz w:val="20"/>
              </w:rPr>
            </w:pPr>
            <w:r w:rsidRPr="00CC6553">
              <w:rPr>
                <w:rFonts w:cs="Arial"/>
                <w:color w:val="000000" w:themeColor="text1"/>
                <w:sz w:val="20"/>
              </w:rPr>
              <w:t>031</w:t>
            </w:r>
          </w:p>
        </w:tc>
        <w:tc>
          <w:tcPr>
            <w:tcW w:w="214" w:type="pct"/>
          </w:tcPr>
          <w:p w14:paraId="126D93D5" w14:textId="2053AD37" w:rsidR="00897293" w:rsidRPr="00CC6553" w:rsidRDefault="00897293" w:rsidP="00B234F1">
            <w:pPr>
              <w:rPr>
                <w:rFonts w:cs="Arial"/>
                <w:color w:val="000000" w:themeColor="text1"/>
                <w:sz w:val="20"/>
              </w:rPr>
            </w:pPr>
            <w:r w:rsidRPr="00CC6553">
              <w:rPr>
                <w:rFonts w:cs="Arial"/>
                <w:color w:val="000000" w:themeColor="text1"/>
                <w:sz w:val="20"/>
              </w:rPr>
              <w:t>003 - 004</w:t>
            </w:r>
          </w:p>
        </w:tc>
        <w:tc>
          <w:tcPr>
            <w:tcW w:w="1521" w:type="pct"/>
          </w:tcPr>
          <w:p w14:paraId="10CD1BE3" w14:textId="4528CC2E" w:rsidR="00897293" w:rsidRPr="00CC6553" w:rsidRDefault="00897293" w:rsidP="00B234F1">
            <w:pPr>
              <w:rPr>
                <w:rFonts w:cs="Arial"/>
                <w:color w:val="000000" w:themeColor="text1"/>
                <w:sz w:val="20"/>
              </w:rPr>
            </w:pPr>
            <w:r w:rsidRPr="00CC6553">
              <w:rPr>
                <w:rFonts w:cs="Arial"/>
                <w:color w:val="000000" w:themeColor="text1"/>
                <w:sz w:val="20"/>
              </w:rPr>
              <w:t>The mean total dose administered in year 1 of the IRONMAN trial was 1978 mg (SD 949). 217 patients (38%) received their iron dose in one visit even though redosing was allowed at the 4-week review and at every 4 months after randomisation. 226 (40%) patients received two infusions and the remaining 116 (22%) received three infusions or more. Administering 2 separate doses of 1000 mg is not reflective of the dosing capability of ferric derisomaltose (Monofer), which can be dosed at 20mg/kg according to iron need, as seen in the IRONMAN trial. As shown, this reduced the number of infusions required for just under half the study population to 1, which would impact treatment and associated visit costs. Following baseline administration of iron in the IV Iron arm 90% of the population were iron replete at 4 weeks, with only 10% requiring a subsequent dose. The dosing regimen used in this trial was a single dose infusion up to 20mg/kg capped as per the dosing table, meaning all 90% of the population in that initial administration receive a single infusion in order to achieve repletion.</w:t>
            </w:r>
          </w:p>
        </w:tc>
        <w:tc>
          <w:tcPr>
            <w:tcW w:w="2122" w:type="pct"/>
          </w:tcPr>
          <w:p w14:paraId="27B38E36" w14:textId="6DD7C990"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Thank you for your comment. Whilst some people may only need one visit, a conservative estimate has been used given in some cases two visits may still be required and in some cases further visits are required. </w:t>
            </w:r>
          </w:p>
        </w:tc>
      </w:tr>
      <w:tr w:rsidR="00897293" w:rsidRPr="00CC6553" w14:paraId="4EE92048" w14:textId="77777777" w:rsidTr="00897293">
        <w:trPr>
          <w:trHeight w:val="300"/>
        </w:trPr>
        <w:tc>
          <w:tcPr>
            <w:tcW w:w="109" w:type="pct"/>
          </w:tcPr>
          <w:p w14:paraId="37E68C7E" w14:textId="77777777" w:rsidR="00897293" w:rsidRPr="00CC6553" w:rsidRDefault="00897293" w:rsidP="00B234F1">
            <w:pPr>
              <w:rPr>
                <w:rFonts w:cs="Arial"/>
                <w:color w:val="000000" w:themeColor="text1"/>
                <w:sz w:val="20"/>
              </w:rPr>
            </w:pPr>
            <w:r w:rsidRPr="00CC6553">
              <w:rPr>
                <w:rFonts w:cs="Arial"/>
                <w:color w:val="000000" w:themeColor="text1"/>
                <w:sz w:val="20"/>
              </w:rPr>
              <w:t>368</w:t>
            </w:r>
          </w:p>
        </w:tc>
        <w:tc>
          <w:tcPr>
            <w:tcW w:w="143" w:type="pct"/>
          </w:tcPr>
          <w:p w14:paraId="22A889FA" w14:textId="492DD933"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36C20B3F" w14:textId="7EF26738" w:rsidR="00897293" w:rsidRPr="00CC6553" w:rsidRDefault="00897293" w:rsidP="00B234F1">
            <w:pPr>
              <w:rPr>
                <w:rFonts w:cs="Arial"/>
                <w:bCs/>
                <w:iCs/>
                <w:color w:val="000000" w:themeColor="text1"/>
                <w:sz w:val="20"/>
              </w:rPr>
            </w:pPr>
            <w:r w:rsidRPr="00CC6553">
              <w:rPr>
                <w:rFonts w:cs="Arial"/>
                <w:color w:val="000000" w:themeColor="text1"/>
                <w:sz w:val="20"/>
              </w:rPr>
              <w:t>CSL Vifor</w:t>
            </w:r>
          </w:p>
        </w:tc>
        <w:tc>
          <w:tcPr>
            <w:tcW w:w="279" w:type="pct"/>
          </w:tcPr>
          <w:p w14:paraId="4D36380B" w14:textId="346ECC8D" w:rsidR="00897293" w:rsidRPr="00CC6553" w:rsidRDefault="00897293" w:rsidP="00B234F1">
            <w:pPr>
              <w:rPr>
                <w:rFonts w:cs="Arial"/>
                <w:color w:val="000000" w:themeColor="text1"/>
                <w:sz w:val="20"/>
              </w:rPr>
            </w:pPr>
            <w:r w:rsidRPr="00CC6553">
              <w:rPr>
                <w:rFonts w:cs="Arial"/>
                <w:color w:val="000000" w:themeColor="text1"/>
                <w:sz w:val="20"/>
              </w:rPr>
              <w:t>Evidence review C</w:t>
            </w:r>
          </w:p>
        </w:tc>
        <w:tc>
          <w:tcPr>
            <w:tcW w:w="214" w:type="pct"/>
          </w:tcPr>
          <w:p w14:paraId="3410D4C4" w14:textId="19AA04C8" w:rsidR="00897293" w:rsidRPr="00CC6553" w:rsidRDefault="00897293" w:rsidP="00B234F1">
            <w:pPr>
              <w:rPr>
                <w:rFonts w:cs="Arial"/>
                <w:color w:val="000000" w:themeColor="text1"/>
                <w:sz w:val="20"/>
              </w:rPr>
            </w:pPr>
            <w:r w:rsidRPr="00CC6553">
              <w:rPr>
                <w:rFonts w:cs="Arial"/>
                <w:color w:val="000000" w:themeColor="text1"/>
                <w:sz w:val="20"/>
              </w:rPr>
              <w:t>031</w:t>
            </w:r>
          </w:p>
        </w:tc>
        <w:tc>
          <w:tcPr>
            <w:tcW w:w="214" w:type="pct"/>
          </w:tcPr>
          <w:p w14:paraId="04BF23B8" w14:textId="2A86320B" w:rsidR="00897293" w:rsidRPr="00CC6553" w:rsidRDefault="00897293" w:rsidP="00B234F1">
            <w:pPr>
              <w:rPr>
                <w:rFonts w:cs="Arial"/>
                <w:color w:val="000000" w:themeColor="text1"/>
                <w:sz w:val="20"/>
              </w:rPr>
            </w:pPr>
            <w:r w:rsidRPr="00CC6553">
              <w:rPr>
                <w:rFonts w:cs="Arial"/>
                <w:color w:val="000000" w:themeColor="text1"/>
                <w:sz w:val="20"/>
              </w:rPr>
              <w:t>003 - 004</w:t>
            </w:r>
          </w:p>
        </w:tc>
        <w:tc>
          <w:tcPr>
            <w:tcW w:w="1521" w:type="pct"/>
          </w:tcPr>
          <w:p w14:paraId="33CA0C62" w14:textId="793A8B1D" w:rsidR="00897293" w:rsidRPr="00CC6553" w:rsidRDefault="00897293" w:rsidP="00B234F1">
            <w:pPr>
              <w:rPr>
                <w:rFonts w:cs="Arial"/>
                <w:color w:val="000000" w:themeColor="text1"/>
                <w:sz w:val="20"/>
              </w:rPr>
            </w:pPr>
            <w:r w:rsidRPr="00CC6553">
              <w:rPr>
                <w:rFonts w:cs="Arial"/>
                <w:color w:val="000000" w:themeColor="text1"/>
                <w:sz w:val="20"/>
              </w:rPr>
              <w:t>We would like to challenge the key assumption made by the committee in concluding that ferric derisomaltose (FDI) is likely to be more cost-effective or and potentially cost-saving compared with ferric carboxymaltose (FCM):</w:t>
            </w:r>
            <w:r w:rsidRPr="00CC6553">
              <w:rPr>
                <w:rFonts w:cs="Arial"/>
                <w:color w:val="000000" w:themeColor="text1"/>
                <w:sz w:val="20"/>
              </w:rPr>
              <w:br/>
              <w:t>Assumption: Ferinject (ferric carboxymaltose) requires two visits per year vs FDI requires one visit per year</w:t>
            </w:r>
            <w:r w:rsidRPr="00CC6553">
              <w:rPr>
                <w:rFonts w:cs="Arial"/>
                <w:color w:val="000000" w:themeColor="text1"/>
                <w:sz w:val="20"/>
              </w:rPr>
              <w:br/>
              <w:t xml:space="preserve">The updated cost-effectiveness analysis in IRONMAN, which was used as the </w:t>
            </w:r>
            <w:r w:rsidRPr="00CC6553">
              <w:rPr>
                <w:rFonts w:cs="Arial"/>
                <w:color w:val="000000" w:themeColor="text1"/>
                <w:sz w:val="20"/>
              </w:rPr>
              <w:lastRenderedPageBreak/>
              <w:t>economic basis for committee deliberation, provided unit costs based on actual dosing patterns observed in the study:</w:t>
            </w:r>
            <w:r w:rsidRPr="00CC6553">
              <w:rPr>
                <w:rFonts w:cs="Arial"/>
                <w:color w:val="000000" w:themeColor="text1"/>
                <w:sz w:val="20"/>
              </w:rPr>
              <w:br/>
              <w:t>2 doses of 1000mg across 2 visits = £464; based on a mean total dosage over the first year of 1978mg.</w:t>
            </w:r>
            <w:r w:rsidRPr="00CC6553">
              <w:rPr>
                <w:rFonts w:cs="Arial"/>
                <w:color w:val="000000" w:themeColor="text1"/>
                <w:sz w:val="20"/>
              </w:rPr>
              <w:br/>
              <w:t>Therefore, for the purpose of the economic evaluation 2 doses of 1000mg across 2 visits were used. This does not reflect the assumption that FDI requires one visit per year.</w:t>
            </w:r>
            <w:r w:rsidRPr="00CC6553">
              <w:rPr>
                <w:rFonts w:cs="Arial"/>
                <w:color w:val="000000" w:themeColor="text1"/>
                <w:sz w:val="20"/>
              </w:rPr>
              <w:br/>
              <w:t>In conclusion, given that in the above study FDI required two visits in the first year we recommend that the committee re-evaluate the cost assumptions based on the dosing patterns in IRONMAN.</w:t>
            </w:r>
          </w:p>
        </w:tc>
        <w:tc>
          <w:tcPr>
            <w:tcW w:w="2122" w:type="pct"/>
          </w:tcPr>
          <w:p w14:paraId="1DA44DBD" w14:textId="15D4B1F4"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lastRenderedPageBreak/>
              <w:t xml:space="preserve">Thank you for your comment. As no direct cost-effectiveness analysis was undertaken between ferric derisomaltose and ferric carboxymaltose the wording has been changed to “The committee </w:t>
            </w:r>
            <w:r w:rsidRPr="00CC6553">
              <w:rPr>
                <w:rFonts w:cs="Arial"/>
                <w:b w:val="0"/>
                <w:color w:val="000000" w:themeColor="text1"/>
                <w:sz w:val="20"/>
              </w:rPr>
              <w:lastRenderedPageBreak/>
              <w:t xml:space="preserve">expected that ferric derisomaltose would be another cost-effective option compared to no treatment” in order avoid making any comparison between ferric carboxymaltose, ferric derisomaltose or iron sucrose. </w:t>
            </w:r>
          </w:p>
          <w:p w14:paraId="6949CA77" w14:textId="051A04D1"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w:t>
            </w:r>
          </w:p>
        </w:tc>
      </w:tr>
      <w:tr w:rsidR="00897293" w:rsidRPr="00CC6553" w14:paraId="232D7DEB" w14:textId="77777777" w:rsidTr="00897293">
        <w:trPr>
          <w:trHeight w:val="300"/>
        </w:trPr>
        <w:tc>
          <w:tcPr>
            <w:tcW w:w="109" w:type="pct"/>
          </w:tcPr>
          <w:p w14:paraId="608836F5"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369</w:t>
            </w:r>
          </w:p>
        </w:tc>
        <w:tc>
          <w:tcPr>
            <w:tcW w:w="143" w:type="pct"/>
          </w:tcPr>
          <w:p w14:paraId="64B135CF" w14:textId="55F7BD70"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7D6A3A1C" w14:textId="1C2B4CBA" w:rsidR="00897293" w:rsidRPr="00CC6553" w:rsidRDefault="00897293" w:rsidP="00B234F1">
            <w:pPr>
              <w:rPr>
                <w:rFonts w:cs="Arial"/>
                <w:bCs/>
                <w:iCs/>
                <w:color w:val="000000" w:themeColor="text1"/>
                <w:sz w:val="20"/>
              </w:rPr>
            </w:pPr>
            <w:r w:rsidRPr="00CC6553">
              <w:rPr>
                <w:rFonts w:cs="Arial"/>
                <w:color w:val="000000" w:themeColor="text1"/>
                <w:sz w:val="20"/>
              </w:rPr>
              <w:t>Pharmacosmos UK Ltd</w:t>
            </w:r>
          </w:p>
        </w:tc>
        <w:tc>
          <w:tcPr>
            <w:tcW w:w="279" w:type="pct"/>
          </w:tcPr>
          <w:p w14:paraId="6F44444C" w14:textId="442B49A5" w:rsidR="00897293" w:rsidRPr="00CC6553" w:rsidRDefault="00897293" w:rsidP="00B234F1">
            <w:pPr>
              <w:rPr>
                <w:rFonts w:cs="Arial"/>
                <w:color w:val="000000" w:themeColor="text1"/>
                <w:sz w:val="20"/>
              </w:rPr>
            </w:pPr>
            <w:r w:rsidRPr="00CC6553">
              <w:rPr>
                <w:rFonts w:cs="Arial"/>
                <w:color w:val="000000" w:themeColor="text1"/>
                <w:sz w:val="20"/>
              </w:rPr>
              <w:t>Evidence review C</w:t>
            </w:r>
          </w:p>
        </w:tc>
        <w:tc>
          <w:tcPr>
            <w:tcW w:w="214" w:type="pct"/>
          </w:tcPr>
          <w:p w14:paraId="28FD08D4" w14:textId="4BB5231F" w:rsidR="00897293" w:rsidRPr="00CC6553" w:rsidRDefault="00897293" w:rsidP="00B234F1">
            <w:pPr>
              <w:rPr>
                <w:rFonts w:cs="Arial"/>
                <w:color w:val="000000" w:themeColor="text1"/>
                <w:sz w:val="20"/>
              </w:rPr>
            </w:pPr>
            <w:r w:rsidRPr="00CC6553">
              <w:rPr>
                <w:rFonts w:cs="Arial"/>
                <w:color w:val="000000" w:themeColor="text1"/>
                <w:sz w:val="20"/>
              </w:rPr>
              <w:t>034</w:t>
            </w:r>
          </w:p>
        </w:tc>
        <w:tc>
          <w:tcPr>
            <w:tcW w:w="214" w:type="pct"/>
          </w:tcPr>
          <w:p w14:paraId="0E48722E" w14:textId="7F11307A" w:rsidR="00897293" w:rsidRPr="00CC6553" w:rsidRDefault="00897293" w:rsidP="00B234F1">
            <w:pPr>
              <w:rPr>
                <w:rFonts w:cs="Arial"/>
                <w:color w:val="000000" w:themeColor="text1"/>
                <w:sz w:val="20"/>
              </w:rPr>
            </w:pPr>
            <w:r w:rsidRPr="00CC6553">
              <w:rPr>
                <w:rFonts w:cs="Arial"/>
                <w:color w:val="000000" w:themeColor="text1"/>
                <w:sz w:val="20"/>
              </w:rPr>
              <w:t>012 - 016</w:t>
            </w:r>
          </w:p>
        </w:tc>
        <w:tc>
          <w:tcPr>
            <w:tcW w:w="1521" w:type="pct"/>
          </w:tcPr>
          <w:p w14:paraId="0C50F4EE" w14:textId="517DBED1" w:rsidR="00897293" w:rsidRPr="00CC6553" w:rsidRDefault="00897293" w:rsidP="00B234F1">
            <w:pPr>
              <w:rPr>
                <w:rFonts w:cs="Arial"/>
                <w:color w:val="000000" w:themeColor="text1"/>
                <w:sz w:val="20"/>
              </w:rPr>
            </w:pPr>
            <w:r w:rsidRPr="00CC6553">
              <w:rPr>
                <w:rFonts w:cs="Arial"/>
                <w:color w:val="000000" w:themeColor="text1"/>
                <w:sz w:val="20"/>
              </w:rPr>
              <w:t xml:space="preserve">1.1.12.3 Benefits and harms. </w:t>
            </w:r>
            <w:r w:rsidRPr="00CC6553">
              <w:rPr>
                <w:rFonts w:cs="Arial"/>
                <w:color w:val="000000" w:themeColor="text1"/>
                <w:sz w:val="20"/>
              </w:rPr>
              <w:br/>
              <w:t>The data review excluded analyses of hospitalisations due to heart failure from key clinical studies, which could impact the committees view of consistency in data. The totality of evidence, through meta-analyses and clinical trials, has demonstrated a consistent effect on the reduction in hospitalisations for heart failure for high dose IV irons as a class. The primary endpoint of the IRONMAN (Kalra et al 2022) study included hospitalisations for heart failure, but does not appear to have been included in the analysis, demonstrating a RR 0.80 (0.062-1.03) in the full analysis set, and 0.76 (0.53-1.03) in the covid sensitivity set. Meta analyses have consistently demonstrated reductions in hospitalisations as the data from all IV iron trials are collated. Graham et al (2023) demonstrated a RR 0.67 (0.47-0.97) for HFH, more recently Anker et al. 2025 demonstrated a risk reduction in recurrent hospitalisations RR 0.69 (0.48-0.88)</w:t>
            </w:r>
          </w:p>
        </w:tc>
        <w:tc>
          <w:tcPr>
            <w:tcW w:w="2122" w:type="pct"/>
          </w:tcPr>
          <w:p w14:paraId="15211016" w14:textId="28FF3D7C" w:rsidR="00897293" w:rsidRPr="00CC6553" w:rsidRDefault="00897293" w:rsidP="00B234F1">
            <w:pPr>
              <w:pStyle w:val="Heading1"/>
              <w:rPr>
                <w:rFonts w:cs="Arial"/>
                <w:b w:val="0"/>
                <w:bCs w:val="0"/>
                <w:color w:val="000000" w:themeColor="text1"/>
                <w:sz w:val="20"/>
              </w:rPr>
            </w:pPr>
            <w:r w:rsidRPr="00CC6553">
              <w:rPr>
                <w:rFonts w:cs="Arial"/>
                <w:b w:val="0"/>
                <w:bCs w:val="0"/>
                <w:color w:val="000000" w:themeColor="text1"/>
                <w:sz w:val="20"/>
              </w:rPr>
              <w:t>Thank you for your comment. Hospitalisation due to heart failure has been included in the clinical evidence review as a rate ratio reported in the IRONMAN trial. This outcome was omitted from the summary of included studies table (table 2, section 1.1.5) but is now added. It was included in the actual analyses reported in section 1.11.6 in the evidence review.</w:t>
            </w:r>
          </w:p>
          <w:p w14:paraId="18D0F401" w14:textId="6A0D23BE" w:rsidR="00897293" w:rsidRPr="00CC6553" w:rsidRDefault="00897293" w:rsidP="00B234F1">
            <w:pPr>
              <w:pStyle w:val="Heading1"/>
              <w:rPr>
                <w:rFonts w:cs="Arial"/>
                <w:b w:val="0"/>
                <w:color w:val="000000" w:themeColor="text1"/>
                <w:sz w:val="20"/>
              </w:rPr>
            </w:pPr>
          </w:p>
        </w:tc>
      </w:tr>
      <w:tr w:rsidR="00897293" w:rsidRPr="00CC6553" w14:paraId="2DB18B69" w14:textId="77777777" w:rsidTr="00897293">
        <w:trPr>
          <w:trHeight w:val="300"/>
        </w:trPr>
        <w:tc>
          <w:tcPr>
            <w:tcW w:w="109" w:type="pct"/>
          </w:tcPr>
          <w:p w14:paraId="234452A6" w14:textId="77777777" w:rsidR="00897293" w:rsidRPr="00CC6553" w:rsidRDefault="00897293" w:rsidP="00B234F1">
            <w:pPr>
              <w:rPr>
                <w:rFonts w:cs="Arial"/>
                <w:color w:val="000000" w:themeColor="text1"/>
                <w:sz w:val="20"/>
              </w:rPr>
            </w:pPr>
            <w:r w:rsidRPr="00CC6553">
              <w:rPr>
                <w:rFonts w:cs="Arial"/>
                <w:color w:val="000000" w:themeColor="text1"/>
                <w:sz w:val="20"/>
              </w:rPr>
              <w:t>370</w:t>
            </w:r>
          </w:p>
        </w:tc>
        <w:tc>
          <w:tcPr>
            <w:tcW w:w="143" w:type="pct"/>
          </w:tcPr>
          <w:p w14:paraId="0F237F94" w14:textId="600E3390"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5FE1F900" w14:textId="1BDCFAC6" w:rsidR="00897293" w:rsidRPr="00CC6553" w:rsidRDefault="00897293" w:rsidP="00B234F1">
            <w:pPr>
              <w:rPr>
                <w:rFonts w:cs="Arial"/>
                <w:bCs/>
                <w:iCs/>
                <w:color w:val="000000" w:themeColor="text1"/>
                <w:sz w:val="20"/>
              </w:rPr>
            </w:pPr>
            <w:r w:rsidRPr="00CC6553">
              <w:rPr>
                <w:rFonts w:cs="Arial"/>
                <w:color w:val="000000" w:themeColor="text1"/>
                <w:sz w:val="20"/>
              </w:rPr>
              <w:t>Pharmacosmos UK Ltd</w:t>
            </w:r>
          </w:p>
        </w:tc>
        <w:tc>
          <w:tcPr>
            <w:tcW w:w="279" w:type="pct"/>
          </w:tcPr>
          <w:p w14:paraId="7B1A6397" w14:textId="078D4125" w:rsidR="00897293" w:rsidRPr="00CC6553" w:rsidRDefault="00897293" w:rsidP="00B234F1">
            <w:pPr>
              <w:rPr>
                <w:rFonts w:cs="Arial"/>
                <w:color w:val="000000" w:themeColor="text1"/>
                <w:sz w:val="20"/>
              </w:rPr>
            </w:pPr>
            <w:r w:rsidRPr="00CC6553">
              <w:rPr>
                <w:rFonts w:cs="Arial"/>
                <w:color w:val="000000" w:themeColor="text1"/>
                <w:sz w:val="20"/>
              </w:rPr>
              <w:t>Evidence review C</w:t>
            </w:r>
          </w:p>
        </w:tc>
        <w:tc>
          <w:tcPr>
            <w:tcW w:w="214" w:type="pct"/>
          </w:tcPr>
          <w:p w14:paraId="3E6B9BF4" w14:textId="5108D94B" w:rsidR="00897293" w:rsidRPr="00CC6553" w:rsidRDefault="00897293" w:rsidP="00B234F1">
            <w:pPr>
              <w:rPr>
                <w:rFonts w:cs="Arial"/>
                <w:color w:val="000000" w:themeColor="text1"/>
                <w:sz w:val="20"/>
              </w:rPr>
            </w:pPr>
            <w:r w:rsidRPr="00CC6553">
              <w:rPr>
                <w:rFonts w:cs="Arial"/>
                <w:color w:val="000000" w:themeColor="text1"/>
                <w:sz w:val="20"/>
              </w:rPr>
              <w:t>034</w:t>
            </w:r>
          </w:p>
        </w:tc>
        <w:tc>
          <w:tcPr>
            <w:tcW w:w="214" w:type="pct"/>
          </w:tcPr>
          <w:p w14:paraId="414AC279" w14:textId="5B84FC91" w:rsidR="00897293" w:rsidRPr="00CC6553" w:rsidRDefault="00897293" w:rsidP="00B234F1">
            <w:pPr>
              <w:rPr>
                <w:rFonts w:cs="Arial"/>
                <w:color w:val="000000" w:themeColor="text1"/>
                <w:sz w:val="20"/>
              </w:rPr>
            </w:pPr>
            <w:r w:rsidRPr="00CC6553">
              <w:rPr>
                <w:rFonts w:cs="Arial"/>
                <w:color w:val="000000" w:themeColor="text1"/>
                <w:sz w:val="20"/>
              </w:rPr>
              <w:t>014 - 015</w:t>
            </w:r>
          </w:p>
        </w:tc>
        <w:tc>
          <w:tcPr>
            <w:tcW w:w="1521" w:type="pct"/>
          </w:tcPr>
          <w:p w14:paraId="6C1365D5" w14:textId="7867D06C" w:rsidR="00897293" w:rsidRPr="00CC6553" w:rsidRDefault="00897293" w:rsidP="00B234F1">
            <w:pPr>
              <w:rPr>
                <w:rFonts w:cs="Arial"/>
                <w:color w:val="000000" w:themeColor="text1"/>
                <w:sz w:val="20"/>
              </w:rPr>
            </w:pPr>
            <w:r w:rsidRPr="00CC6553">
              <w:rPr>
                <w:rFonts w:cs="Arial"/>
                <w:color w:val="000000" w:themeColor="text1"/>
                <w:sz w:val="20"/>
              </w:rPr>
              <w:t>We welcome the committee's recommendation to utilise TSAT &lt; 20% as a definition for iron deficiency. We agree that the data from HEART-FID demonstrated a small benefit for hospitalisations and feel it pertinent to consider the population included in this trial. Only 39.8% of the population had a TSAT of &lt;20% and the majority having a TSAT &gt;24% which could be considered not to have iron deficiency. This would likely have impacted the findings and it has been demonstrated in meta-analysis data that of patients with TSAT greater than 24% are less likely to benefit from IV iron treatment, in particular in relation to recurrent hospitalization for heart failure and quality of life.</w:t>
            </w:r>
          </w:p>
        </w:tc>
        <w:tc>
          <w:tcPr>
            <w:tcW w:w="2122" w:type="pct"/>
          </w:tcPr>
          <w:p w14:paraId="3F36A054" w14:textId="02F533CB" w:rsidR="00897293" w:rsidRPr="00CC6553" w:rsidRDefault="00897293" w:rsidP="0CB02657">
            <w:pPr>
              <w:pStyle w:val="Heading1"/>
              <w:spacing w:line="259" w:lineRule="auto"/>
              <w:rPr>
                <w:rFonts w:cs="Arial"/>
                <w:b w:val="0"/>
                <w:bCs w:val="0"/>
                <w:color w:val="000000" w:themeColor="text1"/>
                <w:sz w:val="20"/>
              </w:rPr>
            </w:pPr>
            <w:r w:rsidRPr="00CC6553">
              <w:rPr>
                <w:rFonts w:cs="Arial"/>
                <w:b w:val="0"/>
                <w:bCs w:val="0"/>
                <w:color w:val="000000" w:themeColor="text1"/>
                <w:sz w:val="20"/>
              </w:rPr>
              <w:t>Thank you for your comment.</w:t>
            </w:r>
          </w:p>
        </w:tc>
      </w:tr>
      <w:tr w:rsidR="00897293" w:rsidRPr="00CC6553" w14:paraId="680621BB" w14:textId="77777777" w:rsidTr="00897293">
        <w:trPr>
          <w:trHeight w:val="300"/>
        </w:trPr>
        <w:tc>
          <w:tcPr>
            <w:tcW w:w="109" w:type="pct"/>
          </w:tcPr>
          <w:p w14:paraId="0F3E0D45"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371</w:t>
            </w:r>
          </w:p>
        </w:tc>
        <w:tc>
          <w:tcPr>
            <w:tcW w:w="143" w:type="pct"/>
          </w:tcPr>
          <w:p w14:paraId="5A8FC68A" w14:textId="2A6B2818"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58C077FE" w14:textId="6BEDF4A3" w:rsidR="00897293" w:rsidRPr="00CC6553" w:rsidRDefault="00897293" w:rsidP="00B234F1">
            <w:pPr>
              <w:rPr>
                <w:rFonts w:cs="Arial"/>
                <w:bCs/>
                <w:iCs/>
                <w:color w:val="000000" w:themeColor="text1"/>
                <w:sz w:val="20"/>
              </w:rPr>
            </w:pPr>
            <w:r w:rsidRPr="00CC6553">
              <w:rPr>
                <w:rFonts w:cs="Arial"/>
                <w:color w:val="000000" w:themeColor="text1"/>
                <w:sz w:val="20"/>
              </w:rPr>
              <w:t>Pharmacosmos UK Ltd</w:t>
            </w:r>
          </w:p>
        </w:tc>
        <w:tc>
          <w:tcPr>
            <w:tcW w:w="279" w:type="pct"/>
          </w:tcPr>
          <w:p w14:paraId="6AC83FA3" w14:textId="22CEFBD7" w:rsidR="00897293" w:rsidRPr="00CC6553" w:rsidRDefault="00897293" w:rsidP="00B234F1">
            <w:pPr>
              <w:rPr>
                <w:rFonts w:cs="Arial"/>
                <w:color w:val="000000" w:themeColor="text1"/>
                <w:sz w:val="20"/>
              </w:rPr>
            </w:pPr>
            <w:r w:rsidRPr="00CC6553">
              <w:rPr>
                <w:rFonts w:cs="Arial"/>
                <w:color w:val="000000" w:themeColor="text1"/>
                <w:sz w:val="20"/>
              </w:rPr>
              <w:t>Evidence review C</w:t>
            </w:r>
          </w:p>
        </w:tc>
        <w:tc>
          <w:tcPr>
            <w:tcW w:w="214" w:type="pct"/>
          </w:tcPr>
          <w:p w14:paraId="1F3E2D6E" w14:textId="79A02CDC" w:rsidR="00897293" w:rsidRPr="00CC6553" w:rsidRDefault="00897293" w:rsidP="00B234F1">
            <w:pPr>
              <w:rPr>
                <w:rFonts w:cs="Arial"/>
                <w:color w:val="000000" w:themeColor="text1"/>
                <w:sz w:val="20"/>
              </w:rPr>
            </w:pPr>
            <w:r w:rsidRPr="00CC6553">
              <w:rPr>
                <w:rFonts w:cs="Arial"/>
                <w:color w:val="000000" w:themeColor="text1"/>
                <w:sz w:val="20"/>
              </w:rPr>
              <w:t>034</w:t>
            </w:r>
          </w:p>
        </w:tc>
        <w:tc>
          <w:tcPr>
            <w:tcW w:w="214" w:type="pct"/>
          </w:tcPr>
          <w:p w14:paraId="2F6186F0" w14:textId="10E5F840" w:rsidR="00897293" w:rsidRPr="00CC6553" w:rsidRDefault="00897293" w:rsidP="00B234F1">
            <w:pPr>
              <w:rPr>
                <w:rFonts w:cs="Arial"/>
                <w:color w:val="000000" w:themeColor="text1"/>
                <w:sz w:val="20"/>
              </w:rPr>
            </w:pPr>
            <w:r w:rsidRPr="00CC6553">
              <w:rPr>
                <w:rFonts w:cs="Arial"/>
                <w:color w:val="000000" w:themeColor="text1"/>
                <w:sz w:val="20"/>
              </w:rPr>
              <w:t>018 - 023</w:t>
            </w:r>
          </w:p>
        </w:tc>
        <w:tc>
          <w:tcPr>
            <w:tcW w:w="1521" w:type="pct"/>
          </w:tcPr>
          <w:p w14:paraId="4B8284F2" w14:textId="61715A55" w:rsidR="00897293" w:rsidRPr="00CC6553" w:rsidRDefault="00897293" w:rsidP="00B234F1">
            <w:pPr>
              <w:rPr>
                <w:rFonts w:cs="Arial"/>
                <w:color w:val="000000" w:themeColor="text1"/>
                <w:sz w:val="20"/>
              </w:rPr>
            </w:pPr>
            <w:r w:rsidRPr="00CC6553">
              <w:rPr>
                <w:rFonts w:cs="Arial"/>
                <w:color w:val="000000" w:themeColor="text1"/>
                <w:sz w:val="20"/>
              </w:rPr>
              <w:t>The effect of IV ferric carboxymaltose (Ferinject/Feristark) on serum phosphate in heart failure patients has been published in an exploratory sub study from the HEART-FID trial, one of the most recent and largest studies, and showed that phosphate levels decreased in 34 (57.6%) patients in the ferric carboxymaltose (Ferinject/Feristark) group. The majority of clinical trials in heart failure involving the use of IV iron have not assessed this phenomenon due to many of the trials being designed, initiated, and in some cases completed, prior to the MHRA alert. The difference in hypophosphatemia incidence and severity has been confirmed by the head-to-head PHOSPHARE RCTs (Wolf et al. 2020, Zoller et al. 2022). The clinical significance of IV iron induced hypophosphatemia attributable to ferric carboxymaltose (Ferinject/Feristark) should be highlighted to heart-failure specialists as it warranted a MHRA safety warning and ferric carboxymaltose (Ferinject/Feristark) SPC label update, this is important clinical information which can impact the treatment of complex heart-failure patients with co-morbidities where bone health is a concern (e.g HF patients with CKD).</w:t>
            </w:r>
          </w:p>
        </w:tc>
        <w:tc>
          <w:tcPr>
            <w:tcW w:w="2122" w:type="pct"/>
          </w:tcPr>
          <w:p w14:paraId="693316FF" w14:textId="0B1D0AB2" w:rsidR="00897293" w:rsidRPr="009B3C47" w:rsidRDefault="00897293" w:rsidP="0CB02657">
            <w:pPr>
              <w:rPr>
                <w:color w:val="000000" w:themeColor="text1"/>
                <w:sz w:val="20"/>
              </w:rPr>
            </w:pPr>
            <w:r w:rsidRPr="009B3C47">
              <w:rPr>
                <w:color w:val="000000" w:themeColor="text1"/>
                <w:sz w:val="20"/>
              </w:rPr>
              <w:t>Thank you for your comment. The highlighted concerns have been considered by the guideline committee,</w:t>
            </w:r>
            <w:r>
              <w:rPr>
                <w:color w:val="000000" w:themeColor="text1"/>
                <w:sz w:val="20"/>
              </w:rPr>
              <w:t xml:space="preserve"> they were also aware of safety information for ferric carboxymaltose in the BNF to highlight concerns regarding hypophosphatemia which we expect the prescriber to be aware of. E</w:t>
            </w:r>
            <w:r w:rsidRPr="009B3C47">
              <w:rPr>
                <w:color w:val="000000" w:themeColor="text1"/>
                <w:sz w:val="20"/>
              </w:rPr>
              <w:t>vidence review C has been made clearer to reflect th</w:t>
            </w:r>
            <w:r>
              <w:rPr>
                <w:color w:val="000000" w:themeColor="text1"/>
                <w:sz w:val="20"/>
              </w:rPr>
              <w:t>is</w:t>
            </w:r>
            <w:r w:rsidRPr="009B3C47">
              <w:rPr>
                <w:color w:val="000000" w:themeColor="text1"/>
                <w:sz w:val="20"/>
              </w:rPr>
              <w:t xml:space="preserve"> in section 1.12.3.</w:t>
            </w:r>
            <w:r w:rsidRPr="00E57099">
              <w:rPr>
                <w:color w:val="000000" w:themeColor="text1"/>
                <w:sz w:val="20"/>
              </w:rPr>
              <w:t xml:space="preserve"> </w:t>
            </w:r>
          </w:p>
        </w:tc>
      </w:tr>
      <w:tr w:rsidR="00897293" w:rsidRPr="00CC6553" w14:paraId="36121C6D" w14:textId="77777777" w:rsidTr="00897293">
        <w:trPr>
          <w:trHeight w:val="300"/>
        </w:trPr>
        <w:tc>
          <w:tcPr>
            <w:tcW w:w="109" w:type="pct"/>
          </w:tcPr>
          <w:p w14:paraId="4E48EEC1" w14:textId="77777777" w:rsidR="00897293" w:rsidRPr="00CC6553" w:rsidRDefault="00897293" w:rsidP="00B234F1">
            <w:pPr>
              <w:rPr>
                <w:rFonts w:cs="Arial"/>
                <w:color w:val="000000" w:themeColor="text1"/>
                <w:sz w:val="20"/>
              </w:rPr>
            </w:pPr>
            <w:r w:rsidRPr="00CC6553">
              <w:rPr>
                <w:rFonts w:cs="Arial"/>
                <w:color w:val="000000" w:themeColor="text1"/>
                <w:sz w:val="20"/>
              </w:rPr>
              <w:t>372</w:t>
            </w:r>
          </w:p>
        </w:tc>
        <w:tc>
          <w:tcPr>
            <w:tcW w:w="143" w:type="pct"/>
          </w:tcPr>
          <w:p w14:paraId="5EFC4A90" w14:textId="54A359BA"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0FC55819" w14:textId="19B60F29" w:rsidR="00897293" w:rsidRPr="00CC6553" w:rsidRDefault="00897293" w:rsidP="00B234F1">
            <w:pPr>
              <w:rPr>
                <w:rFonts w:cs="Arial"/>
                <w:bCs/>
                <w:iCs/>
                <w:color w:val="000000" w:themeColor="text1"/>
                <w:sz w:val="20"/>
              </w:rPr>
            </w:pPr>
            <w:r w:rsidRPr="00CC6553">
              <w:rPr>
                <w:rFonts w:cs="Arial"/>
                <w:color w:val="000000" w:themeColor="text1"/>
                <w:sz w:val="20"/>
              </w:rPr>
              <w:t>CSL Vifor</w:t>
            </w:r>
          </w:p>
        </w:tc>
        <w:tc>
          <w:tcPr>
            <w:tcW w:w="279" w:type="pct"/>
          </w:tcPr>
          <w:p w14:paraId="20D16C22" w14:textId="78706285" w:rsidR="00897293" w:rsidRPr="00CC6553" w:rsidRDefault="00897293" w:rsidP="00B234F1">
            <w:pPr>
              <w:rPr>
                <w:rFonts w:cs="Arial"/>
                <w:color w:val="000000" w:themeColor="text1"/>
                <w:sz w:val="20"/>
              </w:rPr>
            </w:pPr>
            <w:r w:rsidRPr="00CC6553">
              <w:rPr>
                <w:rFonts w:cs="Arial"/>
                <w:color w:val="000000" w:themeColor="text1"/>
                <w:sz w:val="20"/>
              </w:rPr>
              <w:t>Evidence review C</w:t>
            </w:r>
          </w:p>
        </w:tc>
        <w:tc>
          <w:tcPr>
            <w:tcW w:w="214" w:type="pct"/>
          </w:tcPr>
          <w:p w14:paraId="1D2E1EE8" w14:textId="0A80853A" w:rsidR="00897293" w:rsidRPr="00CC6553" w:rsidRDefault="00897293" w:rsidP="00B234F1">
            <w:pPr>
              <w:rPr>
                <w:rFonts w:cs="Arial"/>
                <w:color w:val="000000" w:themeColor="text1"/>
                <w:sz w:val="20"/>
              </w:rPr>
            </w:pPr>
            <w:r w:rsidRPr="00CC6553">
              <w:rPr>
                <w:rFonts w:cs="Arial"/>
                <w:color w:val="000000" w:themeColor="text1"/>
                <w:sz w:val="20"/>
              </w:rPr>
              <w:t>036</w:t>
            </w:r>
          </w:p>
        </w:tc>
        <w:tc>
          <w:tcPr>
            <w:tcW w:w="214" w:type="pct"/>
          </w:tcPr>
          <w:p w14:paraId="0D6479DC" w14:textId="7F83ADC0" w:rsidR="00897293" w:rsidRPr="00CC6553" w:rsidRDefault="00897293" w:rsidP="00B234F1">
            <w:pPr>
              <w:rPr>
                <w:rFonts w:cs="Arial"/>
                <w:color w:val="000000" w:themeColor="text1"/>
                <w:sz w:val="20"/>
              </w:rPr>
            </w:pPr>
            <w:r w:rsidRPr="00CC6553">
              <w:rPr>
                <w:rFonts w:cs="Arial"/>
                <w:color w:val="000000" w:themeColor="text1"/>
                <w:sz w:val="20"/>
              </w:rPr>
              <w:t>034 - 043</w:t>
            </w:r>
          </w:p>
        </w:tc>
        <w:tc>
          <w:tcPr>
            <w:tcW w:w="1521" w:type="pct"/>
          </w:tcPr>
          <w:p w14:paraId="62A39CA6" w14:textId="79AD9AFA" w:rsidR="00897293" w:rsidRPr="00CC6553" w:rsidRDefault="00897293" w:rsidP="00B234F1">
            <w:pPr>
              <w:rPr>
                <w:rFonts w:cs="Arial"/>
                <w:color w:val="000000" w:themeColor="text1"/>
                <w:sz w:val="20"/>
              </w:rPr>
            </w:pPr>
            <w:r w:rsidRPr="00CC6553">
              <w:rPr>
                <w:rFonts w:cs="Arial"/>
                <w:color w:val="000000" w:themeColor="text1"/>
                <w:sz w:val="20"/>
              </w:rPr>
              <w:t>We would like to challenge two key assumptions made by the committee in concluding that ferric derisomaltose (FDI) is likely to be more cost-effective or and potentially cost-saving compared with ferric carboxymaltose (FCM):</w:t>
            </w:r>
            <w:r w:rsidRPr="00CC6553">
              <w:rPr>
                <w:rFonts w:cs="Arial"/>
                <w:color w:val="000000" w:themeColor="text1"/>
                <w:sz w:val="20"/>
              </w:rPr>
              <w:br/>
              <w:t>1. Assumption: Ferinject (ferric carboxymaltose) requires two visits per year vs FDI requires one visit per year</w:t>
            </w:r>
            <w:r w:rsidRPr="00CC6553">
              <w:rPr>
                <w:rFonts w:cs="Arial"/>
                <w:color w:val="000000" w:themeColor="text1"/>
                <w:sz w:val="20"/>
              </w:rPr>
              <w:br/>
              <w:t xml:space="preserve">This assumption may not reflect real-world clinical practice across the UK or products (Summary of Product Characteristics (SPCs). Both intravenous irons are limited by the 20mg/kg dosing restriction (for both intravenous irons a single infusion should not exceed 20 mg iron/kg body weight) meaning that the potential for efficiency is limited to those patients requiring more than 1 gram but whose total iron need is ≤20 mg iron/kg body weight.  Which is a limited proportion of patients. </w:t>
            </w:r>
            <w:r w:rsidRPr="00CC6553">
              <w:rPr>
                <w:rFonts w:cs="Arial"/>
                <w:color w:val="000000" w:themeColor="text1"/>
                <w:sz w:val="20"/>
              </w:rPr>
              <w:br/>
              <w:t xml:space="preserve">In addition insights on actual usage based on a Freedom of Information (FOI) request submitted in February 2020 to all NHS Trusts (England), Health Boards (Scotland and Wales), and Health and Social Care Trusts (Northern Ireland) via www.whatdotheyknow.com which collected data on actual intravenous iron dosing suggested the overall proportion of patients who received more than 1 gram of </w:t>
            </w:r>
            <w:r w:rsidRPr="00CC6553">
              <w:rPr>
                <w:rFonts w:cs="Arial"/>
                <w:color w:val="000000" w:themeColor="text1"/>
                <w:sz w:val="20"/>
              </w:rPr>
              <w:lastRenderedPageBreak/>
              <w:t>intravenous iron was approximately 27.41% (of which not all may meet the criteria for total dose infusion under any intravenous iron SPC). Therefore, approximately 72.59% of patients would have received less than 1 gram of intravenous iron. This means that in the majority of patients, a single dose of Ferinject is sufficient, and only one treatment visit is typically required—comparable to FDI.</w:t>
            </w:r>
            <w:r w:rsidRPr="00CC6553">
              <w:rPr>
                <w:rFonts w:cs="Arial"/>
                <w:color w:val="000000" w:themeColor="text1"/>
                <w:sz w:val="20"/>
              </w:rPr>
              <w:br/>
              <w:t>Therefore, the assumption that Ferinject generally requires two visits per year is not supported by real-world evidence and significantly overestimates the potential cost advantage of FDI in this respect.</w:t>
            </w:r>
            <w:r w:rsidRPr="00CC6553">
              <w:rPr>
                <w:rFonts w:cs="Arial"/>
                <w:color w:val="000000" w:themeColor="text1"/>
                <w:sz w:val="20"/>
              </w:rPr>
              <w:br/>
              <w:t>2. Assumption: Ferinject causes hypophosphataemia</w:t>
            </w:r>
            <w:r w:rsidRPr="00CC6553">
              <w:rPr>
                <w:rFonts w:cs="Arial"/>
                <w:color w:val="000000" w:themeColor="text1"/>
                <w:sz w:val="20"/>
              </w:rPr>
              <w:br/>
              <w:t>While it is acknowledged that hypophosphataemia can occur with Ferinject, this risk is well-characterised, in most cases manageable, and primarily associated with specific patient groups or treatment regimens. The assumption that this makes FDI inherently more cost-effective is not sufficiently supported.</w:t>
            </w:r>
            <w:r w:rsidRPr="00CC6553">
              <w:rPr>
                <w:rFonts w:cs="Arial"/>
                <w:color w:val="000000" w:themeColor="text1"/>
                <w:sz w:val="20"/>
              </w:rPr>
              <w:br/>
              <w:t>Therefore, we consider that it is inappropriate to assume that this known safety signal makes Ferinject less cost-effective than FDI—particularly in the absence of direct comparative safety data.</w:t>
            </w:r>
            <w:r w:rsidRPr="00CC6553">
              <w:rPr>
                <w:rFonts w:cs="Arial"/>
                <w:color w:val="000000" w:themeColor="text1"/>
                <w:sz w:val="20"/>
              </w:rPr>
              <w:br/>
              <w:t>Ferinject’s safety profile is well characterised. Hypophosphataemia has a reported frequency of common (≥1/100 to &lt;1/10), and hypophosphataemic osteomalacia of rare (≥1/10,000 to &lt;1/1,000), occurring only in the post-marketing setting. Both are included in the SPC with clear recommendations for monitoring in at-risk patients.</w:t>
            </w:r>
            <w:r w:rsidRPr="00CC6553">
              <w:rPr>
                <w:rFonts w:cs="Arial"/>
                <w:color w:val="000000" w:themeColor="text1"/>
                <w:sz w:val="20"/>
              </w:rPr>
              <w:br/>
              <w:t>A pooled analysis of 45 clinical trials (n=6,879) showed that while 41.4% developed transient hypophosphataemia (&lt;2.5 mg/dL), only 0.7% had severe cases (&lt;1 mg/dL), primarily in high-risk subgroups (e.g. gastroenterology, women's health), not across the broader patient population. Serum phosphate levels typically returned to baseline within 8–12 weeks.</w:t>
            </w:r>
            <w:r w:rsidRPr="00CC6553">
              <w:rPr>
                <w:rFonts w:cs="Arial"/>
                <w:color w:val="000000" w:themeColor="text1"/>
                <w:sz w:val="20"/>
              </w:rPr>
              <w:br/>
              <w:t xml:space="preserve">Case reports (n=77) suggested that symptomatic cases were associated with specific risk factors such as vitamin D deficiency, calcium malabsorption, and high cumulative iron doses—conditions that are predictable and manageable in practice. However, it must be highlighted that most of these patients received two or more infusions (58%) with mean cumulative iron dose of 7g/patient which does not reflect the average dose received by a typical chronic heart failure patient. </w:t>
            </w:r>
            <w:r w:rsidRPr="00CC6553">
              <w:rPr>
                <w:rFonts w:cs="Arial"/>
                <w:color w:val="000000" w:themeColor="text1"/>
                <w:sz w:val="20"/>
              </w:rPr>
              <w:br/>
              <w:t xml:space="preserve">Targeted phosphate monitoring is recommended for those receiving repeated high </w:t>
            </w:r>
            <w:r w:rsidRPr="00CC6553">
              <w:rPr>
                <w:rFonts w:cs="Arial"/>
                <w:color w:val="000000" w:themeColor="text1"/>
                <w:sz w:val="20"/>
              </w:rPr>
              <w:lastRenderedPageBreak/>
              <w:t>doses (which based on the insights presented previously only a minority of patients would require monitoring) or with relevant risk factors. Persistent hypophosphataemia is a signal to re-evaluate treatment.</w:t>
            </w:r>
            <w:r w:rsidRPr="00CC6553">
              <w:rPr>
                <w:rFonts w:cs="Arial"/>
                <w:color w:val="000000" w:themeColor="text1"/>
                <w:sz w:val="20"/>
              </w:rPr>
              <w:br/>
              <w:t>The references are: Ferinject® Summary of Product Characteristics (available at https://www.medicines.org.uk/emc/product/5910/smpc, Rosano et al 2020 J. Clin. Med 9, 3587 (available at https://pubmed.ncbi.nlm.nih.gov/33172157/) and Schaefer et al Bone 154 (2022) 116202 (available at https://pubmed.ncbi.nlm.nih.gov/34534708/).</w:t>
            </w:r>
            <w:r w:rsidRPr="00CC6553">
              <w:rPr>
                <w:rFonts w:cs="Arial"/>
                <w:color w:val="000000" w:themeColor="text1"/>
                <w:sz w:val="20"/>
              </w:rPr>
              <w:br/>
            </w:r>
            <w:r w:rsidRPr="00CC6553">
              <w:rPr>
                <w:rFonts w:cs="Arial"/>
                <w:color w:val="000000" w:themeColor="text1"/>
                <w:sz w:val="20"/>
              </w:rPr>
              <w:br/>
              <w:t>In conclusion, given that (1) most patients receiving Ferinject do not require more than one visit, and (2) the manageable and well-understood nature of hypophosphataemia with Ferinject should not be used as a basis to assume FDI is more cost-effective. We recommend that the committee re-evaluate the cost assumptions and associated clinical implications using real-world usage data and a more balanced view of the safety profiles of both products.</w:t>
            </w:r>
          </w:p>
        </w:tc>
        <w:tc>
          <w:tcPr>
            <w:tcW w:w="2122" w:type="pct"/>
          </w:tcPr>
          <w:p w14:paraId="39BD8132" w14:textId="586F3884"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lastRenderedPageBreak/>
              <w:t>Thank you for your comment. As no direct cost-effectiveness analysis was undertaken between ferric derisomaltose and ferric carboxymaltose the wording has been changed to “The committee expected that ferric derisomaltose would be another cost-effective option compared to no treatment”</w:t>
            </w:r>
            <w:r w:rsidRPr="00CC6553">
              <w:rPr>
                <w:color w:val="000000" w:themeColor="text1"/>
              </w:rPr>
              <w:t xml:space="preserve"> </w:t>
            </w:r>
            <w:r w:rsidRPr="00CC6553">
              <w:rPr>
                <w:rFonts w:cs="Arial"/>
                <w:b w:val="0"/>
                <w:color w:val="000000" w:themeColor="text1"/>
                <w:sz w:val="20"/>
              </w:rPr>
              <w:t>to avoid making any comparison between ferric carboxymaltose, ferric derisomaltose or iron sucrose other.</w:t>
            </w:r>
          </w:p>
        </w:tc>
      </w:tr>
      <w:tr w:rsidR="00897293" w:rsidRPr="00CC6553" w14:paraId="219ED8AB" w14:textId="77777777" w:rsidTr="00897293">
        <w:trPr>
          <w:trHeight w:val="300"/>
        </w:trPr>
        <w:tc>
          <w:tcPr>
            <w:tcW w:w="109" w:type="pct"/>
          </w:tcPr>
          <w:p w14:paraId="6FD96374"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373</w:t>
            </w:r>
          </w:p>
        </w:tc>
        <w:tc>
          <w:tcPr>
            <w:tcW w:w="143" w:type="pct"/>
          </w:tcPr>
          <w:p w14:paraId="01C93B87" w14:textId="141F6F52"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FFD4A31" w14:textId="14FE5211" w:rsidR="00897293" w:rsidRPr="00CC6553" w:rsidRDefault="00897293" w:rsidP="00B234F1">
            <w:pPr>
              <w:rPr>
                <w:rFonts w:cs="Arial"/>
                <w:bCs/>
                <w:iCs/>
                <w:color w:val="000000" w:themeColor="text1"/>
                <w:sz w:val="20"/>
              </w:rPr>
            </w:pPr>
            <w:r w:rsidRPr="00CC6553">
              <w:rPr>
                <w:rFonts w:cs="Arial"/>
                <w:color w:val="000000" w:themeColor="text1"/>
                <w:sz w:val="20"/>
              </w:rPr>
              <w:t>Pharmacosmos UK Ltd</w:t>
            </w:r>
          </w:p>
        </w:tc>
        <w:tc>
          <w:tcPr>
            <w:tcW w:w="279" w:type="pct"/>
          </w:tcPr>
          <w:p w14:paraId="5313EA5B" w14:textId="7B9F0F45" w:rsidR="00897293" w:rsidRPr="00CC6553" w:rsidRDefault="00897293" w:rsidP="00B234F1">
            <w:pPr>
              <w:rPr>
                <w:rFonts w:cs="Arial"/>
                <w:color w:val="000000" w:themeColor="text1"/>
                <w:sz w:val="20"/>
              </w:rPr>
            </w:pPr>
            <w:r w:rsidRPr="00CC6553">
              <w:rPr>
                <w:rFonts w:cs="Arial"/>
                <w:color w:val="000000" w:themeColor="text1"/>
                <w:sz w:val="20"/>
              </w:rPr>
              <w:t>Evidence review C</w:t>
            </w:r>
          </w:p>
        </w:tc>
        <w:tc>
          <w:tcPr>
            <w:tcW w:w="214" w:type="pct"/>
          </w:tcPr>
          <w:p w14:paraId="3E128A83" w14:textId="2019B3A5" w:rsidR="00897293" w:rsidRPr="00CC6553" w:rsidRDefault="00897293" w:rsidP="00B234F1">
            <w:pPr>
              <w:rPr>
                <w:rFonts w:cs="Arial"/>
                <w:color w:val="000000" w:themeColor="text1"/>
                <w:sz w:val="20"/>
              </w:rPr>
            </w:pPr>
            <w:r w:rsidRPr="00CC6553">
              <w:rPr>
                <w:rFonts w:cs="Arial"/>
                <w:color w:val="000000" w:themeColor="text1"/>
                <w:sz w:val="20"/>
              </w:rPr>
              <w:t>036</w:t>
            </w:r>
          </w:p>
        </w:tc>
        <w:tc>
          <w:tcPr>
            <w:tcW w:w="214" w:type="pct"/>
          </w:tcPr>
          <w:p w14:paraId="68589B2E" w14:textId="150D71DF" w:rsidR="00897293" w:rsidRPr="00CC6553" w:rsidRDefault="00897293" w:rsidP="00B234F1">
            <w:pPr>
              <w:rPr>
                <w:rFonts w:cs="Arial"/>
                <w:color w:val="000000" w:themeColor="text1"/>
                <w:sz w:val="20"/>
              </w:rPr>
            </w:pPr>
            <w:r w:rsidRPr="00CC6553">
              <w:rPr>
                <w:rFonts w:cs="Arial"/>
                <w:color w:val="000000" w:themeColor="text1"/>
                <w:sz w:val="20"/>
              </w:rPr>
              <w:t>038 - 040</w:t>
            </w:r>
          </w:p>
        </w:tc>
        <w:tc>
          <w:tcPr>
            <w:tcW w:w="1521" w:type="pct"/>
          </w:tcPr>
          <w:p w14:paraId="2A461A84" w14:textId="3FD642F1" w:rsidR="00897293" w:rsidRPr="00CC6553" w:rsidRDefault="00897293" w:rsidP="00B234F1">
            <w:pPr>
              <w:rPr>
                <w:rFonts w:cs="Arial"/>
                <w:color w:val="000000" w:themeColor="text1"/>
                <w:sz w:val="20"/>
              </w:rPr>
            </w:pPr>
            <w:r w:rsidRPr="00CC6553">
              <w:rPr>
                <w:rFonts w:cs="Arial"/>
                <w:color w:val="000000" w:themeColor="text1"/>
                <w:sz w:val="20"/>
              </w:rPr>
              <w:t>Current clinical practice for the ferric derisomaltose (Monofer) dosing regimen (typically one infusion) are not taken into account when estimating its’ overall costs; The calculation assumes 2 infusions which is at odds with the evidence in this cost-effectiveness and resource use section: “based on clinical current practice, that a patient could expect one visit a year for treatment with ferric derisomaltose (Monofer) compared to two for ferric carboxymaltose (Ferinject)”.</w:t>
            </w:r>
          </w:p>
        </w:tc>
        <w:tc>
          <w:tcPr>
            <w:tcW w:w="2122" w:type="pct"/>
          </w:tcPr>
          <w:p w14:paraId="5E73F585" w14:textId="0609AECC"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Thank you for your comment, a conservative estimate has been used when estimating the costs given in some cases two visits may still be required. However in the committee discussion we do acknowledge the possibility that less visits could be required using ferric derisomaltose. </w:t>
            </w:r>
          </w:p>
        </w:tc>
      </w:tr>
      <w:tr w:rsidR="00897293" w:rsidRPr="00CC6553" w14:paraId="11EEE687" w14:textId="77777777" w:rsidTr="00897293">
        <w:trPr>
          <w:trHeight w:val="300"/>
        </w:trPr>
        <w:tc>
          <w:tcPr>
            <w:tcW w:w="109" w:type="pct"/>
          </w:tcPr>
          <w:p w14:paraId="65EADA6E" w14:textId="77777777" w:rsidR="00897293" w:rsidRPr="00CC6553" w:rsidRDefault="00897293" w:rsidP="00B234F1">
            <w:pPr>
              <w:rPr>
                <w:rFonts w:cs="Arial"/>
                <w:color w:val="000000" w:themeColor="text1"/>
                <w:sz w:val="20"/>
              </w:rPr>
            </w:pPr>
            <w:r w:rsidRPr="00CC6553">
              <w:rPr>
                <w:rFonts w:cs="Arial"/>
                <w:color w:val="000000" w:themeColor="text1"/>
                <w:sz w:val="20"/>
              </w:rPr>
              <w:t>374</w:t>
            </w:r>
          </w:p>
        </w:tc>
        <w:tc>
          <w:tcPr>
            <w:tcW w:w="143" w:type="pct"/>
          </w:tcPr>
          <w:p w14:paraId="7DCAA4A5" w14:textId="19D2E39B"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21B435A" w14:textId="4A7272CC" w:rsidR="00897293" w:rsidRPr="00CC6553" w:rsidRDefault="00897293" w:rsidP="00B234F1">
            <w:pPr>
              <w:rPr>
                <w:rFonts w:cs="Arial"/>
                <w:bCs/>
                <w:iCs/>
                <w:color w:val="000000" w:themeColor="text1"/>
                <w:sz w:val="20"/>
              </w:rPr>
            </w:pPr>
            <w:r w:rsidRPr="00CC6553">
              <w:rPr>
                <w:rFonts w:cs="Arial"/>
                <w:color w:val="000000" w:themeColor="text1"/>
                <w:sz w:val="20"/>
              </w:rPr>
              <w:t>Pharmacosmos UK Ltd</w:t>
            </w:r>
          </w:p>
        </w:tc>
        <w:tc>
          <w:tcPr>
            <w:tcW w:w="279" w:type="pct"/>
          </w:tcPr>
          <w:p w14:paraId="4AF3C5D0" w14:textId="23AACC82" w:rsidR="00897293" w:rsidRPr="00CC6553" w:rsidRDefault="00897293" w:rsidP="00B234F1">
            <w:pPr>
              <w:rPr>
                <w:rFonts w:cs="Arial"/>
                <w:color w:val="000000" w:themeColor="text1"/>
                <w:sz w:val="20"/>
              </w:rPr>
            </w:pPr>
            <w:r w:rsidRPr="00CC6553">
              <w:rPr>
                <w:rFonts w:cs="Arial"/>
                <w:color w:val="000000" w:themeColor="text1"/>
                <w:sz w:val="20"/>
              </w:rPr>
              <w:t>Evidence review C</w:t>
            </w:r>
          </w:p>
        </w:tc>
        <w:tc>
          <w:tcPr>
            <w:tcW w:w="214" w:type="pct"/>
          </w:tcPr>
          <w:p w14:paraId="04F8888B" w14:textId="6A746D3E" w:rsidR="00897293" w:rsidRPr="00CC6553" w:rsidRDefault="00897293" w:rsidP="00B234F1">
            <w:pPr>
              <w:rPr>
                <w:rFonts w:cs="Arial"/>
                <w:color w:val="000000" w:themeColor="text1"/>
                <w:sz w:val="20"/>
              </w:rPr>
            </w:pPr>
            <w:r w:rsidRPr="00CC6553">
              <w:rPr>
                <w:rFonts w:cs="Arial"/>
                <w:color w:val="000000" w:themeColor="text1"/>
                <w:sz w:val="20"/>
              </w:rPr>
              <w:t>431-432</w:t>
            </w:r>
          </w:p>
        </w:tc>
        <w:tc>
          <w:tcPr>
            <w:tcW w:w="214" w:type="pct"/>
          </w:tcPr>
          <w:p w14:paraId="4D9AF704" w14:textId="0F8FD172" w:rsidR="00897293" w:rsidRPr="00CC6553" w:rsidRDefault="00897293" w:rsidP="00B234F1">
            <w:pPr>
              <w:rPr>
                <w:rFonts w:cs="Arial"/>
                <w:color w:val="000000" w:themeColor="text1"/>
                <w:sz w:val="20"/>
              </w:rPr>
            </w:pPr>
            <w:r w:rsidRPr="00CC6553">
              <w:rPr>
                <w:rFonts w:cs="Arial"/>
                <w:color w:val="000000" w:themeColor="text1"/>
                <w:sz w:val="20"/>
              </w:rPr>
              <w:t>Table J.2</w:t>
            </w:r>
          </w:p>
        </w:tc>
        <w:tc>
          <w:tcPr>
            <w:tcW w:w="1521" w:type="pct"/>
          </w:tcPr>
          <w:p w14:paraId="4D0328F9" w14:textId="1B62C7CD" w:rsidR="00897293" w:rsidRPr="00CC6553" w:rsidRDefault="00897293" w:rsidP="00B234F1">
            <w:pPr>
              <w:rPr>
                <w:rFonts w:cs="Arial"/>
                <w:color w:val="000000" w:themeColor="text1"/>
                <w:sz w:val="20"/>
              </w:rPr>
            </w:pPr>
            <w:r w:rsidRPr="00CC6553">
              <w:rPr>
                <w:rFonts w:cs="Arial"/>
                <w:color w:val="000000" w:themeColor="text1"/>
                <w:sz w:val="20"/>
              </w:rPr>
              <w:t>The Pollock 2024 IRONMAN cost-utility analysis was not identified in the January 2025 economic systematic literature review and therefore not included within the ‘excluded studies’ with the reason for exclusion as ‘conference abstract’.</w:t>
            </w:r>
          </w:p>
        </w:tc>
        <w:tc>
          <w:tcPr>
            <w:tcW w:w="2122" w:type="pct"/>
          </w:tcPr>
          <w:p w14:paraId="0D47AE1A" w14:textId="12EC2B7E"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 xml:space="preserve">Thank you for your comment and bringing this paper to our attention. The review protocol for this update specified that abstract only studies would be excluded. This study would have been excluded at the title and abstract stage of the sift, for which we do not list exclusion reasons. </w:t>
            </w:r>
          </w:p>
        </w:tc>
      </w:tr>
      <w:tr w:rsidR="00897293" w:rsidRPr="00CC6553" w14:paraId="7A056070" w14:textId="77777777" w:rsidTr="00897293">
        <w:trPr>
          <w:trHeight w:val="300"/>
        </w:trPr>
        <w:tc>
          <w:tcPr>
            <w:tcW w:w="109" w:type="pct"/>
          </w:tcPr>
          <w:p w14:paraId="150E7CAC"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375</w:t>
            </w:r>
          </w:p>
        </w:tc>
        <w:tc>
          <w:tcPr>
            <w:tcW w:w="143" w:type="pct"/>
          </w:tcPr>
          <w:p w14:paraId="67D18BBA" w14:textId="3797BE98"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CEA5614" w14:textId="41B3B7DF" w:rsidR="00897293" w:rsidRPr="00CC6553" w:rsidRDefault="00897293" w:rsidP="00B234F1">
            <w:pPr>
              <w:rPr>
                <w:rFonts w:cs="Arial"/>
                <w:bCs/>
                <w:iCs/>
                <w:color w:val="000000" w:themeColor="text1"/>
                <w:sz w:val="20"/>
              </w:rPr>
            </w:pPr>
            <w:r w:rsidRPr="00CC6553">
              <w:rPr>
                <w:rFonts w:cs="Arial"/>
                <w:color w:val="000000" w:themeColor="text1"/>
                <w:sz w:val="20"/>
              </w:rPr>
              <w:t>Portsmouth Hospitals University NHS Trust</w:t>
            </w:r>
          </w:p>
        </w:tc>
        <w:tc>
          <w:tcPr>
            <w:tcW w:w="279" w:type="pct"/>
          </w:tcPr>
          <w:p w14:paraId="74F5329A" w14:textId="2C5FC984" w:rsidR="00897293" w:rsidRPr="00CC6553" w:rsidRDefault="00897293" w:rsidP="00B234F1">
            <w:pPr>
              <w:rPr>
                <w:rFonts w:cs="Arial"/>
                <w:color w:val="000000" w:themeColor="text1"/>
                <w:sz w:val="20"/>
              </w:rPr>
            </w:pPr>
            <w:r w:rsidRPr="00CC6553">
              <w:rPr>
                <w:rFonts w:cs="Arial"/>
                <w:color w:val="000000" w:themeColor="text1"/>
                <w:sz w:val="20"/>
              </w:rPr>
              <w:t>Evidence review C</w:t>
            </w:r>
          </w:p>
        </w:tc>
        <w:tc>
          <w:tcPr>
            <w:tcW w:w="214" w:type="pct"/>
          </w:tcPr>
          <w:p w14:paraId="7DA3292A" w14:textId="71C29B07" w:rsidR="00897293" w:rsidRPr="00CC6553" w:rsidRDefault="00897293" w:rsidP="00B234F1">
            <w:pPr>
              <w:rPr>
                <w:rFonts w:cs="Arial"/>
                <w:color w:val="000000" w:themeColor="text1"/>
                <w:sz w:val="20"/>
              </w:rPr>
            </w:pPr>
            <w:r w:rsidRPr="00CC6553">
              <w:rPr>
                <w:rFonts w:cs="Arial"/>
                <w:color w:val="000000" w:themeColor="text1"/>
                <w:sz w:val="20"/>
              </w:rPr>
              <w:t>431-432</w:t>
            </w:r>
          </w:p>
        </w:tc>
        <w:tc>
          <w:tcPr>
            <w:tcW w:w="214" w:type="pct"/>
          </w:tcPr>
          <w:p w14:paraId="776F2DC2" w14:textId="51C23FB9" w:rsidR="00897293" w:rsidRPr="00CC6553" w:rsidRDefault="00897293" w:rsidP="00B234F1">
            <w:pPr>
              <w:rPr>
                <w:rFonts w:cs="Arial"/>
                <w:color w:val="000000" w:themeColor="text1"/>
                <w:sz w:val="20"/>
              </w:rPr>
            </w:pPr>
            <w:r w:rsidRPr="00CC6553">
              <w:rPr>
                <w:rFonts w:cs="Arial"/>
                <w:color w:val="000000" w:themeColor="text1"/>
                <w:sz w:val="20"/>
              </w:rPr>
              <w:t>Table J.2</w:t>
            </w:r>
          </w:p>
        </w:tc>
        <w:tc>
          <w:tcPr>
            <w:tcW w:w="1521" w:type="pct"/>
          </w:tcPr>
          <w:p w14:paraId="7F3B7544" w14:textId="24137081" w:rsidR="00897293" w:rsidRPr="00CC6553" w:rsidRDefault="00897293" w:rsidP="00B234F1">
            <w:pPr>
              <w:rPr>
                <w:rFonts w:cs="Arial"/>
                <w:color w:val="000000" w:themeColor="text1"/>
                <w:sz w:val="20"/>
              </w:rPr>
            </w:pPr>
            <w:r w:rsidRPr="00CC6553">
              <w:rPr>
                <w:rFonts w:cs="Arial"/>
                <w:color w:val="000000" w:themeColor="text1"/>
                <w:sz w:val="20"/>
              </w:rPr>
              <w:t>There has been an abstract presentation (Pollock 2024) of the IRONMAN cost-utility analysis. The formal paper is due for submission for peer review. The abstract (showing essentially the key data from full manuscript) is shown below:</w:t>
            </w:r>
            <w:r w:rsidRPr="00CC6553">
              <w:rPr>
                <w:rFonts w:cs="Arial"/>
                <w:color w:val="000000" w:themeColor="text1"/>
                <w:sz w:val="20"/>
              </w:rPr>
              <w:br/>
            </w:r>
            <w:r w:rsidRPr="00CC6553">
              <w:rPr>
                <w:rFonts w:cs="Arial"/>
                <w:color w:val="000000" w:themeColor="text1"/>
                <w:sz w:val="20"/>
              </w:rPr>
              <w:br/>
              <w:t>Background: In the IRONMAN trial, patients with heart failure (HF), a reduced ejection fraction and iron deficiency who were randomly assigned to ferric derisomaltose (FDI), rather than usual care, had a lower rate of the composite of hospitalization for heart failure (HHF) and cardiovascular (CV) death (rate ratio, RR, 0.82; 95% CI 0.66 to 1.02; p=0.07). A COVID-19 sensitivity analysis, censoring data at 1 year of follow-up showed a greater magnitude of treatment effect (RR 0.66; 95% CI 0.48 to 0.91; p=0.011).</w:t>
            </w:r>
            <w:r w:rsidRPr="00CC6553">
              <w:rPr>
                <w:rFonts w:cs="Arial"/>
                <w:color w:val="000000" w:themeColor="text1"/>
                <w:sz w:val="20"/>
              </w:rPr>
              <w:br/>
              <w:t>Purpose: Patient-level data from IRONMAN were used to evaluate the effectiveness and cost-utility of FDI compared to usual care for patients with a current or recent HHF, or raised plasma natriuretic peptide concentrations, from a UK National Health Service (NHS) perspective.</w:t>
            </w:r>
            <w:r w:rsidRPr="00CC6553">
              <w:rPr>
                <w:rFonts w:cs="Arial"/>
                <w:color w:val="000000" w:themeColor="text1"/>
                <w:sz w:val="20"/>
              </w:rPr>
              <w:br/>
            </w:r>
            <w:r w:rsidRPr="00CC6553">
              <w:rPr>
                <w:rFonts w:cs="Arial"/>
                <w:color w:val="000000" w:themeColor="text1"/>
                <w:sz w:val="20"/>
              </w:rPr>
              <w:br/>
              <w:t>Methods: A cost-utility analysis (CUA) was conducted covering the first year after randomization. Numbers-needed-to-treat (NNTs) were calculated for the primary endpoint censored at 1 year. In the CUA model, patient survival and rates of (re)hospitalization due to HF, other CV events, infections, respiratory conditions, and other non-CV events were modeled based directly on data from the IRONMAN RCT. UK-specific costs were obtained from the national schedule of NHS costs. Quality of life was estimated based on EQ-5D-5L data collected from patients included in the IRONMAN RCT. Results were undiscounted and reported as absolute and incremental costs in 2023 pounds sterling, and quality-adjusted life expectancy in quality-adjusted life years (QALYs). A willingness-to-pay threshold of £20,000 per QALY was adopted to allow calculation of a net monetary benefit (NMB), a summary measure of the overall value of FDI in monetary terms, capturing changes in both</w:t>
            </w:r>
            <w:r w:rsidRPr="00CC6553">
              <w:rPr>
                <w:rFonts w:cs="Arial"/>
                <w:color w:val="000000" w:themeColor="text1"/>
                <w:sz w:val="20"/>
              </w:rPr>
              <w:br/>
              <w:t>cost and QALY outcomes.</w:t>
            </w:r>
            <w:r w:rsidRPr="00CC6553">
              <w:rPr>
                <w:rFonts w:cs="Arial"/>
                <w:color w:val="000000" w:themeColor="text1"/>
                <w:sz w:val="20"/>
              </w:rPr>
              <w:br/>
            </w:r>
            <w:r w:rsidRPr="00CC6553">
              <w:rPr>
                <w:rFonts w:cs="Arial"/>
                <w:color w:val="000000" w:themeColor="text1"/>
                <w:sz w:val="20"/>
              </w:rPr>
              <w:br/>
              <w:t xml:space="preserve">Results: The NNT analysis showed that 9 patients would need to be treated with </w:t>
            </w:r>
            <w:r w:rsidRPr="00CC6553">
              <w:rPr>
                <w:rFonts w:cs="Arial"/>
                <w:color w:val="000000" w:themeColor="text1"/>
                <w:sz w:val="20"/>
              </w:rPr>
              <w:lastRenderedPageBreak/>
              <w:t>FDI to avoid one composite primary endpoint event (CV death and HHF) over 1 year. Relative to usual care, FDI was associated with an improvement of 0.01 QALYs per patient over 1 year (0.58 versus 0.57 QALYs). Total average costs per-patient were £1,672 for FDI, versus £1,975 for usual care, leading to a saving of £302 per patient with FDI. The cost of iron procurement was more than offset by reductions in costs of (re)hospitalizations (Figure). FDI was therefore dominant over usual care, yielding an NMB of £483 over 1 year.</w:t>
            </w:r>
            <w:r w:rsidRPr="00CC6553">
              <w:rPr>
                <w:rFonts w:cs="Arial"/>
                <w:color w:val="000000" w:themeColor="text1"/>
                <w:sz w:val="20"/>
              </w:rPr>
              <w:br/>
            </w:r>
            <w:r w:rsidRPr="00CC6553">
              <w:rPr>
                <w:rFonts w:cs="Arial"/>
                <w:color w:val="000000" w:themeColor="text1"/>
                <w:sz w:val="20"/>
              </w:rPr>
              <w:br/>
              <w:t>Conclusions: This short-term, within-trial CUA suggests that FDI both improves QALYs and reduces healthcare expenditure versus usual care when administered to patients with HF and iron deficiency in the UK. Iron repletion with FDI may be a prudent allocation of healthcare resources</w:t>
            </w:r>
            <w:r w:rsidRPr="00CC6553">
              <w:rPr>
                <w:rFonts w:cs="Arial"/>
                <w:color w:val="000000" w:themeColor="text1"/>
                <w:sz w:val="20"/>
              </w:rPr>
              <w:br/>
              <w:t>in this patient population.</w:t>
            </w:r>
          </w:p>
        </w:tc>
        <w:tc>
          <w:tcPr>
            <w:tcW w:w="2122" w:type="pct"/>
          </w:tcPr>
          <w:p w14:paraId="270EB368" w14:textId="0C51206C"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lastRenderedPageBreak/>
              <w:t xml:space="preserve">Thank you for your comment and bringing this study to our attention. The review protocol for this update specified that abstract only studies would be excluded, for this reason this abstract was not included as part of the review. </w:t>
            </w:r>
          </w:p>
        </w:tc>
      </w:tr>
      <w:tr w:rsidR="00897293" w:rsidRPr="00CC6553" w14:paraId="18479571" w14:textId="77777777" w:rsidTr="00897293">
        <w:trPr>
          <w:trHeight w:val="300"/>
        </w:trPr>
        <w:tc>
          <w:tcPr>
            <w:tcW w:w="109" w:type="pct"/>
          </w:tcPr>
          <w:p w14:paraId="3B51A9B7" w14:textId="77777777" w:rsidR="00897293" w:rsidRPr="00CC6553" w:rsidRDefault="00897293" w:rsidP="00B234F1">
            <w:pPr>
              <w:rPr>
                <w:rFonts w:cs="Arial"/>
                <w:color w:val="000000" w:themeColor="text1"/>
                <w:sz w:val="20"/>
              </w:rPr>
            </w:pPr>
            <w:r w:rsidRPr="00CC6553">
              <w:rPr>
                <w:rFonts w:cs="Arial"/>
                <w:color w:val="000000" w:themeColor="text1"/>
                <w:sz w:val="20"/>
              </w:rPr>
              <w:t>376</w:t>
            </w:r>
          </w:p>
        </w:tc>
        <w:tc>
          <w:tcPr>
            <w:tcW w:w="143" w:type="pct"/>
          </w:tcPr>
          <w:p w14:paraId="46E8A33A" w14:textId="18CFC59B"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5CAC86D" w14:textId="75DC7C62"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2F77EE11" w14:textId="269CBAD5" w:rsidR="00897293" w:rsidRPr="00CC6553" w:rsidRDefault="00897293" w:rsidP="00B234F1">
            <w:pPr>
              <w:rPr>
                <w:rFonts w:cs="Arial"/>
                <w:color w:val="000000" w:themeColor="text1"/>
                <w:sz w:val="20"/>
              </w:rPr>
            </w:pPr>
            <w:r w:rsidRPr="00CC6553">
              <w:rPr>
                <w:rFonts w:cs="Arial"/>
                <w:color w:val="000000" w:themeColor="text1"/>
                <w:sz w:val="20"/>
              </w:rPr>
              <w:t>Evidence review C</w:t>
            </w:r>
          </w:p>
        </w:tc>
        <w:tc>
          <w:tcPr>
            <w:tcW w:w="214" w:type="pct"/>
          </w:tcPr>
          <w:p w14:paraId="26F4CE4E" w14:textId="65B84156" w:rsidR="00897293" w:rsidRPr="00CC6553" w:rsidRDefault="00897293" w:rsidP="00B234F1">
            <w:pPr>
              <w:rPr>
                <w:rFonts w:cs="Arial"/>
                <w:color w:val="000000" w:themeColor="text1"/>
                <w:sz w:val="20"/>
              </w:rPr>
            </w:pPr>
            <w:r w:rsidRPr="00CC6553">
              <w:rPr>
                <w:rFonts w:cs="Arial"/>
                <w:color w:val="000000" w:themeColor="text1"/>
                <w:sz w:val="20"/>
              </w:rPr>
              <w:t>431-432</w:t>
            </w:r>
          </w:p>
        </w:tc>
        <w:tc>
          <w:tcPr>
            <w:tcW w:w="214" w:type="pct"/>
          </w:tcPr>
          <w:p w14:paraId="189B4ECB" w14:textId="68AF76C7" w:rsidR="00897293" w:rsidRPr="00CC6553" w:rsidRDefault="00897293" w:rsidP="00B234F1">
            <w:pPr>
              <w:rPr>
                <w:rFonts w:cs="Arial"/>
                <w:color w:val="000000" w:themeColor="text1"/>
                <w:sz w:val="20"/>
              </w:rPr>
            </w:pPr>
            <w:r w:rsidRPr="00CC6553">
              <w:rPr>
                <w:rFonts w:cs="Arial"/>
                <w:color w:val="000000" w:themeColor="text1"/>
                <w:sz w:val="20"/>
              </w:rPr>
              <w:t>Table J.2</w:t>
            </w:r>
          </w:p>
        </w:tc>
        <w:tc>
          <w:tcPr>
            <w:tcW w:w="1521" w:type="pct"/>
          </w:tcPr>
          <w:p w14:paraId="4184EB95" w14:textId="77777777" w:rsidR="00897293" w:rsidRPr="00CC6553" w:rsidRDefault="00897293" w:rsidP="00B234F1">
            <w:pPr>
              <w:rPr>
                <w:rFonts w:cs="Arial"/>
                <w:color w:val="000000" w:themeColor="text1"/>
                <w:sz w:val="20"/>
              </w:rPr>
            </w:pPr>
            <w:r w:rsidRPr="00CC6553">
              <w:rPr>
                <w:rFonts w:cs="Arial"/>
                <w:color w:val="000000" w:themeColor="text1"/>
                <w:sz w:val="20"/>
              </w:rPr>
              <w:t>There has been an abstract presentation (Pollock 2024) of the IRONMAN cost-utility analysis. The formal paper is due for submission for peer review. The abstract (showing essentially the key data from full manuscript) is shown below:</w:t>
            </w:r>
            <w:r w:rsidRPr="00CC6553">
              <w:rPr>
                <w:rFonts w:cs="Arial"/>
                <w:color w:val="000000" w:themeColor="text1"/>
                <w:sz w:val="20"/>
              </w:rPr>
              <w:br/>
            </w:r>
            <w:r w:rsidRPr="00CC6553">
              <w:rPr>
                <w:rFonts w:cs="Arial"/>
                <w:color w:val="000000" w:themeColor="text1"/>
                <w:sz w:val="20"/>
              </w:rPr>
              <w:br/>
              <w:t>Background: In the IRONMAN trial, patients with heart failure (HF), a reduced ejection fraction and iron deficiency who were randomly assigned to ferric derisomaltose (FDI), rather than usual care, had a lower rate of the composite of hospitalization for heart failure (HHF) and cardiovascular (CV) death (rate ratio, RR, 0.82; 95% CI 0.66 to 1.02; p=0.07). A COVID-19 sensitivity analysis, censoring data at 1 year of follow-up showed a greater magnitude of treatment effect (RR 0.66; 95% CI 0.48 to 0.91; p=0.011).</w:t>
            </w:r>
            <w:r w:rsidRPr="00CC6553">
              <w:rPr>
                <w:rFonts w:cs="Arial"/>
                <w:color w:val="000000" w:themeColor="text1"/>
                <w:sz w:val="20"/>
              </w:rPr>
              <w:br/>
              <w:t>Purpose: Patient-level data from IRONMAN were used to evaluate the effectiveness and cost-utility of FDI compared to usual care for patients with a current or recent HHF, or raised plasma natriuretic peptide concentrations, from a UK National Health Service (NHS) perspective.</w:t>
            </w:r>
            <w:r w:rsidRPr="00CC6553">
              <w:rPr>
                <w:rFonts w:cs="Arial"/>
                <w:color w:val="000000" w:themeColor="text1"/>
                <w:sz w:val="20"/>
              </w:rPr>
              <w:br/>
            </w:r>
            <w:r w:rsidRPr="00CC6553">
              <w:rPr>
                <w:rFonts w:cs="Arial"/>
                <w:color w:val="000000" w:themeColor="text1"/>
                <w:sz w:val="20"/>
              </w:rPr>
              <w:br/>
              <w:t xml:space="preserve">Methods: A cost-utility analysis (CUA) was conducted covering the first year after randomization. Numbers-needed-to-treat (NNTs) were calculated for the primary endpoint censored at 1 year. In the CUA model, patient survival and rates of </w:t>
            </w:r>
            <w:r w:rsidRPr="00CC6553">
              <w:rPr>
                <w:rFonts w:cs="Arial"/>
                <w:color w:val="000000" w:themeColor="text1"/>
                <w:sz w:val="20"/>
              </w:rPr>
              <w:lastRenderedPageBreak/>
              <w:t>(re)hospitalization due to HF, other CV events, infections, respiratory conditions, and other non-CV events were modeled based directly on data from the IRONMAN RCT. UK-specific costs were obtained from the national schedule of NHS costs. Quality of life was estimated based on EQ-5D-5L data collected from patients included in the IRONMAN RCT. Results were undiscounted and reported as absolute and incremental costs in 2023 pounds sterling, and quality-adjusted life expectancy in quality-adjusted life years (QALYs). A willingness-to-pay threshold of £20,000 per QALY was adopted to allow calculation of a net monetary benefit (NMB), a summary measure of the overall value of FDI in monetary terms,</w:t>
            </w:r>
          </w:p>
          <w:p w14:paraId="192A8E07" w14:textId="60FF69A6" w:rsidR="00897293" w:rsidRPr="00CC6553" w:rsidRDefault="00897293" w:rsidP="00B234F1">
            <w:pPr>
              <w:rPr>
                <w:rFonts w:cs="Arial"/>
                <w:color w:val="000000" w:themeColor="text1"/>
                <w:sz w:val="20"/>
              </w:rPr>
            </w:pPr>
            <w:r w:rsidRPr="00CC6553">
              <w:rPr>
                <w:rFonts w:cs="Arial"/>
                <w:color w:val="000000" w:themeColor="text1"/>
                <w:sz w:val="20"/>
              </w:rPr>
              <w:t xml:space="preserve"> capturing changes in both</w:t>
            </w:r>
            <w:r w:rsidRPr="00CC6553">
              <w:rPr>
                <w:rFonts w:cs="Arial"/>
                <w:color w:val="000000" w:themeColor="text1"/>
                <w:sz w:val="20"/>
              </w:rPr>
              <w:br/>
              <w:t>cost and QALY outcomes.</w:t>
            </w:r>
            <w:r w:rsidRPr="00CC6553">
              <w:rPr>
                <w:rFonts w:cs="Arial"/>
                <w:color w:val="000000" w:themeColor="text1"/>
                <w:sz w:val="20"/>
              </w:rPr>
              <w:br/>
            </w:r>
            <w:r w:rsidRPr="00CC6553">
              <w:rPr>
                <w:rFonts w:cs="Arial"/>
                <w:color w:val="000000" w:themeColor="text1"/>
                <w:sz w:val="20"/>
              </w:rPr>
              <w:br/>
              <w:t>Results: The NNT analysis showed that 9 patients would need to be treated with FDI to avoid one composite primary endpoint event (CV death and HHF) over 1 year. Relative to usual care, FDI was associated with an improvement of 0.01 QALYs per patient over 1 year (0.58 versus 0.57 QALYs). Total average costs per-patient were £1,672 for FDI, versus £1,975 for usual care, leading to a saving of £302 per patient with FDI. The cost of iron procurement was more than offset by reductions in costs of (re)hospitalizations (Figure). FDI was therefore dominant over usual care, yielding an NMB of £483 over 1 year.</w:t>
            </w:r>
            <w:r w:rsidRPr="00CC6553">
              <w:rPr>
                <w:rFonts w:cs="Arial"/>
                <w:color w:val="000000" w:themeColor="text1"/>
                <w:sz w:val="20"/>
              </w:rPr>
              <w:br/>
            </w:r>
            <w:r w:rsidRPr="00CC6553">
              <w:rPr>
                <w:rFonts w:cs="Arial"/>
                <w:color w:val="000000" w:themeColor="text1"/>
                <w:sz w:val="20"/>
              </w:rPr>
              <w:br/>
              <w:t>Conclusions: This short-term, within-trial CUA suggests that FDI both improves QALYs and reduces healthcare expenditure versus usual care when administered to patients with HF and iron deficiency in the UK. Iron repletion with FDI may be a prudent allocation of healthcare resources</w:t>
            </w:r>
            <w:r w:rsidRPr="00CC6553">
              <w:rPr>
                <w:rFonts w:cs="Arial"/>
                <w:color w:val="000000" w:themeColor="text1"/>
                <w:sz w:val="20"/>
              </w:rPr>
              <w:br/>
              <w:t>in this patient population.</w:t>
            </w:r>
          </w:p>
        </w:tc>
        <w:tc>
          <w:tcPr>
            <w:tcW w:w="2122" w:type="pct"/>
          </w:tcPr>
          <w:p w14:paraId="10975293" w14:textId="464F054D"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lastRenderedPageBreak/>
              <w:t>Thank you for your comment and bringing this study to our attention. The review protocol for this update specified that abstract only studies would be excluded, for this reason this abstract was not included as part of the review.</w:t>
            </w:r>
          </w:p>
        </w:tc>
      </w:tr>
      <w:tr w:rsidR="00897293" w:rsidRPr="00CC6553" w14:paraId="34809683" w14:textId="77777777" w:rsidTr="00897293">
        <w:trPr>
          <w:trHeight w:val="300"/>
        </w:trPr>
        <w:tc>
          <w:tcPr>
            <w:tcW w:w="109" w:type="pct"/>
          </w:tcPr>
          <w:p w14:paraId="0D3CC0D5" w14:textId="77777777" w:rsidR="00897293" w:rsidRPr="00CC6553" w:rsidRDefault="00897293" w:rsidP="00B234F1">
            <w:pPr>
              <w:rPr>
                <w:rFonts w:cs="Arial"/>
                <w:color w:val="000000" w:themeColor="text1"/>
                <w:sz w:val="20"/>
              </w:rPr>
            </w:pPr>
            <w:r w:rsidRPr="00CC6553">
              <w:rPr>
                <w:rFonts w:cs="Arial"/>
                <w:color w:val="000000" w:themeColor="text1"/>
                <w:sz w:val="20"/>
              </w:rPr>
              <w:t>377</w:t>
            </w:r>
          </w:p>
        </w:tc>
        <w:tc>
          <w:tcPr>
            <w:tcW w:w="143" w:type="pct"/>
          </w:tcPr>
          <w:p w14:paraId="6EBE685E" w14:textId="1707347D"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9B6D8CF" w14:textId="0A7563AC"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16A83E04" w14:textId="547D832B" w:rsidR="00897293" w:rsidRPr="00CC6553" w:rsidRDefault="00897293" w:rsidP="00B234F1">
            <w:pPr>
              <w:rPr>
                <w:rFonts w:cs="Arial"/>
                <w:color w:val="000000" w:themeColor="text1"/>
                <w:sz w:val="20"/>
              </w:rPr>
            </w:pPr>
            <w:r w:rsidRPr="00CC6553">
              <w:rPr>
                <w:rFonts w:cs="Arial"/>
                <w:color w:val="000000" w:themeColor="text1"/>
                <w:sz w:val="20"/>
              </w:rPr>
              <w:t>Evidence review C</w:t>
            </w:r>
          </w:p>
        </w:tc>
        <w:tc>
          <w:tcPr>
            <w:tcW w:w="214" w:type="pct"/>
          </w:tcPr>
          <w:p w14:paraId="4F5FD780" w14:textId="6E1DDF9C"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2ADB1E3F" w14:textId="0B185F75"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33241B13" w14:textId="4112C1AD" w:rsidR="00897293" w:rsidRPr="00CC6553" w:rsidRDefault="00897293" w:rsidP="00B234F1">
            <w:pPr>
              <w:rPr>
                <w:rFonts w:cs="Arial"/>
                <w:color w:val="000000" w:themeColor="text1"/>
                <w:sz w:val="20"/>
              </w:rPr>
            </w:pPr>
            <w:r w:rsidRPr="00CC6553">
              <w:rPr>
                <w:rFonts w:cs="Arial"/>
                <w:color w:val="000000" w:themeColor="text1"/>
                <w:sz w:val="20"/>
              </w:rPr>
              <w:t>There seem to be a number of concerns. These include:</w:t>
            </w:r>
            <w:r w:rsidRPr="00CC6553">
              <w:rPr>
                <w:color w:val="000000" w:themeColor="text1"/>
              </w:rPr>
              <w:br/>
            </w:r>
            <w:r w:rsidRPr="00CC6553">
              <w:rPr>
                <w:rFonts w:cs="Arial"/>
                <w:color w:val="000000" w:themeColor="text1"/>
                <w:sz w:val="20"/>
              </w:rPr>
              <w:t>Page 35: similar point in comment 7 above re inclusion of patients with HfmrEF</w:t>
            </w:r>
            <w:r w:rsidRPr="00CC6553">
              <w:rPr>
                <w:color w:val="000000" w:themeColor="text1"/>
              </w:rPr>
              <w:br/>
            </w:r>
            <w:r w:rsidRPr="00CC6553">
              <w:rPr>
                <w:color w:val="000000" w:themeColor="text1"/>
              </w:rPr>
              <w:br/>
            </w:r>
            <w:r w:rsidRPr="00CC6553">
              <w:rPr>
                <w:rFonts w:cs="Arial"/>
                <w:color w:val="000000" w:themeColor="text1"/>
                <w:sz w:val="20"/>
              </w:rPr>
              <w:t xml:space="preserve">Page 11/12 – table please note that the primary endpoint for IRONMAN was recurrent heart failure hospitalisation and cardiovascular death. The first of the secondary endpoints was hospitalisation for heart failure (see Lancet 2022 table </w:t>
            </w:r>
            <w:r w:rsidRPr="00CC6553">
              <w:rPr>
                <w:rFonts w:cs="Arial"/>
                <w:color w:val="000000" w:themeColor="text1"/>
                <w:sz w:val="20"/>
              </w:rPr>
              <w:lastRenderedPageBreak/>
              <w:t>2). This should have been included in the analyses.</w:t>
            </w:r>
            <w:r w:rsidRPr="00CC6553">
              <w:rPr>
                <w:color w:val="000000" w:themeColor="text1"/>
              </w:rPr>
              <w:br/>
            </w:r>
            <w:r w:rsidRPr="00CC6553">
              <w:rPr>
                <w:color w:val="000000" w:themeColor="text1"/>
              </w:rPr>
              <w:br/>
            </w:r>
            <w:r w:rsidRPr="00CC6553">
              <w:rPr>
                <w:rFonts w:cs="Arial"/>
                <w:color w:val="000000" w:themeColor="text1"/>
                <w:sz w:val="20"/>
              </w:rPr>
              <w:t>Page 33 and 34 Overall analysis of results</w:t>
            </w:r>
            <w:r w:rsidRPr="00CC6553">
              <w:rPr>
                <w:color w:val="000000" w:themeColor="text1"/>
              </w:rPr>
              <w:br/>
            </w:r>
            <w:r w:rsidRPr="00CC6553">
              <w:rPr>
                <w:rFonts w:cs="Arial"/>
                <w:color w:val="000000" w:themeColor="text1"/>
                <w:sz w:val="20"/>
              </w:rPr>
              <w:t>It is worth highlighting that in HEART FID only around 40% of patients had TSAT &lt;20% whereas in IRONMAN and AFFIRM-AHF is was around 75-80%.</w:t>
            </w:r>
            <w:r w:rsidRPr="00CC6553">
              <w:rPr>
                <w:color w:val="000000" w:themeColor="text1"/>
              </w:rPr>
              <w:br/>
            </w:r>
            <w:r w:rsidRPr="00CC6553">
              <w:rPr>
                <w:color w:val="000000" w:themeColor="text1"/>
              </w:rPr>
              <w:br/>
            </w:r>
            <w:r w:rsidRPr="00CC6553">
              <w:rPr>
                <w:rFonts w:cs="Arial"/>
                <w:color w:val="000000" w:themeColor="text1"/>
                <w:sz w:val="20"/>
              </w:rPr>
              <w:t xml:space="preserve">The totality of evidence (meta-analyses and clinical trials) demonstrate a consistent effect on the reduction in hospitalisations for heart failure with similar rate ratios across the trials. Two examples of meta-analyses are Graham et al (2023) where the rate ratio was 0.67 (95% CI, 0.47-0.97) for IV iron as compared to placebo/usual care and Ankert et al (2025) with a rate ratio of 0.69 (95% CI 0.48-0.88) for recurrent heart failure hospitalisation. </w:t>
            </w:r>
            <w:r w:rsidRPr="00CC6553">
              <w:rPr>
                <w:color w:val="000000" w:themeColor="text1"/>
              </w:rPr>
              <w:br/>
            </w:r>
            <w:r w:rsidRPr="00CC6553">
              <w:rPr>
                <w:color w:val="000000" w:themeColor="text1"/>
              </w:rPr>
              <w:br/>
            </w:r>
            <w:r w:rsidRPr="00CC6553">
              <w:rPr>
                <w:rFonts w:cs="Arial"/>
                <w:color w:val="000000" w:themeColor="text1"/>
                <w:sz w:val="20"/>
              </w:rPr>
              <w:t>Please note as a GENERAL comment that the AFFIRM-AHF trial has not been included in the evidence review because it is thought to be an acute heart failure trial. This seems to be at odds with the patient with heart failure journey. For example, in AFFIRM-AHF, 70% of patients had known chronic heart failure. They deteriorated, were treated and then recruited pre-discharge. One might argue this is when they are transitioning back or into the chronic phase of heart failure. Certainly, the next 1 year of the patient follow up with repeat doses of IV as necessary is in the chronic phase. As such it does not make clinical sense to ignore these important data that add to our understanding of this area.</w:t>
            </w:r>
          </w:p>
        </w:tc>
        <w:tc>
          <w:tcPr>
            <w:tcW w:w="2122" w:type="pct"/>
          </w:tcPr>
          <w:p w14:paraId="5D084D06" w14:textId="77777777" w:rsidR="00897293" w:rsidRPr="00CC6553" w:rsidRDefault="00897293" w:rsidP="00B234F1">
            <w:pPr>
              <w:pStyle w:val="Heading1"/>
              <w:rPr>
                <w:rFonts w:cs="Arial"/>
                <w:b w:val="0"/>
                <w:bCs w:val="0"/>
                <w:color w:val="000000" w:themeColor="text1"/>
                <w:sz w:val="20"/>
              </w:rPr>
            </w:pPr>
            <w:r w:rsidRPr="00CC6553">
              <w:rPr>
                <w:rFonts w:cs="Arial"/>
                <w:b w:val="0"/>
                <w:bCs w:val="0"/>
                <w:color w:val="000000" w:themeColor="text1"/>
                <w:sz w:val="20"/>
              </w:rPr>
              <w:lastRenderedPageBreak/>
              <w:t xml:space="preserve">Thank you for your comment. Hospitalisation for heart failure has been included in the clinical evidence review as a rate ratio reported in the IRONMAN trial. This outcome was omitted from the </w:t>
            </w:r>
            <w:r w:rsidRPr="00CC6553">
              <w:rPr>
                <w:rFonts w:cs="Arial"/>
                <w:b w:val="0"/>
                <w:bCs w:val="0"/>
                <w:color w:val="000000" w:themeColor="text1"/>
                <w:sz w:val="20"/>
              </w:rPr>
              <w:lastRenderedPageBreak/>
              <w:t>summary of included studies table (table 2, section 1.1.5) but is now added. It was included in the actual analyses reported in section 1.11.6 in the evidence review.</w:t>
            </w:r>
          </w:p>
          <w:p w14:paraId="296418A0" w14:textId="5C60CBF6" w:rsidR="00897293" w:rsidRPr="009B3C47" w:rsidRDefault="00897293" w:rsidP="00ED5869">
            <w:pPr>
              <w:rPr>
                <w:color w:val="000000" w:themeColor="text1"/>
                <w:sz w:val="20"/>
              </w:rPr>
            </w:pPr>
            <w:r w:rsidRPr="009B3C47">
              <w:rPr>
                <w:color w:val="000000" w:themeColor="text1"/>
                <w:sz w:val="20"/>
              </w:rPr>
              <w:t>All relevant randomised controlled trials were assessed for inclusion based on their inclusion criteria matching that pre-specified in the evidence review protocol (see appendix A). Since the HEART-FID trial participant inclusion criteria for TSAT was &lt;20% on trial en</w:t>
            </w:r>
          </w:p>
          <w:p w14:paraId="53CF6D7D" w14:textId="77777777" w:rsidR="00897293" w:rsidRPr="009B3C47" w:rsidRDefault="00897293" w:rsidP="00ED5869">
            <w:pPr>
              <w:rPr>
                <w:color w:val="000000" w:themeColor="text1"/>
                <w:sz w:val="20"/>
              </w:rPr>
            </w:pPr>
            <w:r w:rsidRPr="00B635E0">
              <w:t>r</w:t>
            </w:r>
            <w:r w:rsidRPr="009B3C47">
              <w:rPr>
                <w:color w:val="000000" w:themeColor="text1"/>
                <w:sz w:val="20"/>
              </w:rPr>
              <w:t xml:space="preserve">y, this trial it was deemed suitable for inclusion for this criterion. </w:t>
            </w:r>
            <w:r w:rsidRPr="00B635E0">
              <w:t>r</w:t>
            </w:r>
          </w:p>
          <w:p w14:paraId="0B2F669F" w14:textId="38065FE4" w:rsidR="00897293" w:rsidRPr="00CC6553" w:rsidRDefault="00897293" w:rsidP="00B234F1">
            <w:pPr>
              <w:rPr>
                <w:color w:val="000000" w:themeColor="text1"/>
              </w:rPr>
            </w:pPr>
            <w:r w:rsidRPr="00CC6553">
              <w:rPr>
                <w:rFonts w:cs="Arial"/>
                <w:color w:val="000000" w:themeColor="text1"/>
                <w:sz w:val="20"/>
              </w:rPr>
              <w:t>The AFFIRM trial is based on a population presenting to hospital with an acute episode of HF, this trial does not meet the population protocol requirements for inclusion in this review.</w:t>
            </w:r>
          </w:p>
        </w:tc>
      </w:tr>
      <w:tr w:rsidR="00897293" w:rsidRPr="00CC6553" w14:paraId="777AFF8A" w14:textId="77777777" w:rsidTr="00897293">
        <w:trPr>
          <w:trHeight w:val="300"/>
        </w:trPr>
        <w:tc>
          <w:tcPr>
            <w:tcW w:w="109" w:type="pct"/>
          </w:tcPr>
          <w:p w14:paraId="441AF4A2"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378</w:t>
            </w:r>
          </w:p>
        </w:tc>
        <w:tc>
          <w:tcPr>
            <w:tcW w:w="143" w:type="pct"/>
          </w:tcPr>
          <w:p w14:paraId="5927CAE9" w14:textId="079CF034"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6A0213D" w14:textId="26A1AA93" w:rsidR="00897293" w:rsidRPr="00CC6553" w:rsidRDefault="00897293" w:rsidP="00B234F1">
            <w:pPr>
              <w:rPr>
                <w:rFonts w:cs="Arial"/>
                <w:bCs/>
                <w:iCs/>
                <w:color w:val="000000" w:themeColor="text1"/>
                <w:sz w:val="20"/>
              </w:rPr>
            </w:pPr>
            <w:r w:rsidRPr="00CC6553">
              <w:rPr>
                <w:rFonts w:cs="Arial"/>
                <w:color w:val="000000" w:themeColor="text1"/>
                <w:sz w:val="20"/>
              </w:rPr>
              <w:t>Portsmouth Hospitals University NHS Trust</w:t>
            </w:r>
          </w:p>
        </w:tc>
        <w:tc>
          <w:tcPr>
            <w:tcW w:w="279" w:type="pct"/>
          </w:tcPr>
          <w:p w14:paraId="2827FDC6" w14:textId="645B55CD" w:rsidR="00897293" w:rsidRPr="00CC6553" w:rsidRDefault="00897293" w:rsidP="00B234F1">
            <w:pPr>
              <w:rPr>
                <w:rFonts w:cs="Arial"/>
                <w:color w:val="000000" w:themeColor="text1"/>
                <w:sz w:val="20"/>
              </w:rPr>
            </w:pPr>
            <w:r w:rsidRPr="00CC6553">
              <w:rPr>
                <w:rFonts w:cs="Arial"/>
                <w:color w:val="000000" w:themeColor="text1"/>
                <w:sz w:val="20"/>
              </w:rPr>
              <w:t>Evidence review C</w:t>
            </w:r>
          </w:p>
        </w:tc>
        <w:tc>
          <w:tcPr>
            <w:tcW w:w="214" w:type="pct"/>
          </w:tcPr>
          <w:p w14:paraId="213F5BE4" w14:textId="1EF77FE7"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16B4EDD5" w14:textId="17F28003"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3614BA1A" w14:textId="4D25A451" w:rsidR="00897293" w:rsidRPr="00CC6553" w:rsidRDefault="00897293" w:rsidP="00B234F1">
            <w:pPr>
              <w:rPr>
                <w:rFonts w:cs="Arial"/>
                <w:color w:val="000000" w:themeColor="text1"/>
                <w:sz w:val="20"/>
              </w:rPr>
            </w:pPr>
            <w:r w:rsidRPr="00CC6553">
              <w:rPr>
                <w:rFonts w:cs="Arial"/>
                <w:color w:val="000000" w:themeColor="text1"/>
                <w:sz w:val="20"/>
              </w:rPr>
              <w:t>There seem to be a number of concerns. These include:</w:t>
            </w:r>
            <w:r w:rsidRPr="00CC6553">
              <w:rPr>
                <w:rFonts w:cs="Arial"/>
                <w:color w:val="000000" w:themeColor="text1"/>
                <w:sz w:val="20"/>
              </w:rPr>
              <w:br/>
              <w:t>Page 35: similar point in comment 7 above re inclusion of patients with HfmrEF</w:t>
            </w:r>
            <w:r w:rsidRPr="00CC6553">
              <w:rPr>
                <w:rFonts w:cs="Arial"/>
                <w:color w:val="000000" w:themeColor="text1"/>
                <w:sz w:val="20"/>
              </w:rPr>
              <w:br/>
            </w:r>
            <w:r w:rsidRPr="00CC6553">
              <w:rPr>
                <w:rFonts w:cs="Arial"/>
                <w:color w:val="000000" w:themeColor="text1"/>
                <w:sz w:val="20"/>
              </w:rPr>
              <w:br/>
              <w:t>Page 11/12 – table please note that the primary endpoint for IRONMAN was recurrent heart failure hospitalisation and cardiovascular death. The first of the secondary endpoints was hospitalisation for heart failure (see Lancet 2022 table 2). This should have been included in the analyses.</w:t>
            </w:r>
            <w:r w:rsidRPr="00CC6553">
              <w:rPr>
                <w:rFonts w:cs="Arial"/>
                <w:color w:val="000000" w:themeColor="text1"/>
                <w:sz w:val="20"/>
              </w:rPr>
              <w:br/>
            </w:r>
            <w:r w:rsidRPr="00CC6553">
              <w:rPr>
                <w:rFonts w:cs="Arial"/>
                <w:color w:val="000000" w:themeColor="text1"/>
                <w:sz w:val="20"/>
              </w:rPr>
              <w:br/>
              <w:t>Page 33 and 34 Overall analysis of results</w:t>
            </w:r>
            <w:r w:rsidRPr="00CC6553">
              <w:rPr>
                <w:rFonts w:cs="Arial"/>
                <w:color w:val="000000" w:themeColor="text1"/>
                <w:sz w:val="20"/>
              </w:rPr>
              <w:br/>
            </w:r>
            <w:r w:rsidRPr="00CC6553">
              <w:rPr>
                <w:rFonts w:cs="Arial"/>
                <w:color w:val="000000" w:themeColor="text1"/>
                <w:sz w:val="20"/>
              </w:rPr>
              <w:lastRenderedPageBreak/>
              <w:t>It is worth highlighting that in HEART FID only around 40% of patients had TSAT &lt;20% whereas in IRONMAN and AFFIRM-AHF is was around 75-80%.</w:t>
            </w:r>
            <w:r w:rsidRPr="00CC6553">
              <w:rPr>
                <w:rFonts w:cs="Arial"/>
                <w:color w:val="000000" w:themeColor="text1"/>
                <w:sz w:val="20"/>
              </w:rPr>
              <w:br/>
            </w:r>
            <w:r w:rsidRPr="00CC6553">
              <w:rPr>
                <w:rFonts w:cs="Arial"/>
                <w:color w:val="000000" w:themeColor="text1"/>
                <w:sz w:val="20"/>
              </w:rPr>
              <w:br/>
              <w:t xml:space="preserve">The totality of evidence (meta-analyses and clinical trials) demonstrate a consistent effect on the reduction in hospitalisations for heart failure with similar rate ratios across the trials. Two examples of meta-analyses are Graham et al (2023) where the rate ratio was 0.67 (95% CI, 0.47-0.97) for IV iron as compared to placebo/usual care and Ankert et al (2025) with a rate ratio of 0.69 (95% CI 0.48-0.88) for recurrent heart failure hospitalisation. </w:t>
            </w:r>
            <w:r w:rsidRPr="00CC6553">
              <w:rPr>
                <w:rFonts w:cs="Arial"/>
                <w:color w:val="000000" w:themeColor="text1"/>
                <w:sz w:val="20"/>
              </w:rPr>
              <w:br/>
            </w:r>
            <w:r w:rsidRPr="00CC6553">
              <w:rPr>
                <w:rFonts w:cs="Arial"/>
                <w:color w:val="000000" w:themeColor="text1"/>
                <w:sz w:val="20"/>
              </w:rPr>
              <w:br/>
              <w:t>Please note as a GENERAL comment that the AFFIRM-AHF trial has not been included in the evidence review because it is thought to be an acute heart failure trial. This seems to be at odds with the patient with heart failure journey. For example, in AFFIRM-AHF, 70% of patients had known chronic heart failure. They deteriorated, were treated and then recruited pre-discharge. One might argue this is when they are transitioning back or into the chronic phase of heart failure. Certainly, the next 1 year of the patient follow up with repeat doses of IV as necessary is in the chronic phase. As such it does not make clinical sense to ignore these important data that add to our understanding of this area.</w:t>
            </w:r>
          </w:p>
        </w:tc>
        <w:tc>
          <w:tcPr>
            <w:tcW w:w="2122" w:type="pct"/>
          </w:tcPr>
          <w:p w14:paraId="5B703143" w14:textId="77777777" w:rsidR="00897293" w:rsidRPr="00CC6553" w:rsidRDefault="00897293" w:rsidP="00F863BB">
            <w:pPr>
              <w:pStyle w:val="Heading1"/>
              <w:rPr>
                <w:rFonts w:cs="Arial"/>
                <w:b w:val="0"/>
                <w:color w:val="000000" w:themeColor="text1"/>
                <w:sz w:val="20"/>
              </w:rPr>
            </w:pPr>
            <w:r w:rsidRPr="00CC6553">
              <w:rPr>
                <w:rFonts w:cs="Arial"/>
                <w:b w:val="0"/>
                <w:color w:val="000000" w:themeColor="text1"/>
                <w:sz w:val="20"/>
              </w:rPr>
              <w:lastRenderedPageBreak/>
              <w:t xml:space="preserve">Thank you for your comment. Hospitalisation for heart failure has been included in the clinical evidence review as a rate ratio reported in the IRONMAN trial. This outcome was omitted from the summary of included studies table (table 2, section 1.1.5) but is now added. It was included in the actual </w:t>
            </w:r>
            <w:r w:rsidRPr="00CC6553">
              <w:rPr>
                <w:rFonts w:cs="Arial"/>
                <w:b w:val="0"/>
                <w:color w:val="000000" w:themeColor="text1"/>
                <w:sz w:val="20"/>
              </w:rPr>
              <w:lastRenderedPageBreak/>
              <w:t>analyses reported in section 1.11.6 in the evidence review.</w:t>
            </w:r>
          </w:p>
          <w:p w14:paraId="7A1EB84B" w14:textId="77777777" w:rsidR="00897293" w:rsidRPr="00CC6553" w:rsidRDefault="00897293" w:rsidP="00F863BB">
            <w:pPr>
              <w:pStyle w:val="Heading1"/>
              <w:rPr>
                <w:rFonts w:cs="Arial"/>
                <w:b w:val="0"/>
                <w:color w:val="000000" w:themeColor="text1"/>
                <w:sz w:val="20"/>
              </w:rPr>
            </w:pPr>
            <w:r w:rsidRPr="00CC6553">
              <w:rPr>
                <w:rFonts w:cs="Arial"/>
                <w:b w:val="0"/>
                <w:color w:val="000000" w:themeColor="text1"/>
                <w:sz w:val="20"/>
              </w:rPr>
              <w:t xml:space="preserve">All relevant randomised controlled trials were assessed for inclusion based on their inclusion criteria matching that pre-specified in the evidence review protocol (see appendix A). Since the HEART-FID trial participant inclusion criteria for TSAT was &lt;20% on trial entry, this trial it was deemed suitable for inclusion for this criterion. </w:t>
            </w:r>
          </w:p>
          <w:p w14:paraId="0791171A" w14:textId="77777777" w:rsidR="00897293" w:rsidRPr="00CC6553" w:rsidRDefault="00897293" w:rsidP="00F863BB">
            <w:pPr>
              <w:pStyle w:val="Heading1"/>
              <w:rPr>
                <w:rFonts w:cs="Arial"/>
                <w:b w:val="0"/>
                <w:color w:val="000000" w:themeColor="text1"/>
                <w:sz w:val="20"/>
              </w:rPr>
            </w:pPr>
          </w:p>
          <w:p w14:paraId="54345A5A" w14:textId="642FEBAD" w:rsidR="00897293" w:rsidRPr="00CC6553" w:rsidRDefault="00897293" w:rsidP="00F863BB">
            <w:pPr>
              <w:pStyle w:val="Heading1"/>
              <w:rPr>
                <w:rFonts w:cs="Arial"/>
                <w:b w:val="0"/>
                <w:color w:val="000000" w:themeColor="text1"/>
                <w:sz w:val="20"/>
              </w:rPr>
            </w:pPr>
            <w:r w:rsidRPr="00CC6553">
              <w:rPr>
                <w:rFonts w:cs="Arial"/>
                <w:b w:val="0"/>
                <w:color w:val="000000" w:themeColor="text1"/>
                <w:sz w:val="20"/>
              </w:rPr>
              <w:t>The AFFIRM trial is based on a population presenting to hospital with an acute episode of HF, this trial does not meet the population protocol requirements for inclusion in this review.</w:t>
            </w:r>
          </w:p>
        </w:tc>
      </w:tr>
      <w:tr w:rsidR="00897293" w:rsidRPr="00CC6553" w14:paraId="20B52495" w14:textId="77777777" w:rsidTr="00897293">
        <w:trPr>
          <w:trHeight w:val="300"/>
        </w:trPr>
        <w:tc>
          <w:tcPr>
            <w:tcW w:w="109" w:type="pct"/>
          </w:tcPr>
          <w:p w14:paraId="44AA50F6"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379</w:t>
            </w:r>
          </w:p>
        </w:tc>
        <w:tc>
          <w:tcPr>
            <w:tcW w:w="143" w:type="pct"/>
          </w:tcPr>
          <w:p w14:paraId="54F0C2B6" w14:textId="381D9E3A"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336A95B0" w14:textId="634BF900" w:rsidR="00897293" w:rsidRPr="00CC6553" w:rsidRDefault="00897293" w:rsidP="00B234F1">
            <w:pPr>
              <w:rPr>
                <w:rFonts w:cs="Arial"/>
                <w:bCs/>
                <w:iCs/>
                <w:color w:val="000000" w:themeColor="text1"/>
                <w:sz w:val="20"/>
              </w:rPr>
            </w:pPr>
            <w:r w:rsidRPr="00CC6553">
              <w:rPr>
                <w:rFonts w:cs="Arial"/>
                <w:color w:val="000000" w:themeColor="text1"/>
                <w:sz w:val="20"/>
              </w:rPr>
              <w:t>Bayer plc</w:t>
            </w:r>
          </w:p>
        </w:tc>
        <w:tc>
          <w:tcPr>
            <w:tcW w:w="279" w:type="pct"/>
          </w:tcPr>
          <w:p w14:paraId="1AFD450D" w14:textId="749C5E59" w:rsidR="00897293" w:rsidRPr="00CC6553" w:rsidRDefault="00897293" w:rsidP="00B234F1">
            <w:pPr>
              <w:rPr>
                <w:rFonts w:cs="Arial"/>
                <w:color w:val="000000" w:themeColor="text1"/>
                <w:sz w:val="20"/>
              </w:rPr>
            </w:pPr>
            <w:r w:rsidRPr="00CC6553">
              <w:rPr>
                <w:rFonts w:cs="Arial"/>
                <w:color w:val="000000" w:themeColor="text1"/>
                <w:sz w:val="20"/>
              </w:rPr>
              <w:t>Evidence review D</w:t>
            </w:r>
          </w:p>
        </w:tc>
        <w:tc>
          <w:tcPr>
            <w:tcW w:w="214" w:type="pct"/>
          </w:tcPr>
          <w:p w14:paraId="014EBB79" w14:textId="2DDC6502" w:rsidR="00897293" w:rsidRPr="00CC6553" w:rsidRDefault="00897293" w:rsidP="00B234F1">
            <w:pPr>
              <w:rPr>
                <w:rFonts w:cs="Arial"/>
                <w:color w:val="000000" w:themeColor="text1"/>
                <w:sz w:val="20"/>
              </w:rPr>
            </w:pPr>
            <w:r w:rsidRPr="00CC6553">
              <w:rPr>
                <w:rFonts w:cs="Arial"/>
                <w:color w:val="000000" w:themeColor="text1"/>
                <w:sz w:val="20"/>
              </w:rPr>
              <w:t>009,</w:t>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t>014,</w:t>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t>015,</w:t>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t>019</w:t>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lastRenderedPageBreak/>
              <w:br/>
            </w:r>
            <w:r w:rsidRPr="00CC6553">
              <w:rPr>
                <w:rFonts w:cs="Arial"/>
                <w:color w:val="000000" w:themeColor="text1"/>
                <w:sz w:val="20"/>
              </w:rPr>
              <w:br/>
              <w:t>079, 080, 081, 082, 083, 084, 085, 086, 087, 177, 178,</w:t>
            </w:r>
          </w:p>
        </w:tc>
        <w:tc>
          <w:tcPr>
            <w:tcW w:w="214" w:type="pct"/>
          </w:tcPr>
          <w:p w14:paraId="447AC9D4" w14:textId="7B1BCE1F" w:rsidR="00897293" w:rsidRPr="00CC6553" w:rsidRDefault="00897293" w:rsidP="00B234F1">
            <w:pPr>
              <w:rPr>
                <w:rFonts w:cs="Arial"/>
                <w:color w:val="000000" w:themeColor="text1"/>
                <w:sz w:val="20"/>
              </w:rPr>
            </w:pPr>
            <w:r w:rsidRPr="00CC6553">
              <w:rPr>
                <w:rFonts w:cs="Arial"/>
                <w:color w:val="000000" w:themeColor="text1"/>
                <w:sz w:val="20"/>
              </w:rPr>
              <w:lastRenderedPageBreak/>
              <w:t>015 - 016,</w:t>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t>006 - 007, 012 - 013,</w:t>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t>002 - 003,</w:t>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lastRenderedPageBreak/>
              <w:br/>
              <w:t>010 - 011,</w:t>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t>Appendices</w:t>
            </w:r>
          </w:p>
        </w:tc>
        <w:tc>
          <w:tcPr>
            <w:tcW w:w="1521" w:type="pct"/>
          </w:tcPr>
          <w:p w14:paraId="359D9EB0" w14:textId="21CD4E7D" w:rsidR="00897293" w:rsidRPr="00CC6553" w:rsidRDefault="00897293" w:rsidP="00B234F1">
            <w:pPr>
              <w:rPr>
                <w:rFonts w:cs="Arial"/>
                <w:color w:val="000000" w:themeColor="text1"/>
                <w:sz w:val="20"/>
              </w:rPr>
            </w:pPr>
            <w:r w:rsidRPr="00CC6553">
              <w:rPr>
                <w:rFonts w:cs="Arial"/>
                <w:color w:val="000000" w:themeColor="text1"/>
                <w:sz w:val="20"/>
              </w:rPr>
              <w:lastRenderedPageBreak/>
              <w:t>Although finerenone was included in the review protocol, evidence on this intervention has been downgraded for indirectness as it is not currently licenced for use in chronic heart failure.</w:t>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t xml:space="preserve">Bayer is urging NICE to re-evaluate its classification of finerenone as an indirect intervention, which has led to a downgrade of the evidence. We reiterate that the FINEARTS-HF study provides the latest and most important data on MRAs, justifying the evidence review, especially in contrast to older studies from nearly a decade ago. Bayer maintains that the reasoning for downgrading this evidence fails to consider the typical duration required to obtain a medicine's license after pivotal trial results are </w:t>
            </w:r>
            <w:r w:rsidRPr="00183929">
              <w:rPr>
                <w:rFonts w:cs="Arial"/>
                <w:color w:val="000000" w:themeColor="text1"/>
                <w:sz w:val="20"/>
              </w:rPr>
              <w:t>published.</w:t>
            </w:r>
            <w:r w:rsidRPr="00183929">
              <w:rPr>
                <w:rFonts w:cs="Arial"/>
                <w:color w:val="000000" w:themeColor="text1"/>
                <w:sz w:val="20"/>
              </w:rPr>
              <w:br/>
            </w:r>
            <w:r w:rsidRPr="00183929">
              <w:rPr>
                <w:rFonts w:cs="Arial"/>
                <w:color w:val="000000" w:themeColor="text1"/>
                <w:sz w:val="20"/>
              </w:rPr>
              <w:br/>
            </w:r>
            <w:r w:rsidRPr="00183929">
              <w:rPr>
                <w:rFonts w:cs="Arial"/>
                <w:color w:val="000000" w:themeColor="text1"/>
                <w:sz w:val="20"/>
                <w:u w:val="single"/>
              </w:rPr>
              <w:lastRenderedPageBreak/>
              <w:t xml:space="preserve">[This text was identified as confidential and has been removed] </w:t>
            </w:r>
            <w:r w:rsidRPr="00183929">
              <w:rPr>
                <w:rFonts w:cs="Arial"/>
                <w:color w:val="000000" w:themeColor="text1"/>
                <w:sz w:val="20"/>
              </w:rPr>
              <w:t>and it</w:t>
            </w:r>
            <w:r w:rsidRPr="00CC6553">
              <w:rPr>
                <w:rFonts w:cs="Arial"/>
                <w:color w:val="000000" w:themeColor="text1"/>
                <w:sz w:val="20"/>
              </w:rPr>
              <w:t xml:space="preserve"> has been scheduled into the NICE technology appraisal programme, with the scoping stage completed in May 2025. https://www.nice.org.uk/guidance/indevelopment/gid-ta11651  </w:t>
            </w:r>
            <w:r w:rsidRPr="00CC6553">
              <w:rPr>
                <w:rFonts w:cs="Arial"/>
                <w:color w:val="000000" w:themeColor="text1"/>
                <w:sz w:val="20"/>
              </w:rPr>
              <w:br/>
            </w:r>
            <w:r w:rsidRPr="00CC6553">
              <w:rPr>
                <w:rFonts w:cs="Arial"/>
                <w:color w:val="000000" w:themeColor="text1"/>
                <w:sz w:val="20"/>
              </w:rPr>
              <w:br/>
              <w:t>The decision to downgrade the evidence for finerenone on the basis that it is not currently licensed for chronic heart failure (CHF) introduces a methodological inconsistency and risks undervaluing the most robust and contemporary evidence available for MRAs in HFmrEF and HFpEF.</w:t>
            </w:r>
            <w:r w:rsidRPr="00CC6553">
              <w:rPr>
                <w:rFonts w:cs="Arial"/>
                <w:color w:val="000000" w:themeColor="text1"/>
                <w:sz w:val="20"/>
              </w:rPr>
              <w:br/>
            </w:r>
            <w:r w:rsidRPr="00CC6553">
              <w:rPr>
                <w:rFonts w:cs="Arial"/>
                <w:color w:val="000000" w:themeColor="text1"/>
                <w:sz w:val="20"/>
              </w:rPr>
              <w:br/>
              <w:t>Licensing Status ≠ Clinical Relevance or Evidence Quality: Licensing is a regulatory endpoint, not a determinant of clinical evidence quality. The FINEARTS-HF trial is a large, global, phase 3 RCT that met its primary endpoint in a well-defined HFmrEF and HFpEF population (LVEF ≥40%), with statistically significant reductions in heart failure hospitalisations and improvements in patient-reported outcomes (e.g. KCCQ scores) over 12 months (Solomon et al., 2024). Downgrading this evidence solely due to licensing status contradicts the principle of basing recommendations on the strength and applicability of clinical data and fails to consider the applicable regulatory licensing timeframe.</w:t>
            </w:r>
            <w:r w:rsidRPr="00CC6553">
              <w:rPr>
                <w:rFonts w:cs="Arial"/>
                <w:color w:val="000000" w:themeColor="text1"/>
                <w:sz w:val="20"/>
              </w:rPr>
              <w:br/>
              <w:t>Inconsistent Application of Indirectness Criteria: The review protocol explicitly allowed inclusion of older trials that did not meet the current HFmrEF and HFpEF diagnostic criteria (e.g. structural heart abnormalities or natriuretic peptide thresholds) to avoid excluding “informative” studies (NICE, 2025). This flexibility enabled inclusion of trials such as TOPCAT, which failed to meet its primary endpoint and has well-documented regional inconsistencies. Yet, finerenone—despite meeting modern diagnostic thresholds and demonstrating efficacy—is penalised for a regulatory technicality.</w:t>
            </w:r>
            <w:r w:rsidRPr="00CC6553">
              <w:rPr>
                <w:rFonts w:cs="Arial"/>
                <w:color w:val="000000" w:themeColor="text1"/>
                <w:sz w:val="20"/>
              </w:rPr>
              <w:br/>
              <w:t xml:space="preserve">Finerenone Is the only MRA with Positive Phase 3 Data in HFpEF: Spironolactone and eplerenone have not generated new phase 3 data in HFpEF since the last guideline update. The TOPCAT trial, the primary evidence base for spironolactone, did not meet its primary endpoint and has been criticised for regional heterogeneity and protocol adherence issues (Pitt et al., 2014). In </w:t>
            </w:r>
            <w:r w:rsidRPr="00CC6553">
              <w:rPr>
                <w:rFonts w:cs="Arial"/>
                <w:color w:val="000000" w:themeColor="text1"/>
                <w:sz w:val="20"/>
              </w:rPr>
              <w:lastRenderedPageBreak/>
              <w:t>contrast, FINEARTS-HF is the only contemporary trial to demonstrate a statistically significant benefit in a HFpEF population using rigorous inclusion criteria aligned with current definitions (Docherty et al., 2024).</w:t>
            </w:r>
            <w:r w:rsidRPr="00CC6553">
              <w:rPr>
                <w:rFonts w:cs="Arial"/>
                <w:color w:val="000000" w:themeColor="text1"/>
                <w:sz w:val="20"/>
              </w:rPr>
              <w:br/>
              <w:t>Downgrading finerenone for indirectness due to licensing status is not methodologically justified given the strength, relevance, and recency of the FINEARTS-HF trial. The evidence should be appraised on its clinical merits, particularly considering the absence of new data for other MRAs and the limitations of older trials. A more balanced and evidence-based approach would be to acknowledge finerenone as the only MRA with new, positive phase 3 data in HFpEF and to reflect this appropriately in the guideline’s grading and recommendations.</w:t>
            </w:r>
            <w:r w:rsidRPr="00CC6553">
              <w:rPr>
                <w:rFonts w:cs="Arial"/>
                <w:color w:val="000000" w:themeColor="text1"/>
                <w:sz w:val="20"/>
              </w:rPr>
              <w:br/>
            </w:r>
            <w:r w:rsidRPr="00CC6553">
              <w:rPr>
                <w:rFonts w:cs="Arial"/>
                <w:color w:val="000000" w:themeColor="text1"/>
                <w:sz w:val="20"/>
              </w:rPr>
              <w:br/>
              <w:t>References</w:t>
            </w:r>
            <w:r w:rsidRPr="00CC6553">
              <w:rPr>
                <w:rFonts w:cs="Arial"/>
                <w:color w:val="000000" w:themeColor="text1"/>
                <w:sz w:val="20"/>
              </w:rPr>
              <w:br/>
              <w:t>Docherty, K.F., Henderson, A.D., Jhund, P.S., Claggett, B.L., Desai, A.S., Mueller, K., Viswanathan, P., Scalise, A., Lam, C.S.P., Senni, M., Shah, S.J., Voors, A.A., Zannad, F., Pitt, B., Vaduganathan, M., Solomon, S.D. and McMurray, J.J.V., 2024. Efficacy and safety of finerenone across the ejection fraction spectrum in heart failure with mildly reduced and preserved ejection fraction: a prespecified analysis of the FINEARTS-HF trial. Circulation.</w:t>
            </w:r>
            <w:r w:rsidRPr="00CC6553">
              <w:rPr>
                <w:rFonts w:cs="Arial"/>
                <w:color w:val="000000" w:themeColor="text1"/>
                <w:sz w:val="20"/>
              </w:rPr>
              <w:br/>
              <w:t>Pitt, B., Pfeffer, M.A., Assmann, S.F., Boineau, R., Anand, I.S., Claggett, B., Clausell, N., Desai, A.S., Diaz, R., Fleg, J.L., Gordeev, I., Harty, B., Heitner, J.F., Kenwood, C.T., Lewis, E.F., O'Meara, E., Probstfield, J.L., Shaburishvili, T., Shah, S.J., Solomon, S.D., Sweitzer, N.K., Yang, S. and McKinlay, S.M., 2014. Spironolactone for heart failure with preserved ejection fraction. New England Journal of Medicine, 370(15), pp.1383–1392.</w:t>
            </w:r>
            <w:r w:rsidRPr="00CC6553">
              <w:rPr>
                <w:rFonts w:cs="Arial"/>
                <w:color w:val="000000" w:themeColor="text1"/>
                <w:sz w:val="20"/>
              </w:rPr>
              <w:br/>
              <w:t>Solomon, S.D., McMurray, J.J.V., Vaduganathan, M., Claggett, B., Jhund, P.S., Desai, A.S., Henderson, A.D., Lam, C.S.P., Pitt, B., Senni, M., Shah, S.J., Voors, A.A., Zannad, F., et al., 2024. Finerenone in heart failure with mildly reduced or preserved ejection fraction. New England Journal of Medicine, 391(16), pp.1475–1485.</w:t>
            </w:r>
          </w:p>
        </w:tc>
        <w:tc>
          <w:tcPr>
            <w:tcW w:w="2122" w:type="pct"/>
          </w:tcPr>
          <w:p w14:paraId="0DC4D7F0" w14:textId="77777777"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lastRenderedPageBreak/>
              <w:t>Thank-you for your comments regarding licensing of the MRA, finerenone, which is included in evidence reviews B and D.</w:t>
            </w:r>
          </w:p>
          <w:p w14:paraId="539CD1A7" w14:textId="77777777" w:rsidR="00897293" w:rsidRPr="00CC6553" w:rsidRDefault="00897293" w:rsidP="00B234F1">
            <w:pPr>
              <w:rPr>
                <w:color w:val="000000" w:themeColor="text1"/>
              </w:rPr>
            </w:pPr>
          </w:p>
          <w:p w14:paraId="4223C7BD" w14:textId="77777777" w:rsidR="00897293" w:rsidRPr="00CC6553" w:rsidRDefault="00897293" w:rsidP="00B234F1">
            <w:pPr>
              <w:rPr>
                <w:rFonts w:cs="Arial"/>
                <w:bCs/>
                <w:color w:val="000000" w:themeColor="text1"/>
                <w:sz w:val="20"/>
              </w:rPr>
            </w:pPr>
            <w:r w:rsidRPr="00CC6553">
              <w:rPr>
                <w:rFonts w:cs="Arial"/>
                <w:bCs/>
                <w:color w:val="000000" w:themeColor="text1"/>
                <w:sz w:val="20"/>
              </w:rPr>
              <w:t>We have reconsidered the downgrading of finerenone for intervention indirectness in these evidence reviews. Downgrading for intervention indirectness has been removed for all evidence reflecting finerenone; evidence reviews B and D have been amended accordingly.</w:t>
            </w:r>
          </w:p>
          <w:p w14:paraId="71B26FDB" w14:textId="77777777" w:rsidR="00897293" w:rsidRPr="00CC6553" w:rsidRDefault="00897293" w:rsidP="00B234F1">
            <w:pPr>
              <w:rPr>
                <w:rFonts w:cs="Arial"/>
                <w:bCs/>
                <w:color w:val="000000" w:themeColor="text1"/>
                <w:sz w:val="20"/>
              </w:rPr>
            </w:pPr>
          </w:p>
          <w:p w14:paraId="657A085C" w14:textId="32E87A08" w:rsidR="00897293" w:rsidRPr="00CC6553" w:rsidRDefault="00897293" w:rsidP="476BDDBF">
            <w:pPr>
              <w:rPr>
                <w:rFonts w:cs="Arial"/>
                <w:color w:val="000000" w:themeColor="text1"/>
                <w:sz w:val="20"/>
              </w:rPr>
            </w:pPr>
            <w:r w:rsidRPr="00CC6553">
              <w:rPr>
                <w:rFonts w:cs="Arial"/>
                <w:color w:val="000000" w:themeColor="text1"/>
                <w:sz w:val="20"/>
              </w:rPr>
              <w:t xml:space="preserve">Thank-you for your comments about the TOPCAT trial. The committee was aware of the criticisms of the trial. Limitations of this trial are discussed in evidence reviews B and D; these are reflected in the committee’s decision-making. </w:t>
            </w:r>
          </w:p>
          <w:p w14:paraId="7ADD8E9D" w14:textId="77777777" w:rsidR="00897293" w:rsidRPr="00CC6553" w:rsidRDefault="00897293" w:rsidP="00B234F1">
            <w:pPr>
              <w:pStyle w:val="Heading1"/>
              <w:rPr>
                <w:rFonts w:cs="Arial"/>
                <w:b w:val="0"/>
                <w:color w:val="000000" w:themeColor="text1"/>
                <w:sz w:val="20"/>
              </w:rPr>
            </w:pPr>
          </w:p>
        </w:tc>
      </w:tr>
      <w:tr w:rsidR="00897293" w:rsidRPr="00CC6553" w14:paraId="0F3042C2" w14:textId="77777777" w:rsidTr="00897293">
        <w:trPr>
          <w:trHeight w:val="300"/>
        </w:trPr>
        <w:tc>
          <w:tcPr>
            <w:tcW w:w="109" w:type="pct"/>
          </w:tcPr>
          <w:p w14:paraId="6049323B"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380</w:t>
            </w:r>
          </w:p>
        </w:tc>
        <w:tc>
          <w:tcPr>
            <w:tcW w:w="143" w:type="pct"/>
          </w:tcPr>
          <w:p w14:paraId="7318F3EC" w14:textId="705DBC7F"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F52938E" w14:textId="57153FF5" w:rsidR="00897293" w:rsidRPr="00CC6553" w:rsidRDefault="00897293" w:rsidP="00B234F1">
            <w:pPr>
              <w:rPr>
                <w:rFonts w:cs="Arial"/>
                <w:bCs/>
                <w:iCs/>
                <w:color w:val="000000" w:themeColor="text1"/>
                <w:sz w:val="20"/>
              </w:rPr>
            </w:pPr>
            <w:r w:rsidRPr="00CC6553">
              <w:rPr>
                <w:rFonts w:cs="Arial"/>
                <w:color w:val="000000" w:themeColor="text1"/>
                <w:sz w:val="20"/>
              </w:rPr>
              <w:t>Bayer plc</w:t>
            </w:r>
          </w:p>
        </w:tc>
        <w:tc>
          <w:tcPr>
            <w:tcW w:w="279" w:type="pct"/>
          </w:tcPr>
          <w:p w14:paraId="3DF37AF0" w14:textId="65438287" w:rsidR="00897293" w:rsidRPr="00CC6553" w:rsidRDefault="00897293" w:rsidP="00B234F1">
            <w:pPr>
              <w:rPr>
                <w:rFonts w:cs="Arial"/>
                <w:color w:val="000000" w:themeColor="text1"/>
                <w:sz w:val="20"/>
              </w:rPr>
            </w:pPr>
            <w:r w:rsidRPr="00CC6553">
              <w:rPr>
                <w:rFonts w:cs="Arial"/>
                <w:color w:val="000000" w:themeColor="text1"/>
                <w:sz w:val="20"/>
              </w:rPr>
              <w:t>Evidence review D</w:t>
            </w:r>
          </w:p>
        </w:tc>
        <w:tc>
          <w:tcPr>
            <w:tcW w:w="214" w:type="pct"/>
          </w:tcPr>
          <w:p w14:paraId="40C0268C" w14:textId="69F35DCA" w:rsidR="00897293" w:rsidRPr="00CC6553" w:rsidRDefault="00897293" w:rsidP="00B234F1">
            <w:pPr>
              <w:rPr>
                <w:rFonts w:cs="Arial"/>
                <w:color w:val="000000" w:themeColor="text1"/>
                <w:sz w:val="20"/>
              </w:rPr>
            </w:pPr>
            <w:r w:rsidRPr="00CC6553">
              <w:rPr>
                <w:rFonts w:cs="Arial"/>
                <w:color w:val="000000" w:themeColor="text1"/>
                <w:sz w:val="20"/>
              </w:rPr>
              <w:t>010</w:t>
            </w:r>
          </w:p>
        </w:tc>
        <w:tc>
          <w:tcPr>
            <w:tcW w:w="214" w:type="pct"/>
          </w:tcPr>
          <w:p w14:paraId="2693AF23" w14:textId="38620C0A" w:rsidR="00897293" w:rsidRPr="00CC6553" w:rsidRDefault="00897293" w:rsidP="00B234F1">
            <w:pPr>
              <w:rPr>
                <w:rFonts w:cs="Arial"/>
                <w:color w:val="000000" w:themeColor="text1"/>
                <w:sz w:val="20"/>
              </w:rPr>
            </w:pPr>
            <w:r w:rsidRPr="00CC6553">
              <w:rPr>
                <w:rFonts w:cs="Arial"/>
                <w:color w:val="000000" w:themeColor="text1"/>
                <w:sz w:val="20"/>
              </w:rPr>
              <w:t>Table 2</w:t>
            </w:r>
          </w:p>
        </w:tc>
        <w:tc>
          <w:tcPr>
            <w:tcW w:w="1521" w:type="pct"/>
          </w:tcPr>
          <w:p w14:paraId="0AB2A93C" w14:textId="2474A690" w:rsidR="00897293" w:rsidRPr="00CC6553" w:rsidRDefault="00897293" w:rsidP="00B234F1">
            <w:pPr>
              <w:rPr>
                <w:rFonts w:cs="Arial"/>
                <w:color w:val="000000" w:themeColor="text1"/>
                <w:sz w:val="20"/>
              </w:rPr>
            </w:pPr>
            <w:r w:rsidRPr="00CC6553">
              <w:rPr>
                <w:rFonts w:cs="Arial"/>
                <w:color w:val="000000" w:themeColor="text1"/>
                <w:sz w:val="20"/>
              </w:rPr>
              <w:t>Docherty, 2024 [FINEARTS-HF]: The follow up for this study was 32 months not 12 months. Please correct this throughout the document and so it aligns with the details in evidence review B.</w:t>
            </w:r>
          </w:p>
        </w:tc>
        <w:tc>
          <w:tcPr>
            <w:tcW w:w="2122" w:type="pct"/>
          </w:tcPr>
          <w:p w14:paraId="03131C45" w14:textId="06F2C9D3" w:rsidR="00897293" w:rsidRPr="00CC6553" w:rsidRDefault="00897293" w:rsidP="00B234F1">
            <w:pPr>
              <w:pStyle w:val="Heading1"/>
              <w:rPr>
                <w:rFonts w:cs="Arial"/>
                <w:b w:val="0"/>
                <w:color w:val="000000" w:themeColor="text1"/>
                <w:sz w:val="20"/>
              </w:rPr>
            </w:pPr>
            <w:r w:rsidRPr="00CC6553">
              <w:rPr>
                <w:rFonts w:cs="Arial"/>
                <w:b w:val="0"/>
                <w:bCs w:val="0"/>
                <w:color w:val="000000" w:themeColor="text1"/>
                <w:sz w:val="20"/>
              </w:rPr>
              <w:t>Thank-you for highlighting the need for this correction. The median follow-up for FINEARTS-HF was 32 months. This has been corrected where required in Evidence Review D.</w:t>
            </w:r>
          </w:p>
        </w:tc>
      </w:tr>
      <w:tr w:rsidR="00897293" w:rsidRPr="00CC6553" w14:paraId="144191AE" w14:textId="77777777" w:rsidTr="00897293">
        <w:trPr>
          <w:trHeight w:val="300"/>
        </w:trPr>
        <w:tc>
          <w:tcPr>
            <w:tcW w:w="109" w:type="pct"/>
          </w:tcPr>
          <w:p w14:paraId="497DCF17" w14:textId="77777777" w:rsidR="00897293" w:rsidRPr="00CC6553" w:rsidRDefault="00897293" w:rsidP="00B234F1">
            <w:pPr>
              <w:rPr>
                <w:rFonts w:cs="Arial"/>
                <w:color w:val="000000" w:themeColor="text1"/>
                <w:sz w:val="20"/>
              </w:rPr>
            </w:pPr>
            <w:r w:rsidRPr="00CC6553">
              <w:rPr>
                <w:rFonts w:cs="Arial"/>
                <w:color w:val="000000" w:themeColor="text1"/>
                <w:sz w:val="20"/>
              </w:rPr>
              <w:t>381</w:t>
            </w:r>
          </w:p>
        </w:tc>
        <w:tc>
          <w:tcPr>
            <w:tcW w:w="143" w:type="pct"/>
          </w:tcPr>
          <w:p w14:paraId="7A7E8230" w14:textId="2A26AE5E"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2556DA9" w14:textId="28FC0DA3" w:rsidR="00897293" w:rsidRPr="00CC6553" w:rsidRDefault="00897293" w:rsidP="00B234F1">
            <w:pPr>
              <w:rPr>
                <w:rFonts w:cs="Arial"/>
                <w:bCs/>
                <w:iCs/>
                <w:color w:val="000000" w:themeColor="text1"/>
                <w:sz w:val="20"/>
              </w:rPr>
            </w:pPr>
            <w:r w:rsidRPr="00CC6553">
              <w:rPr>
                <w:rFonts w:cs="Arial"/>
                <w:color w:val="000000" w:themeColor="text1"/>
                <w:sz w:val="20"/>
              </w:rPr>
              <w:t>Bayer plc</w:t>
            </w:r>
          </w:p>
        </w:tc>
        <w:tc>
          <w:tcPr>
            <w:tcW w:w="279" w:type="pct"/>
          </w:tcPr>
          <w:p w14:paraId="025CE0EA" w14:textId="68A3F69C" w:rsidR="00897293" w:rsidRPr="00CC6553" w:rsidRDefault="00897293" w:rsidP="00B234F1">
            <w:pPr>
              <w:rPr>
                <w:rFonts w:cs="Arial"/>
                <w:color w:val="000000" w:themeColor="text1"/>
                <w:sz w:val="20"/>
              </w:rPr>
            </w:pPr>
            <w:r w:rsidRPr="00CC6553">
              <w:rPr>
                <w:rFonts w:cs="Arial"/>
                <w:color w:val="000000" w:themeColor="text1"/>
                <w:sz w:val="20"/>
              </w:rPr>
              <w:t>Evidence review D</w:t>
            </w:r>
          </w:p>
        </w:tc>
        <w:tc>
          <w:tcPr>
            <w:tcW w:w="214" w:type="pct"/>
          </w:tcPr>
          <w:p w14:paraId="402D0F6E" w14:textId="7538BB0D" w:rsidR="00897293" w:rsidRPr="00CC6553" w:rsidRDefault="00897293" w:rsidP="00B234F1">
            <w:pPr>
              <w:rPr>
                <w:rFonts w:cs="Arial"/>
                <w:color w:val="000000" w:themeColor="text1"/>
                <w:sz w:val="20"/>
              </w:rPr>
            </w:pPr>
            <w:r w:rsidRPr="00CC6553">
              <w:rPr>
                <w:rFonts w:cs="Arial"/>
                <w:color w:val="000000" w:themeColor="text1"/>
                <w:sz w:val="20"/>
              </w:rPr>
              <w:t>017</w:t>
            </w:r>
          </w:p>
        </w:tc>
        <w:tc>
          <w:tcPr>
            <w:tcW w:w="214" w:type="pct"/>
          </w:tcPr>
          <w:p w14:paraId="1BB5BF10" w14:textId="1C6CCFA5" w:rsidR="00897293" w:rsidRPr="00CC6553" w:rsidRDefault="00897293" w:rsidP="00B234F1">
            <w:pPr>
              <w:rPr>
                <w:rFonts w:cs="Arial"/>
                <w:color w:val="000000" w:themeColor="text1"/>
                <w:sz w:val="20"/>
              </w:rPr>
            </w:pPr>
            <w:r w:rsidRPr="00CC6553">
              <w:rPr>
                <w:rFonts w:cs="Arial"/>
                <w:color w:val="000000" w:themeColor="text1"/>
                <w:sz w:val="20"/>
              </w:rPr>
              <w:t>Table 7</w:t>
            </w:r>
          </w:p>
        </w:tc>
        <w:tc>
          <w:tcPr>
            <w:tcW w:w="1521" w:type="pct"/>
          </w:tcPr>
          <w:p w14:paraId="266F99F6" w14:textId="0AC7A50D" w:rsidR="00897293" w:rsidRPr="00CC6553" w:rsidRDefault="00897293" w:rsidP="00B234F1">
            <w:pPr>
              <w:rPr>
                <w:rFonts w:cs="Arial"/>
                <w:color w:val="000000" w:themeColor="text1"/>
                <w:sz w:val="20"/>
              </w:rPr>
            </w:pPr>
            <w:r w:rsidRPr="00CC6553">
              <w:rPr>
                <w:rFonts w:cs="Arial"/>
                <w:color w:val="000000" w:themeColor="text1"/>
                <w:sz w:val="20"/>
              </w:rPr>
              <w:t>20mg once daily (CKD), 20mg or 40mg daily FINEARTS-HF trial dosage, cost based on 40mg</w:t>
            </w:r>
            <w:r w:rsidRPr="00CC6553">
              <w:rPr>
                <w:rFonts w:cs="Arial"/>
                <w:color w:val="000000" w:themeColor="text1"/>
                <w:sz w:val="20"/>
              </w:rPr>
              <w:br/>
            </w:r>
            <w:r w:rsidRPr="00CC6553">
              <w:rPr>
                <w:rFonts w:cs="Arial"/>
                <w:color w:val="000000" w:themeColor="text1"/>
                <w:sz w:val="20"/>
              </w:rPr>
              <w:br/>
              <w:t>The draft guideline currently estimates the annual cost of finerenone at £956.96, based on two 20 mg tablets taken daily</w:t>
            </w:r>
            <w:r w:rsidRPr="00183929">
              <w:rPr>
                <w:rFonts w:cs="Arial"/>
                <w:color w:val="000000" w:themeColor="text1"/>
                <w:sz w:val="20"/>
              </w:rPr>
              <w:t xml:space="preserve">. </w:t>
            </w:r>
            <w:r w:rsidRPr="00183929">
              <w:rPr>
                <w:rFonts w:cs="Arial"/>
                <w:color w:val="000000" w:themeColor="text1"/>
                <w:sz w:val="20"/>
                <w:u w:val="single"/>
              </w:rPr>
              <w:t>[This text was identified as confidential and has been removed].</w:t>
            </w:r>
          </w:p>
        </w:tc>
        <w:tc>
          <w:tcPr>
            <w:tcW w:w="2122" w:type="pct"/>
          </w:tcPr>
          <w:p w14:paraId="22724158" w14:textId="7430171E" w:rsidR="00897293" w:rsidRPr="00CC6553" w:rsidRDefault="00897293" w:rsidP="00B234F1">
            <w:pPr>
              <w:rPr>
                <w:color w:val="000000" w:themeColor="text1"/>
              </w:rPr>
            </w:pPr>
            <w:r w:rsidRPr="00CC6553">
              <w:rPr>
                <w:rFonts w:cs="Arial"/>
                <w:color w:val="000000" w:themeColor="text1"/>
                <w:sz w:val="20"/>
              </w:rPr>
              <w:t xml:space="preserve">Thank you for your comment. </w:t>
            </w:r>
            <w:r w:rsidRPr="00CC6553">
              <w:rPr>
                <w:rFonts w:cs="Arial"/>
                <w:color w:val="000000" w:themeColor="text1"/>
                <w:sz w:val="20"/>
              </w:rPr>
              <w:br/>
              <w:t xml:space="preserve">We have estimated the total annual cost based on the current prices available on the BNF. As the expected price is confidential we are unable to </w:t>
            </w:r>
            <w:r w:rsidRPr="00CC6553">
              <w:rPr>
                <w:rFonts w:cs="Arial"/>
                <w:bCs/>
                <w:color w:val="000000" w:themeColor="text1"/>
                <w:sz w:val="20"/>
              </w:rPr>
              <w:t>use this price in the guideline. The expected cost will be used during the technolog</w:t>
            </w:r>
            <w:r>
              <w:rPr>
                <w:rFonts w:cs="Arial"/>
                <w:bCs/>
                <w:color w:val="000000" w:themeColor="text1"/>
                <w:sz w:val="20"/>
              </w:rPr>
              <w:t xml:space="preserve">y </w:t>
            </w:r>
            <w:r w:rsidRPr="00CC6553">
              <w:rPr>
                <w:rFonts w:cs="Arial"/>
                <w:bCs/>
                <w:color w:val="000000" w:themeColor="text1"/>
                <w:sz w:val="20"/>
              </w:rPr>
              <w:t>appraisal process</w:t>
            </w:r>
            <w:r w:rsidRPr="00CC6553">
              <w:rPr>
                <w:rFonts w:cs="Arial"/>
                <w:color w:val="000000" w:themeColor="text1"/>
                <w:sz w:val="20"/>
              </w:rPr>
              <w:t>.</w:t>
            </w:r>
          </w:p>
        </w:tc>
      </w:tr>
      <w:tr w:rsidR="00897293" w:rsidRPr="00CC6553" w14:paraId="6A3D71AF" w14:textId="77777777" w:rsidTr="00897293">
        <w:trPr>
          <w:trHeight w:val="300"/>
        </w:trPr>
        <w:tc>
          <w:tcPr>
            <w:tcW w:w="109" w:type="pct"/>
          </w:tcPr>
          <w:p w14:paraId="327E8958" w14:textId="77777777" w:rsidR="00897293" w:rsidRPr="00CC6553" w:rsidRDefault="00897293" w:rsidP="00B234F1">
            <w:pPr>
              <w:rPr>
                <w:rFonts w:cs="Arial"/>
                <w:color w:val="000000" w:themeColor="text1"/>
                <w:sz w:val="20"/>
              </w:rPr>
            </w:pPr>
            <w:r w:rsidRPr="00CC6553">
              <w:rPr>
                <w:rFonts w:cs="Arial"/>
                <w:color w:val="000000" w:themeColor="text1"/>
                <w:sz w:val="20"/>
              </w:rPr>
              <w:t>382</w:t>
            </w:r>
          </w:p>
        </w:tc>
        <w:tc>
          <w:tcPr>
            <w:tcW w:w="143" w:type="pct"/>
          </w:tcPr>
          <w:p w14:paraId="3B67B33C" w14:textId="1FD6DB82"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453DC77" w14:textId="10AFC5A6" w:rsidR="00897293" w:rsidRPr="00CC6553" w:rsidRDefault="00897293" w:rsidP="00B234F1">
            <w:pPr>
              <w:rPr>
                <w:rFonts w:cs="Arial"/>
                <w:bCs/>
                <w:iCs/>
                <w:color w:val="000000" w:themeColor="text1"/>
                <w:sz w:val="20"/>
              </w:rPr>
            </w:pPr>
            <w:r w:rsidRPr="00CC6553">
              <w:rPr>
                <w:rFonts w:cs="Arial"/>
                <w:color w:val="000000" w:themeColor="text1"/>
                <w:sz w:val="20"/>
              </w:rPr>
              <w:t>Bayer plc</w:t>
            </w:r>
          </w:p>
        </w:tc>
        <w:tc>
          <w:tcPr>
            <w:tcW w:w="279" w:type="pct"/>
          </w:tcPr>
          <w:p w14:paraId="703D88A2" w14:textId="423E265B" w:rsidR="00897293" w:rsidRPr="00CC6553" w:rsidRDefault="00897293" w:rsidP="00B234F1">
            <w:pPr>
              <w:rPr>
                <w:rFonts w:cs="Arial"/>
                <w:color w:val="000000" w:themeColor="text1"/>
                <w:sz w:val="20"/>
              </w:rPr>
            </w:pPr>
            <w:r w:rsidRPr="00CC6553">
              <w:rPr>
                <w:rFonts w:cs="Arial"/>
                <w:color w:val="000000" w:themeColor="text1"/>
                <w:sz w:val="20"/>
              </w:rPr>
              <w:t>Evidence review D</w:t>
            </w:r>
          </w:p>
        </w:tc>
        <w:tc>
          <w:tcPr>
            <w:tcW w:w="214" w:type="pct"/>
          </w:tcPr>
          <w:p w14:paraId="03AFB307" w14:textId="65523B9C" w:rsidR="00897293" w:rsidRPr="00CC6553" w:rsidRDefault="00897293" w:rsidP="00B234F1">
            <w:pPr>
              <w:rPr>
                <w:rFonts w:cs="Arial"/>
                <w:color w:val="000000" w:themeColor="text1"/>
                <w:sz w:val="20"/>
              </w:rPr>
            </w:pPr>
            <w:r w:rsidRPr="00CC6553">
              <w:rPr>
                <w:rFonts w:cs="Arial"/>
                <w:color w:val="000000" w:themeColor="text1"/>
                <w:sz w:val="20"/>
              </w:rPr>
              <w:t>019</w:t>
            </w:r>
          </w:p>
        </w:tc>
        <w:tc>
          <w:tcPr>
            <w:tcW w:w="214" w:type="pct"/>
          </w:tcPr>
          <w:p w14:paraId="0673D6E8" w14:textId="1EC5C59D" w:rsidR="00897293" w:rsidRPr="00CC6553" w:rsidRDefault="00897293" w:rsidP="00B234F1">
            <w:pPr>
              <w:rPr>
                <w:rFonts w:cs="Arial"/>
                <w:color w:val="000000" w:themeColor="text1"/>
                <w:sz w:val="20"/>
              </w:rPr>
            </w:pPr>
            <w:r w:rsidRPr="00CC6553">
              <w:rPr>
                <w:rFonts w:cs="Arial"/>
                <w:color w:val="000000" w:themeColor="text1"/>
                <w:sz w:val="20"/>
              </w:rPr>
              <w:t>040 - 045</w:t>
            </w:r>
          </w:p>
        </w:tc>
        <w:tc>
          <w:tcPr>
            <w:tcW w:w="1521" w:type="pct"/>
          </w:tcPr>
          <w:p w14:paraId="25084113" w14:textId="243AC7C4" w:rsidR="00897293" w:rsidRPr="00CC6553" w:rsidRDefault="00897293" w:rsidP="00B234F1">
            <w:pPr>
              <w:rPr>
                <w:rFonts w:cs="Arial"/>
                <w:color w:val="000000" w:themeColor="text1"/>
                <w:sz w:val="20"/>
              </w:rPr>
            </w:pPr>
            <w:r w:rsidRPr="00CC6553">
              <w:rPr>
                <w:rFonts w:cs="Arial"/>
                <w:color w:val="000000" w:themeColor="text1"/>
                <w:sz w:val="20"/>
              </w:rPr>
              <w:t>The evidence also suggested that gynaecomastia or breast enlargement and tenderness may be associated specifically with spironolactone use, however, this adverse event was agreed not to be severe enough to cease MRA treatment for HFpEF in most cases. As gynaecomastia or breast enlargement or tenderness is only associated with spironolactone, eplerenone or finerenone could be considered as alternative options. However, finerenone is a more expensive alternative.</w:t>
            </w:r>
            <w:r w:rsidRPr="00CC6553">
              <w:rPr>
                <w:color w:val="000000" w:themeColor="text1"/>
              </w:rPr>
              <w:br/>
            </w:r>
            <w:r w:rsidRPr="00CC6553">
              <w:rPr>
                <w:color w:val="000000" w:themeColor="text1"/>
              </w:rPr>
              <w:br/>
            </w:r>
            <w:r w:rsidRPr="00CC6553">
              <w:rPr>
                <w:rFonts w:cs="Arial"/>
                <w:color w:val="000000" w:themeColor="text1"/>
                <w:sz w:val="20"/>
              </w:rPr>
              <w:t xml:space="preserve">Bayer appreciates that NICE acknowledges the difference in the hormonal side-effects profile of spironolactone and finerenone. However, the statement fails to recognise that, similar to spironolactone, eplerenone has been linked to hormonal side effects, including gynaecomastia, albeit at a lesser frequency (Elshahat 2024). </w:t>
            </w:r>
            <w:r w:rsidRPr="00CC6553">
              <w:rPr>
                <w:color w:val="000000" w:themeColor="text1"/>
              </w:rPr>
              <w:br/>
            </w:r>
            <w:r w:rsidRPr="00CC6553">
              <w:rPr>
                <w:rFonts w:cs="Arial"/>
                <w:color w:val="000000" w:themeColor="text1"/>
                <w:sz w:val="20"/>
              </w:rPr>
              <w:t>The interpretation underestimates the clinical and practical implications of spironolactone-induced gynaecomastia and does not fully reflect the comparative safety profile of finerenone.</w:t>
            </w:r>
            <w:r w:rsidRPr="00CC6553">
              <w:rPr>
                <w:color w:val="000000" w:themeColor="text1"/>
              </w:rPr>
              <w:br/>
            </w:r>
            <w:r w:rsidRPr="00CC6553">
              <w:rPr>
                <w:color w:val="000000" w:themeColor="text1"/>
              </w:rPr>
              <w:lastRenderedPageBreak/>
              <w:br/>
            </w:r>
            <w:r w:rsidRPr="00CC6553">
              <w:rPr>
                <w:rFonts w:cs="Arial"/>
                <w:color w:val="000000" w:themeColor="text1"/>
                <w:sz w:val="20"/>
              </w:rPr>
              <w:t xml:space="preserve">Magnitude and Clinical Relevance of Gynaecomastia Risk: The evidence review reports a significantly elevated risk of gynaecomastia or breast tenderness with spironolactone: a relative risk (RR) of 7.53 (95% CI: 3.43 to 16.51), translating to 24 additional cases per 1,000 patients treated compared to placebo. This is graded as high-certainty evidence (GRADE </w:t>
            </w:r>
            <w:r w:rsidRPr="00CC6553">
              <w:rPr>
                <w:rFonts w:ascii="Cambria Math" w:hAnsi="Cambria Math" w:cs="Cambria Math"/>
                <w:color w:val="000000" w:themeColor="text1"/>
                <w:sz w:val="20"/>
              </w:rPr>
              <w:t>⨁⨁⨁⨁</w:t>
            </w:r>
            <w:r w:rsidRPr="00CC6553">
              <w:rPr>
                <w:rFonts w:cs="Arial"/>
                <w:color w:val="000000" w:themeColor="text1"/>
                <w:sz w:val="20"/>
              </w:rPr>
              <w:t>) and is based on pooled data from three randomised controlled trials. While not life-threatening, this adverse event can meaningfully impact patient quality of life, adherence, and willingness to continue therapy—particularly in a chronic condition such as HFpEF.</w:t>
            </w:r>
            <w:r w:rsidRPr="00CC6553">
              <w:rPr>
                <w:color w:val="000000" w:themeColor="text1"/>
              </w:rPr>
              <w:br/>
            </w:r>
            <w:r w:rsidRPr="00CC6553">
              <w:rPr>
                <w:rFonts w:cs="Arial"/>
                <w:color w:val="000000" w:themeColor="text1"/>
                <w:sz w:val="20"/>
              </w:rPr>
              <w:t>Finerenone’s Distinct Safety Profile: Finerenone, a non-steroidal MRA, has minimal affinity for androgen and progesterone receptors, unlike steroidal MRAs. This pharmacological distinction underpins its favourable safety profile, including a markedly lower incidence of sex hormone-related side effects. In the FINEARTS-HF trial, finerenone was not associated with clinically significant rates of gynaecomastia.</w:t>
            </w:r>
            <w:r w:rsidRPr="00CC6553">
              <w:rPr>
                <w:color w:val="000000" w:themeColor="text1"/>
              </w:rPr>
              <w:br/>
            </w:r>
            <w:r w:rsidRPr="00CC6553">
              <w:rPr>
                <w:color w:val="000000" w:themeColor="text1"/>
              </w:rPr>
              <w:br/>
            </w:r>
            <w:r w:rsidRPr="00CC6553">
              <w:rPr>
                <w:rFonts w:cs="Arial"/>
                <w:color w:val="000000" w:themeColor="text1"/>
                <w:sz w:val="20"/>
              </w:rPr>
              <w:t>Bayer suggests that the wording should be reviewed to reflect that clinicians and patients should be mindful of the risk of hormonal side-effects associated with the use of steroidal MRAs. Stating that finerenone could be considered an alternative option seems to pre-empt the outcome of an in-development health technology guidance, which NICE is yet to conclude.</w:t>
            </w:r>
            <w:r w:rsidRPr="00CC6553">
              <w:rPr>
                <w:color w:val="000000" w:themeColor="text1"/>
              </w:rPr>
              <w:br/>
            </w:r>
            <w:r w:rsidRPr="00CC6553">
              <w:rPr>
                <w:color w:val="000000" w:themeColor="text1"/>
              </w:rPr>
              <w:br/>
            </w:r>
            <w:r w:rsidRPr="00CC6553">
              <w:rPr>
                <w:rFonts w:cs="Arial"/>
                <w:color w:val="000000" w:themeColor="text1"/>
                <w:sz w:val="20"/>
              </w:rPr>
              <w:t>References</w:t>
            </w:r>
            <w:r w:rsidRPr="00CC6553">
              <w:rPr>
                <w:color w:val="000000" w:themeColor="text1"/>
              </w:rPr>
              <w:br/>
            </w:r>
            <w:r w:rsidRPr="00CC6553">
              <w:rPr>
                <w:rFonts w:cs="Arial"/>
                <w:color w:val="000000" w:themeColor="text1"/>
                <w:sz w:val="20"/>
              </w:rPr>
              <w:t>Elshahat, Ahmed et al. “Comparative effectiveness and safety of eplerenone and spironolactone in patients with heart failure: a systematic review and meta-analysis.” BMC cardiovascular disorders vol. 24,1 489. 13 Sep. 2024, doi:10.1186/s12872-024-04103-7</w:t>
            </w:r>
          </w:p>
        </w:tc>
        <w:tc>
          <w:tcPr>
            <w:tcW w:w="2122" w:type="pct"/>
          </w:tcPr>
          <w:p w14:paraId="0FA361E4" w14:textId="79B8534D" w:rsidR="00897293" w:rsidRPr="00CC6553" w:rsidRDefault="00897293" w:rsidP="00B234F1">
            <w:pPr>
              <w:pStyle w:val="Heading1"/>
              <w:rPr>
                <w:rFonts w:cs="Arial"/>
                <w:b w:val="0"/>
                <w:bCs w:val="0"/>
                <w:color w:val="000000" w:themeColor="text1"/>
                <w:sz w:val="20"/>
              </w:rPr>
            </w:pPr>
            <w:r w:rsidRPr="00CC6553">
              <w:rPr>
                <w:rFonts w:cs="Arial"/>
                <w:b w:val="0"/>
                <w:bCs w:val="0"/>
                <w:color w:val="000000" w:themeColor="text1"/>
                <w:sz w:val="20"/>
              </w:rPr>
              <w:lastRenderedPageBreak/>
              <w:t xml:space="preserve">Thank you for your comment. Evidence in review D for gynaecomastia came largely from studies looking at spironolactone, therefore the committee discussion reflects the evidence base. Since eplerenone is not licenced in people with heart failure with preserved ejection fraction, evidence on this drug will be removed from this evidence review. </w:t>
            </w:r>
          </w:p>
          <w:p w14:paraId="777D9CCA" w14:textId="77777777" w:rsidR="00897293" w:rsidRPr="00CC6553" w:rsidRDefault="00897293" w:rsidP="00B234F1">
            <w:pPr>
              <w:rPr>
                <w:color w:val="000000" w:themeColor="text1"/>
              </w:rPr>
            </w:pPr>
          </w:p>
          <w:p w14:paraId="49E3DAAF" w14:textId="77777777" w:rsidR="00897293" w:rsidRPr="00CC6553" w:rsidRDefault="00897293" w:rsidP="00B234F1">
            <w:pPr>
              <w:rPr>
                <w:color w:val="000000" w:themeColor="text1"/>
              </w:rPr>
            </w:pPr>
          </w:p>
          <w:p w14:paraId="5B8D7D1E" w14:textId="1F860911" w:rsidR="00897293" w:rsidRPr="00CC6553" w:rsidRDefault="00897293" w:rsidP="00B234F1">
            <w:pPr>
              <w:rPr>
                <w:color w:val="000000" w:themeColor="text1"/>
              </w:rPr>
            </w:pPr>
            <w:r w:rsidRPr="00CC6553">
              <w:rPr>
                <w:rFonts w:cs="Arial"/>
                <w:color w:val="000000" w:themeColor="text1"/>
                <w:sz w:val="20"/>
              </w:rPr>
              <w:t xml:space="preserve">The committee were comfortable with clinicians using their judgement in their decisions on exactly which </w:t>
            </w:r>
            <w:r w:rsidRPr="00CC6553">
              <w:rPr>
                <w:rFonts w:cs="Arial"/>
                <w:color w:val="000000" w:themeColor="text1"/>
                <w:sz w:val="20"/>
              </w:rPr>
              <w:lastRenderedPageBreak/>
              <w:t>medicine to use within a class. This includes consideration of risk of hormonal side effects. Please note a sentence has been added to the summary of the committee’s discussion (p 20 of evidence review D) to reflect this: ‘Clinical judgement is important when selecting individual medicines to use within this class including consideration of differences in side effect profiles.’</w:t>
            </w:r>
          </w:p>
          <w:p w14:paraId="603E4F8D" w14:textId="0A3A14CD" w:rsidR="00897293" w:rsidRPr="00CC6553" w:rsidRDefault="00897293" w:rsidP="476BDDBF">
            <w:pPr>
              <w:rPr>
                <w:rFonts w:cs="Arial"/>
                <w:color w:val="000000" w:themeColor="text1"/>
                <w:sz w:val="20"/>
              </w:rPr>
            </w:pPr>
          </w:p>
          <w:p w14:paraId="48B5319F" w14:textId="3A1C599D" w:rsidR="00897293" w:rsidRPr="00CC6553" w:rsidRDefault="00897293" w:rsidP="476BDDBF">
            <w:pPr>
              <w:rPr>
                <w:rFonts w:eastAsia="Arial" w:cs="Arial"/>
                <w:color w:val="000000" w:themeColor="text1"/>
                <w:sz w:val="20"/>
              </w:rPr>
            </w:pPr>
            <w:r w:rsidRPr="00CC6553">
              <w:rPr>
                <w:rFonts w:cs="Arial"/>
                <w:color w:val="000000" w:themeColor="text1"/>
                <w:sz w:val="20"/>
              </w:rPr>
              <w:t>In addition, wording on gynaecomastia and options for MRAs has been revised to include ‘The cost-effectiveness of finerenone for treating heart failure with preserved or mildly reduced ejection fraction will be formally assessed by NICE later in 2025’ - please see p19 of Evidence review D.</w:t>
            </w:r>
          </w:p>
        </w:tc>
      </w:tr>
      <w:tr w:rsidR="00897293" w:rsidRPr="00CC6553" w14:paraId="65E0954C" w14:textId="77777777" w:rsidTr="00897293">
        <w:trPr>
          <w:trHeight w:val="300"/>
        </w:trPr>
        <w:tc>
          <w:tcPr>
            <w:tcW w:w="109" w:type="pct"/>
          </w:tcPr>
          <w:p w14:paraId="523F2702"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383</w:t>
            </w:r>
          </w:p>
        </w:tc>
        <w:tc>
          <w:tcPr>
            <w:tcW w:w="143" w:type="pct"/>
          </w:tcPr>
          <w:p w14:paraId="5BC848CC" w14:textId="7E0E78B9"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2D9DA87B" w14:textId="0C3A5F33" w:rsidR="00897293" w:rsidRPr="00CC6553" w:rsidRDefault="00897293" w:rsidP="00B234F1">
            <w:pPr>
              <w:rPr>
                <w:rFonts w:cs="Arial"/>
                <w:bCs/>
                <w:iCs/>
                <w:color w:val="000000" w:themeColor="text1"/>
                <w:sz w:val="20"/>
              </w:rPr>
            </w:pPr>
            <w:r w:rsidRPr="00CC6553">
              <w:rPr>
                <w:rFonts w:cs="Arial"/>
                <w:color w:val="000000" w:themeColor="text1"/>
                <w:sz w:val="20"/>
              </w:rPr>
              <w:t>Bayer plc</w:t>
            </w:r>
          </w:p>
        </w:tc>
        <w:tc>
          <w:tcPr>
            <w:tcW w:w="279" w:type="pct"/>
          </w:tcPr>
          <w:p w14:paraId="14553F84" w14:textId="3662E319" w:rsidR="00897293" w:rsidRPr="00CC6553" w:rsidRDefault="00897293" w:rsidP="00B234F1">
            <w:pPr>
              <w:rPr>
                <w:rFonts w:cs="Arial"/>
                <w:color w:val="000000" w:themeColor="text1"/>
                <w:sz w:val="20"/>
              </w:rPr>
            </w:pPr>
            <w:r w:rsidRPr="00CC6553">
              <w:rPr>
                <w:rFonts w:cs="Arial"/>
                <w:color w:val="000000" w:themeColor="text1"/>
                <w:sz w:val="20"/>
              </w:rPr>
              <w:t>Evidence review D</w:t>
            </w:r>
          </w:p>
        </w:tc>
        <w:tc>
          <w:tcPr>
            <w:tcW w:w="214" w:type="pct"/>
          </w:tcPr>
          <w:p w14:paraId="257273B6" w14:textId="0AAEF912" w:rsidR="00897293" w:rsidRPr="00CC6553" w:rsidRDefault="00897293" w:rsidP="00B234F1">
            <w:pPr>
              <w:rPr>
                <w:rFonts w:cs="Arial"/>
                <w:color w:val="000000" w:themeColor="text1"/>
                <w:sz w:val="20"/>
              </w:rPr>
            </w:pPr>
            <w:r w:rsidRPr="00CC6553">
              <w:rPr>
                <w:rFonts w:cs="Arial"/>
                <w:color w:val="000000" w:themeColor="text1"/>
                <w:sz w:val="20"/>
              </w:rPr>
              <w:t>020</w:t>
            </w:r>
          </w:p>
        </w:tc>
        <w:tc>
          <w:tcPr>
            <w:tcW w:w="214" w:type="pct"/>
          </w:tcPr>
          <w:p w14:paraId="32CDCEE8" w14:textId="7595E9D9" w:rsidR="00897293" w:rsidRPr="00CC6553" w:rsidRDefault="00897293" w:rsidP="00B234F1">
            <w:pPr>
              <w:rPr>
                <w:rFonts w:cs="Arial"/>
                <w:color w:val="000000" w:themeColor="text1"/>
                <w:sz w:val="20"/>
              </w:rPr>
            </w:pPr>
            <w:r w:rsidRPr="00CC6553">
              <w:rPr>
                <w:rFonts w:cs="Arial"/>
                <w:color w:val="000000" w:themeColor="text1"/>
                <w:sz w:val="20"/>
              </w:rPr>
              <w:t>022</w:t>
            </w:r>
          </w:p>
        </w:tc>
        <w:tc>
          <w:tcPr>
            <w:tcW w:w="1521" w:type="pct"/>
          </w:tcPr>
          <w:p w14:paraId="1C876031" w14:textId="61C93B7D" w:rsidR="00897293" w:rsidRPr="00CC6553" w:rsidRDefault="00897293" w:rsidP="00B234F1">
            <w:pPr>
              <w:rPr>
                <w:rFonts w:cs="Arial"/>
                <w:color w:val="000000" w:themeColor="text1"/>
                <w:sz w:val="20"/>
              </w:rPr>
            </w:pPr>
            <w:r w:rsidRPr="00CC6553">
              <w:rPr>
                <w:rFonts w:cs="Arial"/>
                <w:color w:val="000000" w:themeColor="text1"/>
                <w:sz w:val="20"/>
              </w:rPr>
              <w:t>The only MRA licenced for this subpopulation at the time of writing is spironolactone.</w:t>
            </w:r>
            <w:r w:rsidRPr="00CC6553">
              <w:rPr>
                <w:rFonts w:cs="Arial"/>
                <w:color w:val="000000" w:themeColor="text1"/>
                <w:sz w:val="20"/>
              </w:rPr>
              <w:br/>
            </w:r>
            <w:r w:rsidRPr="00CC6553">
              <w:rPr>
                <w:rFonts w:cs="Arial"/>
                <w:color w:val="000000" w:themeColor="text1"/>
                <w:sz w:val="20"/>
              </w:rPr>
              <w:br/>
              <w:t xml:space="preserve">Spironolactone is licensed for use in severe heart failure (NYHA class III–IV), </w:t>
            </w:r>
            <w:r w:rsidRPr="00CC6553">
              <w:rPr>
                <w:rFonts w:cs="Arial"/>
                <w:color w:val="000000" w:themeColor="text1"/>
                <w:sz w:val="20"/>
              </w:rPr>
              <w:lastRenderedPageBreak/>
              <w:t xml:space="preserve">based on the RALES trial, which enrolled patients with LVEF ≤35% and a history of NYHA class IV symptoms within six months (eMC, 2024b; Pitt et al., 1999). Eplerenone is licensed for post-myocardial infarction patients with LVEF ≤40% and clinical signs of heart failure (EPHESUS trial) (Pitt et al., 2003) and stable chronic HFrEF with mild symptoms (NYHA class II) and LVEF ≤30%, or ≤35% with QRS &gt;130 ms (EMPHASIS-HF trial) </w:t>
            </w:r>
            <w:r w:rsidRPr="007221C1">
              <w:rPr>
                <w:rFonts w:cs="Arial"/>
                <w:color w:val="000000" w:themeColor="text1"/>
                <w:sz w:val="20"/>
              </w:rPr>
              <w:t>(Zannad et al., 2011; eMC, 2024a)</w:t>
            </w:r>
            <w:r w:rsidRPr="007221C1">
              <w:rPr>
                <w:rFonts w:cs="Arial"/>
                <w:color w:val="000000" w:themeColor="text1"/>
                <w:sz w:val="20"/>
              </w:rPr>
              <w:br/>
              <w:t xml:space="preserve"> </w:t>
            </w:r>
            <w:r w:rsidRPr="007221C1">
              <w:rPr>
                <w:rFonts w:cs="Arial"/>
                <w:color w:val="000000" w:themeColor="text1"/>
                <w:sz w:val="20"/>
              </w:rPr>
              <w:br/>
            </w:r>
            <w:r w:rsidRPr="007221C1">
              <w:rPr>
                <w:rFonts w:cs="Arial"/>
                <w:color w:val="000000" w:themeColor="text1"/>
                <w:sz w:val="20"/>
                <w:u w:val="single"/>
              </w:rPr>
              <w:t xml:space="preserve">[This text was identified as confidential and has been removed] </w:t>
            </w:r>
            <w:r w:rsidRPr="007221C1">
              <w:rPr>
                <w:rFonts w:cs="Arial"/>
                <w:color w:val="000000" w:themeColor="text1"/>
                <w:sz w:val="20"/>
              </w:rPr>
              <w:t>and</w:t>
            </w:r>
            <w:r w:rsidRPr="00CC6553">
              <w:rPr>
                <w:rFonts w:cs="Arial"/>
                <w:color w:val="000000" w:themeColor="text1"/>
                <w:sz w:val="20"/>
              </w:rPr>
              <w:t xml:space="preserve"> it has been scheduled into the NICE technology appraisal programme, with the scoping stage completed in May 2025. https://www.nice.org.uk/guidance/indevelopment/gid-ta11651</w:t>
            </w:r>
          </w:p>
        </w:tc>
        <w:tc>
          <w:tcPr>
            <w:tcW w:w="2122" w:type="pct"/>
          </w:tcPr>
          <w:p w14:paraId="1081FD56" w14:textId="73F3CC89" w:rsidR="00897293" w:rsidRPr="00CC6553" w:rsidRDefault="00897293" w:rsidP="00B234F1">
            <w:pPr>
              <w:pStyle w:val="Heading1"/>
              <w:rPr>
                <w:rFonts w:cs="Arial"/>
                <w:b w:val="0"/>
                <w:bCs w:val="0"/>
                <w:color w:val="000000" w:themeColor="text1"/>
                <w:sz w:val="20"/>
              </w:rPr>
            </w:pPr>
            <w:r w:rsidRPr="00CC6553">
              <w:rPr>
                <w:rFonts w:cs="Arial"/>
                <w:b w:val="0"/>
                <w:bCs w:val="0"/>
                <w:color w:val="000000" w:themeColor="text1"/>
                <w:sz w:val="20"/>
              </w:rPr>
              <w:lastRenderedPageBreak/>
              <w:t>Thank-you for highlighting the specific CHF phenotype that eplerenone is licensed for. W</w:t>
            </w:r>
            <w:r>
              <w:rPr>
                <w:rFonts w:cs="Arial"/>
                <w:b w:val="0"/>
                <w:bCs w:val="0"/>
                <w:color w:val="000000" w:themeColor="text1"/>
                <w:sz w:val="20"/>
              </w:rPr>
              <w:t>e</w:t>
            </w:r>
            <w:r w:rsidRPr="00CC6553">
              <w:rPr>
                <w:rFonts w:cs="Arial"/>
                <w:b w:val="0"/>
                <w:bCs w:val="0"/>
                <w:color w:val="000000" w:themeColor="text1"/>
                <w:sz w:val="20"/>
              </w:rPr>
              <w:t xml:space="preserve"> have therefore reconsidered inclusion of </w:t>
            </w:r>
            <w:r w:rsidRPr="00CC6553">
              <w:rPr>
                <w:rFonts w:cs="Arial"/>
                <w:b w:val="0"/>
                <w:bCs w:val="0"/>
                <w:color w:val="000000" w:themeColor="text1"/>
                <w:sz w:val="20"/>
              </w:rPr>
              <w:lastRenderedPageBreak/>
              <w:t>studies that use eplerenone as the intervention. Relevant RCTs have been removed from the evidence review.</w:t>
            </w:r>
          </w:p>
        </w:tc>
      </w:tr>
      <w:tr w:rsidR="00897293" w:rsidRPr="00CC6553" w14:paraId="2B004AA3" w14:textId="77777777" w:rsidTr="00897293">
        <w:trPr>
          <w:trHeight w:val="300"/>
        </w:trPr>
        <w:tc>
          <w:tcPr>
            <w:tcW w:w="109" w:type="pct"/>
          </w:tcPr>
          <w:p w14:paraId="73CC6244"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384</w:t>
            </w:r>
          </w:p>
        </w:tc>
        <w:tc>
          <w:tcPr>
            <w:tcW w:w="143" w:type="pct"/>
          </w:tcPr>
          <w:p w14:paraId="02E2CCDC" w14:textId="11A15D5E"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51D9B4AA" w14:textId="7687AAD3" w:rsidR="00897293" w:rsidRPr="00CC6553" w:rsidRDefault="00897293" w:rsidP="00B234F1">
            <w:pPr>
              <w:rPr>
                <w:rFonts w:cs="Arial"/>
                <w:bCs/>
                <w:iCs/>
                <w:color w:val="000000" w:themeColor="text1"/>
                <w:sz w:val="20"/>
              </w:rPr>
            </w:pPr>
            <w:r w:rsidRPr="00CC6553">
              <w:rPr>
                <w:rFonts w:cs="Arial"/>
                <w:color w:val="000000" w:themeColor="text1"/>
                <w:sz w:val="20"/>
              </w:rPr>
              <w:t>Bayer plc</w:t>
            </w:r>
          </w:p>
        </w:tc>
        <w:tc>
          <w:tcPr>
            <w:tcW w:w="279" w:type="pct"/>
          </w:tcPr>
          <w:p w14:paraId="27F4C610" w14:textId="4DB14C06" w:rsidR="00897293" w:rsidRPr="00CC6553" w:rsidRDefault="00897293" w:rsidP="00B234F1">
            <w:pPr>
              <w:rPr>
                <w:rFonts w:cs="Arial"/>
                <w:color w:val="000000" w:themeColor="text1"/>
                <w:sz w:val="20"/>
              </w:rPr>
            </w:pPr>
            <w:r w:rsidRPr="00CC6553">
              <w:rPr>
                <w:rFonts w:cs="Arial"/>
                <w:color w:val="000000" w:themeColor="text1"/>
                <w:sz w:val="20"/>
              </w:rPr>
              <w:t>Evidence review D</w:t>
            </w:r>
          </w:p>
        </w:tc>
        <w:tc>
          <w:tcPr>
            <w:tcW w:w="214" w:type="pct"/>
          </w:tcPr>
          <w:p w14:paraId="745F184B" w14:textId="25BE6743" w:rsidR="00897293" w:rsidRPr="00CC6553" w:rsidRDefault="00897293" w:rsidP="00B234F1">
            <w:pPr>
              <w:rPr>
                <w:rFonts w:cs="Arial"/>
                <w:color w:val="000000" w:themeColor="text1"/>
                <w:sz w:val="20"/>
              </w:rPr>
            </w:pPr>
            <w:r w:rsidRPr="00CC6553">
              <w:rPr>
                <w:rFonts w:cs="Arial"/>
                <w:color w:val="000000" w:themeColor="text1"/>
                <w:sz w:val="20"/>
              </w:rPr>
              <w:t>020</w:t>
            </w:r>
          </w:p>
        </w:tc>
        <w:tc>
          <w:tcPr>
            <w:tcW w:w="214" w:type="pct"/>
          </w:tcPr>
          <w:p w14:paraId="7F33F632" w14:textId="148C2A18" w:rsidR="00897293" w:rsidRPr="00CC6553" w:rsidRDefault="00897293" w:rsidP="00B234F1">
            <w:pPr>
              <w:rPr>
                <w:rFonts w:cs="Arial"/>
                <w:color w:val="000000" w:themeColor="text1"/>
                <w:sz w:val="20"/>
              </w:rPr>
            </w:pPr>
            <w:r w:rsidRPr="00CC6553">
              <w:rPr>
                <w:rFonts w:cs="Arial"/>
                <w:color w:val="000000" w:themeColor="text1"/>
                <w:sz w:val="20"/>
              </w:rPr>
              <w:t>033</w:t>
            </w:r>
          </w:p>
        </w:tc>
        <w:tc>
          <w:tcPr>
            <w:tcW w:w="1521" w:type="pct"/>
          </w:tcPr>
          <w:p w14:paraId="0778CD3C" w14:textId="0FE23743" w:rsidR="00897293" w:rsidRPr="00CC6553" w:rsidRDefault="00897293" w:rsidP="00B234F1">
            <w:pPr>
              <w:rPr>
                <w:rFonts w:cs="Arial"/>
                <w:color w:val="000000" w:themeColor="text1"/>
                <w:sz w:val="20"/>
              </w:rPr>
            </w:pPr>
            <w:r w:rsidRPr="00CC6553">
              <w:rPr>
                <w:rFonts w:cs="Arial"/>
                <w:color w:val="000000" w:themeColor="text1"/>
                <w:sz w:val="20"/>
              </w:rPr>
              <w:t xml:space="preserve">The rest of the clinical evidence was for finerenone. While finerenone is expected to have a </w:t>
            </w:r>
            <w:r w:rsidRPr="00CC6553">
              <w:rPr>
                <w:rFonts w:cs="Arial"/>
                <w:color w:val="000000" w:themeColor="text1"/>
                <w:sz w:val="20"/>
              </w:rPr>
              <w:br/>
              <w:t xml:space="preserve"> better side effect profile, its significantly higher acquisition cost combined with a lack of evidence of greater clinical effectiveness, makes its cost-effectiveness more uncertain. </w:t>
            </w:r>
            <w:r w:rsidRPr="00CC6553">
              <w:rPr>
                <w:rFonts w:cs="Arial"/>
                <w:color w:val="000000" w:themeColor="text1"/>
                <w:sz w:val="20"/>
              </w:rPr>
              <w:br/>
            </w:r>
            <w:r w:rsidRPr="00CC6553">
              <w:rPr>
                <w:rFonts w:cs="Arial"/>
                <w:color w:val="000000" w:themeColor="text1"/>
                <w:sz w:val="20"/>
              </w:rPr>
              <w:br/>
              <w:t>Bayer expresses concern that despite the committee’s criticism of the TOPCAT trial on page 21 of evidence review D, the statement above downplays the significant advantages of finerenone over steroidal MRAs. In the FINEARTS-HF trial, finerenone was evaluated in a large HFmrEF/HFpEF population (n=6006), who received contemporary standard of care medicines and demonstrated a clinically significant benefit compared to placebo [1]. In contrast, spironolactone did not achieve its primary endpoint in a similar but smaller patient population in the TOPCAT trial (n=3445) [2]. The benefits of finerenone were consistent across all prespecified subgroups in the FINEARTS-HF trial [1,3,4], unlike spironolactone, whose treatment trends were influenced by left ventricular ejection fraction and the timing of heart failure events [5,6].</w:t>
            </w:r>
            <w:r w:rsidRPr="00CC6553">
              <w:rPr>
                <w:rFonts w:cs="Arial"/>
                <w:color w:val="000000" w:themeColor="text1"/>
                <w:sz w:val="20"/>
              </w:rPr>
              <w:br/>
            </w:r>
            <w:r w:rsidRPr="00CC6553">
              <w:rPr>
                <w:rFonts w:cs="Arial"/>
                <w:color w:val="000000" w:themeColor="text1"/>
                <w:sz w:val="20"/>
              </w:rPr>
              <w:br/>
              <w:t xml:space="preserve">Finerenone also showed improvements in cardiovascular and kidney outcomes for patients with chronic kidney disease related to type 2 diabetes and/or HFmrEF/HFpEF [7-9]. In contrast, spironolactone failed to demonstrate kidney or </w:t>
            </w:r>
            <w:r w:rsidRPr="00CC6553">
              <w:rPr>
                <w:rFonts w:cs="Arial"/>
                <w:color w:val="000000" w:themeColor="text1"/>
                <w:sz w:val="20"/>
              </w:rPr>
              <w:lastRenderedPageBreak/>
              <w:t>CV protection in phase III trials for these conditions [2, 11].</w:t>
            </w:r>
            <w:r w:rsidRPr="00CC6553">
              <w:rPr>
                <w:rFonts w:cs="Arial"/>
                <w:color w:val="000000" w:themeColor="text1"/>
                <w:sz w:val="20"/>
              </w:rPr>
              <w:br/>
            </w:r>
            <w:r w:rsidRPr="00CC6553">
              <w:rPr>
                <w:rFonts w:cs="Arial"/>
                <w:color w:val="000000" w:themeColor="text1"/>
                <w:sz w:val="20"/>
              </w:rPr>
              <w:br/>
              <w:t>In head-to-head trials, finerenone was associated with smaller increases in serum potassium and a lower risk of hyperkalemia compared to spironolactone [11, 12]. Additionally, finerenone did not result in higher treatment discontinuation rates compared to placebo in the FINEARTS-HF trial [1]. In contrast, the TOPCAT trial was unsuccessful, and even in the post-hoc analysis of this trial (TOPCAT-Americas), spironolactone showed significantly higher discontinuation rates compared to placebo [10].</w:t>
            </w:r>
            <w:r w:rsidRPr="00CC6553">
              <w:rPr>
                <w:rFonts w:cs="Arial"/>
                <w:color w:val="000000" w:themeColor="text1"/>
                <w:sz w:val="20"/>
              </w:rPr>
              <w:br/>
            </w:r>
            <w:r w:rsidRPr="00CC6553">
              <w:rPr>
                <w:rFonts w:cs="Arial"/>
                <w:color w:val="000000" w:themeColor="text1"/>
                <w:sz w:val="20"/>
              </w:rPr>
              <w:br/>
              <w:t>We would like to reiterate that NICE is yet to formally evaluate the clinical and cost-effectiveness of finerenone so it does not seem appropriate to make these conclusions ahead of the health technology assessment which is in development. Bayer would therefore request that the wording used throughout the guideline in Evidence reviews B and D, be revised to reflect this status accurately.</w:t>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r>
            <w:r w:rsidRPr="007221C1">
              <w:rPr>
                <w:rFonts w:cs="Arial"/>
                <w:color w:val="000000" w:themeColor="text1"/>
                <w:sz w:val="20"/>
                <w:u w:val="single"/>
              </w:rPr>
              <w:t>[This text was identified as confidential and has been removed].</w:t>
            </w:r>
            <w:r w:rsidRPr="00CC6553">
              <w:rPr>
                <w:rFonts w:cs="Arial"/>
                <w:color w:val="000000" w:themeColor="text1"/>
                <w:sz w:val="20"/>
              </w:rPr>
              <w:br/>
            </w:r>
            <w:r w:rsidRPr="00CC6553">
              <w:rPr>
                <w:rFonts w:cs="Arial"/>
                <w:color w:val="000000" w:themeColor="text1"/>
                <w:sz w:val="20"/>
              </w:rPr>
              <w:br/>
              <w:t>References</w:t>
            </w:r>
            <w:r w:rsidRPr="00CC6553">
              <w:rPr>
                <w:rFonts w:cs="Arial"/>
                <w:color w:val="000000" w:themeColor="text1"/>
                <w:sz w:val="20"/>
              </w:rPr>
              <w:br/>
              <w:t>Solomon SD, et al. N Engl J Med. 2024;391:1475–1485</w:t>
            </w:r>
            <w:r w:rsidRPr="00CC6553">
              <w:rPr>
                <w:rFonts w:cs="Arial"/>
                <w:color w:val="000000" w:themeColor="text1"/>
                <w:sz w:val="20"/>
              </w:rPr>
              <w:br/>
              <w:t>Pitt B, et al. N Engl J Med. 2014;370:1383–1392 (supplement)</w:t>
            </w:r>
            <w:r w:rsidRPr="00CC6553">
              <w:rPr>
                <w:rFonts w:cs="Arial"/>
                <w:color w:val="000000" w:themeColor="text1"/>
                <w:sz w:val="20"/>
              </w:rPr>
              <w:br/>
              <w:t>Desai A, et al. JACC. 2024. doi.org/10.1016/j.jacc.2024.09.004</w:t>
            </w:r>
            <w:r w:rsidRPr="00CC6553">
              <w:rPr>
                <w:rFonts w:cs="Arial"/>
                <w:color w:val="000000" w:themeColor="text1"/>
                <w:sz w:val="20"/>
              </w:rPr>
              <w:br/>
              <w:t>Docherty K, et al. Circulation. 2024. doi: 10.1161/CIRCULATIONAHA.124.072011</w:t>
            </w:r>
            <w:r w:rsidRPr="00CC6553">
              <w:rPr>
                <w:rFonts w:cs="Arial"/>
                <w:color w:val="000000" w:themeColor="text1"/>
                <w:sz w:val="20"/>
              </w:rPr>
              <w:br/>
              <w:t>Solomon S, et al. Eur Heart J. 2016;37:455–462</w:t>
            </w:r>
            <w:r w:rsidRPr="00CC6553">
              <w:rPr>
                <w:rFonts w:cs="Arial"/>
                <w:color w:val="000000" w:themeColor="text1"/>
                <w:sz w:val="20"/>
              </w:rPr>
              <w:br/>
              <w:t xml:space="preserve">Szabo B, et al. Am Heart J. 2024;271:136–147 </w:t>
            </w:r>
            <w:r w:rsidRPr="00CC6553">
              <w:rPr>
                <w:rFonts w:cs="Arial"/>
                <w:color w:val="000000" w:themeColor="text1"/>
                <w:sz w:val="20"/>
              </w:rPr>
              <w:br/>
              <w:t>Agarwal R, et al. Eur Heart J. 2022;43:474–484</w:t>
            </w:r>
            <w:r w:rsidRPr="00CC6553">
              <w:rPr>
                <w:rFonts w:cs="Arial"/>
                <w:color w:val="000000" w:themeColor="text1"/>
                <w:sz w:val="20"/>
              </w:rPr>
              <w:br/>
              <w:t>Mc Causland F, et al. J Am Coll Cardiol. 2024. doi: 10.1016/j.jacc.2024.10.091</w:t>
            </w:r>
            <w:r w:rsidRPr="00CC6553">
              <w:rPr>
                <w:rFonts w:cs="Arial"/>
                <w:color w:val="000000" w:themeColor="text1"/>
                <w:sz w:val="20"/>
              </w:rPr>
              <w:br/>
              <w:t>Vaduganathan M, et al. Nat Med. 2024. doi: 10.1038/s41591-024-03264-4</w:t>
            </w:r>
            <w:r w:rsidRPr="00CC6553">
              <w:rPr>
                <w:rFonts w:cs="Arial"/>
                <w:color w:val="000000" w:themeColor="text1"/>
                <w:sz w:val="20"/>
              </w:rPr>
              <w:br/>
              <w:t xml:space="preserve">Pfeffer MA, et al. Circulation. 2015;131:34–42 (supplement) </w:t>
            </w:r>
            <w:r w:rsidRPr="00CC6553">
              <w:rPr>
                <w:rFonts w:cs="Arial"/>
                <w:color w:val="000000" w:themeColor="text1"/>
                <w:sz w:val="20"/>
              </w:rPr>
              <w:br/>
              <w:t>Hobbs FDR, et al. Nat Med. 2024. doi: 10.1038/s41591-024-03263-5</w:t>
            </w:r>
          </w:p>
        </w:tc>
        <w:tc>
          <w:tcPr>
            <w:tcW w:w="2122" w:type="pct"/>
          </w:tcPr>
          <w:p w14:paraId="5F1E5240" w14:textId="2BF2DEE5" w:rsidR="00897293" w:rsidRPr="00CC6553" w:rsidRDefault="00897293" w:rsidP="00B234F1">
            <w:pPr>
              <w:pStyle w:val="Heading1"/>
              <w:rPr>
                <w:rFonts w:cs="Arial"/>
                <w:b w:val="0"/>
                <w:bCs w:val="0"/>
                <w:color w:val="000000" w:themeColor="text1"/>
                <w:sz w:val="20"/>
              </w:rPr>
            </w:pPr>
            <w:r w:rsidRPr="00CC6553">
              <w:rPr>
                <w:rFonts w:cs="Arial"/>
                <w:b w:val="0"/>
                <w:bCs w:val="0"/>
                <w:color w:val="000000" w:themeColor="text1"/>
                <w:sz w:val="20"/>
              </w:rPr>
              <w:lastRenderedPageBreak/>
              <w:t>Thank-you for these comments. Wording in evidence review D has been reviewed to reflect that a TA on finerenone is in progress.</w:t>
            </w:r>
          </w:p>
          <w:p w14:paraId="48BA3CCF" w14:textId="77777777" w:rsidR="00897293" w:rsidRPr="00CC6553" w:rsidRDefault="00897293" w:rsidP="00B234F1">
            <w:pPr>
              <w:rPr>
                <w:color w:val="000000" w:themeColor="text1"/>
              </w:rPr>
            </w:pPr>
          </w:p>
          <w:p w14:paraId="46CDE204" w14:textId="77777777" w:rsidR="00897293" w:rsidRPr="00CC6553" w:rsidRDefault="00897293" w:rsidP="00B234F1">
            <w:pPr>
              <w:rPr>
                <w:color w:val="000000" w:themeColor="text1"/>
              </w:rPr>
            </w:pPr>
          </w:p>
          <w:p w14:paraId="2F08D07C" w14:textId="0FCADC6A" w:rsidR="00897293" w:rsidRPr="00CC6553" w:rsidRDefault="00897293" w:rsidP="00B234F1">
            <w:pPr>
              <w:rPr>
                <w:rFonts w:cs="Arial"/>
                <w:bCs/>
                <w:color w:val="000000" w:themeColor="text1"/>
                <w:sz w:val="20"/>
              </w:rPr>
            </w:pPr>
            <w:r w:rsidRPr="00CC6553">
              <w:rPr>
                <w:rFonts w:cs="Arial"/>
                <w:bCs/>
                <w:color w:val="000000" w:themeColor="text1"/>
                <w:sz w:val="20"/>
              </w:rPr>
              <w:t xml:space="preserve">Thank-you for your comments about the TOPCAT trial. The committee was aware of the criticisms of the trial. Limitations of this trial are discussed in evidence review Band D; these are reflected in the committee’s decision-making. </w:t>
            </w:r>
          </w:p>
          <w:p w14:paraId="12D5EF49" w14:textId="77777777" w:rsidR="00897293" w:rsidRPr="00CC6553" w:rsidRDefault="00897293" w:rsidP="00B234F1">
            <w:pPr>
              <w:rPr>
                <w:rFonts w:cs="Arial"/>
                <w:bCs/>
                <w:color w:val="000000" w:themeColor="text1"/>
                <w:sz w:val="20"/>
              </w:rPr>
            </w:pPr>
          </w:p>
          <w:p w14:paraId="050A3C69" w14:textId="77777777" w:rsidR="00897293" w:rsidRPr="00CC6553" w:rsidRDefault="00897293" w:rsidP="00B234F1">
            <w:pPr>
              <w:rPr>
                <w:rFonts w:cs="Arial"/>
                <w:bCs/>
                <w:color w:val="000000" w:themeColor="text1"/>
                <w:sz w:val="20"/>
              </w:rPr>
            </w:pPr>
          </w:p>
          <w:p w14:paraId="2157E5FC" w14:textId="64561315" w:rsidR="00897293" w:rsidRPr="00CC6553" w:rsidRDefault="00897293" w:rsidP="00B234F1">
            <w:pPr>
              <w:rPr>
                <w:rFonts w:cs="Arial"/>
                <w:bCs/>
                <w:color w:val="000000" w:themeColor="text1"/>
                <w:sz w:val="20"/>
              </w:rPr>
            </w:pPr>
            <w:r w:rsidRPr="00CC6553">
              <w:rPr>
                <w:rFonts w:cs="Arial"/>
                <w:bCs/>
                <w:color w:val="000000" w:themeColor="text1"/>
                <w:sz w:val="20"/>
              </w:rPr>
              <w:t xml:space="preserve">The committee has made medicine class-based recommendations on MRAs. RCTs that investigate within-class comparisons, have not been included in the protocol for any </w:t>
            </w:r>
            <w:r w:rsidRPr="00CC6553">
              <w:rPr>
                <w:rFonts w:cs="Arial"/>
                <w:bCs/>
                <w:color w:val="000000" w:themeColor="text1"/>
                <w:sz w:val="20"/>
              </w:rPr>
              <w:lastRenderedPageBreak/>
              <w:t>evidence review as part of this update.</w:t>
            </w:r>
          </w:p>
          <w:p w14:paraId="1BD1C681" w14:textId="77777777" w:rsidR="00897293" w:rsidRPr="00CC6553" w:rsidRDefault="00897293" w:rsidP="00B234F1">
            <w:pPr>
              <w:rPr>
                <w:rFonts w:cs="Arial"/>
                <w:bCs/>
                <w:color w:val="000000" w:themeColor="text1"/>
                <w:sz w:val="20"/>
              </w:rPr>
            </w:pPr>
          </w:p>
          <w:p w14:paraId="59B8FA89" w14:textId="77777777" w:rsidR="00897293" w:rsidRPr="00CC6553" w:rsidRDefault="00897293" w:rsidP="00B234F1">
            <w:pPr>
              <w:rPr>
                <w:rFonts w:cs="Arial"/>
                <w:bCs/>
                <w:color w:val="000000" w:themeColor="text1"/>
                <w:sz w:val="20"/>
              </w:rPr>
            </w:pPr>
            <w:r w:rsidRPr="00CC6553">
              <w:rPr>
                <w:rFonts w:cs="Arial"/>
                <w:bCs/>
                <w:color w:val="000000" w:themeColor="text1"/>
                <w:sz w:val="20"/>
              </w:rPr>
              <w:t>The sentences in evidence review B and D were edited as: “Finerenone is expected to have a more favourable side effect profile than spironolactone. The cost-effectiveness of finerenone for treating heart failure with preserved or mildly reduced ejection fraction will be formally assessed by NICE later in 2025.”</w:t>
            </w:r>
          </w:p>
          <w:p w14:paraId="35FB510D" w14:textId="77777777" w:rsidR="00897293" w:rsidRPr="00CC6553" w:rsidRDefault="00897293" w:rsidP="00B234F1">
            <w:pPr>
              <w:rPr>
                <w:color w:val="000000" w:themeColor="text1"/>
              </w:rPr>
            </w:pPr>
          </w:p>
          <w:p w14:paraId="40662E05" w14:textId="7D3FB186" w:rsidR="00897293" w:rsidRPr="00CC6553" w:rsidRDefault="00897293" w:rsidP="00B234F1">
            <w:pPr>
              <w:rPr>
                <w:color w:val="000000" w:themeColor="text1"/>
              </w:rPr>
            </w:pPr>
          </w:p>
        </w:tc>
      </w:tr>
      <w:tr w:rsidR="00897293" w:rsidRPr="00CC6553" w14:paraId="0C4275DC" w14:textId="77777777" w:rsidTr="00897293">
        <w:trPr>
          <w:trHeight w:val="300"/>
        </w:trPr>
        <w:tc>
          <w:tcPr>
            <w:tcW w:w="109" w:type="pct"/>
          </w:tcPr>
          <w:p w14:paraId="453C1A5E"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385</w:t>
            </w:r>
          </w:p>
        </w:tc>
        <w:tc>
          <w:tcPr>
            <w:tcW w:w="143" w:type="pct"/>
          </w:tcPr>
          <w:p w14:paraId="2DCC691B" w14:textId="4D9EEE1D"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5E90C4D" w14:textId="2500A817" w:rsidR="00897293" w:rsidRPr="00CC6553" w:rsidRDefault="00897293" w:rsidP="00B234F1">
            <w:pPr>
              <w:rPr>
                <w:rFonts w:cs="Arial"/>
                <w:bCs/>
                <w:iCs/>
                <w:color w:val="000000" w:themeColor="text1"/>
                <w:sz w:val="20"/>
              </w:rPr>
            </w:pPr>
            <w:r w:rsidRPr="00CC6553">
              <w:rPr>
                <w:rFonts w:cs="Arial"/>
                <w:color w:val="000000" w:themeColor="text1"/>
                <w:sz w:val="20"/>
              </w:rPr>
              <w:t>Alliance for Heart Failure</w:t>
            </w:r>
          </w:p>
        </w:tc>
        <w:tc>
          <w:tcPr>
            <w:tcW w:w="279" w:type="pct"/>
          </w:tcPr>
          <w:p w14:paraId="28899122" w14:textId="567C0599" w:rsidR="00897293" w:rsidRPr="00CC6553" w:rsidRDefault="00897293" w:rsidP="00B234F1">
            <w:pPr>
              <w:rPr>
                <w:rFonts w:cs="Arial"/>
                <w:color w:val="000000" w:themeColor="text1"/>
                <w:sz w:val="20"/>
              </w:rPr>
            </w:pPr>
            <w:r w:rsidRPr="00CC6553">
              <w:rPr>
                <w:rFonts w:cs="Arial"/>
                <w:color w:val="000000" w:themeColor="text1"/>
                <w:sz w:val="20"/>
              </w:rPr>
              <w:t>EHIA</w:t>
            </w:r>
          </w:p>
        </w:tc>
        <w:tc>
          <w:tcPr>
            <w:tcW w:w="214" w:type="pct"/>
          </w:tcPr>
          <w:p w14:paraId="409190CE" w14:textId="6EEFABE6"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2B6D054E" w14:textId="7BA29747"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10714C58" w14:textId="27928165" w:rsidR="00897293" w:rsidRPr="00CC6553" w:rsidRDefault="00897293" w:rsidP="00B234F1">
            <w:pPr>
              <w:rPr>
                <w:rFonts w:cs="Arial"/>
                <w:color w:val="000000" w:themeColor="text1"/>
                <w:sz w:val="20"/>
              </w:rPr>
            </w:pPr>
            <w:r w:rsidRPr="00CC6553">
              <w:rPr>
                <w:rFonts w:cs="Arial"/>
                <w:color w:val="000000" w:themeColor="text1"/>
                <w:sz w:val="20"/>
              </w:rPr>
              <w:t xml:space="preserve">Members of the Alliance report growing evidence that men and women experience heart failure differently. While both benefit equally from standard treatments, women are more likely to be prescribed certain medications and may require lower doses to avoid adverse effects—which they experience at up to twice the rate of men. </w:t>
            </w:r>
            <w:r w:rsidRPr="00CC6553">
              <w:rPr>
                <w:rFonts w:cs="Arial"/>
                <w:color w:val="000000" w:themeColor="text1"/>
                <w:sz w:val="20"/>
              </w:rPr>
              <w:br/>
            </w:r>
            <w:r w:rsidRPr="00CC6553">
              <w:rPr>
                <w:rFonts w:cs="Arial"/>
                <w:color w:val="000000" w:themeColor="text1"/>
                <w:sz w:val="20"/>
              </w:rPr>
              <w:br/>
              <w:t xml:space="preserve">Our members hear frequent reports from women who feel their symptoms are dismissed, often attributed to anxiety or menopause. The 2024 ‘MyInsight’ survey by Cardiomyopathy UK of 1,323 people (patients and carers) found that women consistently reported poorer experiences across multiple areas of care compared to men. </w:t>
            </w:r>
            <w:r w:rsidRPr="00CC6553">
              <w:rPr>
                <w:rFonts w:cs="Arial"/>
                <w:color w:val="000000" w:themeColor="text1"/>
                <w:sz w:val="20"/>
              </w:rPr>
              <w:br/>
            </w:r>
            <w:r w:rsidRPr="00CC6553">
              <w:rPr>
                <w:rFonts w:cs="Arial"/>
                <w:color w:val="000000" w:themeColor="text1"/>
                <w:sz w:val="20"/>
              </w:rPr>
              <w:br/>
              <w:t xml:space="preserve">It is disappointing that the draft guideline mentions women only in relation to reproduction. The equality and health inequalities assessment also lacks sufficient consideration of sex-based differences. </w:t>
            </w:r>
            <w:r w:rsidRPr="00CC6553">
              <w:rPr>
                <w:rFonts w:cs="Arial"/>
                <w:color w:val="000000" w:themeColor="text1"/>
                <w:sz w:val="20"/>
              </w:rPr>
              <w:br/>
            </w:r>
            <w:r w:rsidRPr="00CC6553">
              <w:rPr>
                <w:rFonts w:cs="Arial"/>
                <w:color w:val="000000" w:themeColor="text1"/>
                <w:sz w:val="20"/>
              </w:rPr>
              <w:br/>
              <w:t>Members of the Alliance would like to see the guideline committee undertake a full review of the evidence on sex differences in heart failure and reflect this in future updates to ensure equitable care for all patients.</w:t>
            </w:r>
          </w:p>
        </w:tc>
        <w:tc>
          <w:tcPr>
            <w:tcW w:w="2122" w:type="pct"/>
          </w:tcPr>
          <w:p w14:paraId="146A5DBB" w14:textId="77777777" w:rsidR="00897293" w:rsidRPr="00CC6553" w:rsidRDefault="00897293" w:rsidP="005215DC">
            <w:pPr>
              <w:pStyle w:val="Heading1"/>
              <w:rPr>
                <w:rFonts w:cs="Arial"/>
                <w:b w:val="0"/>
                <w:color w:val="000000" w:themeColor="text1"/>
                <w:sz w:val="20"/>
              </w:rPr>
            </w:pPr>
            <w:r w:rsidRPr="00CC6553">
              <w:rPr>
                <w:rFonts w:cs="Arial"/>
                <w:b w:val="0"/>
                <w:color w:val="000000" w:themeColor="text1"/>
                <w:sz w:val="20"/>
              </w:rPr>
              <w:t>Thank you for your comment.  The scope of this guideline update excludes women, trans men and non-binary people who are pregnant or who are breastfeeding.  The committee agree that there are differences between men and women and these have been explored in a parallel piece of work conducted alongside the guideline by the London School of Hygiene and Tropical Medicine.  A publication is expected on this work later this year.</w:t>
            </w:r>
          </w:p>
          <w:p w14:paraId="658A78A0" w14:textId="76D9965D" w:rsidR="00897293" w:rsidRPr="00CC6553" w:rsidRDefault="00897293" w:rsidP="00B234F1">
            <w:pPr>
              <w:rPr>
                <w:color w:val="000000" w:themeColor="text1"/>
                <w:highlight w:val="yellow"/>
              </w:rPr>
            </w:pPr>
          </w:p>
        </w:tc>
      </w:tr>
      <w:tr w:rsidR="00897293" w:rsidRPr="00CC6553" w14:paraId="2EEEE331" w14:textId="77777777" w:rsidTr="00897293">
        <w:trPr>
          <w:trHeight w:val="300"/>
        </w:trPr>
        <w:tc>
          <w:tcPr>
            <w:tcW w:w="109" w:type="pct"/>
          </w:tcPr>
          <w:p w14:paraId="6CB02354" w14:textId="77777777" w:rsidR="00897293" w:rsidRPr="00CC6553" w:rsidRDefault="00897293" w:rsidP="00B234F1">
            <w:pPr>
              <w:rPr>
                <w:rFonts w:cs="Arial"/>
                <w:color w:val="000000" w:themeColor="text1"/>
                <w:sz w:val="20"/>
              </w:rPr>
            </w:pPr>
            <w:r w:rsidRPr="00CC6553">
              <w:rPr>
                <w:rFonts w:cs="Arial"/>
                <w:color w:val="000000" w:themeColor="text1"/>
                <w:sz w:val="20"/>
              </w:rPr>
              <w:t>386</w:t>
            </w:r>
          </w:p>
        </w:tc>
        <w:tc>
          <w:tcPr>
            <w:tcW w:w="143" w:type="pct"/>
          </w:tcPr>
          <w:p w14:paraId="3C484660" w14:textId="3A7ACA3F"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3BC0AA44" w14:textId="13ADA277"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6950C0ED" w14:textId="073E5EF7" w:rsidR="00897293" w:rsidRPr="00CC6553" w:rsidRDefault="00897293" w:rsidP="00B234F1">
            <w:pPr>
              <w:rPr>
                <w:rFonts w:cs="Arial"/>
                <w:color w:val="000000" w:themeColor="text1"/>
                <w:sz w:val="20"/>
              </w:rPr>
            </w:pPr>
            <w:r w:rsidRPr="00CC6553">
              <w:rPr>
                <w:rFonts w:cs="Arial"/>
                <w:color w:val="000000" w:themeColor="text1"/>
                <w:sz w:val="20"/>
              </w:rPr>
              <w:t>Scope</w:t>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t>EHIA</w:t>
            </w:r>
          </w:p>
        </w:tc>
        <w:tc>
          <w:tcPr>
            <w:tcW w:w="214" w:type="pct"/>
          </w:tcPr>
          <w:p w14:paraId="5A063636" w14:textId="7ECDD1E3" w:rsidR="00897293" w:rsidRPr="00CC6553" w:rsidRDefault="00897293" w:rsidP="00B234F1">
            <w:pPr>
              <w:rPr>
                <w:rFonts w:cs="Arial"/>
                <w:color w:val="000000" w:themeColor="text1"/>
                <w:sz w:val="20"/>
              </w:rPr>
            </w:pPr>
            <w:r w:rsidRPr="00CC6553">
              <w:rPr>
                <w:rFonts w:cs="Arial"/>
                <w:color w:val="000000" w:themeColor="text1"/>
                <w:sz w:val="20"/>
              </w:rPr>
              <w:t>003</w:t>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t>General</w:t>
            </w:r>
          </w:p>
        </w:tc>
        <w:tc>
          <w:tcPr>
            <w:tcW w:w="214" w:type="pct"/>
          </w:tcPr>
          <w:p w14:paraId="3B5AA7F5" w14:textId="38F9FF74" w:rsidR="00897293" w:rsidRPr="00CC6553" w:rsidRDefault="00897293" w:rsidP="00B234F1">
            <w:pPr>
              <w:rPr>
                <w:rFonts w:cs="Arial"/>
                <w:color w:val="000000" w:themeColor="text1"/>
                <w:sz w:val="20"/>
              </w:rPr>
            </w:pPr>
            <w:r w:rsidRPr="00CC6553">
              <w:rPr>
                <w:rFonts w:cs="Arial"/>
                <w:color w:val="000000" w:themeColor="text1"/>
                <w:sz w:val="20"/>
              </w:rPr>
              <w:t>General</w:t>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t>General</w:t>
            </w:r>
          </w:p>
        </w:tc>
        <w:tc>
          <w:tcPr>
            <w:tcW w:w="1521" w:type="pct"/>
          </w:tcPr>
          <w:p w14:paraId="1FEA42E3" w14:textId="69C9E712" w:rsidR="00897293" w:rsidRPr="00CC6553" w:rsidRDefault="00897293" w:rsidP="00B234F1">
            <w:pPr>
              <w:rPr>
                <w:rFonts w:cs="Arial"/>
                <w:color w:val="000000" w:themeColor="text1"/>
                <w:sz w:val="20"/>
              </w:rPr>
            </w:pPr>
            <w:r w:rsidRPr="00CC6553">
              <w:rPr>
                <w:rFonts w:cs="Arial"/>
                <w:color w:val="000000" w:themeColor="text1"/>
                <w:sz w:val="20"/>
              </w:rPr>
              <w:t>Section 3.1 groups not covered  - There is increasingly evidence that women and men experience numerous differences in relation to heart failure. To quote one recent publication:</w:t>
            </w:r>
            <w:r w:rsidRPr="00CC6553">
              <w:rPr>
                <w:rFonts w:cs="Arial"/>
                <w:color w:val="000000" w:themeColor="text1"/>
                <w:sz w:val="20"/>
              </w:rPr>
              <w:br/>
            </w:r>
            <w:r w:rsidRPr="00CC6553">
              <w:rPr>
                <w:rFonts w:cs="Arial"/>
                <w:color w:val="000000" w:themeColor="text1"/>
                <w:sz w:val="20"/>
              </w:rPr>
              <w:br/>
              <w:t>“Men and women experience comparable benefits from therapies for reduced HF, including renin–angiotensin system inhibitors, angiotensin receptor–neprilysin inhibitors, β-blockers, mineralocorticoid receptor antagonists and sodium–glucose cotransporter 2 inhibitors.13 Women are more likely to be prescribed β-blockers and digoxin, and there is a lower usage of diuretics and anticoagulants among women.9,10 Moreover, the ideal medication dosages for HF therapy may vary between the sexes, with women potentially benefiting from lower doses compared with guideline recommendations.1 Women experience adverse events from HF medications at a rate up to twice that of men.11”</w:t>
            </w:r>
            <w:r w:rsidRPr="00CC6553">
              <w:rPr>
                <w:rFonts w:cs="Arial"/>
                <w:color w:val="000000" w:themeColor="text1"/>
                <w:sz w:val="20"/>
              </w:rPr>
              <w:br/>
            </w:r>
            <w:r w:rsidRPr="00CC6553">
              <w:rPr>
                <w:rFonts w:cs="Arial"/>
                <w:color w:val="000000" w:themeColor="text1"/>
                <w:sz w:val="20"/>
              </w:rPr>
              <w:lastRenderedPageBreak/>
              <w:t>(Sachintha Wijesinghe, Marie-Luise Dikou, Ioannis Kasouridis, Francois Deharo, Curtis Page, Sharon Olubakin, Edoardo Zancanaro, Aditya Bhalla, Camelia Demetrescu, Ritu Thamman, Julia Grapsa, Ali Vazir, Sex Differences in Heart Failure: A Step Forward, Interventional Cardiology 2025;19:e18.</w:t>
            </w:r>
            <w:r w:rsidRPr="00CC6553">
              <w:rPr>
                <w:rFonts w:cs="Arial"/>
                <w:color w:val="000000" w:themeColor="text1"/>
                <w:sz w:val="20"/>
              </w:rPr>
              <w:br/>
              <w:t>https://doi.org/10.15420/icr.2024.30).</w:t>
            </w:r>
            <w:r w:rsidRPr="00CC6553">
              <w:rPr>
                <w:rFonts w:cs="Arial"/>
                <w:color w:val="000000" w:themeColor="text1"/>
                <w:sz w:val="20"/>
              </w:rPr>
              <w:br/>
            </w:r>
            <w:r w:rsidRPr="00CC6553">
              <w:rPr>
                <w:rFonts w:cs="Arial"/>
                <w:color w:val="000000" w:themeColor="text1"/>
                <w:sz w:val="20"/>
              </w:rPr>
              <w:br/>
              <w:t xml:space="preserve">Cardiomyopathy UK has anecdotal evidence of differences experienced by women, often feeling dismissed or that their symptoms are not taken seriously, particularly where women’s symptoms are dismissed as being related to anxiety or menopause. In 2024 Cardiomyopathy UK conducted a large survey of our community, alongside Picker Institute, according to a robust methodology (the ‘MyInsight’ survey). 1323 responses were received (including patients and parents and carers). We found that women fairly systematically reported worse experiences than men across many domains.  </w:t>
            </w:r>
            <w:r w:rsidRPr="00CC6553">
              <w:rPr>
                <w:rFonts w:cs="Arial"/>
                <w:color w:val="000000" w:themeColor="text1"/>
                <w:sz w:val="20"/>
              </w:rPr>
              <w:br/>
            </w:r>
            <w:r w:rsidRPr="00CC6553">
              <w:rPr>
                <w:rFonts w:cs="Arial"/>
                <w:color w:val="000000" w:themeColor="text1"/>
                <w:sz w:val="20"/>
              </w:rPr>
              <w:br/>
              <w:t>That the scope explicitly excludes women ( – and trans men and non-binary people) without giving justification is inadequate, in light of emerging research evidence in this area. Similarly, the lack of evidence examined in the relative outcomes and experiences between men and women it the equality and health inequalities assessment is insufficient.</w:t>
            </w:r>
            <w:r w:rsidRPr="00CC6553">
              <w:rPr>
                <w:rFonts w:cs="Arial"/>
                <w:color w:val="000000" w:themeColor="text1"/>
                <w:sz w:val="20"/>
              </w:rPr>
              <w:br/>
            </w:r>
            <w:r w:rsidRPr="00CC6553">
              <w:rPr>
                <w:rFonts w:cs="Arial"/>
                <w:color w:val="000000" w:themeColor="text1"/>
                <w:sz w:val="20"/>
              </w:rPr>
              <w:br/>
              <w:t>We would like to see the guideline committee committing to doing a proper and full assessment of evidence about sex differences in heart failure, and providing updated guidelines accordingly.</w:t>
            </w:r>
          </w:p>
        </w:tc>
        <w:tc>
          <w:tcPr>
            <w:tcW w:w="2122" w:type="pct"/>
          </w:tcPr>
          <w:p w14:paraId="3536041D" w14:textId="7D2F625B"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lastRenderedPageBreak/>
              <w:t xml:space="preserve">Thank you for your comment.  The scope of this guideline update excludes women, trans men and non-binary people who are pregnant or who are breastfeeding.  The committee agree that there are differences between men and women and these have been explored in a parallel piece of work conducted alongside the guideline by the London School of Hygiene and Tropical Medicine.  A publication </w:t>
            </w:r>
            <w:r w:rsidRPr="00CC6553">
              <w:rPr>
                <w:rFonts w:cs="Arial"/>
                <w:b w:val="0"/>
                <w:color w:val="000000" w:themeColor="text1"/>
                <w:sz w:val="20"/>
              </w:rPr>
              <w:lastRenderedPageBreak/>
              <w:t>is expected on this work later this year.</w:t>
            </w:r>
          </w:p>
          <w:p w14:paraId="7914D2FB" w14:textId="17858724" w:rsidR="00897293" w:rsidRPr="00CC6553" w:rsidRDefault="00897293" w:rsidP="00B234F1">
            <w:pPr>
              <w:rPr>
                <w:color w:val="000000" w:themeColor="text1"/>
              </w:rPr>
            </w:pPr>
          </w:p>
        </w:tc>
      </w:tr>
      <w:tr w:rsidR="00897293" w:rsidRPr="00CC6553" w14:paraId="327460D8" w14:textId="77777777" w:rsidTr="00897293">
        <w:trPr>
          <w:trHeight w:val="300"/>
        </w:trPr>
        <w:tc>
          <w:tcPr>
            <w:tcW w:w="109" w:type="pct"/>
          </w:tcPr>
          <w:p w14:paraId="1D8E99F5"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387</w:t>
            </w:r>
          </w:p>
        </w:tc>
        <w:tc>
          <w:tcPr>
            <w:tcW w:w="143" w:type="pct"/>
          </w:tcPr>
          <w:p w14:paraId="02B5069A" w14:textId="01B286E4"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75CAF711" w14:textId="38ED9B24" w:rsidR="00897293" w:rsidRPr="00CC6553" w:rsidRDefault="00897293" w:rsidP="00B234F1">
            <w:pPr>
              <w:rPr>
                <w:rFonts w:cs="Arial"/>
                <w:bCs/>
                <w:iCs/>
                <w:color w:val="000000" w:themeColor="text1"/>
                <w:sz w:val="20"/>
              </w:rPr>
            </w:pPr>
            <w:r w:rsidRPr="00CC6553">
              <w:rPr>
                <w:rFonts w:cs="Arial"/>
                <w:color w:val="000000" w:themeColor="text1"/>
                <w:sz w:val="20"/>
              </w:rPr>
              <w:t>Cardiomyopathy UK</w:t>
            </w:r>
          </w:p>
        </w:tc>
        <w:tc>
          <w:tcPr>
            <w:tcW w:w="279" w:type="pct"/>
          </w:tcPr>
          <w:p w14:paraId="06753F11" w14:textId="0E658468" w:rsidR="00897293" w:rsidRPr="00CC6553" w:rsidRDefault="00897293" w:rsidP="00B234F1">
            <w:pPr>
              <w:rPr>
                <w:rFonts w:cs="Arial"/>
                <w:color w:val="000000" w:themeColor="text1"/>
                <w:sz w:val="20"/>
              </w:rPr>
            </w:pPr>
            <w:r w:rsidRPr="00CC6553">
              <w:rPr>
                <w:rFonts w:cs="Arial"/>
                <w:color w:val="000000" w:themeColor="text1"/>
                <w:sz w:val="20"/>
              </w:rPr>
              <w:t>Scope</w:t>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t>EHIA</w:t>
            </w:r>
          </w:p>
        </w:tc>
        <w:tc>
          <w:tcPr>
            <w:tcW w:w="214" w:type="pct"/>
          </w:tcPr>
          <w:p w14:paraId="5B012B58" w14:textId="67954978" w:rsidR="00897293" w:rsidRPr="00CC6553" w:rsidRDefault="00897293" w:rsidP="00B234F1">
            <w:pPr>
              <w:rPr>
                <w:rFonts w:cs="Arial"/>
                <w:color w:val="000000" w:themeColor="text1"/>
                <w:sz w:val="20"/>
              </w:rPr>
            </w:pPr>
            <w:r w:rsidRPr="00CC6553">
              <w:rPr>
                <w:rFonts w:cs="Arial"/>
                <w:color w:val="000000" w:themeColor="text1"/>
                <w:sz w:val="20"/>
              </w:rPr>
              <w:t>003</w:t>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t>General</w:t>
            </w:r>
          </w:p>
        </w:tc>
        <w:tc>
          <w:tcPr>
            <w:tcW w:w="214" w:type="pct"/>
          </w:tcPr>
          <w:p w14:paraId="56E8A356" w14:textId="65306991" w:rsidR="00897293" w:rsidRPr="00CC6553" w:rsidRDefault="00897293" w:rsidP="00B234F1">
            <w:pPr>
              <w:rPr>
                <w:rFonts w:cs="Arial"/>
                <w:color w:val="000000" w:themeColor="text1"/>
                <w:sz w:val="20"/>
              </w:rPr>
            </w:pPr>
            <w:r w:rsidRPr="00CC6553">
              <w:rPr>
                <w:rFonts w:cs="Arial"/>
                <w:color w:val="000000" w:themeColor="text1"/>
                <w:sz w:val="20"/>
              </w:rPr>
              <w:t>General</w:t>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t>General</w:t>
            </w:r>
          </w:p>
        </w:tc>
        <w:tc>
          <w:tcPr>
            <w:tcW w:w="1521" w:type="pct"/>
          </w:tcPr>
          <w:p w14:paraId="35CF0850" w14:textId="0D4ECBE0" w:rsidR="00897293" w:rsidRPr="00CC6553" w:rsidRDefault="00897293" w:rsidP="00B234F1">
            <w:pPr>
              <w:rPr>
                <w:rFonts w:cs="Arial"/>
                <w:color w:val="000000" w:themeColor="text1"/>
                <w:sz w:val="20"/>
              </w:rPr>
            </w:pPr>
            <w:r w:rsidRPr="00CC6553">
              <w:rPr>
                <w:rFonts w:cs="Arial"/>
                <w:color w:val="000000" w:themeColor="text1"/>
                <w:sz w:val="20"/>
              </w:rPr>
              <w:t>Section 3.1 groups not covered  - There is increasingly evidence that women and men experience numerous differences in relation to heart failure. To quote one recent publication:</w:t>
            </w:r>
            <w:r w:rsidRPr="00CC6553">
              <w:rPr>
                <w:rFonts w:cs="Arial"/>
                <w:color w:val="000000" w:themeColor="text1"/>
                <w:sz w:val="20"/>
              </w:rPr>
              <w:br/>
            </w:r>
            <w:r w:rsidRPr="00CC6553">
              <w:rPr>
                <w:rFonts w:cs="Arial"/>
                <w:color w:val="000000" w:themeColor="text1"/>
                <w:sz w:val="20"/>
              </w:rPr>
              <w:br/>
              <w:t xml:space="preserve">“Men and women experience comparable benefits from therapies for reduced HF, including renin–angiotensin system inhibitors, angiotensin receptor–neprilysin inhibitors, β-blockers, mineralocorticoid receptor antagonists and sodium–glucose cotransporter 2 inhibitors.13 Women are more likely to be prescribed β-blockers </w:t>
            </w:r>
            <w:r w:rsidRPr="00CC6553">
              <w:rPr>
                <w:rFonts w:cs="Arial"/>
                <w:color w:val="000000" w:themeColor="text1"/>
                <w:sz w:val="20"/>
              </w:rPr>
              <w:lastRenderedPageBreak/>
              <w:t>and digoxin, and there is a lower usage of diuretics and anticoagulants among women.9,10 Moreover, the ideal medication dosages for HF therapy may vary between the sexes, with women potentially benefiting from lower doses compared with guideline recommendations.1 Women experience adverse events from HF medications at a rate up to twice that of men.11”</w:t>
            </w:r>
            <w:r w:rsidRPr="00CC6553">
              <w:rPr>
                <w:rFonts w:cs="Arial"/>
                <w:color w:val="000000" w:themeColor="text1"/>
                <w:sz w:val="20"/>
              </w:rPr>
              <w:br/>
              <w:t>(Sachintha Wijesinghe, Marie-Luise Dikou, Ioannis Kasouridis, Francois Deharo, Curtis Page, Sharon Olubakin, Edoardo Zancanaro, Aditya Bhalla, Camelia Demetrescu, Ritu Thamman, Julia Grapsa, Ali Vazir, Sex Differences in Heart Failure: A Step Forward, Interventional Cardiology 2025;19:e18.</w:t>
            </w:r>
            <w:r w:rsidRPr="00CC6553">
              <w:rPr>
                <w:rFonts w:cs="Arial"/>
                <w:color w:val="000000" w:themeColor="text1"/>
                <w:sz w:val="20"/>
              </w:rPr>
              <w:br/>
              <w:t>https://doi.org/10.15420/icr.2024.30).</w:t>
            </w:r>
            <w:r w:rsidRPr="00CC6553">
              <w:rPr>
                <w:rFonts w:cs="Arial"/>
                <w:color w:val="000000" w:themeColor="text1"/>
                <w:sz w:val="20"/>
              </w:rPr>
              <w:br/>
            </w:r>
            <w:r w:rsidRPr="00CC6553">
              <w:rPr>
                <w:rFonts w:cs="Arial"/>
                <w:color w:val="000000" w:themeColor="text1"/>
                <w:sz w:val="20"/>
              </w:rPr>
              <w:br/>
              <w:t xml:space="preserve">Cardiomyopathy UK has evidence of differences experienced by women, often feeling dismissed or that their symptoms are not taken seriously, particularly where women’s symptoms are dismissed as being related to anxiety or menopause. In 2024 Cardiomyopathy UK conducted a large survey of our community, alongside Picker Institute, according to a robust methodology (the ‘MyInsight’ survey). 1323 responses were received (including patients and parents and carers). We found that women fairly systematically reported worse experiences than men across many domains.  </w:t>
            </w:r>
            <w:r w:rsidRPr="00CC6553">
              <w:rPr>
                <w:rFonts w:cs="Arial"/>
                <w:color w:val="000000" w:themeColor="text1"/>
                <w:sz w:val="20"/>
              </w:rPr>
              <w:br/>
            </w:r>
            <w:r w:rsidRPr="00CC6553">
              <w:rPr>
                <w:rFonts w:cs="Arial"/>
                <w:color w:val="000000" w:themeColor="text1"/>
                <w:sz w:val="20"/>
              </w:rPr>
              <w:br/>
              <w:t>That the scope explicitly excludes women ( – and trans men and non-binary people) without giving justification is inadequate, in light of emerging research evidence in this area. Similarly, the lack of evidence examined in the relative outcomes and experiences between men and women it the equality and health inequalities assessment is insufficient.</w:t>
            </w:r>
            <w:r w:rsidRPr="00CC6553">
              <w:rPr>
                <w:rFonts w:cs="Arial"/>
                <w:color w:val="000000" w:themeColor="text1"/>
                <w:sz w:val="20"/>
              </w:rPr>
              <w:br/>
            </w:r>
            <w:r w:rsidRPr="00CC6553">
              <w:rPr>
                <w:rFonts w:cs="Arial"/>
                <w:color w:val="000000" w:themeColor="text1"/>
                <w:sz w:val="20"/>
              </w:rPr>
              <w:br/>
              <w:t>We would like to see the guideline committee committing to doing a proper and full assessment of evidence about sex differences in heart failure, and providing updated guidelines accordingly.</w:t>
            </w:r>
          </w:p>
        </w:tc>
        <w:tc>
          <w:tcPr>
            <w:tcW w:w="2122" w:type="pct"/>
          </w:tcPr>
          <w:p w14:paraId="04A22F62" w14:textId="77777777"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lastRenderedPageBreak/>
              <w:t xml:space="preserve">Thank you for your comment.  The scope of this guideline update excludes women, trans men and non-binary people who are pregnant or who are breastfeeding.  The committee agree that there are differences between men and women and these have been </w:t>
            </w:r>
            <w:r w:rsidRPr="00CC6553">
              <w:rPr>
                <w:rFonts w:cs="Arial"/>
                <w:b w:val="0"/>
                <w:color w:val="000000" w:themeColor="text1"/>
                <w:sz w:val="20"/>
              </w:rPr>
              <w:lastRenderedPageBreak/>
              <w:t>explored in a parallel piece of work conducted alongside the guideline by the London School of Hygiene and Tropical Medicine.  A publication is expected on this work later this year.</w:t>
            </w:r>
          </w:p>
          <w:p w14:paraId="627EB862" w14:textId="77777777" w:rsidR="00897293" w:rsidRPr="00CC6553" w:rsidRDefault="00897293" w:rsidP="00B234F1">
            <w:pPr>
              <w:pStyle w:val="Heading1"/>
              <w:rPr>
                <w:rFonts w:cs="Arial"/>
                <w:b w:val="0"/>
                <w:color w:val="000000" w:themeColor="text1"/>
                <w:sz w:val="20"/>
              </w:rPr>
            </w:pPr>
          </w:p>
        </w:tc>
      </w:tr>
      <w:tr w:rsidR="00897293" w:rsidRPr="00CC6553" w14:paraId="4027FD32" w14:textId="77777777" w:rsidTr="00897293">
        <w:trPr>
          <w:trHeight w:val="300"/>
        </w:trPr>
        <w:tc>
          <w:tcPr>
            <w:tcW w:w="109" w:type="pct"/>
          </w:tcPr>
          <w:p w14:paraId="35B3FEC2"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388</w:t>
            </w:r>
          </w:p>
        </w:tc>
        <w:tc>
          <w:tcPr>
            <w:tcW w:w="143" w:type="pct"/>
          </w:tcPr>
          <w:p w14:paraId="55412C78" w14:textId="22F00EF1"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4053E92F" w14:textId="6E7A00B9" w:rsidR="00897293" w:rsidRPr="00CC6553" w:rsidRDefault="00897293" w:rsidP="00B234F1">
            <w:pPr>
              <w:rPr>
                <w:rFonts w:cs="Arial"/>
                <w:bCs/>
                <w:iCs/>
                <w:color w:val="000000" w:themeColor="text1"/>
                <w:sz w:val="20"/>
              </w:rPr>
            </w:pPr>
            <w:r w:rsidRPr="00CC6553">
              <w:rPr>
                <w:rFonts w:cs="Arial"/>
                <w:color w:val="000000" w:themeColor="text1"/>
                <w:sz w:val="20"/>
              </w:rPr>
              <w:t>Cardiomyopathy UK</w:t>
            </w:r>
          </w:p>
        </w:tc>
        <w:tc>
          <w:tcPr>
            <w:tcW w:w="279" w:type="pct"/>
          </w:tcPr>
          <w:p w14:paraId="6E2597FF" w14:textId="597ABCDB" w:rsidR="00897293" w:rsidRPr="00CC6553" w:rsidRDefault="00897293" w:rsidP="00B234F1">
            <w:pPr>
              <w:rPr>
                <w:rFonts w:cs="Arial"/>
                <w:color w:val="000000" w:themeColor="text1"/>
                <w:sz w:val="20"/>
              </w:rPr>
            </w:pPr>
            <w:r w:rsidRPr="00CC6553">
              <w:rPr>
                <w:rFonts w:cs="Arial"/>
                <w:color w:val="000000" w:themeColor="text1"/>
                <w:sz w:val="20"/>
              </w:rPr>
              <w:t>Scope</w:t>
            </w:r>
            <w:r w:rsidRPr="00CC6553">
              <w:rPr>
                <w:rFonts w:cs="Arial"/>
                <w:color w:val="000000" w:themeColor="text1"/>
                <w:sz w:val="20"/>
              </w:rPr>
              <w:br/>
            </w:r>
            <w:r w:rsidRPr="00CC6553">
              <w:rPr>
                <w:rFonts w:cs="Arial"/>
                <w:color w:val="000000" w:themeColor="text1"/>
                <w:sz w:val="20"/>
              </w:rPr>
              <w:br/>
              <w:t>Methods</w:t>
            </w:r>
          </w:p>
        </w:tc>
        <w:tc>
          <w:tcPr>
            <w:tcW w:w="214" w:type="pct"/>
          </w:tcPr>
          <w:p w14:paraId="33450F5E" w14:textId="54ABFCF1" w:rsidR="00897293" w:rsidRPr="00CC6553" w:rsidRDefault="00897293" w:rsidP="00B234F1">
            <w:pPr>
              <w:rPr>
                <w:rFonts w:cs="Arial"/>
                <w:color w:val="000000" w:themeColor="text1"/>
                <w:sz w:val="20"/>
              </w:rPr>
            </w:pPr>
            <w:r w:rsidRPr="00CC6553">
              <w:rPr>
                <w:rFonts w:cs="Arial"/>
                <w:color w:val="000000" w:themeColor="text1"/>
                <w:sz w:val="20"/>
              </w:rPr>
              <w:t>General</w:t>
            </w:r>
            <w:r w:rsidRPr="00CC6553">
              <w:rPr>
                <w:rFonts w:cs="Arial"/>
                <w:color w:val="000000" w:themeColor="text1"/>
                <w:sz w:val="20"/>
              </w:rPr>
              <w:br/>
            </w:r>
            <w:r w:rsidRPr="00CC6553">
              <w:rPr>
                <w:rFonts w:cs="Arial"/>
                <w:color w:val="000000" w:themeColor="text1"/>
                <w:sz w:val="20"/>
              </w:rPr>
              <w:br/>
              <w:t>005</w:t>
            </w:r>
          </w:p>
        </w:tc>
        <w:tc>
          <w:tcPr>
            <w:tcW w:w="214" w:type="pct"/>
          </w:tcPr>
          <w:p w14:paraId="7B6B5B31" w14:textId="65138C28" w:rsidR="00897293" w:rsidRPr="00CC6553" w:rsidRDefault="00897293" w:rsidP="00B234F1">
            <w:pPr>
              <w:rPr>
                <w:rFonts w:cs="Arial"/>
                <w:color w:val="000000" w:themeColor="text1"/>
                <w:sz w:val="20"/>
              </w:rPr>
            </w:pPr>
            <w:r w:rsidRPr="00CC6553">
              <w:rPr>
                <w:rFonts w:cs="Arial"/>
                <w:color w:val="000000" w:themeColor="text1"/>
                <w:sz w:val="20"/>
              </w:rPr>
              <w:t>General</w:t>
            </w:r>
            <w:r w:rsidRPr="00CC6553">
              <w:rPr>
                <w:rFonts w:cs="Arial"/>
                <w:color w:val="000000" w:themeColor="text1"/>
                <w:sz w:val="20"/>
              </w:rPr>
              <w:br/>
            </w:r>
            <w:r w:rsidRPr="00CC6553">
              <w:rPr>
                <w:rFonts w:cs="Arial"/>
                <w:color w:val="000000" w:themeColor="text1"/>
                <w:sz w:val="20"/>
              </w:rPr>
              <w:br/>
              <w:t>002 - 021</w:t>
            </w:r>
          </w:p>
        </w:tc>
        <w:tc>
          <w:tcPr>
            <w:tcW w:w="1521" w:type="pct"/>
          </w:tcPr>
          <w:p w14:paraId="60966308" w14:textId="253D5146" w:rsidR="00897293" w:rsidRPr="00CC6553" w:rsidRDefault="00897293" w:rsidP="00B234F1">
            <w:pPr>
              <w:rPr>
                <w:rFonts w:cs="Arial"/>
                <w:color w:val="000000" w:themeColor="text1"/>
                <w:sz w:val="20"/>
              </w:rPr>
            </w:pPr>
            <w:r w:rsidRPr="00CC6553">
              <w:rPr>
                <w:rFonts w:cs="Arial"/>
                <w:color w:val="000000" w:themeColor="text1"/>
                <w:sz w:val="20"/>
              </w:rPr>
              <w:t xml:space="preserve">Regarding scope/methods section 1.1: Remit. We are disappointed that the remit excludes other sections, particularly the section on diagnosis. It makes little sense to revise the section on treatment without also revising the section on diagnosis. By doing so, novel treatments are necessarily being excluded. </w:t>
            </w:r>
            <w:r w:rsidRPr="00CC6553">
              <w:rPr>
                <w:rFonts w:cs="Arial"/>
                <w:color w:val="000000" w:themeColor="text1"/>
                <w:sz w:val="20"/>
              </w:rPr>
              <w:br/>
            </w:r>
            <w:r w:rsidRPr="00CC6553">
              <w:rPr>
                <w:rFonts w:cs="Arial"/>
                <w:color w:val="000000" w:themeColor="text1"/>
                <w:sz w:val="20"/>
              </w:rPr>
              <w:br/>
              <w:t>Since the last full update of the guideline, new drugs for symptomatic hypertrophic obstructive cardiomyopathy and ATTR-cardiomyopathy have become available to treating clinicians/their patients – and more are likely to become available in the next year, assuming successful technology appraisal assessments. Both of these conditions lead to heart failure – indeed, in the case of mavacamten, patients are only eligible if they are in heart failure. There are no separate guidelines covering cardiomyopathy, or amyloidosis. Therefore, we would expect that relevant guidance would be included in the heart failure guidance, in order to ensure optimal patient care, tailored to their condition. This should include guidance on diagnosing these conditions in the diagnosis section, and information about treatment in the treatment section. Whilst we would not advocate for every cause of heart failure to be included in the diagnosis section, these conditions necessitate specific treatment regimens. This is why we find the limited guideline update to be ill-conceived, and request that the NICE committee sets a date for a comprehensive update.</w:t>
            </w:r>
            <w:r w:rsidRPr="00CC6553">
              <w:rPr>
                <w:rFonts w:cs="Arial"/>
                <w:color w:val="000000" w:themeColor="text1"/>
                <w:sz w:val="20"/>
              </w:rPr>
              <w:br/>
            </w:r>
            <w:r w:rsidRPr="00CC6553">
              <w:rPr>
                <w:rFonts w:cs="Arial"/>
                <w:color w:val="000000" w:themeColor="text1"/>
                <w:sz w:val="20"/>
              </w:rPr>
              <w:br/>
              <w:t>We are also disappointed that the guideline update excludes other sections, as we have comments on changes we would like to see relating to writing a care plan, heart failure caused by valve disease, and interventional procedures – particularly relating to signposting to UK based charities which are very important sources of information and psychosocial support. Missing the opportunity to ask healthcare professionals to signpost to charities such as Cardiomyopathy UK, Pumping, BHF means patients may miss out on these sources of support, information, education, solidarity etc.</w:t>
            </w:r>
          </w:p>
        </w:tc>
        <w:tc>
          <w:tcPr>
            <w:tcW w:w="2122" w:type="pct"/>
          </w:tcPr>
          <w:p w14:paraId="298DB458" w14:textId="1F5DCD23" w:rsidR="00897293" w:rsidRPr="00CC6553" w:rsidRDefault="00897293" w:rsidP="00B234F1">
            <w:pPr>
              <w:pStyle w:val="Paragraph"/>
              <w:numPr>
                <w:ilvl w:val="0"/>
                <w:numId w:val="0"/>
              </w:numPr>
              <w:rPr>
                <w:rFonts w:cs="Arial"/>
                <w:bCs/>
                <w:color w:val="000000" w:themeColor="text1"/>
                <w:sz w:val="20"/>
              </w:rPr>
            </w:pPr>
            <w:r w:rsidRPr="00CC6553">
              <w:rPr>
                <w:rFonts w:cs="Arial"/>
                <w:bCs/>
                <w:color w:val="000000" w:themeColor="text1"/>
                <w:sz w:val="20"/>
              </w:rPr>
              <w:t xml:space="preserve">Thank you for your comment.  The scope of this guideline update was in response to the surveillance review </w:t>
            </w:r>
            <w:hyperlink r:id="rId57" w:history="1">
              <w:r w:rsidRPr="00CC6553">
                <w:rPr>
                  <w:rStyle w:val="Hyperlink"/>
                  <w:rFonts w:cs="Arial"/>
                  <w:bCs/>
                  <w:color w:val="000000" w:themeColor="text1"/>
                  <w:sz w:val="20"/>
                </w:rPr>
                <w:t>Surveillance decision | Evidence | Chronic heart failure in adults: diagnosis and management | Guidance | NICE</w:t>
              </w:r>
            </w:hyperlink>
            <w:r w:rsidRPr="00CC6553">
              <w:rPr>
                <w:rFonts w:cs="Arial"/>
                <w:bCs/>
                <w:color w:val="000000" w:themeColor="text1"/>
                <w:sz w:val="20"/>
              </w:rPr>
              <w:t xml:space="preserve"> and it therefore focused on pharmacological management.  It does not preclude further updates on the topics you have mentioned.  For further details of how we prioritise our guidance </w:t>
            </w:r>
            <w:hyperlink r:id="rId58" w:history="1">
              <w:r w:rsidRPr="00CC6553">
                <w:rPr>
                  <w:rStyle w:val="Hyperlink"/>
                  <w:rFonts w:cs="Arial"/>
                  <w:bCs/>
                  <w:color w:val="000000" w:themeColor="text1"/>
                  <w:sz w:val="20"/>
                </w:rPr>
                <w:t>Prioritising our guidance topics | What we do | About | NICE</w:t>
              </w:r>
            </w:hyperlink>
            <w:r w:rsidRPr="00CC6553">
              <w:rPr>
                <w:rFonts w:cs="Arial"/>
                <w:bCs/>
                <w:color w:val="000000" w:themeColor="text1"/>
                <w:sz w:val="20"/>
              </w:rPr>
              <w:t xml:space="preserve"> including details of how to suggest a topic.</w:t>
            </w:r>
          </w:p>
          <w:p w14:paraId="04620A0B" w14:textId="77777777" w:rsidR="00897293" w:rsidRPr="00CC6553" w:rsidRDefault="00897293" w:rsidP="00B234F1">
            <w:pPr>
              <w:pStyle w:val="Heading1"/>
              <w:rPr>
                <w:rFonts w:cs="Arial"/>
                <w:b w:val="0"/>
                <w:color w:val="000000" w:themeColor="text1"/>
                <w:sz w:val="20"/>
              </w:rPr>
            </w:pPr>
          </w:p>
        </w:tc>
      </w:tr>
      <w:tr w:rsidR="00897293" w:rsidRPr="00CC6553" w14:paraId="51A655B1" w14:textId="77777777" w:rsidTr="00897293">
        <w:trPr>
          <w:trHeight w:val="300"/>
        </w:trPr>
        <w:tc>
          <w:tcPr>
            <w:tcW w:w="109" w:type="pct"/>
          </w:tcPr>
          <w:p w14:paraId="59293FA7"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389</w:t>
            </w:r>
          </w:p>
        </w:tc>
        <w:tc>
          <w:tcPr>
            <w:tcW w:w="143" w:type="pct"/>
          </w:tcPr>
          <w:p w14:paraId="1E7BD75E" w14:textId="7BF1EF98"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001E1A1" w14:textId="0B819448"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3339A4F9" w14:textId="05223D97" w:rsidR="00897293" w:rsidRPr="00CC6553" w:rsidRDefault="00897293" w:rsidP="00B234F1">
            <w:pPr>
              <w:rPr>
                <w:rFonts w:cs="Arial"/>
                <w:color w:val="000000" w:themeColor="text1"/>
                <w:sz w:val="20"/>
              </w:rPr>
            </w:pPr>
            <w:r w:rsidRPr="00CC6553">
              <w:rPr>
                <w:rFonts w:cs="Arial"/>
                <w:color w:val="000000" w:themeColor="text1"/>
                <w:sz w:val="20"/>
              </w:rPr>
              <w:t xml:space="preserve">Scope </w:t>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t>Methods</w:t>
            </w:r>
          </w:p>
        </w:tc>
        <w:tc>
          <w:tcPr>
            <w:tcW w:w="214" w:type="pct"/>
          </w:tcPr>
          <w:p w14:paraId="457AA2DF" w14:textId="0DA17C83" w:rsidR="00897293" w:rsidRPr="00CC6553" w:rsidRDefault="00897293" w:rsidP="00B234F1">
            <w:pPr>
              <w:rPr>
                <w:rFonts w:cs="Arial"/>
                <w:color w:val="000000" w:themeColor="text1"/>
                <w:sz w:val="20"/>
              </w:rPr>
            </w:pPr>
            <w:r w:rsidRPr="00CC6553">
              <w:rPr>
                <w:rFonts w:cs="Arial"/>
                <w:color w:val="000000" w:themeColor="text1"/>
                <w:sz w:val="20"/>
              </w:rPr>
              <w:t>General</w:t>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t>005</w:t>
            </w:r>
          </w:p>
        </w:tc>
        <w:tc>
          <w:tcPr>
            <w:tcW w:w="214" w:type="pct"/>
          </w:tcPr>
          <w:p w14:paraId="0CC72A9E" w14:textId="073258FA" w:rsidR="00897293" w:rsidRPr="00CC6553" w:rsidRDefault="00897293" w:rsidP="00B234F1">
            <w:pPr>
              <w:rPr>
                <w:rFonts w:cs="Arial"/>
                <w:color w:val="000000" w:themeColor="text1"/>
                <w:sz w:val="20"/>
              </w:rPr>
            </w:pPr>
            <w:r w:rsidRPr="00CC6553">
              <w:rPr>
                <w:rFonts w:cs="Arial"/>
                <w:color w:val="000000" w:themeColor="text1"/>
                <w:sz w:val="20"/>
              </w:rPr>
              <w:t>General</w:t>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br/>
              <w:t>002 - 021</w:t>
            </w:r>
          </w:p>
        </w:tc>
        <w:tc>
          <w:tcPr>
            <w:tcW w:w="1521" w:type="pct"/>
          </w:tcPr>
          <w:p w14:paraId="4FBAAE90" w14:textId="3C63B8E1" w:rsidR="00897293" w:rsidRPr="00CC6553" w:rsidRDefault="00897293" w:rsidP="00B234F1">
            <w:pPr>
              <w:rPr>
                <w:rFonts w:cs="Arial"/>
                <w:color w:val="000000" w:themeColor="text1"/>
                <w:sz w:val="20"/>
              </w:rPr>
            </w:pPr>
            <w:r w:rsidRPr="00CC6553">
              <w:rPr>
                <w:rFonts w:cs="Arial"/>
                <w:color w:val="000000" w:themeColor="text1"/>
                <w:sz w:val="20"/>
              </w:rPr>
              <w:t xml:space="preserve">Regarding scope/methods section 1.1: Remit. We are disappointed that the remit excludes other sections, particularly the section on diagnosis. It makes little sense to revise the section on treatment without also revising the section on diagnosis. By doing so, novel treatments are necessarily being excluded. </w:t>
            </w:r>
            <w:r w:rsidRPr="00CC6553">
              <w:rPr>
                <w:rFonts w:cs="Arial"/>
                <w:color w:val="000000" w:themeColor="text1"/>
                <w:sz w:val="20"/>
              </w:rPr>
              <w:br/>
            </w:r>
            <w:r w:rsidRPr="00CC6553">
              <w:rPr>
                <w:rFonts w:cs="Arial"/>
                <w:color w:val="000000" w:themeColor="text1"/>
                <w:sz w:val="20"/>
              </w:rPr>
              <w:br/>
              <w:t>Since the last full update of the guideline, new drugs for symptomatic hypertrophic obstructive cardiomyopathy and ATTR-cardiomyopathy have become available to treating clinicians/their patients – and more are likely to become available in the next year, assuming successful technology appraisal assessments. Both of these conditions lead to heart failure – indeed, in the case of mavacamten, patients are only eligible if they are in heart failure. There are no separate guidelines covering cardiomyopathy, or amyloidosis. Therefore, we would expect that relevant guidance would be included in the heart failure guidance, in order to ensure optimal patient care, tailored to their condition. This should include guidance on diagnosing these conditions in the diagnosis section, and information about treatment in the treatment section. Whilst we would not advocate for every cause of heart failure to be included in the diagnosis section, these conditions necessitate specific treatment regimens. This is why we find the limited guideline update to be ill-conceived, and request that the NICE committee sets a date for a comprehensive update.</w:t>
            </w:r>
            <w:r w:rsidRPr="00CC6553">
              <w:rPr>
                <w:rFonts w:cs="Arial"/>
                <w:color w:val="000000" w:themeColor="text1"/>
                <w:sz w:val="20"/>
              </w:rPr>
              <w:br/>
            </w:r>
            <w:r w:rsidRPr="00CC6553">
              <w:rPr>
                <w:rFonts w:cs="Arial"/>
                <w:color w:val="000000" w:themeColor="text1"/>
                <w:sz w:val="20"/>
              </w:rPr>
              <w:br/>
              <w:t>We are also disappointed that the guideline update excludes other sections, as we have comments on changes we would like to see relating to writing a care plan, heart failure caused by valve disease, and interventional procedures – particularly relating to signposting to UK based charities which are important sources of information and psychosocial support.</w:t>
            </w:r>
          </w:p>
        </w:tc>
        <w:tc>
          <w:tcPr>
            <w:tcW w:w="2122" w:type="pct"/>
          </w:tcPr>
          <w:p w14:paraId="0A11D2B5" w14:textId="77777777" w:rsidR="00897293" w:rsidRPr="00CC6553" w:rsidRDefault="00897293" w:rsidP="00B234F1">
            <w:pPr>
              <w:pStyle w:val="Paragraph"/>
              <w:numPr>
                <w:ilvl w:val="0"/>
                <w:numId w:val="0"/>
              </w:numPr>
              <w:rPr>
                <w:rFonts w:cs="Arial"/>
                <w:bCs/>
                <w:color w:val="000000" w:themeColor="text1"/>
                <w:sz w:val="20"/>
              </w:rPr>
            </w:pPr>
            <w:r w:rsidRPr="00CC6553">
              <w:rPr>
                <w:rFonts w:cs="Arial"/>
                <w:bCs/>
                <w:color w:val="000000" w:themeColor="text1"/>
                <w:sz w:val="20"/>
              </w:rPr>
              <w:t xml:space="preserve">Thank you for your comment.  The scope of this guideline update was in response to the surveillance review </w:t>
            </w:r>
            <w:hyperlink r:id="rId59" w:history="1">
              <w:r w:rsidRPr="00CC6553">
                <w:rPr>
                  <w:rStyle w:val="Hyperlink"/>
                  <w:rFonts w:cs="Arial"/>
                  <w:bCs/>
                  <w:color w:val="000000" w:themeColor="text1"/>
                  <w:sz w:val="20"/>
                </w:rPr>
                <w:t>Surveillance decision | Evidence | Chronic heart failure in adults: diagnosis and management | Guidance | NICE</w:t>
              </w:r>
            </w:hyperlink>
            <w:r w:rsidRPr="00CC6553">
              <w:rPr>
                <w:rFonts w:cs="Arial"/>
                <w:bCs/>
                <w:color w:val="000000" w:themeColor="text1"/>
                <w:sz w:val="20"/>
              </w:rPr>
              <w:t xml:space="preserve"> and it therefore focused on pharmacological management.  It does not preclude further updates on the topics you have mentioned.  For further details on Thank you for your comment.  For further details of how we prioritise our guidance </w:t>
            </w:r>
            <w:hyperlink r:id="rId60" w:history="1">
              <w:r w:rsidRPr="00CC6553">
                <w:rPr>
                  <w:rStyle w:val="Hyperlink"/>
                  <w:rFonts w:cs="Arial"/>
                  <w:bCs/>
                  <w:color w:val="000000" w:themeColor="text1"/>
                  <w:sz w:val="20"/>
                </w:rPr>
                <w:t>Prioritising our guidance topics | What we do | About | NICE</w:t>
              </w:r>
            </w:hyperlink>
            <w:r w:rsidRPr="00CC6553">
              <w:rPr>
                <w:rFonts w:cs="Arial"/>
                <w:bCs/>
                <w:color w:val="000000" w:themeColor="text1"/>
                <w:sz w:val="20"/>
              </w:rPr>
              <w:t xml:space="preserve"> including details of how to suggest a topic.</w:t>
            </w:r>
          </w:p>
          <w:p w14:paraId="47C7A8DF" w14:textId="77777777" w:rsidR="00897293" w:rsidRPr="00CC6553" w:rsidRDefault="00897293" w:rsidP="00B234F1">
            <w:pPr>
              <w:pStyle w:val="Heading1"/>
              <w:rPr>
                <w:rFonts w:cs="Arial"/>
                <w:b w:val="0"/>
                <w:color w:val="000000" w:themeColor="text1"/>
                <w:sz w:val="20"/>
              </w:rPr>
            </w:pPr>
          </w:p>
        </w:tc>
      </w:tr>
      <w:tr w:rsidR="00897293" w:rsidRPr="00CC6553" w14:paraId="3104CDE5" w14:textId="77777777" w:rsidTr="00897293">
        <w:trPr>
          <w:trHeight w:val="300"/>
        </w:trPr>
        <w:tc>
          <w:tcPr>
            <w:tcW w:w="109" w:type="pct"/>
          </w:tcPr>
          <w:p w14:paraId="7532499B" w14:textId="77777777" w:rsidR="00897293" w:rsidRPr="00CC6553" w:rsidRDefault="00897293" w:rsidP="00B234F1">
            <w:pPr>
              <w:rPr>
                <w:rFonts w:cs="Arial"/>
                <w:color w:val="000000" w:themeColor="text1"/>
                <w:sz w:val="20"/>
              </w:rPr>
            </w:pPr>
            <w:r w:rsidRPr="00CC6553">
              <w:rPr>
                <w:rFonts w:cs="Arial"/>
                <w:color w:val="000000" w:themeColor="text1"/>
                <w:sz w:val="20"/>
              </w:rPr>
              <w:t>390</w:t>
            </w:r>
          </w:p>
        </w:tc>
        <w:tc>
          <w:tcPr>
            <w:tcW w:w="143" w:type="pct"/>
          </w:tcPr>
          <w:p w14:paraId="253EA523" w14:textId="6906A407"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F5203DB" w14:textId="58B87065" w:rsidR="00897293" w:rsidRPr="00CC6553" w:rsidRDefault="00897293" w:rsidP="00B234F1">
            <w:pPr>
              <w:rPr>
                <w:rFonts w:cs="Arial"/>
                <w:bCs/>
                <w:iCs/>
                <w:color w:val="000000" w:themeColor="text1"/>
                <w:sz w:val="20"/>
              </w:rPr>
            </w:pPr>
            <w:r w:rsidRPr="00CC6553">
              <w:rPr>
                <w:rFonts w:cs="Arial"/>
                <w:color w:val="000000" w:themeColor="text1"/>
                <w:sz w:val="20"/>
              </w:rPr>
              <w:t>Alliance for Heart Failure</w:t>
            </w:r>
          </w:p>
        </w:tc>
        <w:tc>
          <w:tcPr>
            <w:tcW w:w="279" w:type="pct"/>
          </w:tcPr>
          <w:p w14:paraId="386AE816" w14:textId="3C4888BA" w:rsidR="00897293" w:rsidRPr="00CC6553" w:rsidRDefault="00897293" w:rsidP="00B234F1">
            <w:pPr>
              <w:rPr>
                <w:rFonts w:cs="Arial"/>
                <w:color w:val="000000" w:themeColor="text1"/>
                <w:sz w:val="20"/>
              </w:rPr>
            </w:pPr>
            <w:r w:rsidRPr="00CC6553">
              <w:rPr>
                <w:rFonts w:cs="Arial"/>
                <w:color w:val="000000" w:themeColor="text1"/>
                <w:sz w:val="20"/>
              </w:rPr>
              <w:t>Methods</w:t>
            </w:r>
          </w:p>
        </w:tc>
        <w:tc>
          <w:tcPr>
            <w:tcW w:w="214" w:type="pct"/>
          </w:tcPr>
          <w:p w14:paraId="785673D3" w14:textId="45B213D9" w:rsidR="00897293" w:rsidRPr="00CC6553" w:rsidRDefault="00897293" w:rsidP="00B234F1">
            <w:pPr>
              <w:rPr>
                <w:rFonts w:cs="Arial"/>
                <w:color w:val="000000" w:themeColor="text1"/>
                <w:sz w:val="20"/>
              </w:rPr>
            </w:pPr>
            <w:r w:rsidRPr="00CC6553">
              <w:rPr>
                <w:rFonts w:cs="Arial"/>
                <w:color w:val="000000" w:themeColor="text1"/>
                <w:sz w:val="20"/>
              </w:rPr>
              <w:t>005</w:t>
            </w:r>
          </w:p>
        </w:tc>
        <w:tc>
          <w:tcPr>
            <w:tcW w:w="214" w:type="pct"/>
          </w:tcPr>
          <w:p w14:paraId="27A64BB5" w14:textId="5BB04239" w:rsidR="00897293" w:rsidRPr="00CC6553" w:rsidRDefault="00897293" w:rsidP="00B234F1">
            <w:pPr>
              <w:rPr>
                <w:rFonts w:cs="Arial"/>
                <w:color w:val="000000" w:themeColor="text1"/>
                <w:sz w:val="20"/>
              </w:rPr>
            </w:pPr>
            <w:r w:rsidRPr="00CC6553">
              <w:rPr>
                <w:rFonts w:cs="Arial"/>
                <w:color w:val="000000" w:themeColor="text1"/>
                <w:sz w:val="20"/>
              </w:rPr>
              <w:t>002 - 021</w:t>
            </w:r>
          </w:p>
        </w:tc>
        <w:tc>
          <w:tcPr>
            <w:tcW w:w="1521" w:type="pct"/>
          </w:tcPr>
          <w:p w14:paraId="31B32184" w14:textId="13E96F1C" w:rsidR="00897293" w:rsidRPr="00CC6553" w:rsidRDefault="00897293" w:rsidP="00B234F1">
            <w:pPr>
              <w:rPr>
                <w:rFonts w:cs="Arial"/>
                <w:color w:val="000000" w:themeColor="text1"/>
                <w:sz w:val="20"/>
              </w:rPr>
            </w:pPr>
            <w:r w:rsidRPr="00CC6553">
              <w:rPr>
                <w:rFonts w:cs="Arial"/>
                <w:color w:val="000000" w:themeColor="text1"/>
                <w:sz w:val="20"/>
              </w:rPr>
              <w:t xml:space="preserve">Members of the Alliance are concerned that the guideline update excludes the section on diagnosis. Revising treatment without also revisiting diagnosis limits the inclusion of new therapies and risks compromising patient care. </w:t>
            </w:r>
            <w:r w:rsidRPr="00CC6553">
              <w:rPr>
                <w:rFonts w:cs="Arial"/>
                <w:color w:val="000000" w:themeColor="text1"/>
                <w:sz w:val="20"/>
              </w:rPr>
              <w:br/>
            </w:r>
            <w:r w:rsidRPr="00CC6553">
              <w:rPr>
                <w:rFonts w:cs="Arial"/>
                <w:color w:val="000000" w:themeColor="text1"/>
                <w:sz w:val="20"/>
              </w:rPr>
              <w:br/>
              <w:t>Since the last full update, new treatments have emerged for conditions like symptomatic hypertrophic obstructive cardiomyopathy and ATTR-</w:t>
            </w:r>
            <w:r w:rsidRPr="00CC6553">
              <w:rPr>
                <w:rFonts w:cs="Arial"/>
                <w:color w:val="000000" w:themeColor="text1"/>
                <w:sz w:val="20"/>
              </w:rPr>
              <w:lastRenderedPageBreak/>
              <w:t xml:space="preserve">cardiomyopathy—both causes of heart failure. These therapies, such as mavacamten, are specifically indicated for patients with heart failure, yet there are no separate NICE guidelines for these conditions. </w:t>
            </w:r>
            <w:r w:rsidRPr="00CC6553">
              <w:rPr>
                <w:rFonts w:cs="Arial"/>
                <w:color w:val="000000" w:themeColor="text1"/>
                <w:sz w:val="20"/>
              </w:rPr>
              <w:br/>
            </w:r>
            <w:r w:rsidRPr="00CC6553">
              <w:rPr>
                <w:rFonts w:cs="Arial"/>
                <w:color w:val="000000" w:themeColor="text1"/>
                <w:sz w:val="20"/>
              </w:rPr>
              <w:br/>
              <w:t>To ensure effective and tailored care, we urge that the heart failure guideline include diagnostic and treatment guidance for these cardiomyopathies. While we do not suggest covering every cause of heart failure in detail, these conditions require distinct approaches. We therefore request that NICE commits to a full guideline update.</w:t>
            </w:r>
          </w:p>
        </w:tc>
        <w:tc>
          <w:tcPr>
            <w:tcW w:w="2122" w:type="pct"/>
          </w:tcPr>
          <w:p w14:paraId="3617843F" w14:textId="6C93784D" w:rsidR="00897293" w:rsidRPr="00CC6553" w:rsidRDefault="00897293" w:rsidP="00B234F1">
            <w:pPr>
              <w:pStyle w:val="Paragraph"/>
              <w:numPr>
                <w:ilvl w:val="0"/>
                <w:numId w:val="0"/>
              </w:numPr>
              <w:rPr>
                <w:rFonts w:cs="Arial"/>
                <w:bCs/>
                <w:color w:val="000000" w:themeColor="text1"/>
                <w:sz w:val="20"/>
              </w:rPr>
            </w:pPr>
            <w:r w:rsidRPr="00CC6553">
              <w:rPr>
                <w:rFonts w:cs="Arial"/>
                <w:bCs/>
                <w:color w:val="000000" w:themeColor="text1"/>
                <w:sz w:val="20"/>
              </w:rPr>
              <w:lastRenderedPageBreak/>
              <w:t xml:space="preserve">Thank you for your comment.  The scope of this guideline update was in response to the surveillance review </w:t>
            </w:r>
            <w:hyperlink r:id="rId61" w:history="1">
              <w:r w:rsidRPr="00CC6553">
                <w:rPr>
                  <w:rStyle w:val="Hyperlink"/>
                  <w:rFonts w:cs="Arial"/>
                  <w:bCs/>
                  <w:color w:val="000000" w:themeColor="text1"/>
                  <w:sz w:val="20"/>
                </w:rPr>
                <w:t xml:space="preserve">Surveillance decision | Evidence | </w:t>
              </w:r>
              <w:r w:rsidRPr="00CC6553">
                <w:rPr>
                  <w:rStyle w:val="Hyperlink"/>
                  <w:rFonts w:cs="Arial"/>
                  <w:bCs/>
                  <w:color w:val="000000" w:themeColor="text1"/>
                  <w:sz w:val="20"/>
                </w:rPr>
                <w:lastRenderedPageBreak/>
                <w:t>Chronic heart failure in adults: diagnosis and management | Guidance | NICE</w:t>
              </w:r>
            </w:hyperlink>
            <w:r w:rsidRPr="00CC6553">
              <w:rPr>
                <w:rFonts w:cs="Arial"/>
                <w:bCs/>
                <w:color w:val="000000" w:themeColor="text1"/>
                <w:sz w:val="20"/>
              </w:rPr>
              <w:t xml:space="preserve"> and it therefore focused on pharmacological management</w:t>
            </w:r>
            <w:r>
              <w:rPr>
                <w:rFonts w:cs="Arial"/>
                <w:bCs/>
                <w:color w:val="000000" w:themeColor="text1"/>
                <w:sz w:val="20"/>
              </w:rPr>
              <w:t>.</w:t>
            </w:r>
            <w:r w:rsidRPr="00CC6553">
              <w:rPr>
                <w:rFonts w:cs="Arial"/>
                <w:bCs/>
                <w:color w:val="000000" w:themeColor="text1"/>
                <w:sz w:val="20"/>
              </w:rPr>
              <w:t xml:space="preserve">For further details of how we prioritise our guidance </w:t>
            </w:r>
            <w:hyperlink r:id="rId62" w:history="1">
              <w:r w:rsidRPr="00CC6553">
                <w:rPr>
                  <w:rStyle w:val="Hyperlink"/>
                  <w:rFonts w:cs="Arial"/>
                  <w:bCs/>
                  <w:color w:val="000000" w:themeColor="text1"/>
                  <w:sz w:val="20"/>
                </w:rPr>
                <w:t>Prioritising our guidance topics | What we do | About | NICE</w:t>
              </w:r>
            </w:hyperlink>
            <w:r w:rsidRPr="00CC6553">
              <w:rPr>
                <w:rFonts w:cs="Arial"/>
                <w:bCs/>
                <w:color w:val="000000" w:themeColor="text1"/>
                <w:sz w:val="20"/>
              </w:rPr>
              <w:t xml:space="preserve"> including details of how to suggest a topic.</w:t>
            </w:r>
          </w:p>
          <w:p w14:paraId="401998B9" w14:textId="3F393C07" w:rsidR="00897293" w:rsidRPr="00CC6553" w:rsidRDefault="00897293" w:rsidP="00B234F1">
            <w:pPr>
              <w:pStyle w:val="Heading1"/>
              <w:rPr>
                <w:rFonts w:cs="Arial"/>
                <w:b w:val="0"/>
                <w:color w:val="000000" w:themeColor="text1"/>
                <w:sz w:val="20"/>
              </w:rPr>
            </w:pPr>
          </w:p>
        </w:tc>
      </w:tr>
      <w:tr w:rsidR="00897293" w:rsidRPr="00CC6553" w14:paraId="0E9650C9" w14:textId="77777777" w:rsidTr="00897293">
        <w:trPr>
          <w:trHeight w:val="300"/>
        </w:trPr>
        <w:tc>
          <w:tcPr>
            <w:tcW w:w="109" w:type="pct"/>
          </w:tcPr>
          <w:p w14:paraId="205B981E"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391</w:t>
            </w:r>
          </w:p>
        </w:tc>
        <w:tc>
          <w:tcPr>
            <w:tcW w:w="143" w:type="pct"/>
          </w:tcPr>
          <w:p w14:paraId="74E78D23" w14:textId="7D5835F2"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721E7A89" w14:textId="3C1A8EA2" w:rsidR="00897293" w:rsidRPr="00CC6553" w:rsidRDefault="00897293" w:rsidP="00B234F1">
            <w:pPr>
              <w:rPr>
                <w:rFonts w:cs="Arial"/>
                <w:bCs/>
                <w:iCs/>
                <w:color w:val="000000" w:themeColor="text1"/>
                <w:sz w:val="20"/>
              </w:rPr>
            </w:pPr>
            <w:r w:rsidRPr="00CC6553">
              <w:rPr>
                <w:rFonts w:cs="Arial"/>
                <w:color w:val="000000" w:themeColor="text1"/>
                <w:sz w:val="20"/>
              </w:rPr>
              <w:t>Roche Diagnostics Limited</w:t>
            </w:r>
          </w:p>
        </w:tc>
        <w:tc>
          <w:tcPr>
            <w:tcW w:w="279" w:type="pct"/>
          </w:tcPr>
          <w:p w14:paraId="164FDFAB" w14:textId="61DEB14B" w:rsidR="00897293" w:rsidRPr="00CC6553" w:rsidRDefault="00897293" w:rsidP="00B234F1">
            <w:pPr>
              <w:rPr>
                <w:rFonts w:cs="Arial"/>
                <w:color w:val="000000" w:themeColor="text1"/>
                <w:sz w:val="20"/>
              </w:rPr>
            </w:pPr>
            <w:r w:rsidRPr="00CC6553">
              <w:rPr>
                <w:rFonts w:cs="Arial"/>
                <w:color w:val="000000" w:themeColor="text1"/>
                <w:sz w:val="20"/>
              </w:rPr>
              <w:t>Methods</w:t>
            </w:r>
          </w:p>
        </w:tc>
        <w:tc>
          <w:tcPr>
            <w:tcW w:w="214" w:type="pct"/>
          </w:tcPr>
          <w:p w14:paraId="11446D61" w14:textId="37447F49" w:rsidR="00897293" w:rsidRPr="00CC6553" w:rsidRDefault="00897293" w:rsidP="00B234F1">
            <w:pPr>
              <w:rPr>
                <w:rFonts w:cs="Arial"/>
                <w:color w:val="000000" w:themeColor="text1"/>
                <w:sz w:val="20"/>
              </w:rPr>
            </w:pPr>
            <w:r w:rsidRPr="00CC6553">
              <w:rPr>
                <w:rFonts w:cs="Arial"/>
                <w:color w:val="000000" w:themeColor="text1"/>
                <w:sz w:val="20"/>
              </w:rPr>
              <w:t>005</w:t>
            </w:r>
          </w:p>
        </w:tc>
        <w:tc>
          <w:tcPr>
            <w:tcW w:w="214" w:type="pct"/>
          </w:tcPr>
          <w:p w14:paraId="0924D5F1" w14:textId="59D3E2B8" w:rsidR="00897293" w:rsidRPr="00CC6553" w:rsidRDefault="00897293" w:rsidP="00B234F1">
            <w:pPr>
              <w:rPr>
                <w:rFonts w:cs="Arial"/>
                <w:color w:val="000000" w:themeColor="text1"/>
                <w:sz w:val="20"/>
              </w:rPr>
            </w:pPr>
            <w:r w:rsidRPr="00CC6553">
              <w:rPr>
                <w:rFonts w:cs="Arial"/>
                <w:color w:val="000000" w:themeColor="text1"/>
                <w:sz w:val="20"/>
              </w:rPr>
              <w:t>034</w:t>
            </w:r>
          </w:p>
        </w:tc>
        <w:tc>
          <w:tcPr>
            <w:tcW w:w="1521" w:type="pct"/>
          </w:tcPr>
          <w:p w14:paraId="65303EC3" w14:textId="30AD8676" w:rsidR="00897293" w:rsidRPr="00CC6553" w:rsidRDefault="00897293" w:rsidP="00B234F1">
            <w:pPr>
              <w:rPr>
                <w:rFonts w:cs="Arial"/>
                <w:color w:val="000000" w:themeColor="text1"/>
                <w:sz w:val="20"/>
              </w:rPr>
            </w:pPr>
            <w:r w:rsidRPr="00CC6553">
              <w:rPr>
                <w:rFonts w:cs="Arial"/>
                <w:color w:val="000000" w:themeColor="text1"/>
                <w:sz w:val="20"/>
              </w:rPr>
              <w:t>Roche wish to highlight that updating treatment recommendations without revisiting the diagnostic section may create a disconnect that may limit the effective use of new therapies. Accurate and timely diagnosis is critical, particularly as different heart failure phenotypes require tailored approaches. We recommend that NICE undertake a full guideline update that includes diagnostic criteria to ensure a holistic approach.</w:t>
            </w:r>
          </w:p>
        </w:tc>
        <w:tc>
          <w:tcPr>
            <w:tcW w:w="2122" w:type="pct"/>
          </w:tcPr>
          <w:p w14:paraId="2F94EDCE" w14:textId="707B11D7" w:rsidR="00897293" w:rsidRPr="00CC6553" w:rsidRDefault="00897293" w:rsidP="00B234F1">
            <w:pPr>
              <w:pStyle w:val="Paragraph"/>
              <w:numPr>
                <w:ilvl w:val="0"/>
                <w:numId w:val="0"/>
              </w:numPr>
              <w:rPr>
                <w:rFonts w:cs="Arial"/>
                <w:bCs/>
                <w:color w:val="000000" w:themeColor="text1"/>
                <w:sz w:val="20"/>
              </w:rPr>
            </w:pPr>
            <w:r w:rsidRPr="00CC6553">
              <w:rPr>
                <w:rFonts w:cs="Arial"/>
                <w:bCs/>
                <w:color w:val="000000" w:themeColor="text1"/>
                <w:sz w:val="20"/>
              </w:rPr>
              <w:t xml:space="preserve">Thank you for your comment.  The scope of this guideline update was in response to the surveillance review </w:t>
            </w:r>
            <w:hyperlink r:id="rId63" w:history="1">
              <w:r w:rsidRPr="00CC6553">
                <w:rPr>
                  <w:rStyle w:val="Hyperlink"/>
                  <w:rFonts w:cs="Arial"/>
                  <w:bCs/>
                  <w:color w:val="000000" w:themeColor="text1"/>
                  <w:sz w:val="20"/>
                </w:rPr>
                <w:t>Surveillance decision | Evidence | Chronic heart failure in adults: diagnosis and management | Guidance | NICE</w:t>
              </w:r>
            </w:hyperlink>
            <w:r w:rsidRPr="00CC6553">
              <w:rPr>
                <w:rFonts w:cs="Arial"/>
                <w:bCs/>
                <w:color w:val="000000" w:themeColor="text1"/>
                <w:sz w:val="20"/>
              </w:rPr>
              <w:t xml:space="preserve"> and it therefore focused on pharmacological management.  It does not preclude further updates on the topics you have mentioned.  For further details of how we prioritise our guidance </w:t>
            </w:r>
            <w:hyperlink r:id="rId64" w:history="1">
              <w:r w:rsidRPr="00CC6553">
                <w:rPr>
                  <w:rStyle w:val="Hyperlink"/>
                  <w:rFonts w:cs="Arial"/>
                  <w:bCs/>
                  <w:color w:val="000000" w:themeColor="text1"/>
                  <w:sz w:val="20"/>
                </w:rPr>
                <w:t>Prioritising our guidance topics | What we do | About | NICE</w:t>
              </w:r>
            </w:hyperlink>
            <w:r w:rsidRPr="00CC6553">
              <w:rPr>
                <w:rFonts w:cs="Arial"/>
                <w:bCs/>
                <w:color w:val="000000" w:themeColor="text1"/>
                <w:sz w:val="20"/>
              </w:rPr>
              <w:t xml:space="preserve"> including details of how to suggest a topic.</w:t>
            </w:r>
          </w:p>
          <w:p w14:paraId="06E4B23C" w14:textId="77777777" w:rsidR="00897293" w:rsidRPr="00CC6553" w:rsidRDefault="00897293" w:rsidP="00B234F1">
            <w:pPr>
              <w:pStyle w:val="Heading1"/>
              <w:rPr>
                <w:rFonts w:cs="Arial"/>
                <w:b w:val="0"/>
                <w:color w:val="000000" w:themeColor="text1"/>
                <w:sz w:val="20"/>
              </w:rPr>
            </w:pPr>
          </w:p>
        </w:tc>
      </w:tr>
      <w:tr w:rsidR="00897293" w:rsidRPr="00CC6553" w14:paraId="6FC1DF7B" w14:textId="77777777" w:rsidTr="00897293">
        <w:trPr>
          <w:trHeight w:val="300"/>
        </w:trPr>
        <w:tc>
          <w:tcPr>
            <w:tcW w:w="109" w:type="pct"/>
          </w:tcPr>
          <w:p w14:paraId="37A5F035" w14:textId="77777777" w:rsidR="00897293" w:rsidRPr="00CC6553" w:rsidRDefault="00897293" w:rsidP="00B234F1">
            <w:pPr>
              <w:rPr>
                <w:rFonts w:cs="Arial"/>
                <w:color w:val="000000" w:themeColor="text1"/>
                <w:sz w:val="20"/>
                <w:lang w:val="en-AU"/>
              </w:rPr>
            </w:pPr>
            <w:r w:rsidRPr="00CC6553">
              <w:rPr>
                <w:rFonts w:cs="Arial"/>
                <w:color w:val="000000" w:themeColor="text1"/>
                <w:sz w:val="20"/>
                <w:lang w:val="en-AU"/>
              </w:rPr>
              <w:lastRenderedPageBreak/>
              <w:t>392</w:t>
            </w:r>
          </w:p>
        </w:tc>
        <w:tc>
          <w:tcPr>
            <w:tcW w:w="143" w:type="pct"/>
          </w:tcPr>
          <w:p w14:paraId="73FCFC24" w14:textId="0C0C19A3"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4B61D794" w14:textId="4740419B" w:rsidR="00897293" w:rsidRPr="00CC6553" w:rsidRDefault="00897293" w:rsidP="00B234F1">
            <w:pPr>
              <w:rPr>
                <w:rFonts w:cs="Arial"/>
                <w:bCs/>
                <w:iCs/>
                <w:color w:val="000000" w:themeColor="text1"/>
                <w:sz w:val="20"/>
              </w:rPr>
            </w:pPr>
            <w:r w:rsidRPr="00CC6553">
              <w:rPr>
                <w:rFonts w:cs="Arial"/>
                <w:color w:val="000000" w:themeColor="text1"/>
                <w:sz w:val="20"/>
              </w:rPr>
              <w:t>Primary Care Cardiovascular Society (PCCS)</w:t>
            </w:r>
          </w:p>
        </w:tc>
        <w:tc>
          <w:tcPr>
            <w:tcW w:w="279" w:type="pct"/>
          </w:tcPr>
          <w:p w14:paraId="03983531" w14:textId="0721A46A" w:rsidR="00897293" w:rsidRPr="00CC6553" w:rsidRDefault="00897293" w:rsidP="00B234F1">
            <w:pPr>
              <w:rPr>
                <w:rFonts w:cs="Arial"/>
                <w:color w:val="000000" w:themeColor="text1"/>
                <w:sz w:val="20"/>
              </w:rPr>
            </w:pPr>
            <w:r w:rsidRPr="00CC6553">
              <w:rPr>
                <w:rFonts w:cs="Arial"/>
                <w:color w:val="000000" w:themeColor="text1"/>
                <w:sz w:val="20"/>
              </w:rPr>
              <w:t>Visual Summary</w:t>
            </w:r>
          </w:p>
        </w:tc>
        <w:tc>
          <w:tcPr>
            <w:tcW w:w="214" w:type="pct"/>
          </w:tcPr>
          <w:p w14:paraId="013D45E9" w14:textId="30AD2677" w:rsidR="00897293" w:rsidRPr="00CC6553" w:rsidRDefault="00897293" w:rsidP="00B234F1">
            <w:pPr>
              <w:rPr>
                <w:rFonts w:cs="Arial"/>
                <w:color w:val="000000" w:themeColor="text1"/>
                <w:sz w:val="20"/>
              </w:rPr>
            </w:pPr>
            <w:r w:rsidRPr="00CC6553">
              <w:rPr>
                <w:rFonts w:cs="Arial"/>
                <w:color w:val="000000" w:themeColor="text1"/>
                <w:sz w:val="20"/>
              </w:rPr>
              <w:t>002</w:t>
            </w:r>
          </w:p>
        </w:tc>
        <w:tc>
          <w:tcPr>
            <w:tcW w:w="214" w:type="pct"/>
          </w:tcPr>
          <w:p w14:paraId="26AFBC76" w14:textId="7DA9604B"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3EDDB2EA" w14:textId="65E01EDF" w:rsidR="00897293" w:rsidRPr="00CC6553" w:rsidRDefault="00897293" w:rsidP="00B234F1">
            <w:pPr>
              <w:rPr>
                <w:rFonts w:cs="Arial"/>
                <w:color w:val="000000" w:themeColor="text1"/>
                <w:sz w:val="20"/>
              </w:rPr>
            </w:pPr>
            <w:r w:rsidRPr="00CC6553">
              <w:rPr>
                <w:rFonts w:cs="Arial"/>
                <w:color w:val="000000" w:themeColor="text1"/>
                <w:sz w:val="20"/>
              </w:rPr>
              <w:t>As per comments above in HFmrEF and HFpEF SGLT21 should be offer not consider</w:t>
            </w:r>
            <w:r w:rsidRPr="00CC6553">
              <w:rPr>
                <w:rFonts w:cs="Arial"/>
                <w:color w:val="000000" w:themeColor="text1"/>
                <w:sz w:val="20"/>
              </w:rPr>
              <w:br/>
              <w:t>Be clear on which MRA</w:t>
            </w:r>
          </w:p>
        </w:tc>
        <w:tc>
          <w:tcPr>
            <w:tcW w:w="2122" w:type="pct"/>
          </w:tcPr>
          <w:p w14:paraId="5BF954C9" w14:textId="37F63FA0" w:rsidR="00897293" w:rsidRDefault="00897293" w:rsidP="00FF47D4">
            <w:pPr>
              <w:pStyle w:val="Heading1"/>
              <w:rPr>
                <w:rFonts w:cs="Arial"/>
                <w:b w:val="0"/>
                <w:bCs w:val="0"/>
                <w:color w:val="000000" w:themeColor="text1"/>
                <w:sz w:val="20"/>
              </w:rPr>
            </w:pPr>
            <w:r w:rsidRPr="00CC6553">
              <w:rPr>
                <w:rFonts w:cs="Arial"/>
                <w:b w:val="0"/>
                <w:bCs w:val="0"/>
                <w:color w:val="000000" w:themeColor="text1"/>
                <w:sz w:val="20"/>
              </w:rPr>
              <w:t>Thank you for your comment.  The committee have removed reference to SGLT2 inhibitors from the</w:t>
            </w:r>
            <w:r>
              <w:rPr>
                <w:rFonts w:cs="Arial"/>
                <w:b w:val="0"/>
                <w:bCs w:val="0"/>
                <w:color w:val="000000" w:themeColor="text1"/>
                <w:sz w:val="20"/>
              </w:rPr>
              <w:t>se</w:t>
            </w:r>
            <w:r w:rsidRPr="00CC6553">
              <w:rPr>
                <w:rFonts w:cs="Arial"/>
                <w:b w:val="0"/>
                <w:bCs w:val="0"/>
                <w:color w:val="000000" w:themeColor="text1"/>
                <w:sz w:val="20"/>
              </w:rPr>
              <w:t xml:space="preserve"> recommendation</w:t>
            </w:r>
            <w:r>
              <w:rPr>
                <w:rFonts w:cs="Arial"/>
                <w:b w:val="0"/>
                <w:bCs w:val="0"/>
                <w:color w:val="000000" w:themeColor="text1"/>
                <w:sz w:val="20"/>
              </w:rPr>
              <w:t>s</w:t>
            </w:r>
            <w:r w:rsidRPr="00CC6553">
              <w:rPr>
                <w:rFonts w:cs="Arial"/>
                <w:b w:val="0"/>
                <w:bCs w:val="0"/>
                <w:color w:val="000000" w:themeColor="text1"/>
                <w:sz w:val="20"/>
              </w:rPr>
              <w:t xml:space="preserve"> but cross-refer to TA929 and TA902.</w:t>
            </w:r>
          </w:p>
          <w:p w14:paraId="59352EA9" w14:textId="77777777" w:rsidR="00897293" w:rsidRDefault="00897293" w:rsidP="00035701"/>
          <w:p w14:paraId="24101C35" w14:textId="6221D482" w:rsidR="00897293" w:rsidRPr="009B3C47" w:rsidRDefault="00897293" w:rsidP="009B3C47">
            <w:pPr>
              <w:rPr>
                <w:b/>
                <w:bCs/>
              </w:rPr>
            </w:pPr>
            <w:r w:rsidRPr="001051A5">
              <w:rPr>
                <w:rFonts w:cs="Arial"/>
                <w:color w:val="000000" w:themeColor="text1"/>
                <w:sz w:val="20"/>
              </w:rPr>
              <w:t>The committee agreed to make medicine class-based recommendation</w:t>
            </w:r>
            <w:r>
              <w:rPr>
                <w:rFonts w:cs="Arial"/>
                <w:color w:val="000000" w:themeColor="text1"/>
                <w:sz w:val="20"/>
              </w:rPr>
              <w:t>s</w:t>
            </w:r>
            <w:r w:rsidRPr="001051A5">
              <w:rPr>
                <w:rFonts w:cs="Arial"/>
                <w:color w:val="000000" w:themeColor="text1"/>
                <w:sz w:val="20"/>
              </w:rPr>
              <w:t xml:space="preserve"> for MRAs. This is in line with the approach taken across this CHF guideline update to consider evidence per class of medicines, rather than split the evidence per individual medicine. The committee is aware that individual circumstances will feature in clinician’s decisions on exactly which medicine to use. They were comfortable with clinicians using their judgement; a sentence has been added to the summary of the committee’s discussion (evidence reviews B and D) to reflect this: ‘Clinical judgement is also important when selecting individual medicines to use within a class of medicines, including consideration of differences in side effect profiles’</w:t>
            </w:r>
          </w:p>
          <w:p w14:paraId="3E9D2A2E" w14:textId="77777777" w:rsidR="00897293" w:rsidRDefault="00897293" w:rsidP="00035701"/>
          <w:p w14:paraId="707F1DBC" w14:textId="77777777" w:rsidR="00897293" w:rsidRPr="009B3C47" w:rsidRDefault="00897293" w:rsidP="009B3C47"/>
          <w:p w14:paraId="5A259B40" w14:textId="7F4F2385" w:rsidR="00897293" w:rsidRPr="00CC6553" w:rsidRDefault="00897293" w:rsidP="00B234F1">
            <w:pPr>
              <w:pStyle w:val="Heading1"/>
              <w:rPr>
                <w:rFonts w:cs="Arial"/>
                <w:b w:val="0"/>
                <w:color w:val="000000" w:themeColor="text1"/>
                <w:sz w:val="20"/>
              </w:rPr>
            </w:pPr>
          </w:p>
        </w:tc>
      </w:tr>
      <w:tr w:rsidR="00897293" w:rsidRPr="00CC6553" w14:paraId="0E74B3F7" w14:textId="77777777" w:rsidTr="00897293">
        <w:trPr>
          <w:trHeight w:val="300"/>
        </w:trPr>
        <w:tc>
          <w:tcPr>
            <w:tcW w:w="109" w:type="pct"/>
          </w:tcPr>
          <w:p w14:paraId="7BA76DD6" w14:textId="77777777" w:rsidR="00897293" w:rsidRPr="00CC6553" w:rsidRDefault="00897293" w:rsidP="00B234F1">
            <w:pPr>
              <w:rPr>
                <w:rFonts w:cs="Arial"/>
                <w:color w:val="000000" w:themeColor="text1"/>
                <w:sz w:val="20"/>
                <w:lang w:val="en-AU"/>
              </w:rPr>
            </w:pPr>
            <w:r w:rsidRPr="00CC6553">
              <w:rPr>
                <w:rFonts w:cs="Arial"/>
                <w:color w:val="000000" w:themeColor="text1"/>
                <w:sz w:val="20"/>
                <w:lang w:val="en-AU"/>
              </w:rPr>
              <w:lastRenderedPageBreak/>
              <w:t>393</w:t>
            </w:r>
          </w:p>
        </w:tc>
        <w:tc>
          <w:tcPr>
            <w:tcW w:w="143" w:type="pct"/>
          </w:tcPr>
          <w:p w14:paraId="612DAA32" w14:textId="620D3424"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2FE718F5" w14:textId="2F962ED5" w:rsidR="00897293" w:rsidRPr="00CC6553" w:rsidRDefault="00897293" w:rsidP="00B234F1">
            <w:pPr>
              <w:rPr>
                <w:rFonts w:cs="Arial"/>
                <w:bCs/>
                <w:iCs/>
                <w:color w:val="000000" w:themeColor="text1"/>
                <w:sz w:val="20"/>
              </w:rPr>
            </w:pPr>
            <w:r w:rsidRPr="00CC6553">
              <w:rPr>
                <w:rFonts w:cs="Arial"/>
                <w:color w:val="000000" w:themeColor="text1"/>
                <w:sz w:val="20"/>
              </w:rPr>
              <w:t>Novo Nordisk UK</w:t>
            </w:r>
          </w:p>
        </w:tc>
        <w:tc>
          <w:tcPr>
            <w:tcW w:w="279" w:type="pct"/>
          </w:tcPr>
          <w:p w14:paraId="4FB52BD8" w14:textId="2F8F6E7B" w:rsidR="00897293" w:rsidRPr="00CC6553" w:rsidRDefault="00897293" w:rsidP="00B234F1">
            <w:pPr>
              <w:rPr>
                <w:rFonts w:cs="Arial"/>
                <w:color w:val="000000" w:themeColor="text1"/>
                <w:sz w:val="20"/>
              </w:rPr>
            </w:pPr>
            <w:r w:rsidRPr="00CC6553">
              <w:rPr>
                <w:rFonts w:cs="Arial"/>
                <w:color w:val="000000" w:themeColor="text1"/>
                <w:sz w:val="20"/>
              </w:rPr>
              <w:t>Visual Summary</w:t>
            </w:r>
          </w:p>
        </w:tc>
        <w:tc>
          <w:tcPr>
            <w:tcW w:w="214" w:type="pct"/>
          </w:tcPr>
          <w:p w14:paraId="745FEA30" w14:textId="2C8E3B01" w:rsidR="00897293" w:rsidRPr="00CC6553" w:rsidRDefault="00897293" w:rsidP="00B234F1">
            <w:pPr>
              <w:rPr>
                <w:rFonts w:cs="Arial"/>
                <w:color w:val="000000" w:themeColor="text1"/>
                <w:sz w:val="20"/>
              </w:rPr>
            </w:pPr>
            <w:r w:rsidRPr="00CC6553">
              <w:rPr>
                <w:rFonts w:cs="Arial"/>
                <w:color w:val="000000" w:themeColor="text1"/>
                <w:sz w:val="20"/>
              </w:rPr>
              <w:t>002</w:t>
            </w:r>
          </w:p>
        </w:tc>
        <w:tc>
          <w:tcPr>
            <w:tcW w:w="214" w:type="pct"/>
          </w:tcPr>
          <w:p w14:paraId="1EA822C9" w14:textId="677A526E"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334B2980" w14:textId="36BCB8AB" w:rsidR="00897293" w:rsidRPr="00CC6553" w:rsidRDefault="00897293" w:rsidP="00B234F1">
            <w:pPr>
              <w:rPr>
                <w:rFonts w:cs="Arial"/>
                <w:color w:val="000000" w:themeColor="text1"/>
                <w:sz w:val="20"/>
              </w:rPr>
            </w:pPr>
            <w:r w:rsidRPr="00CC6553">
              <w:rPr>
                <w:rFonts w:cs="Arial"/>
                <w:color w:val="000000" w:themeColor="text1"/>
                <w:sz w:val="20"/>
              </w:rPr>
              <w:t xml:space="preserve">In the 2018 chronic heart failure visual summary the management of heart failure with preserved ejection fraction (HFpEF) states “manage comorbidities such as hypertension, atrial fibrillation, ischaemic heart disease and diabetes in line with NICE guidance.” </w:t>
            </w:r>
            <w:r w:rsidRPr="00CC6553">
              <w:rPr>
                <w:rFonts w:cs="Arial"/>
                <w:color w:val="000000" w:themeColor="text1"/>
                <w:sz w:val="20"/>
              </w:rPr>
              <w:br/>
            </w:r>
            <w:r w:rsidRPr="00CC6553">
              <w:rPr>
                <w:rFonts w:cs="Arial"/>
                <w:color w:val="000000" w:themeColor="text1"/>
                <w:sz w:val="20"/>
              </w:rPr>
              <w:br/>
              <w:t xml:space="preserve">The 2025 visual summary has removed this and fails to mention the importance of evidence-based management of comorbidities such as obesity, hypertension, atrial fibrillation, ischaemic heart disease and diabetes. Document D “Evidence review for mineralocorticoid receptor antagonist therapy for heart failure with preserved left ventricular ejection fraction” states “previous iterations of the guidelines could not provide any solid evidence-base for treating those with HFpEF, beyond diuretics and addressing their risk factors”. </w:t>
            </w:r>
            <w:r w:rsidRPr="00CC6553">
              <w:rPr>
                <w:rFonts w:cs="Arial"/>
                <w:color w:val="000000" w:themeColor="text1"/>
                <w:sz w:val="20"/>
              </w:rPr>
              <w:br/>
            </w:r>
            <w:r w:rsidRPr="00CC6553">
              <w:rPr>
                <w:rFonts w:cs="Arial"/>
                <w:color w:val="000000" w:themeColor="text1"/>
                <w:sz w:val="20"/>
              </w:rPr>
              <w:br/>
              <w:t>HFpEF is associated with multimorbidity, with as many as 50% of patients having five or more significant comorbidities (Jasinska-Piadlo A, Campbell P. Heart. 2023).</w:t>
            </w:r>
            <w:r w:rsidRPr="00CC6553">
              <w:rPr>
                <w:rFonts w:cs="Arial"/>
                <w:color w:val="000000" w:themeColor="text1"/>
                <w:sz w:val="20"/>
              </w:rPr>
              <w:br/>
            </w:r>
            <w:r w:rsidRPr="00CC6553">
              <w:rPr>
                <w:rFonts w:cs="Arial"/>
                <w:color w:val="000000" w:themeColor="text1"/>
                <w:sz w:val="20"/>
              </w:rPr>
              <w:br/>
              <w:t xml:space="preserve">About 45% of heart failure patients have clinically overt type 2 diabetes, and more than 90% exhibit abnormalities in glucose metabolism. Among the various phenotypes, the overweight or obese phenotype is particularly common in HFpEF, with reported prevalence rates of up to 84% (Prausmüller S, et al. Eur J Prev Cardiol. 2023). </w:t>
            </w:r>
            <w:r w:rsidRPr="00CC6553">
              <w:rPr>
                <w:rFonts w:cs="Arial"/>
                <w:color w:val="000000" w:themeColor="text1"/>
                <w:sz w:val="20"/>
              </w:rPr>
              <w:br/>
            </w:r>
            <w:r w:rsidRPr="00CC6553">
              <w:rPr>
                <w:rFonts w:cs="Arial"/>
                <w:color w:val="000000" w:themeColor="text1"/>
                <w:sz w:val="20"/>
              </w:rPr>
              <w:br/>
              <w:t>The STEP-HFpEF and STEP-HFpEF DM trials demonstrated that semaglutide 2.4 mg was superior to placebo in improving heart failure-related symptoms and physical limitations, and reducing bodyweight in participants with obesity-related heart failure ejection fraction &gt;45% and a body mass index (BMI) &gt;30kg/m2 (Butler J et al. Lancet, 2024).</w:t>
            </w:r>
            <w:r w:rsidRPr="00CC6553">
              <w:rPr>
                <w:rFonts w:cs="Arial"/>
                <w:color w:val="000000" w:themeColor="text1"/>
                <w:sz w:val="20"/>
              </w:rPr>
              <w:br/>
            </w:r>
            <w:r w:rsidRPr="00CC6553">
              <w:rPr>
                <w:rFonts w:cs="Arial"/>
                <w:color w:val="000000" w:themeColor="text1"/>
                <w:sz w:val="20"/>
              </w:rPr>
              <w:br/>
              <w:t xml:space="preserve">Novo Nordisk believes therefore that it is important for the holistic evidence-based </w:t>
            </w:r>
            <w:r w:rsidRPr="00CC6553">
              <w:rPr>
                <w:rFonts w:cs="Arial"/>
                <w:color w:val="000000" w:themeColor="text1"/>
                <w:sz w:val="20"/>
              </w:rPr>
              <w:lastRenderedPageBreak/>
              <w:t>care of people living with HFpEF, that the statement “manage comorbidities such as, hypertension, atrial fibrillation, ischaemic heart disease and diabetes in line with NICE guidance”, should be retained in the 2025 visual summary, but with the additional comorbidity of obesity. This would be consistent with the Government’s 10 Year Health Plan for England which specifically highlights the opportunity presented by glucagon-like peptide-1 receptor agonist (GLP-1 RA) medications for the treatment of obesity and associated cardiovascular disease.</w:t>
            </w:r>
          </w:p>
        </w:tc>
        <w:tc>
          <w:tcPr>
            <w:tcW w:w="2122" w:type="pct"/>
          </w:tcPr>
          <w:p w14:paraId="6583DAFB" w14:textId="37BDDE36"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lastRenderedPageBreak/>
              <w:t>Thank you for your comment.  The committee agree that the management of comorbidities is really important but the visual summary now only covers the recommendations in the guideline.  This is so that is visually easier for the reader to see what the guideline contains specific the condition.</w:t>
            </w:r>
          </w:p>
        </w:tc>
      </w:tr>
      <w:tr w:rsidR="00897293" w:rsidRPr="00CC6553" w14:paraId="63598FD4" w14:textId="77777777" w:rsidTr="00897293">
        <w:trPr>
          <w:trHeight w:val="300"/>
        </w:trPr>
        <w:tc>
          <w:tcPr>
            <w:tcW w:w="109" w:type="pct"/>
          </w:tcPr>
          <w:p w14:paraId="2E28C9F9" w14:textId="77777777" w:rsidR="00897293" w:rsidRPr="00CC6553" w:rsidRDefault="00897293" w:rsidP="00B234F1">
            <w:pPr>
              <w:rPr>
                <w:rFonts w:cs="Arial"/>
                <w:color w:val="000000" w:themeColor="text1"/>
                <w:sz w:val="20"/>
              </w:rPr>
            </w:pPr>
            <w:r w:rsidRPr="00CC6553">
              <w:rPr>
                <w:rFonts w:cs="Arial"/>
                <w:color w:val="000000" w:themeColor="text1"/>
                <w:sz w:val="20"/>
              </w:rPr>
              <w:t>394</w:t>
            </w:r>
          </w:p>
        </w:tc>
        <w:tc>
          <w:tcPr>
            <w:tcW w:w="143" w:type="pct"/>
          </w:tcPr>
          <w:p w14:paraId="6DD9149E" w14:textId="0B3C6AB1"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3BF8F652" w14:textId="27D5B9C1"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590E8A9E" w14:textId="4D43F675" w:rsidR="00897293" w:rsidRPr="00CC6553" w:rsidRDefault="00897293" w:rsidP="00B234F1">
            <w:pPr>
              <w:rPr>
                <w:rFonts w:cs="Arial"/>
                <w:color w:val="000000" w:themeColor="text1"/>
                <w:sz w:val="20"/>
              </w:rPr>
            </w:pPr>
            <w:r w:rsidRPr="00CC6553">
              <w:rPr>
                <w:rFonts w:cs="Arial"/>
                <w:color w:val="000000" w:themeColor="text1"/>
                <w:sz w:val="20"/>
              </w:rPr>
              <w:t>Visual summary</w:t>
            </w:r>
          </w:p>
        </w:tc>
        <w:tc>
          <w:tcPr>
            <w:tcW w:w="214" w:type="pct"/>
          </w:tcPr>
          <w:p w14:paraId="1DE8BFA5" w14:textId="4352BC12"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050CD42B" w14:textId="5805E903"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58342413" w14:textId="75C8F632" w:rsidR="00897293" w:rsidRPr="00CC6553" w:rsidRDefault="00897293" w:rsidP="00B234F1">
            <w:pPr>
              <w:rPr>
                <w:rFonts w:cs="Arial"/>
                <w:color w:val="000000" w:themeColor="text1"/>
                <w:sz w:val="20"/>
              </w:rPr>
            </w:pPr>
            <w:r w:rsidRPr="00CC6553">
              <w:rPr>
                <w:rFonts w:cs="Arial"/>
                <w:color w:val="000000" w:themeColor="text1"/>
                <w:sz w:val="20"/>
              </w:rPr>
              <w:t>Given sections 1.4.5 and 1.4.6 (pages 11-12), IV iron should be included as an option in the specialist assessment box, alongside ivabradine and digoxin. If symptoms persist seek specialist advice and consider: ‘IV iron if iron deficient’</w:t>
            </w:r>
          </w:p>
        </w:tc>
        <w:tc>
          <w:tcPr>
            <w:tcW w:w="2122" w:type="pct"/>
          </w:tcPr>
          <w:p w14:paraId="6358DE6B" w14:textId="798D5CBB" w:rsidR="00897293" w:rsidRPr="00CC6553" w:rsidRDefault="00897293" w:rsidP="14DE5554">
            <w:pPr>
              <w:pStyle w:val="Heading1"/>
              <w:rPr>
                <w:rFonts w:cs="Arial"/>
                <w:b w:val="0"/>
                <w:bCs w:val="0"/>
                <w:color w:val="000000" w:themeColor="text1"/>
                <w:sz w:val="20"/>
              </w:rPr>
            </w:pPr>
            <w:r w:rsidRPr="00CC6553">
              <w:rPr>
                <w:rFonts w:cs="Arial"/>
                <w:b w:val="0"/>
                <w:bCs w:val="0"/>
                <w:color w:val="000000" w:themeColor="text1"/>
                <w:sz w:val="20"/>
              </w:rPr>
              <w:t>Thank you for your comment.  We have edited the visual summary in accordance with your suggestion.</w:t>
            </w:r>
          </w:p>
        </w:tc>
      </w:tr>
      <w:tr w:rsidR="00897293" w:rsidRPr="00CC6553" w14:paraId="5F4B499D" w14:textId="77777777" w:rsidTr="00897293">
        <w:trPr>
          <w:trHeight w:val="300"/>
        </w:trPr>
        <w:tc>
          <w:tcPr>
            <w:tcW w:w="109" w:type="pct"/>
          </w:tcPr>
          <w:p w14:paraId="7DEF9380" w14:textId="77777777" w:rsidR="00897293" w:rsidRPr="00CC6553" w:rsidRDefault="00897293" w:rsidP="00B234F1">
            <w:pPr>
              <w:rPr>
                <w:rFonts w:cs="Arial"/>
                <w:color w:val="000000" w:themeColor="text1"/>
                <w:sz w:val="20"/>
              </w:rPr>
            </w:pPr>
            <w:r w:rsidRPr="00CC6553">
              <w:rPr>
                <w:rFonts w:cs="Arial"/>
                <w:color w:val="000000" w:themeColor="text1"/>
                <w:sz w:val="20"/>
              </w:rPr>
              <w:t>395</w:t>
            </w:r>
          </w:p>
        </w:tc>
        <w:tc>
          <w:tcPr>
            <w:tcW w:w="143" w:type="pct"/>
          </w:tcPr>
          <w:p w14:paraId="6AFA8D62" w14:textId="3999E1C3"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290EDA6B" w14:textId="5F76CA95" w:rsidR="00897293" w:rsidRPr="00CC6553" w:rsidRDefault="00897293" w:rsidP="00B234F1">
            <w:pPr>
              <w:rPr>
                <w:rFonts w:cs="Arial"/>
                <w:bCs/>
                <w:iCs/>
                <w:color w:val="000000" w:themeColor="text1"/>
                <w:sz w:val="20"/>
              </w:rPr>
            </w:pPr>
            <w:r w:rsidRPr="00CC6553">
              <w:rPr>
                <w:rFonts w:cs="Arial"/>
                <w:color w:val="000000" w:themeColor="text1"/>
                <w:sz w:val="20"/>
              </w:rPr>
              <w:t>Primary Care Cardiovascular Society (PCCS)</w:t>
            </w:r>
          </w:p>
        </w:tc>
        <w:tc>
          <w:tcPr>
            <w:tcW w:w="279" w:type="pct"/>
          </w:tcPr>
          <w:p w14:paraId="39DE116A" w14:textId="6B46A0AD" w:rsidR="00897293" w:rsidRPr="00CC6553" w:rsidRDefault="00897293" w:rsidP="00B234F1">
            <w:pPr>
              <w:rPr>
                <w:rFonts w:cs="Arial"/>
                <w:color w:val="000000" w:themeColor="text1"/>
                <w:sz w:val="20"/>
              </w:rPr>
            </w:pPr>
            <w:r w:rsidRPr="00CC6553">
              <w:rPr>
                <w:rFonts w:cs="Arial"/>
                <w:color w:val="000000" w:themeColor="text1"/>
                <w:sz w:val="20"/>
              </w:rPr>
              <w:t>Visual Summary</w:t>
            </w:r>
          </w:p>
        </w:tc>
        <w:tc>
          <w:tcPr>
            <w:tcW w:w="214" w:type="pct"/>
          </w:tcPr>
          <w:p w14:paraId="174EE17B" w14:textId="0F8EF1EE"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482CFA95" w14:textId="79E3EC48"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00960A3D" w14:textId="37EC8888" w:rsidR="00897293" w:rsidRPr="00CC6553" w:rsidRDefault="00897293" w:rsidP="00B234F1">
            <w:pPr>
              <w:rPr>
                <w:rFonts w:cs="Arial"/>
                <w:color w:val="000000" w:themeColor="text1"/>
                <w:sz w:val="20"/>
              </w:rPr>
            </w:pPr>
            <w:r w:rsidRPr="00CC6553">
              <w:rPr>
                <w:rFonts w:cs="Arial"/>
                <w:color w:val="000000" w:themeColor="text1"/>
                <w:sz w:val="20"/>
              </w:rPr>
              <w:t>As well as considering lower doses or smaller dose increments in CKD this should also be recommended in patients with frailty</w:t>
            </w:r>
          </w:p>
        </w:tc>
        <w:tc>
          <w:tcPr>
            <w:tcW w:w="2122" w:type="pct"/>
          </w:tcPr>
          <w:p w14:paraId="17136D0D" w14:textId="404572DB"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  The committee agreed that frailty should be taken into account when prescribing and have added to the recommendation in section 1.7.</w:t>
            </w:r>
          </w:p>
        </w:tc>
      </w:tr>
      <w:tr w:rsidR="00897293" w:rsidRPr="00CC6553" w14:paraId="55671F16" w14:textId="77777777" w:rsidTr="00897293">
        <w:trPr>
          <w:trHeight w:val="300"/>
        </w:trPr>
        <w:tc>
          <w:tcPr>
            <w:tcW w:w="109" w:type="pct"/>
          </w:tcPr>
          <w:p w14:paraId="6653F2B9" w14:textId="77777777" w:rsidR="00897293" w:rsidRPr="00CC6553" w:rsidRDefault="00897293" w:rsidP="00B234F1">
            <w:pPr>
              <w:rPr>
                <w:rFonts w:cs="Arial"/>
                <w:color w:val="000000" w:themeColor="text1"/>
                <w:sz w:val="20"/>
              </w:rPr>
            </w:pPr>
            <w:r w:rsidRPr="00CC6553">
              <w:rPr>
                <w:rFonts w:cs="Arial"/>
                <w:color w:val="000000" w:themeColor="text1"/>
                <w:sz w:val="20"/>
              </w:rPr>
              <w:t>396</w:t>
            </w:r>
          </w:p>
        </w:tc>
        <w:tc>
          <w:tcPr>
            <w:tcW w:w="143" w:type="pct"/>
          </w:tcPr>
          <w:p w14:paraId="3D938DE8" w14:textId="083EA559"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0B7C9EE" w14:textId="6659F5EF" w:rsidR="00897293" w:rsidRPr="00CC6553" w:rsidRDefault="00897293" w:rsidP="00B234F1">
            <w:pPr>
              <w:rPr>
                <w:rFonts w:cs="Arial"/>
                <w:bCs/>
                <w:iCs/>
                <w:color w:val="000000" w:themeColor="text1"/>
                <w:sz w:val="20"/>
              </w:rPr>
            </w:pPr>
            <w:r w:rsidRPr="00CC6553">
              <w:rPr>
                <w:rFonts w:cs="Arial"/>
                <w:color w:val="000000" w:themeColor="text1"/>
                <w:sz w:val="20"/>
              </w:rPr>
              <w:t>AstraZeneca UK Ltd</w:t>
            </w:r>
          </w:p>
        </w:tc>
        <w:tc>
          <w:tcPr>
            <w:tcW w:w="279" w:type="pct"/>
          </w:tcPr>
          <w:p w14:paraId="05CAA8B3" w14:textId="243CD147" w:rsidR="00897293" w:rsidRPr="00CC6553" w:rsidRDefault="00897293" w:rsidP="00B234F1">
            <w:pPr>
              <w:rPr>
                <w:rFonts w:cs="Arial"/>
                <w:color w:val="000000" w:themeColor="text1"/>
                <w:sz w:val="20"/>
              </w:rPr>
            </w:pPr>
            <w:r w:rsidRPr="00CC6553">
              <w:rPr>
                <w:rFonts w:cs="Arial"/>
                <w:color w:val="000000" w:themeColor="text1"/>
                <w:sz w:val="20"/>
              </w:rPr>
              <w:t>Visual summary</w:t>
            </w:r>
          </w:p>
        </w:tc>
        <w:tc>
          <w:tcPr>
            <w:tcW w:w="214" w:type="pct"/>
          </w:tcPr>
          <w:p w14:paraId="4AB68A75" w14:textId="4C356982"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57EA8385" w14:textId="381D7C77"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5AC45710" w14:textId="5E3CABB5" w:rsidR="00897293" w:rsidRPr="00CC6553" w:rsidRDefault="00897293" w:rsidP="00B234F1">
            <w:pPr>
              <w:rPr>
                <w:rFonts w:cs="Arial"/>
                <w:color w:val="000000" w:themeColor="text1"/>
                <w:sz w:val="20"/>
              </w:rPr>
            </w:pPr>
            <w:r w:rsidRPr="00CC6553">
              <w:rPr>
                <w:rFonts w:cs="Arial"/>
                <w:color w:val="000000" w:themeColor="text1"/>
                <w:sz w:val="20"/>
              </w:rPr>
              <w:t>In line with its comments elsewhere, AstraZeneca recommend that changes are made to the guideline visual summary</w:t>
            </w:r>
            <w:r w:rsidRPr="00CC6553">
              <w:rPr>
                <w:rFonts w:cs="Arial"/>
                <w:color w:val="000000" w:themeColor="text1"/>
                <w:sz w:val="20"/>
              </w:rPr>
              <w:br/>
              <w:t>Amend the recommendation for the SGLT2 inhibitor class to ‘offer for those with heart failure with mildly reduced ejection fraction and for those with heart failure with preserved ejection fraction (see consultation response 3 and 4 for further details)</w:t>
            </w:r>
            <w:r w:rsidRPr="00CC6553">
              <w:rPr>
                <w:rFonts w:cs="Arial"/>
                <w:color w:val="000000" w:themeColor="text1"/>
                <w:sz w:val="20"/>
              </w:rPr>
              <w:br/>
              <w:t>For all phenotypes highlight the need to monitor and manage the risk of hyperkalaemia, with reference to the recommended pharmacological treatments sodium zirconium cyclosilicate (TA599, 2022) CITATION NIC22 \l 2057  [17] and patiromer CITATION NIC20 \l 2057  [18]. (TA623, 2020). (see consultation response 7 for further details)</w:t>
            </w:r>
          </w:p>
        </w:tc>
        <w:tc>
          <w:tcPr>
            <w:tcW w:w="2122" w:type="pct"/>
          </w:tcPr>
          <w:p w14:paraId="394CE12C" w14:textId="79073DD1" w:rsidR="00897293" w:rsidRPr="00CC6553" w:rsidRDefault="00897293" w:rsidP="00B234F1">
            <w:pPr>
              <w:pStyle w:val="Heading1"/>
              <w:rPr>
                <w:rFonts w:cs="Arial"/>
                <w:b w:val="0"/>
                <w:color w:val="000000" w:themeColor="text1"/>
                <w:sz w:val="20"/>
              </w:rPr>
            </w:pPr>
            <w:r>
              <w:rPr>
                <w:rFonts w:cs="Arial"/>
                <w:b w:val="0"/>
                <w:color w:val="000000" w:themeColor="text1"/>
                <w:sz w:val="20"/>
              </w:rPr>
              <w:t>Thank-you for your comment. Please see responses to relevant comments on guideline and evidence reviews.</w:t>
            </w:r>
          </w:p>
        </w:tc>
      </w:tr>
      <w:tr w:rsidR="00897293" w:rsidRPr="00CC6553" w14:paraId="55B1CE39" w14:textId="77777777" w:rsidTr="00897293">
        <w:trPr>
          <w:trHeight w:val="300"/>
        </w:trPr>
        <w:tc>
          <w:tcPr>
            <w:tcW w:w="109" w:type="pct"/>
          </w:tcPr>
          <w:p w14:paraId="7020817B" w14:textId="77777777" w:rsidR="00897293" w:rsidRPr="00CC6553" w:rsidRDefault="00897293" w:rsidP="00B234F1">
            <w:pPr>
              <w:rPr>
                <w:rFonts w:cs="Arial"/>
                <w:color w:val="000000" w:themeColor="text1"/>
                <w:sz w:val="20"/>
              </w:rPr>
            </w:pPr>
            <w:r w:rsidRPr="00CC6553">
              <w:rPr>
                <w:rFonts w:cs="Arial"/>
                <w:color w:val="000000" w:themeColor="text1"/>
                <w:sz w:val="20"/>
              </w:rPr>
              <w:t>397</w:t>
            </w:r>
          </w:p>
        </w:tc>
        <w:tc>
          <w:tcPr>
            <w:tcW w:w="143" w:type="pct"/>
          </w:tcPr>
          <w:p w14:paraId="2A143A81" w14:textId="58942DB9"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5153337" w14:textId="47AAEC6C" w:rsidR="00897293" w:rsidRPr="00CC6553" w:rsidRDefault="00897293" w:rsidP="00B234F1">
            <w:pPr>
              <w:rPr>
                <w:rFonts w:cs="Arial"/>
                <w:bCs/>
                <w:iCs/>
                <w:color w:val="000000" w:themeColor="text1"/>
                <w:sz w:val="20"/>
              </w:rPr>
            </w:pPr>
            <w:r w:rsidRPr="00CC6553">
              <w:rPr>
                <w:rFonts w:cs="Arial"/>
                <w:color w:val="000000" w:themeColor="text1"/>
                <w:sz w:val="20"/>
              </w:rPr>
              <w:t xml:space="preserve">UK Clinical Pharmacy Association (UKCPA) – </w:t>
            </w:r>
            <w:r w:rsidRPr="00CC6553">
              <w:rPr>
                <w:rFonts w:cs="Arial"/>
                <w:color w:val="000000" w:themeColor="text1"/>
                <w:sz w:val="20"/>
              </w:rPr>
              <w:lastRenderedPageBreak/>
              <w:t>heart failure committee</w:t>
            </w:r>
          </w:p>
        </w:tc>
        <w:tc>
          <w:tcPr>
            <w:tcW w:w="279" w:type="pct"/>
          </w:tcPr>
          <w:p w14:paraId="795AA257" w14:textId="033CB963" w:rsidR="00897293" w:rsidRPr="00CC6553" w:rsidRDefault="00897293" w:rsidP="00B234F1">
            <w:pPr>
              <w:rPr>
                <w:rFonts w:cs="Arial"/>
                <w:color w:val="000000" w:themeColor="text1"/>
                <w:sz w:val="20"/>
              </w:rPr>
            </w:pPr>
            <w:r w:rsidRPr="00CC6553">
              <w:rPr>
                <w:rFonts w:cs="Arial"/>
                <w:color w:val="000000" w:themeColor="text1"/>
                <w:sz w:val="20"/>
              </w:rPr>
              <w:lastRenderedPageBreak/>
              <w:t>Question</w:t>
            </w:r>
          </w:p>
        </w:tc>
        <w:tc>
          <w:tcPr>
            <w:tcW w:w="214" w:type="pct"/>
          </w:tcPr>
          <w:p w14:paraId="2512C9E2" w14:textId="4BA0CFC0" w:rsidR="00897293" w:rsidRPr="00CC6553" w:rsidRDefault="00897293" w:rsidP="00B234F1">
            <w:pPr>
              <w:rPr>
                <w:rFonts w:cs="Arial"/>
                <w:color w:val="000000" w:themeColor="text1"/>
                <w:sz w:val="20"/>
              </w:rPr>
            </w:pPr>
            <w:r w:rsidRPr="00CC6553">
              <w:rPr>
                <w:rFonts w:cs="Arial"/>
                <w:color w:val="000000" w:themeColor="text1"/>
                <w:sz w:val="20"/>
              </w:rPr>
              <w:t>1</w:t>
            </w:r>
          </w:p>
        </w:tc>
        <w:tc>
          <w:tcPr>
            <w:tcW w:w="214" w:type="pct"/>
          </w:tcPr>
          <w:p w14:paraId="5CD7BAB1" w14:textId="734EC8D9" w:rsidR="00897293" w:rsidRPr="00CC6553" w:rsidRDefault="00897293" w:rsidP="00B234F1">
            <w:pPr>
              <w:rPr>
                <w:rFonts w:cs="Arial"/>
                <w:color w:val="000000" w:themeColor="text1"/>
                <w:sz w:val="20"/>
              </w:rPr>
            </w:pPr>
            <w:r w:rsidRPr="00CC6553">
              <w:rPr>
                <w:rFonts w:cs="Arial"/>
                <w:color w:val="000000" w:themeColor="text1"/>
                <w:sz w:val="20"/>
              </w:rPr>
              <w:t>1</w:t>
            </w:r>
          </w:p>
        </w:tc>
        <w:tc>
          <w:tcPr>
            <w:tcW w:w="1521" w:type="pct"/>
          </w:tcPr>
          <w:p w14:paraId="5B21FF1A" w14:textId="307C2458" w:rsidR="00897293" w:rsidRPr="00CC6553" w:rsidRDefault="00897293" w:rsidP="00B234F1">
            <w:pPr>
              <w:rPr>
                <w:rFonts w:cs="Arial"/>
                <w:color w:val="000000" w:themeColor="text1"/>
                <w:sz w:val="20"/>
              </w:rPr>
            </w:pPr>
            <w:r w:rsidRPr="00CC6553">
              <w:rPr>
                <w:rFonts w:cs="Arial"/>
                <w:color w:val="000000" w:themeColor="text1"/>
                <w:sz w:val="20"/>
              </w:rPr>
              <w:t>Would it be challenging to implement of any of the draft recommendations?  Please say why and for whom.  Please include any suggestions that could help users overcome these challenges (for example, existing practical resources or national initiatives.</w:t>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lastRenderedPageBreak/>
              <w:t xml:space="preserve">Answer:  The draft guideline recommends multiple medications to be initiated or titrated in a relatively short timeframe. It is possible that prescribers are not able to keep up to the demand, there is also increasing risk of non-adherence and monitoring burden. This could be overcome by using multidisciplinary teams of heart failure specialists’, nurses, pharmacists and other non medical prescribers to support titration and monitoring. Furthermore, the guideline should also include primary care prescribers and not solely GPs. </w:t>
            </w:r>
            <w:r w:rsidRPr="00CC6553">
              <w:rPr>
                <w:rFonts w:cs="Arial"/>
                <w:color w:val="000000" w:themeColor="text1"/>
                <w:sz w:val="20"/>
              </w:rPr>
              <w:br/>
              <w:t xml:space="preserve">National initiatives such as NHS England Heart Programme provide education and support for rapid, safe medication optimisation. Where possible, use of point of care testing in heart failure clinics may help with the frequent blood tests. </w:t>
            </w:r>
            <w:r w:rsidRPr="00CC6553">
              <w:rPr>
                <w:rFonts w:cs="Arial"/>
                <w:color w:val="000000" w:themeColor="text1"/>
                <w:sz w:val="20"/>
              </w:rPr>
              <w:br/>
              <w:t xml:space="preserve">The statement which recommends frequent blood pressure monitoring (standing and sitting) is a challenge and likely will be unpractical. To overcome this, we suggest that orthostatic BP measurement is prioritised for patients at high risk or those reporting symptoms. Furthermore, use of remote monitoring tools to support BP measurement at home could further reduce the burden in primary and community care clinics. </w:t>
            </w:r>
            <w:r w:rsidRPr="00CC6553">
              <w:rPr>
                <w:rFonts w:cs="Arial"/>
                <w:color w:val="000000" w:themeColor="text1"/>
                <w:sz w:val="20"/>
              </w:rPr>
              <w:br/>
              <w:t>The draft does not explicitly mandate the inclusion of a specialist heart failure pharmacists, yet their expertise is critical in managing complex medication regimens. To overcome this, we recommend that the draft guideline should advocate for integration of specialist pharmacists in heart failure teams, supported by NICE and national workforce initiatives. Use tele-pharmacy services to extend access to specialist advice remotely. Provide education modules to upskill general pharmacists in heart failure treatments.</w:t>
            </w:r>
          </w:p>
        </w:tc>
        <w:tc>
          <w:tcPr>
            <w:tcW w:w="2122" w:type="pct"/>
          </w:tcPr>
          <w:p w14:paraId="42446A60" w14:textId="3C68464A" w:rsidR="00897293" w:rsidRPr="00CC6553" w:rsidRDefault="00897293" w:rsidP="0CB02657">
            <w:pPr>
              <w:pStyle w:val="Heading1"/>
              <w:rPr>
                <w:rFonts w:cs="Arial"/>
                <w:b w:val="0"/>
                <w:bCs w:val="0"/>
                <w:color w:val="000000" w:themeColor="text1"/>
                <w:sz w:val="20"/>
              </w:rPr>
            </w:pPr>
            <w:r w:rsidRPr="00CC6553">
              <w:rPr>
                <w:rFonts w:cs="Arial"/>
                <w:b w:val="0"/>
                <w:bCs w:val="0"/>
                <w:color w:val="000000" w:themeColor="text1"/>
                <w:sz w:val="20"/>
              </w:rPr>
              <w:lastRenderedPageBreak/>
              <w:t xml:space="preserve">Thank you for your comment.  In section 1.7 we now refer to primary care prescribers with reference to consider seeking specialist advice when starting an ARNI.  The </w:t>
            </w:r>
            <w:r w:rsidRPr="00CC6553">
              <w:rPr>
                <w:rFonts w:cs="Arial"/>
                <w:b w:val="0"/>
                <w:bCs w:val="0"/>
                <w:color w:val="000000" w:themeColor="text1"/>
                <w:sz w:val="20"/>
              </w:rPr>
              <w:lastRenderedPageBreak/>
              <w:t>committee agreed that it is important to measure blood pressure before and after each dose increment but now refer to a person measuring their own blood pressure.  Specialist heart failure pharmacist has been added to the recommendation in section 1.1. How services are deliver</w:t>
            </w:r>
            <w:r>
              <w:rPr>
                <w:rFonts w:cs="Arial"/>
                <w:b w:val="0"/>
                <w:bCs w:val="0"/>
                <w:color w:val="000000" w:themeColor="text1"/>
                <w:sz w:val="20"/>
              </w:rPr>
              <w:t>ed</w:t>
            </w:r>
            <w:r w:rsidRPr="00CC6553">
              <w:rPr>
                <w:rFonts w:cs="Arial"/>
                <w:b w:val="0"/>
                <w:bCs w:val="0"/>
                <w:color w:val="000000" w:themeColor="text1"/>
                <w:sz w:val="20"/>
              </w:rPr>
              <w:t xml:space="preserve"> and education are outside of the remit of a NICE guideline.</w:t>
            </w:r>
          </w:p>
        </w:tc>
      </w:tr>
      <w:tr w:rsidR="00897293" w:rsidRPr="00CC6553" w14:paraId="07FC7272" w14:textId="77777777" w:rsidTr="00897293">
        <w:trPr>
          <w:trHeight w:val="300"/>
        </w:trPr>
        <w:tc>
          <w:tcPr>
            <w:tcW w:w="109" w:type="pct"/>
          </w:tcPr>
          <w:p w14:paraId="21414962" w14:textId="77777777" w:rsidR="00897293" w:rsidRPr="00CC6553" w:rsidRDefault="00897293" w:rsidP="00B234F1">
            <w:pPr>
              <w:rPr>
                <w:rFonts w:cs="Arial"/>
                <w:bCs/>
                <w:color w:val="000000" w:themeColor="text1"/>
                <w:sz w:val="20"/>
              </w:rPr>
            </w:pPr>
            <w:r w:rsidRPr="00CC6553">
              <w:rPr>
                <w:rFonts w:cs="Arial"/>
                <w:bCs/>
                <w:color w:val="000000" w:themeColor="text1"/>
                <w:sz w:val="20"/>
              </w:rPr>
              <w:lastRenderedPageBreak/>
              <w:t>398</w:t>
            </w:r>
          </w:p>
        </w:tc>
        <w:tc>
          <w:tcPr>
            <w:tcW w:w="143" w:type="pct"/>
          </w:tcPr>
          <w:p w14:paraId="60A904EC" w14:textId="258B1305"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4F2EC725" w14:textId="6365727E" w:rsidR="00897293" w:rsidRPr="00CC6553" w:rsidRDefault="00897293" w:rsidP="00B234F1">
            <w:pPr>
              <w:rPr>
                <w:rFonts w:cs="Arial"/>
                <w:bCs/>
                <w:iCs/>
                <w:color w:val="000000" w:themeColor="text1"/>
                <w:sz w:val="20"/>
              </w:rPr>
            </w:pPr>
            <w:r w:rsidRPr="00CC6553">
              <w:rPr>
                <w:rFonts w:cs="Arial"/>
                <w:color w:val="000000" w:themeColor="text1"/>
                <w:sz w:val="20"/>
              </w:rPr>
              <w:t>UK Clinical Pharmacy Association (UKCPA) – heart failure committee</w:t>
            </w:r>
          </w:p>
        </w:tc>
        <w:tc>
          <w:tcPr>
            <w:tcW w:w="279" w:type="pct"/>
          </w:tcPr>
          <w:p w14:paraId="509AC87B" w14:textId="45E63725" w:rsidR="00897293" w:rsidRPr="00CC6553" w:rsidRDefault="00897293" w:rsidP="00B234F1">
            <w:pPr>
              <w:rPr>
                <w:rFonts w:cs="Arial"/>
                <w:color w:val="000000" w:themeColor="text1"/>
                <w:sz w:val="20"/>
              </w:rPr>
            </w:pPr>
            <w:r w:rsidRPr="00CC6553">
              <w:rPr>
                <w:rFonts w:cs="Arial"/>
                <w:color w:val="000000" w:themeColor="text1"/>
                <w:sz w:val="20"/>
              </w:rPr>
              <w:t>Question</w:t>
            </w:r>
          </w:p>
        </w:tc>
        <w:tc>
          <w:tcPr>
            <w:tcW w:w="214" w:type="pct"/>
          </w:tcPr>
          <w:p w14:paraId="5D0A020E" w14:textId="2BDE6B72" w:rsidR="00897293" w:rsidRPr="00CC6553" w:rsidRDefault="00897293" w:rsidP="00B234F1">
            <w:pPr>
              <w:rPr>
                <w:rFonts w:cs="Arial"/>
                <w:color w:val="000000" w:themeColor="text1"/>
                <w:sz w:val="20"/>
              </w:rPr>
            </w:pPr>
            <w:r w:rsidRPr="00CC6553">
              <w:rPr>
                <w:rFonts w:cs="Arial"/>
                <w:color w:val="000000" w:themeColor="text1"/>
                <w:sz w:val="20"/>
              </w:rPr>
              <w:t>2</w:t>
            </w:r>
          </w:p>
        </w:tc>
        <w:tc>
          <w:tcPr>
            <w:tcW w:w="214" w:type="pct"/>
          </w:tcPr>
          <w:p w14:paraId="63FDB816" w14:textId="0ECCC890" w:rsidR="00897293" w:rsidRPr="00CC6553" w:rsidRDefault="00897293" w:rsidP="00B234F1">
            <w:pPr>
              <w:rPr>
                <w:rFonts w:cs="Arial"/>
                <w:color w:val="000000" w:themeColor="text1"/>
                <w:sz w:val="20"/>
              </w:rPr>
            </w:pPr>
            <w:r w:rsidRPr="00CC6553">
              <w:rPr>
                <w:rFonts w:cs="Arial"/>
                <w:color w:val="000000" w:themeColor="text1"/>
                <w:sz w:val="20"/>
              </w:rPr>
              <w:t>2</w:t>
            </w:r>
          </w:p>
        </w:tc>
        <w:tc>
          <w:tcPr>
            <w:tcW w:w="1521" w:type="pct"/>
          </w:tcPr>
          <w:p w14:paraId="178C1E81" w14:textId="6136EF1D" w:rsidR="00897293" w:rsidRPr="00CC6553" w:rsidRDefault="00897293" w:rsidP="00B234F1">
            <w:pPr>
              <w:rPr>
                <w:rFonts w:cs="Arial"/>
                <w:color w:val="000000" w:themeColor="text1"/>
                <w:sz w:val="20"/>
              </w:rPr>
            </w:pPr>
            <w:r w:rsidRPr="00CC6553">
              <w:rPr>
                <w:rFonts w:cs="Arial"/>
                <w:color w:val="000000" w:themeColor="text1"/>
                <w:sz w:val="20"/>
              </w:rPr>
              <w:t xml:space="preserve">Would implementation of any of the draft recommendations have significant cost implications? </w:t>
            </w:r>
            <w:r w:rsidRPr="00CC6553">
              <w:rPr>
                <w:rFonts w:cs="Arial"/>
                <w:color w:val="000000" w:themeColor="text1"/>
                <w:sz w:val="20"/>
              </w:rPr>
              <w:br/>
            </w:r>
            <w:r w:rsidRPr="00CC6553">
              <w:rPr>
                <w:rFonts w:cs="Arial"/>
                <w:color w:val="000000" w:themeColor="text1"/>
                <w:sz w:val="20"/>
              </w:rPr>
              <w:br/>
              <w:t xml:space="preserve">Answer: Although ARNI and SGLT2 inhibitors are more expensive compared to ACE or Beta-blockers these therapies have shown reduction in hospitalisation and mortality which would off-set these costs in the longer term. </w:t>
            </w:r>
            <w:r w:rsidRPr="00CC6553">
              <w:rPr>
                <w:rFonts w:cs="Arial"/>
                <w:color w:val="000000" w:themeColor="text1"/>
                <w:sz w:val="20"/>
              </w:rPr>
              <w:br/>
              <w:t xml:space="preserve">Additional monitoring requirements including iron status will increase laboratory workload and resource use. However, these tests are essential and use of POCT could reduce costs. Intravenous Iron represent a significant expenditure however </w:t>
            </w:r>
            <w:r w:rsidRPr="00CC6553">
              <w:rPr>
                <w:rFonts w:cs="Arial"/>
                <w:color w:val="000000" w:themeColor="text1"/>
                <w:sz w:val="20"/>
              </w:rPr>
              <w:lastRenderedPageBreak/>
              <w:t>the evidence has demonstrated improvement in HF symptoms and reduction in hospitalisation which could offset costs.</w:t>
            </w:r>
          </w:p>
        </w:tc>
        <w:tc>
          <w:tcPr>
            <w:tcW w:w="2122" w:type="pct"/>
          </w:tcPr>
          <w:p w14:paraId="4E14FDD6" w14:textId="77777777"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lastRenderedPageBreak/>
              <w:t xml:space="preserve">Thank you for your comment. </w:t>
            </w:r>
          </w:p>
          <w:p w14:paraId="1102E4C1" w14:textId="77777777" w:rsidR="00897293" w:rsidRPr="00CC6553" w:rsidRDefault="00897293" w:rsidP="00253704">
            <w:pPr>
              <w:rPr>
                <w:color w:val="000000" w:themeColor="text1"/>
              </w:rPr>
            </w:pPr>
          </w:p>
          <w:p w14:paraId="757AEDA9" w14:textId="21AC0C0A" w:rsidR="00897293" w:rsidRPr="00CC6553" w:rsidRDefault="00897293" w:rsidP="00CC6553">
            <w:pPr>
              <w:rPr>
                <w:b/>
                <w:color w:val="000000" w:themeColor="text1"/>
              </w:rPr>
            </w:pPr>
            <w:r w:rsidRPr="00CC6553">
              <w:rPr>
                <w:rFonts w:cs="Arial"/>
                <w:bCs/>
                <w:color w:val="000000" w:themeColor="text1"/>
                <w:sz w:val="20"/>
              </w:rPr>
              <w:t xml:space="preserve">A resource impact report as well as a template in </w:t>
            </w:r>
            <w:r>
              <w:rPr>
                <w:rFonts w:cs="Arial"/>
                <w:bCs/>
                <w:color w:val="000000" w:themeColor="text1"/>
                <w:sz w:val="20"/>
              </w:rPr>
              <w:t>MS E</w:t>
            </w:r>
            <w:r w:rsidRPr="00CC6553">
              <w:rPr>
                <w:rFonts w:cs="Arial"/>
                <w:bCs/>
                <w:color w:val="000000" w:themeColor="text1"/>
                <w:sz w:val="20"/>
              </w:rPr>
              <w:t xml:space="preserve">xcel will be published alongside the guideline to help organisations estimate the costs of implementing the guideline at </w:t>
            </w:r>
            <w:r>
              <w:rPr>
                <w:rFonts w:cs="Arial"/>
                <w:bCs/>
                <w:color w:val="000000" w:themeColor="text1"/>
                <w:sz w:val="20"/>
              </w:rPr>
              <w:t>Integrated Care Board level.</w:t>
            </w:r>
          </w:p>
        </w:tc>
      </w:tr>
      <w:tr w:rsidR="00897293" w:rsidRPr="00CC6553" w14:paraId="2BCEB678" w14:textId="77777777" w:rsidTr="00897293">
        <w:trPr>
          <w:trHeight w:val="300"/>
        </w:trPr>
        <w:tc>
          <w:tcPr>
            <w:tcW w:w="109" w:type="pct"/>
          </w:tcPr>
          <w:p w14:paraId="7ABF313D" w14:textId="77777777" w:rsidR="00897293" w:rsidRPr="00CC6553" w:rsidRDefault="00897293" w:rsidP="00B234F1">
            <w:pPr>
              <w:rPr>
                <w:rFonts w:cs="Arial"/>
                <w:color w:val="000000" w:themeColor="text1"/>
                <w:sz w:val="20"/>
              </w:rPr>
            </w:pPr>
            <w:r w:rsidRPr="00CC6553">
              <w:rPr>
                <w:rFonts w:cs="Arial"/>
                <w:color w:val="000000" w:themeColor="text1"/>
                <w:sz w:val="20"/>
              </w:rPr>
              <w:t>399</w:t>
            </w:r>
          </w:p>
        </w:tc>
        <w:tc>
          <w:tcPr>
            <w:tcW w:w="143" w:type="pct"/>
          </w:tcPr>
          <w:p w14:paraId="13D0E959" w14:textId="13800B39"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5094BC4B" w14:textId="323B3B76" w:rsidR="00897293" w:rsidRPr="00CC6553" w:rsidRDefault="00897293" w:rsidP="00B234F1">
            <w:pPr>
              <w:rPr>
                <w:rFonts w:cs="Arial"/>
                <w:bCs/>
                <w:iCs/>
                <w:color w:val="000000" w:themeColor="text1"/>
                <w:sz w:val="20"/>
              </w:rPr>
            </w:pPr>
            <w:r w:rsidRPr="00CC6553">
              <w:rPr>
                <w:rFonts w:cs="Arial"/>
                <w:color w:val="000000" w:themeColor="text1"/>
                <w:sz w:val="20"/>
              </w:rPr>
              <w:t>NHS Nottingham and Nottinghamshire ICB</w:t>
            </w:r>
          </w:p>
        </w:tc>
        <w:tc>
          <w:tcPr>
            <w:tcW w:w="279" w:type="pct"/>
          </w:tcPr>
          <w:p w14:paraId="75087597" w14:textId="2564E8B9" w:rsidR="00897293" w:rsidRPr="00CC6553" w:rsidRDefault="00897293" w:rsidP="00B234F1">
            <w:pPr>
              <w:rPr>
                <w:rFonts w:cs="Arial"/>
                <w:color w:val="000000" w:themeColor="text1"/>
                <w:sz w:val="20"/>
              </w:rPr>
            </w:pPr>
            <w:r w:rsidRPr="00CC6553">
              <w:rPr>
                <w:rFonts w:cs="Arial"/>
                <w:color w:val="000000" w:themeColor="text1"/>
                <w:sz w:val="20"/>
              </w:rPr>
              <w:t>Question</w:t>
            </w:r>
          </w:p>
        </w:tc>
        <w:tc>
          <w:tcPr>
            <w:tcW w:w="214" w:type="pct"/>
          </w:tcPr>
          <w:p w14:paraId="609414B8" w14:textId="2B40C64B" w:rsidR="00897293" w:rsidRPr="00CC6553" w:rsidRDefault="00897293" w:rsidP="00B234F1">
            <w:pPr>
              <w:rPr>
                <w:rFonts w:cs="Arial"/>
                <w:color w:val="000000" w:themeColor="text1"/>
                <w:sz w:val="20"/>
              </w:rPr>
            </w:pPr>
            <w:r w:rsidRPr="00CC6553">
              <w:rPr>
                <w:rFonts w:cs="Arial"/>
                <w:color w:val="000000" w:themeColor="text1"/>
                <w:sz w:val="20"/>
              </w:rPr>
              <w:t>3</w:t>
            </w:r>
          </w:p>
        </w:tc>
        <w:tc>
          <w:tcPr>
            <w:tcW w:w="214" w:type="pct"/>
          </w:tcPr>
          <w:p w14:paraId="2BEBC238" w14:textId="6F03F0DA" w:rsidR="00897293" w:rsidRPr="00CC6553" w:rsidRDefault="00897293" w:rsidP="00B234F1">
            <w:pPr>
              <w:rPr>
                <w:rFonts w:cs="Arial"/>
                <w:color w:val="000000" w:themeColor="text1"/>
                <w:sz w:val="20"/>
              </w:rPr>
            </w:pPr>
            <w:r w:rsidRPr="00CC6553">
              <w:rPr>
                <w:rFonts w:cs="Arial"/>
                <w:color w:val="000000" w:themeColor="text1"/>
                <w:sz w:val="20"/>
              </w:rPr>
              <w:t>3</w:t>
            </w:r>
          </w:p>
        </w:tc>
        <w:tc>
          <w:tcPr>
            <w:tcW w:w="1521" w:type="pct"/>
          </w:tcPr>
          <w:p w14:paraId="0E869CFD" w14:textId="053BD196" w:rsidR="00897293" w:rsidRPr="00CC6553" w:rsidRDefault="00897293" w:rsidP="00B234F1">
            <w:pPr>
              <w:rPr>
                <w:rFonts w:cs="Arial"/>
                <w:color w:val="000000" w:themeColor="text1"/>
                <w:sz w:val="20"/>
              </w:rPr>
            </w:pPr>
            <w:r w:rsidRPr="00CC6553">
              <w:rPr>
                <w:rFonts w:cs="Arial"/>
                <w:color w:val="000000" w:themeColor="text1"/>
                <w:sz w:val="20"/>
              </w:rPr>
              <w:t xml:space="preserve">Answer to question 3 - We would like to query the recommendation that GPs should seek advice from a heart failure (HF) specialist before initiating an SGLT2i. Was there anything from the evidence that determined this decision? </w:t>
            </w:r>
            <w:r w:rsidRPr="00CC6553">
              <w:rPr>
                <w:rFonts w:cs="Arial"/>
                <w:color w:val="000000" w:themeColor="text1"/>
                <w:sz w:val="20"/>
              </w:rPr>
              <w:br/>
              <w:t>In Nottinghamshire, SGLT2i are initiated by GPs in Primary Care for T2D and CKD in line with local guidelines (Nottinghamshire T2D guideline and Nottinghamshire CKD guideline for adults). These medicines are classified as Amber 3 on our formulary which allows Primary Care to initiate treatment following guidelines created in collaboration with Secondary Care specialists. This has given prescribers enough familiarity with these medicines to feel competent to start in patients with T2D and CKD. We hoped to take the same approach with HF, however the restriction in NICE means that we will need to reconsider this, which could cause delays to patient care. Information on why this recommendation was made would be helpful to explain position in therapy to prescribers</w:t>
            </w:r>
          </w:p>
        </w:tc>
        <w:tc>
          <w:tcPr>
            <w:tcW w:w="2122" w:type="pct"/>
          </w:tcPr>
          <w:p w14:paraId="33924109" w14:textId="77777777" w:rsidR="00897293" w:rsidRPr="00CC6553" w:rsidRDefault="00897293" w:rsidP="00B234F1">
            <w:pPr>
              <w:pStyle w:val="Heading1"/>
              <w:rPr>
                <w:b w:val="0"/>
                <w:color w:val="000000" w:themeColor="text1"/>
                <w:sz w:val="20"/>
              </w:rPr>
            </w:pPr>
            <w:r w:rsidRPr="00CC6553">
              <w:rPr>
                <w:b w:val="0"/>
                <w:color w:val="000000" w:themeColor="text1"/>
                <w:sz w:val="20"/>
              </w:rPr>
              <w:t>Thank you for your comment.  The committee has removed the requirement for GPs to seek advice from a heart failure specialist before prescribing a SGLT2 inhibitor.</w:t>
            </w:r>
          </w:p>
          <w:p w14:paraId="5D4143B1" w14:textId="77777777" w:rsidR="00897293" w:rsidRPr="00CC6553" w:rsidRDefault="00897293" w:rsidP="00B234F1">
            <w:pPr>
              <w:pStyle w:val="Heading1"/>
              <w:rPr>
                <w:rFonts w:cs="Arial"/>
                <w:b w:val="0"/>
                <w:color w:val="000000" w:themeColor="text1"/>
                <w:sz w:val="20"/>
              </w:rPr>
            </w:pPr>
          </w:p>
        </w:tc>
      </w:tr>
      <w:tr w:rsidR="00897293" w:rsidRPr="00CC6553" w14:paraId="499CF120" w14:textId="77777777" w:rsidTr="00897293">
        <w:trPr>
          <w:trHeight w:val="300"/>
        </w:trPr>
        <w:tc>
          <w:tcPr>
            <w:tcW w:w="109" w:type="pct"/>
          </w:tcPr>
          <w:p w14:paraId="343AD2EA" w14:textId="77777777" w:rsidR="00897293" w:rsidRPr="00CC6553" w:rsidRDefault="00897293" w:rsidP="00B234F1">
            <w:pPr>
              <w:rPr>
                <w:rFonts w:cs="Arial"/>
                <w:bCs/>
                <w:color w:val="000000" w:themeColor="text1"/>
                <w:sz w:val="20"/>
                <w:lang w:val="en-US"/>
              </w:rPr>
            </w:pPr>
            <w:r w:rsidRPr="00CC6553">
              <w:rPr>
                <w:rFonts w:cs="Arial"/>
                <w:bCs/>
                <w:color w:val="000000" w:themeColor="text1"/>
                <w:sz w:val="20"/>
                <w:lang w:val="en-US"/>
              </w:rPr>
              <w:t>400</w:t>
            </w:r>
          </w:p>
        </w:tc>
        <w:tc>
          <w:tcPr>
            <w:tcW w:w="143" w:type="pct"/>
          </w:tcPr>
          <w:p w14:paraId="4FBA331F" w14:textId="62E41AAB"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35481D7B" w14:textId="63DFEE48" w:rsidR="00897293" w:rsidRPr="00CC6553" w:rsidRDefault="00897293" w:rsidP="00B234F1">
            <w:pPr>
              <w:rPr>
                <w:rFonts w:cs="Arial"/>
                <w:bCs/>
                <w:iCs/>
                <w:color w:val="000000" w:themeColor="text1"/>
                <w:sz w:val="20"/>
              </w:rPr>
            </w:pPr>
            <w:r w:rsidRPr="00CC6553">
              <w:rPr>
                <w:rFonts w:cs="Arial"/>
                <w:color w:val="000000" w:themeColor="text1"/>
                <w:sz w:val="20"/>
              </w:rPr>
              <w:t>UK Clinical Pharmacy Association (UKCPA) – heart failure committee</w:t>
            </w:r>
          </w:p>
        </w:tc>
        <w:tc>
          <w:tcPr>
            <w:tcW w:w="279" w:type="pct"/>
          </w:tcPr>
          <w:p w14:paraId="2A9FBCC5" w14:textId="20C52A08" w:rsidR="00897293" w:rsidRPr="00CC6553" w:rsidRDefault="00897293" w:rsidP="00B234F1">
            <w:pPr>
              <w:rPr>
                <w:rFonts w:cs="Arial"/>
                <w:color w:val="000000" w:themeColor="text1"/>
                <w:sz w:val="20"/>
              </w:rPr>
            </w:pPr>
            <w:r w:rsidRPr="00CC6553">
              <w:rPr>
                <w:rFonts w:cs="Arial"/>
                <w:color w:val="000000" w:themeColor="text1"/>
                <w:sz w:val="20"/>
              </w:rPr>
              <w:t>Question</w:t>
            </w:r>
          </w:p>
        </w:tc>
        <w:tc>
          <w:tcPr>
            <w:tcW w:w="214" w:type="pct"/>
          </w:tcPr>
          <w:p w14:paraId="4D19972D" w14:textId="46EA41A2" w:rsidR="00897293" w:rsidRPr="00CC6553" w:rsidRDefault="00897293" w:rsidP="00B234F1">
            <w:pPr>
              <w:rPr>
                <w:rFonts w:cs="Arial"/>
                <w:color w:val="000000" w:themeColor="text1"/>
                <w:sz w:val="20"/>
              </w:rPr>
            </w:pPr>
            <w:r w:rsidRPr="00CC6553">
              <w:rPr>
                <w:rFonts w:cs="Arial"/>
                <w:color w:val="000000" w:themeColor="text1"/>
                <w:sz w:val="20"/>
              </w:rPr>
              <w:t>3</w:t>
            </w:r>
          </w:p>
        </w:tc>
        <w:tc>
          <w:tcPr>
            <w:tcW w:w="214" w:type="pct"/>
          </w:tcPr>
          <w:p w14:paraId="69C9695E" w14:textId="23E4BDB1" w:rsidR="00897293" w:rsidRPr="00CC6553" w:rsidRDefault="00897293" w:rsidP="00B234F1">
            <w:pPr>
              <w:rPr>
                <w:rFonts w:cs="Arial"/>
                <w:color w:val="000000" w:themeColor="text1"/>
                <w:sz w:val="20"/>
              </w:rPr>
            </w:pPr>
            <w:r w:rsidRPr="00CC6553">
              <w:rPr>
                <w:rFonts w:cs="Arial"/>
                <w:color w:val="000000" w:themeColor="text1"/>
                <w:sz w:val="20"/>
              </w:rPr>
              <w:t>3</w:t>
            </w:r>
          </w:p>
        </w:tc>
        <w:tc>
          <w:tcPr>
            <w:tcW w:w="1521" w:type="pct"/>
          </w:tcPr>
          <w:p w14:paraId="6EDC3B0C" w14:textId="01055A22" w:rsidR="00897293" w:rsidRPr="00CC6553" w:rsidRDefault="00897293" w:rsidP="00B234F1">
            <w:pPr>
              <w:rPr>
                <w:rFonts w:cs="Arial"/>
                <w:color w:val="000000" w:themeColor="text1"/>
                <w:sz w:val="20"/>
              </w:rPr>
            </w:pPr>
            <w:r w:rsidRPr="00CC6553">
              <w:rPr>
                <w:rFonts w:cs="Arial"/>
                <w:color w:val="000000" w:themeColor="text1"/>
                <w:sz w:val="20"/>
              </w:rPr>
              <w:t>We would especially welcome you feedback on recommendation 1.7.4 on whether GPs should seek advice from a heart failure specialist before prescribing an SGLT2 inhibitor.</w:t>
            </w:r>
            <w:r w:rsidRPr="00CC6553">
              <w:rPr>
                <w:rFonts w:cs="Arial"/>
                <w:color w:val="000000" w:themeColor="text1"/>
                <w:sz w:val="20"/>
              </w:rPr>
              <w:br/>
              <w:t>Answer: This will create barriers to timely access, particularly given the increasing prevalence of heart failure and limited specialist capacity. SGLT2 have a well-established safety profile, and many primary care clinicians are already experienced in prescribing SGLT2 for diabetes and chronic kidney disease. Instead, we recommend that primary care clinicians, with experience, can initiate SGLT2 inhibitors following a diagnosis of HF has been made. This should not be limited to the role of “GP” as we move towards multi-disciplinary neighbourhood health teams.</w:t>
            </w:r>
          </w:p>
        </w:tc>
        <w:tc>
          <w:tcPr>
            <w:tcW w:w="2122" w:type="pct"/>
          </w:tcPr>
          <w:p w14:paraId="53989570" w14:textId="77777777" w:rsidR="00897293" w:rsidRPr="00CC6553" w:rsidRDefault="00897293" w:rsidP="00B234F1">
            <w:pPr>
              <w:pStyle w:val="Heading1"/>
              <w:rPr>
                <w:b w:val="0"/>
                <w:color w:val="000000" w:themeColor="text1"/>
                <w:sz w:val="20"/>
              </w:rPr>
            </w:pPr>
            <w:r w:rsidRPr="00CC6553">
              <w:rPr>
                <w:b w:val="0"/>
                <w:color w:val="000000" w:themeColor="text1"/>
                <w:sz w:val="20"/>
              </w:rPr>
              <w:t>Thank you for your comment.  The committee has removed the requirement for GPs to seek advice from a heart failure specialist before prescribing a SGLT2 inhibitor.</w:t>
            </w:r>
          </w:p>
          <w:p w14:paraId="11D23DE3" w14:textId="77777777" w:rsidR="00897293" w:rsidRPr="00CC6553" w:rsidRDefault="00897293" w:rsidP="00B234F1">
            <w:pPr>
              <w:pStyle w:val="Heading1"/>
              <w:rPr>
                <w:rFonts w:cs="Arial"/>
                <w:b w:val="0"/>
                <w:color w:val="000000" w:themeColor="text1"/>
                <w:sz w:val="20"/>
              </w:rPr>
            </w:pPr>
          </w:p>
        </w:tc>
      </w:tr>
      <w:tr w:rsidR="00897293" w:rsidRPr="00CC6553" w14:paraId="0ED6C90B" w14:textId="77777777" w:rsidTr="00897293">
        <w:trPr>
          <w:trHeight w:val="300"/>
        </w:trPr>
        <w:tc>
          <w:tcPr>
            <w:tcW w:w="109" w:type="pct"/>
          </w:tcPr>
          <w:p w14:paraId="24DB334A" w14:textId="77777777" w:rsidR="00897293" w:rsidRPr="00CC6553" w:rsidRDefault="00897293" w:rsidP="00B234F1">
            <w:pPr>
              <w:rPr>
                <w:rFonts w:cs="Arial"/>
                <w:bCs/>
                <w:color w:val="000000" w:themeColor="text1"/>
                <w:sz w:val="20"/>
              </w:rPr>
            </w:pPr>
            <w:r w:rsidRPr="00CC6553">
              <w:rPr>
                <w:rFonts w:cs="Arial"/>
                <w:bCs/>
                <w:color w:val="000000" w:themeColor="text1"/>
                <w:sz w:val="20"/>
              </w:rPr>
              <w:t>401</w:t>
            </w:r>
          </w:p>
        </w:tc>
        <w:tc>
          <w:tcPr>
            <w:tcW w:w="143" w:type="pct"/>
          </w:tcPr>
          <w:p w14:paraId="084B6F7C" w14:textId="608829D8"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5100941B" w14:textId="62BA380E"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1E3EA228" w14:textId="1D056334"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63DFA3E8" w14:textId="72BB8DDD"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159FF125" w14:textId="203E5E88"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33F2E791" w14:textId="13BD5C01" w:rsidR="00897293" w:rsidRPr="00CC6553" w:rsidRDefault="00897293" w:rsidP="00B234F1">
            <w:pPr>
              <w:rPr>
                <w:rFonts w:cs="Arial"/>
                <w:color w:val="000000" w:themeColor="text1"/>
                <w:sz w:val="20"/>
              </w:rPr>
            </w:pPr>
            <w:r w:rsidRPr="00CC6553">
              <w:rPr>
                <w:rFonts w:cs="Arial"/>
                <w:color w:val="000000" w:themeColor="text1"/>
                <w:sz w:val="20"/>
              </w:rPr>
              <w:t>Here is the letter which was ignored by NICE reference the lack of scoping.</w:t>
            </w:r>
          </w:p>
        </w:tc>
        <w:tc>
          <w:tcPr>
            <w:tcW w:w="2122" w:type="pct"/>
          </w:tcPr>
          <w:p w14:paraId="08AA7853" w14:textId="7D3BB6FA" w:rsidR="00897293" w:rsidRPr="00CC6553" w:rsidRDefault="00897293" w:rsidP="00B234F1">
            <w:pPr>
              <w:pStyle w:val="Heading1"/>
              <w:rPr>
                <w:rFonts w:cs="Arial"/>
                <w:b w:val="0"/>
                <w:color w:val="000000" w:themeColor="text1"/>
                <w:sz w:val="20"/>
              </w:rPr>
            </w:pPr>
            <w:r>
              <w:rPr>
                <w:rFonts w:cs="Arial"/>
                <w:b w:val="0"/>
                <w:color w:val="000000" w:themeColor="text1"/>
                <w:sz w:val="20"/>
              </w:rPr>
              <w:t>Thank you for your comment.</w:t>
            </w:r>
          </w:p>
        </w:tc>
      </w:tr>
      <w:tr w:rsidR="00897293" w:rsidRPr="00CC6553" w14:paraId="20BD6356" w14:textId="77777777" w:rsidTr="00897293">
        <w:trPr>
          <w:trHeight w:val="300"/>
        </w:trPr>
        <w:tc>
          <w:tcPr>
            <w:tcW w:w="109" w:type="pct"/>
          </w:tcPr>
          <w:p w14:paraId="60EB6A02" w14:textId="77777777" w:rsidR="00897293" w:rsidRPr="00CC6553" w:rsidRDefault="00897293" w:rsidP="00B234F1">
            <w:pPr>
              <w:rPr>
                <w:rFonts w:cs="Arial"/>
                <w:color w:val="000000" w:themeColor="text1"/>
                <w:sz w:val="20"/>
              </w:rPr>
            </w:pPr>
            <w:r w:rsidRPr="00CC6553">
              <w:rPr>
                <w:rFonts w:cs="Arial"/>
                <w:color w:val="000000" w:themeColor="text1"/>
                <w:sz w:val="20"/>
              </w:rPr>
              <w:t>402</w:t>
            </w:r>
          </w:p>
        </w:tc>
        <w:tc>
          <w:tcPr>
            <w:tcW w:w="143" w:type="pct"/>
          </w:tcPr>
          <w:p w14:paraId="424EC5B6" w14:textId="627F489C"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303C20A" w14:textId="481175FE" w:rsidR="00897293" w:rsidRPr="00CC6553" w:rsidRDefault="00897293" w:rsidP="00B234F1">
            <w:pPr>
              <w:rPr>
                <w:rFonts w:cs="Arial"/>
                <w:bCs/>
                <w:iCs/>
                <w:color w:val="000000" w:themeColor="text1"/>
                <w:sz w:val="20"/>
              </w:rPr>
            </w:pPr>
            <w:r w:rsidRPr="00CC6553">
              <w:rPr>
                <w:rFonts w:cs="Arial"/>
                <w:color w:val="000000" w:themeColor="text1"/>
                <w:sz w:val="20"/>
              </w:rPr>
              <w:t>NHS England</w:t>
            </w:r>
          </w:p>
        </w:tc>
        <w:tc>
          <w:tcPr>
            <w:tcW w:w="279" w:type="pct"/>
          </w:tcPr>
          <w:p w14:paraId="2237DB31" w14:textId="60E86BA3"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53E0AD4F" w14:textId="4F76284D"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6D65869D" w14:textId="02F4F4E2"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6AEA29D9" w14:textId="0A632C97" w:rsidR="00897293" w:rsidRPr="00CC6553" w:rsidRDefault="00897293" w:rsidP="00B234F1">
            <w:pPr>
              <w:rPr>
                <w:rFonts w:cs="Arial"/>
                <w:color w:val="000000" w:themeColor="text1"/>
                <w:sz w:val="20"/>
              </w:rPr>
            </w:pPr>
            <w:r w:rsidRPr="00CC6553">
              <w:rPr>
                <w:rFonts w:cs="Arial"/>
                <w:color w:val="000000" w:themeColor="text1"/>
                <w:sz w:val="20"/>
              </w:rPr>
              <w:t>Nick Hartshorne-Evans</w:t>
            </w:r>
            <w:r w:rsidRPr="00CC6553">
              <w:rPr>
                <w:rFonts w:cs="Arial"/>
                <w:color w:val="000000" w:themeColor="text1"/>
                <w:sz w:val="20"/>
              </w:rPr>
              <w:br/>
              <w:t>CEO Pumping Marvellous Foundation</w:t>
            </w:r>
            <w:r w:rsidRPr="00CC6553">
              <w:rPr>
                <w:rFonts w:cs="Arial"/>
                <w:color w:val="000000" w:themeColor="text1"/>
                <w:sz w:val="20"/>
              </w:rPr>
              <w:br/>
              <w:t>Business First</w:t>
            </w:r>
            <w:r w:rsidRPr="00CC6553">
              <w:rPr>
                <w:rFonts w:cs="Arial"/>
                <w:color w:val="000000" w:themeColor="text1"/>
                <w:sz w:val="20"/>
              </w:rPr>
              <w:br/>
            </w:r>
            <w:r w:rsidRPr="00CC6553">
              <w:rPr>
                <w:rFonts w:cs="Arial"/>
                <w:color w:val="000000" w:themeColor="text1"/>
                <w:sz w:val="20"/>
              </w:rPr>
              <w:lastRenderedPageBreak/>
              <w:t>Millennium City Park</w:t>
            </w:r>
            <w:r w:rsidRPr="00CC6553">
              <w:rPr>
                <w:rFonts w:cs="Arial"/>
                <w:color w:val="000000" w:themeColor="text1"/>
                <w:sz w:val="20"/>
              </w:rPr>
              <w:br/>
              <w:t xml:space="preserve">Preston </w:t>
            </w:r>
            <w:r w:rsidRPr="00CC6553">
              <w:rPr>
                <w:rFonts w:cs="Arial"/>
                <w:color w:val="000000" w:themeColor="text1"/>
                <w:sz w:val="20"/>
              </w:rPr>
              <w:br/>
              <w:t>PR2 5BL</w:t>
            </w:r>
            <w:r w:rsidRPr="00CC6553">
              <w:rPr>
                <w:rFonts w:cs="Arial"/>
                <w:color w:val="000000" w:themeColor="text1"/>
                <w:sz w:val="20"/>
              </w:rPr>
              <w:br/>
            </w:r>
            <w:r w:rsidRPr="00CC6553">
              <w:rPr>
                <w:rFonts w:cs="Arial"/>
                <w:color w:val="000000" w:themeColor="text1"/>
                <w:sz w:val="20"/>
              </w:rPr>
              <w:br/>
              <w:t>Dear NICE Surveillance Committee,28th February 2024</w:t>
            </w:r>
            <w:r w:rsidRPr="00CC6553">
              <w:rPr>
                <w:rFonts w:cs="Arial"/>
                <w:color w:val="000000" w:themeColor="text1"/>
                <w:sz w:val="20"/>
              </w:rPr>
              <w:br/>
            </w:r>
            <w:r w:rsidRPr="00CC6553">
              <w:rPr>
                <w:rFonts w:cs="Arial"/>
                <w:color w:val="000000" w:themeColor="text1"/>
                <w:sz w:val="20"/>
              </w:rPr>
              <w:br/>
              <w:t>I am writing on behalf of the Pumping Marvellous Foundation, the UK’s patient-led heart failure charity that represents the needs of people with all types of heart failure. I am formally responding to the current situation where NICE is reviewing the current NG106 Chronic Heart Failure Guidelines, which are only focused on pharmacological development since its publication in 2018.</w:t>
            </w:r>
            <w:r w:rsidRPr="00CC6553">
              <w:rPr>
                <w:rFonts w:cs="Arial"/>
                <w:color w:val="000000" w:themeColor="text1"/>
                <w:sz w:val="20"/>
              </w:rPr>
              <w:br/>
            </w:r>
            <w:r w:rsidRPr="00CC6553">
              <w:rPr>
                <w:rFonts w:cs="Arial"/>
                <w:color w:val="000000" w:themeColor="text1"/>
                <w:sz w:val="20"/>
              </w:rPr>
              <w:br/>
              <w:t>Concerns</w:t>
            </w:r>
            <w:r w:rsidRPr="00CC6553">
              <w:rPr>
                <w:rFonts w:cs="Arial"/>
                <w:color w:val="000000" w:themeColor="text1"/>
                <w:sz w:val="20"/>
              </w:rPr>
              <w:br/>
              <w:t>1.There was no formal scoping session. Many stakeholder colleagues and leaders in heart failure were not consulted as to the scope of the guidelines.</w:t>
            </w:r>
            <w:r w:rsidRPr="00CC6553">
              <w:rPr>
                <w:rFonts w:cs="Arial"/>
                <w:color w:val="000000" w:themeColor="text1"/>
                <w:sz w:val="20"/>
              </w:rPr>
              <w:br/>
              <w:t>2.As the UK’s heart failure charity, we were not consulted concerning the scope. We were informed of the guidelines and invited to apply but declined because there was no scoping. We fed this back.</w:t>
            </w:r>
            <w:r w:rsidRPr="00CC6553">
              <w:rPr>
                <w:rFonts w:cs="Arial"/>
                <w:color w:val="000000" w:themeColor="text1"/>
                <w:sz w:val="20"/>
              </w:rPr>
              <w:br/>
              <w:t>3.Even with adjustments to the NG106 2018 guidelines around pharmacological treatment, assuming the incorporation of the 6 STAs since 2018 that NICE has recommended, the management of heart failure involves a great deal more than pharmacological treatment alone.</w:t>
            </w:r>
            <w:r w:rsidRPr="00CC6553">
              <w:rPr>
                <w:rFonts w:cs="Arial"/>
                <w:color w:val="000000" w:themeColor="text1"/>
                <w:sz w:val="20"/>
              </w:rPr>
              <w:br/>
              <w:t>4.When published, these guidelines will therefore be disregarded by HF specialists for the comprehensive and up-to-date ESC Guidelines . Therefore, heart failure specialists will work dis-harmoniously with their generalist colleagues based in Primary Care.</w:t>
            </w:r>
            <w:r w:rsidRPr="00CC6553">
              <w:rPr>
                <w:rFonts w:cs="Arial"/>
                <w:color w:val="000000" w:themeColor="text1"/>
                <w:sz w:val="20"/>
              </w:rPr>
              <w:br/>
              <w:t xml:space="preserve">5.A heart failure guideline should include – the promotion of Self-Management, commissioning advice for HF services for people with HFpEF, increased choice of Cardiac Rehab offer and Palliative services along with the adoption of STRONG-HF protocols, to name a few, all not pharmacologically driven. </w:t>
            </w:r>
            <w:r w:rsidRPr="00CC6553">
              <w:rPr>
                <w:rFonts w:cs="Arial"/>
                <w:color w:val="000000" w:themeColor="text1"/>
                <w:sz w:val="20"/>
              </w:rPr>
              <w:br/>
              <w:t xml:space="preserve">6.Large areas of the country lack commissioned HF services for patients with HFpEF. NICE is complicit in the inequity of access for over 400,000 HFpEF </w:t>
            </w:r>
            <w:r w:rsidRPr="00CC6553">
              <w:rPr>
                <w:rFonts w:cs="Arial"/>
                <w:color w:val="000000" w:themeColor="text1"/>
                <w:sz w:val="20"/>
              </w:rPr>
              <w:lastRenderedPageBreak/>
              <w:t>patients to services like HF-led MDTs and HF consultants and Specialist Heart Failure Nurses. This is an opportunity to change this.</w:t>
            </w:r>
            <w:r w:rsidRPr="00CC6553">
              <w:rPr>
                <w:rFonts w:cs="Arial"/>
                <w:color w:val="000000" w:themeColor="text1"/>
                <w:sz w:val="20"/>
              </w:rPr>
              <w:br/>
              <w:t>7.It is essential to have comprehensive national guidelines for heart failure that both specialists and general practitioners can work with Heart failure and is already the commonest cause for medical admission over 65 years of age is a growing epidemic, and prevalence will double over the next 15-20 years. We need the tools to prevent soaring costs, improve mortality and, most importantly, improve the quality of life for people who live with this disabling long-term condition.</w:t>
            </w:r>
            <w:r w:rsidRPr="00CC6553">
              <w:rPr>
                <w:rFonts w:cs="Arial"/>
                <w:color w:val="000000" w:themeColor="text1"/>
                <w:sz w:val="20"/>
              </w:rPr>
              <w:br/>
              <w:t>8.It is also a concern that NICE continues to separate ACUTE and CHRONIC guidelines. This is not compatible with clinical or lived patient experience. This cannot be perceived as a “staccato” process from diagnosis to palliation. We need all-inclusive guidelines to ensure efficient connectivity and communication, one of the significant aspects that patients say needs improving.</w:t>
            </w:r>
            <w:r w:rsidRPr="00CC6553">
              <w:rPr>
                <w:rFonts w:cs="Arial"/>
                <w:color w:val="000000" w:themeColor="text1"/>
                <w:sz w:val="20"/>
              </w:rPr>
              <w:br/>
              <w:t xml:space="preserve">   </w:t>
            </w:r>
            <w:r w:rsidRPr="00CC6553">
              <w:rPr>
                <w:rFonts w:cs="Arial"/>
                <w:color w:val="000000" w:themeColor="text1"/>
                <w:sz w:val="20"/>
              </w:rPr>
              <w:br/>
              <w:t>Since the introduction of the NG106 Chronic Heart Failure Guidelines for Adults, the health system, outside the specialist, has not adopted, wholesale its recommendations, preferring to defer the diagnosis and management of people with heart failure to HF specialists. This cannot continue as heart failure is a whole system and growing problem. NICE has the unique position of shaping treatment, care, and, more importantly, attitude to adopt best practices.</w:t>
            </w:r>
            <w:r w:rsidRPr="00CC6553">
              <w:rPr>
                <w:rFonts w:cs="Arial"/>
                <w:color w:val="000000" w:themeColor="text1"/>
                <w:sz w:val="20"/>
              </w:rPr>
              <w:br/>
            </w:r>
            <w:r w:rsidRPr="00CC6553">
              <w:rPr>
                <w:rFonts w:cs="Arial"/>
                <w:color w:val="000000" w:themeColor="text1"/>
                <w:sz w:val="20"/>
              </w:rPr>
              <w:br/>
              <w:t>Yours sincerely,</w:t>
            </w:r>
            <w:r w:rsidRPr="00CC6553">
              <w:rPr>
                <w:rFonts w:cs="Arial"/>
                <w:color w:val="000000" w:themeColor="text1"/>
                <w:sz w:val="20"/>
              </w:rPr>
              <w:br/>
              <w:t xml:space="preserve"> </w:t>
            </w:r>
            <w:r w:rsidRPr="00CC6553">
              <w:rPr>
                <w:rFonts w:cs="Arial"/>
                <w:color w:val="000000" w:themeColor="text1"/>
                <w:sz w:val="20"/>
              </w:rPr>
              <w:br/>
            </w:r>
            <w:r w:rsidRPr="00CC6553">
              <w:rPr>
                <w:rFonts w:cs="Arial"/>
                <w:color w:val="000000" w:themeColor="text1"/>
                <w:sz w:val="20"/>
              </w:rPr>
              <w:br/>
              <w:t>Nick Hartshorne-Evans</w:t>
            </w:r>
            <w:r w:rsidRPr="00CC6553">
              <w:rPr>
                <w:rFonts w:cs="Arial"/>
                <w:color w:val="000000" w:themeColor="text1"/>
                <w:sz w:val="20"/>
              </w:rPr>
              <w:br/>
              <w:t>CEO Founder</w:t>
            </w:r>
          </w:p>
        </w:tc>
        <w:tc>
          <w:tcPr>
            <w:tcW w:w="2122" w:type="pct"/>
          </w:tcPr>
          <w:p w14:paraId="7DA676C1" w14:textId="271CE525" w:rsidR="00897293" w:rsidRPr="00CC6553" w:rsidRDefault="00897293" w:rsidP="00B234F1">
            <w:pPr>
              <w:pStyle w:val="Paragraph"/>
              <w:numPr>
                <w:ilvl w:val="0"/>
                <w:numId w:val="0"/>
              </w:numPr>
              <w:rPr>
                <w:rFonts w:cs="Arial"/>
                <w:bCs/>
                <w:color w:val="000000" w:themeColor="text1"/>
                <w:sz w:val="20"/>
              </w:rPr>
            </w:pPr>
            <w:r w:rsidRPr="00CC6553">
              <w:rPr>
                <w:rFonts w:cs="Arial"/>
                <w:bCs/>
                <w:color w:val="000000" w:themeColor="text1"/>
                <w:sz w:val="20"/>
              </w:rPr>
              <w:lastRenderedPageBreak/>
              <w:t xml:space="preserve">Thank you for your comment.   A reply to your letter was sent on the </w:t>
            </w:r>
            <w:r w:rsidRPr="00CC6553">
              <w:rPr>
                <w:rFonts w:cs="Arial"/>
                <w:bCs/>
                <w:color w:val="000000" w:themeColor="text1"/>
                <w:sz w:val="20"/>
              </w:rPr>
              <w:lastRenderedPageBreak/>
              <w:t>24</w:t>
            </w:r>
            <w:r w:rsidRPr="00CC6553">
              <w:rPr>
                <w:rFonts w:cs="Arial"/>
                <w:bCs/>
                <w:color w:val="000000" w:themeColor="text1"/>
                <w:sz w:val="20"/>
                <w:vertAlign w:val="superscript"/>
              </w:rPr>
              <w:t>th</w:t>
            </w:r>
            <w:r w:rsidRPr="00CC6553">
              <w:rPr>
                <w:rFonts w:cs="Arial"/>
                <w:bCs/>
                <w:color w:val="000000" w:themeColor="text1"/>
                <w:sz w:val="20"/>
              </w:rPr>
              <w:t xml:space="preserve"> April which I am sorry you do not seem to have received it.  Here is the reply:</w:t>
            </w:r>
          </w:p>
          <w:p w14:paraId="409DAAFB" w14:textId="77777777" w:rsidR="00897293" w:rsidRPr="00CC6553" w:rsidRDefault="00897293" w:rsidP="00B234F1">
            <w:pPr>
              <w:pStyle w:val="Paragraph"/>
              <w:numPr>
                <w:ilvl w:val="0"/>
                <w:numId w:val="0"/>
              </w:numPr>
              <w:rPr>
                <w:rFonts w:cs="Arial"/>
                <w:bCs/>
                <w:color w:val="000000" w:themeColor="text1"/>
                <w:sz w:val="20"/>
              </w:rPr>
            </w:pPr>
            <w:r w:rsidRPr="00CC6553">
              <w:rPr>
                <w:rFonts w:cs="Arial"/>
                <w:bCs/>
                <w:color w:val="000000" w:themeColor="text1"/>
                <w:sz w:val="20"/>
                <w:lang w:val="en-US"/>
              </w:rPr>
              <w:t>Thank you for your patience while we reviewed the concerns raised in your previous letter.</w:t>
            </w:r>
            <w:r w:rsidRPr="00CC6553">
              <w:rPr>
                <w:rFonts w:cs="Arial"/>
                <w:bCs/>
                <w:color w:val="000000" w:themeColor="text1"/>
                <w:sz w:val="20"/>
                <w:lang w:val="en-US"/>
              </w:rPr>
              <w:br/>
            </w:r>
            <w:r w:rsidRPr="00CC6553">
              <w:rPr>
                <w:rFonts w:cs="Arial"/>
                <w:bCs/>
                <w:color w:val="000000" w:themeColor="text1"/>
                <w:sz w:val="20"/>
                <w:lang w:val="en-US"/>
              </w:rPr>
              <w:br/>
              <w:t>We have spoken to our CVD suite committee chair and topic advisor about the points made in relation to the acute HF guideline. Their response is as follows:</w:t>
            </w:r>
            <w:r w:rsidRPr="00CC6553">
              <w:rPr>
                <w:rFonts w:cs="Arial"/>
                <w:bCs/>
                <w:color w:val="000000" w:themeColor="text1"/>
                <w:sz w:val="20"/>
                <w:lang w:val="en-US"/>
              </w:rPr>
              <w:br/>
            </w:r>
            <w:r w:rsidRPr="00CC6553">
              <w:rPr>
                <w:rFonts w:cs="Arial"/>
                <w:bCs/>
                <w:color w:val="000000" w:themeColor="text1"/>
                <w:sz w:val="20"/>
                <w:lang w:val="en-US"/>
              </w:rPr>
              <w:br/>
            </w:r>
            <w:r w:rsidRPr="00CC6553">
              <w:rPr>
                <w:rFonts w:cs="Arial"/>
                <w:bCs/>
                <w:color w:val="000000" w:themeColor="text1"/>
                <w:sz w:val="20"/>
              </w:rPr>
              <w:t>Whilst I understand the disappointment in the HF community that the ‘full’ guideline is not being updated, the concerns raised are far beyond what a simple guideline update can achieve.</w:t>
            </w:r>
          </w:p>
          <w:p w14:paraId="7BB53B0B" w14:textId="77777777" w:rsidR="00897293" w:rsidRPr="00CC6553" w:rsidRDefault="00897293" w:rsidP="009B3C47">
            <w:pPr>
              <w:pStyle w:val="Paragraph"/>
              <w:numPr>
                <w:ilvl w:val="0"/>
                <w:numId w:val="0"/>
              </w:numPr>
              <w:rPr>
                <w:rFonts w:cs="Arial"/>
                <w:bCs/>
                <w:color w:val="000000" w:themeColor="text1"/>
                <w:sz w:val="20"/>
              </w:rPr>
            </w:pPr>
            <w:r w:rsidRPr="00CC6553">
              <w:rPr>
                <w:rFonts w:cs="Arial"/>
                <w:bCs/>
                <w:color w:val="000000" w:themeColor="text1"/>
                <w:sz w:val="20"/>
              </w:rPr>
              <w:t xml:space="preserve">I fully agree that endorsement by NICE regarding access to HF services is an important factor during any commissioning process. Recommendations regarding HF services are, however, clearly stated in the 2018 guideline, along with </w:t>
            </w:r>
            <w:r w:rsidRPr="00CC6553">
              <w:rPr>
                <w:rFonts w:cs="Arial"/>
                <w:bCs/>
                <w:color w:val="000000" w:themeColor="text1"/>
                <w:sz w:val="20"/>
              </w:rPr>
              <w:lastRenderedPageBreak/>
              <w:t>access to cardiac rehabilitation and palliative care. They are also stipulated for all HF patients, with no distinction between phenotypes. Whilst there have been several position papers, the most recent ESC guidelines (2021) had only one new recommendation regarding cardiac rehabilitation and this was ‘a supervised, exercise-based, cardiac rehabilitation programme should be considered in patients with more severe disease, frailty, or with comorbidities’. There were no new recommendations regarding palliative care or self-management. With no significant new evidence in these areas, it is unlikely any update would result in significant change to the recommendations made in 2018.</w:t>
            </w:r>
          </w:p>
          <w:p w14:paraId="72A7095B" w14:textId="77777777" w:rsidR="00897293" w:rsidRPr="00CC6553" w:rsidRDefault="00897293" w:rsidP="009B3C47">
            <w:pPr>
              <w:pStyle w:val="Paragraph"/>
              <w:numPr>
                <w:ilvl w:val="0"/>
                <w:numId w:val="0"/>
              </w:numPr>
              <w:rPr>
                <w:rFonts w:cs="Arial"/>
                <w:bCs/>
                <w:color w:val="000000" w:themeColor="text1"/>
                <w:sz w:val="20"/>
              </w:rPr>
            </w:pPr>
            <w:r w:rsidRPr="00CC6553">
              <w:rPr>
                <w:rFonts w:cs="Arial"/>
                <w:bCs/>
                <w:color w:val="000000" w:themeColor="text1"/>
                <w:sz w:val="20"/>
              </w:rPr>
              <w:t xml:space="preserve">The vast majority of new evidence/working is absolutely related to pharmacological therapies. This is further evidenced by the focussed update in 2023 which was almost exclusively on this.  Although other therapies are clearly important </w:t>
            </w:r>
            <w:r w:rsidRPr="00CC6553">
              <w:rPr>
                <w:rFonts w:cs="Arial"/>
                <w:bCs/>
                <w:color w:val="000000" w:themeColor="text1"/>
                <w:sz w:val="20"/>
              </w:rPr>
              <w:lastRenderedPageBreak/>
              <w:t>when providing a holistic approach to patient care, updating to and. more importantly endorsement of, the ‘four pillars’ approach is fundamental to improving outcomes in HF care. A delay in updating this will almost certainly result in increased HF mortality and hospitalisations. It is also the area where the majority of ‘disharmony’ between community/primary and secondary/tertiary care arises due to the clear differences in approach when compared with the 2018 guideline. This includes the ‘STRONG-HF’ approach which the committee are considering.</w:t>
            </w:r>
            <w:r w:rsidRPr="00CC6553">
              <w:rPr>
                <w:rFonts w:cs="Arial"/>
                <w:bCs/>
                <w:color w:val="000000" w:themeColor="text1"/>
                <w:sz w:val="20"/>
              </w:rPr>
              <w:br/>
            </w:r>
            <w:r w:rsidRPr="00CC6553">
              <w:rPr>
                <w:rFonts w:cs="Arial"/>
                <w:bCs/>
                <w:color w:val="000000" w:themeColor="text1"/>
                <w:sz w:val="20"/>
              </w:rPr>
              <w:br/>
              <w:t>Please let me know if there is any more info you require.</w:t>
            </w:r>
            <w:r w:rsidRPr="00CC6553">
              <w:rPr>
                <w:rFonts w:cs="Arial"/>
                <w:bCs/>
                <w:color w:val="000000" w:themeColor="text1"/>
                <w:sz w:val="20"/>
              </w:rPr>
              <w:br/>
            </w:r>
            <w:r w:rsidRPr="00CC6553">
              <w:rPr>
                <w:rFonts w:cs="Arial"/>
                <w:bCs/>
                <w:color w:val="000000" w:themeColor="text1"/>
                <w:sz w:val="20"/>
              </w:rPr>
              <w:br/>
              <w:t>Kind regards,</w:t>
            </w:r>
            <w:r w:rsidRPr="00CC6553">
              <w:rPr>
                <w:rFonts w:cs="Arial"/>
                <w:bCs/>
                <w:color w:val="000000" w:themeColor="text1"/>
                <w:sz w:val="20"/>
              </w:rPr>
              <w:br/>
              <w:t>Surveillance team</w:t>
            </w:r>
          </w:p>
          <w:p w14:paraId="4DC0F74C" w14:textId="77777777" w:rsidR="00897293" w:rsidRPr="00CC6553" w:rsidRDefault="00897293" w:rsidP="00B234F1">
            <w:pPr>
              <w:pStyle w:val="Paragraph"/>
              <w:numPr>
                <w:ilvl w:val="0"/>
                <w:numId w:val="0"/>
              </w:numPr>
              <w:ind w:left="851" w:hanging="851"/>
              <w:rPr>
                <w:bCs/>
                <w:color w:val="000000" w:themeColor="text1"/>
              </w:rPr>
            </w:pPr>
          </w:p>
          <w:p w14:paraId="67CE2F8B" w14:textId="7EDBEEEE" w:rsidR="00897293" w:rsidRPr="00CC6553" w:rsidRDefault="00897293" w:rsidP="00B234F1">
            <w:pPr>
              <w:pStyle w:val="Paragraph"/>
              <w:numPr>
                <w:ilvl w:val="0"/>
                <w:numId w:val="0"/>
              </w:numPr>
              <w:rPr>
                <w:bCs/>
                <w:color w:val="000000" w:themeColor="text1"/>
              </w:rPr>
            </w:pPr>
          </w:p>
          <w:p w14:paraId="34544A91" w14:textId="6C02D989" w:rsidR="00897293" w:rsidRPr="00CC6553" w:rsidRDefault="00897293" w:rsidP="00B234F1">
            <w:pPr>
              <w:pStyle w:val="Heading1"/>
              <w:rPr>
                <w:rFonts w:cs="Arial"/>
                <w:b w:val="0"/>
                <w:color w:val="000000" w:themeColor="text1"/>
                <w:sz w:val="20"/>
              </w:rPr>
            </w:pPr>
          </w:p>
        </w:tc>
      </w:tr>
      <w:tr w:rsidR="00897293" w:rsidRPr="00CC6553" w14:paraId="1A286330" w14:textId="77777777" w:rsidTr="00897293">
        <w:trPr>
          <w:trHeight w:val="300"/>
        </w:trPr>
        <w:tc>
          <w:tcPr>
            <w:tcW w:w="109" w:type="pct"/>
          </w:tcPr>
          <w:p w14:paraId="1C9898BC"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403</w:t>
            </w:r>
          </w:p>
        </w:tc>
        <w:tc>
          <w:tcPr>
            <w:tcW w:w="143" w:type="pct"/>
          </w:tcPr>
          <w:p w14:paraId="25282A82" w14:textId="19B24FF6"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0F37846" w14:textId="68B25630" w:rsidR="00897293" w:rsidRPr="00CC6553" w:rsidRDefault="00897293" w:rsidP="00B234F1">
            <w:pPr>
              <w:rPr>
                <w:rFonts w:cs="Arial"/>
                <w:bCs/>
                <w:iCs/>
                <w:color w:val="000000" w:themeColor="text1"/>
                <w:sz w:val="20"/>
              </w:rPr>
            </w:pPr>
            <w:r w:rsidRPr="00CC6553">
              <w:rPr>
                <w:rFonts w:cs="Arial"/>
                <w:color w:val="000000" w:themeColor="text1"/>
                <w:sz w:val="20"/>
              </w:rPr>
              <w:t>Teva UK</w:t>
            </w:r>
          </w:p>
        </w:tc>
        <w:tc>
          <w:tcPr>
            <w:tcW w:w="279" w:type="pct"/>
          </w:tcPr>
          <w:p w14:paraId="6759CE00" w14:textId="1CA16B7C"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7B40B528" w14:textId="77A52F63"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7C72B398" w14:textId="1717E3C6"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5760B5FE" w14:textId="0A89F1AF" w:rsidR="00897293" w:rsidRPr="00CC6553" w:rsidRDefault="00897293" w:rsidP="00B234F1">
            <w:pPr>
              <w:rPr>
                <w:rFonts w:cs="Arial"/>
                <w:color w:val="000000" w:themeColor="text1"/>
                <w:sz w:val="20"/>
              </w:rPr>
            </w:pPr>
            <w:r w:rsidRPr="00CC6553">
              <w:rPr>
                <w:rFonts w:cs="Arial"/>
                <w:color w:val="000000" w:themeColor="text1"/>
                <w:sz w:val="20"/>
              </w:rPr>
              <w:t>Teva UK welcomes the role that NICE can play in optimising the use of off-patent (and soon to be off-patent) treatments. The availability of off-patent treatments can significantly alter the value for money equation to enable population health breakthroughs.</w:t>
            </w:r>
          </w:p>
        </w:tc>
        <w:tc>
          <w:tcPr>
            <w:tcW w:w="2122" w:type="pct"/>
          </w:tcPr>
          <w:p w14:paraId="3432C124" w14:textId="75D11AFB"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w:t>
            </w:r>
          </w:p>
        </w:tc>
      </w:tr>
      <w:tr w:rsidR="00897293" w:rsidRPr="00CC6553" w14:paraId="3708388A" w14:textId="77777777" w:rsidTr="00897293">
        <w:trPr>
          <w:trHeight w:val="300"/>
        </w:trPr>
        <w:tc>
          <w:tcPr>
            <w:tcW w:w="109" w:type="pct"/>
          </w:tcPr>
          <w:p w14:paraId="1A71EB80" w14:textId="77777777" w:rsidR="00897293" w:rsidRPr="00CC6553" w:rsidRDefault="00897293" w:rsidP="00B234F1">
            <w:pPr>
              <w:rPr>
                <w:rFonts w:cs="Arial"/>
                <w:color w:val="000000" w:themeColor="text1"/>
                <w:sz w:val="20"/>
              </w:rPr>
            </w:pPr>
            <w:r w:rsidRPr="00CC6553">
              <w:rPr>
                <w:rFonts w:cs="Arial"/>
                <w:color w:val="000000" w:themeColor="text1"/>
                <w:sz w:val="20"/>
              </w:rPr>
              <w:t>404</w:t>
            </w:r>
          </w:p>
        </w:tc>
        <w:tc>
          <w:tcPr>
            <w:tcW w:w="143" w:type="pct"/>
          </w:tcPr>
          <w:p w14:paraId="1F6456C8" w14:textId="69097660"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76202DB" w14:textId="2B0F3CBC" w:rsidR="00897293" w:rsidRPr="00CC6553" w:rsidRDefault="00897293" w:rsidP="00B234F1">
            <w:pPr>
              <w:rPr>
                <w:rFonts w:cs="Arial"/>
                <w:bCs/>
                <w:iCs/>
                <w:color w:val="000000" w:themeColor="text1"/>
                <w:sz w:val="20"/>
              </w:rPr>
            </w:pPr>
            <w:r w:rsidRPr="00CC6553">
              <w:rPr>
                <w:rFonts w:cs="Arial"/>
                <w:color w:val="000000" w:themeColor="text1"/>
                <w:sz w:val="20"/>
              </w:rPr>
              <w:t>Pumping Marvellous Foundation</w:t>
            </w:r>
          </w:p>
        </w:tc>
        <w:tc>
          <w:tcPr>
            <w:tcW w:w="279" w:type="pct"/>
          </w:tcPr>
          <w:p w14:paraId="36148159" w14:textId="0299B571"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4BB2FB7D" w14:textId="5DD26BEB"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2C66C12E" w14:textId="6C82F53B"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7D0DC239" w14:textId="7706C7A0" w:rsidR="00897293" w:rsidRPr="00CC6553" w:rsidRDefault="00897293" w:rsidP="00B234F1">
            <w:pPr>
              <w:rPr>
                <w:rFonts w:cs="Arial"/>
                <w:color w:val="000000" w:themeColor="text1"/>
                <w:sz w:val="20"/>
              </w:rPr>
            </w:pPr>
            <w:r w:rsidRPr="00CC6553">
              <w:rPr>
                <w:rFonts w:cs="Arial"/>
                <w:color w:val="000000" w:themeColor="text1"/>
                <w:sz w:val="20"/>
              </w:rPr>
              <w:t>Here is the letter which was ignored by NICE reference the lack of scoping.</w:t>
            </w:r>
          </w:p>
        </w:tc>
        <w:tc>
          <w:tcPr>
            <w:tcW w:w="2122" w:type="pct"/>
          </w:tcPr>
          <w:p w14:paraId="280EC876" w14:textId="77777777" w:rsidR="00897293" w:rsidRPr="00CC6553" w:rsidRDefault="00897293" w:rsidP="00B234F1">
            <w:pPr>
              <w:pStyle w:val="Paragraph"/>
              <w:numPr>
                <w:ilvl w:val="0"/>
                <w:numId w:val="0"/>
              </w:numPr>
              <w:rPr>
                <w:rFonts w:cs="Arial"/>
                <w:bCs/>
                <w:color w:val="000000" w:themeColor="text1"/>
                <w:sz w:val="20"/>
              </w:rPr>
            </w:pPr>
            <w:r w:rsidRPr="00CC6553">
              <w:rPr>
                <w:rFonts w:cs="Arial"/>
                <w:bCs/>
                <w:color w:val="000000" w:themeColor="text1"/>
                <w:sz w:val="20"/>
              </w:rPr>
              <w:t>Thank you for your comment.   A reply to your letter was sent on the 24</w:t>
            </w:r>
            <w:r w:rsidRPr="00CC6553">
              <w:rPr>
                <w:rFonts w:cs="Arial"/>
                <w:bCs/>
                <w:color w:val="000000" w:themeColor="text1"/>
                <w:sz w:val="20"/>
                <w:vertAlign w:val="superscript"/>
              </w:rPr>
              <w:t>th</w:t>
            </w:r>
            <w:r w:rsidRPr="00CC6553">
              <w:rPr>
                <w:rFonts w:cs="Arial"/>
                <w:bCs/>
                <w:color w:val="000000" w:themeColor="text1"/>
                <w:sz w:val="20"/>
              </w:rPr>
              <w:t xml:space="preserve"> April which I am sorry you do not seem to have received it.  Here is the reply:</w:t>
            </w:r>
          </w:p>
          <w:p w14:paraId="5A2D0E9D" w14:textId="77777777" w:rsidR="00897293" w:rsidRPr="00CC6553" w:rsidRDefault="00897293" w:rsidP="00B234F1">
            <w:pPr>
              <w:pStyle w:val="Paragraph"/>
              <w:numPr>
                <w:ilvl w:val="0"/>
                <w:numId w:val="0"/>
              </w:numPr>
              <w:rPr>
                <w:rFonts w:cs="Arial"/>
                <w:bCs/>
                <w:color w:val="000000" w:themeColor="text1"/>
                <w:sz w:val="20"/>
              </w:rPr>
            </w:pPr>
            <w:r w:rsidRPr="00CC6553">
              <w:rPr>
                <w:rFonts w:cs="Arial"/>
                <w:bCs/>
                <w:color w:val="000000" w:themeColor="text1"/>
                <w:sz w:val="20"/>
                <w:lang w:val="en-US"/>
              </w:rPr>
              <w:t>Thank you for your patience while we reviewed the concerns raised in your previous letter.</w:t>
            </w:r>
            <w:r w:rsidRPr="00CC6553">
              <w:rPr>
                <w:rFonts w:cs="Arial"/>
                <w:bCs/>
                <w:color w:val="000000" w:themeColor="text1"/>
                <w:sz w:val="20"/>
                <w:lang w:val="en-US"/>
              </w:rPr>
              <w:br/>
            </w:r>
            <w:r w:rsidRPr="00CC6553">
              <w:rPr>
                <w:rFonts w:cs="Arial"/>
                <w:bCs/>
                <w:color w:val="000000" w:themeColor="text1"/>
                <w:sz w:val="20"/>
                <w:lang w:val="en-US"/>
              </w:rPr>
              <w:br/>
              <w:t>We have spoken to our CVD suite committee chair and topic advisor about the points made in relation to the acute HF guideline. Their response is as follows:</w:t>
            </w:r>
            <w:r w:rsidRPr="00CC6553">
              <w:rPr>
                <w:rFonts w:cs="Arial"/>
                <w:bCs/>
                <w:color w:val="000000" w:themeColor="text1"/>
                <w:sz w:val="20"/>
                <w:lang w:val="en-US"/>
              </w:rPr>
              <w:br/>
            </w:r>
            <w:r w:rsidRPr="00CC6553">
              <w:rPr>
                <w:rFonts w:cs="Arial"/>
                <w:bCs/>
                <w:color w:val="000000" w:themeColor="text1"/>
                <w:sz w:val="20"/>
                <w:lang w:val="en-US"/>
              </w:rPr>
              <w:br/>
            </w:r>
            <w:r w:rsidRPr="00CC6553">
              <w:rPr>
                <w:rFonts w:cs="Arial"/>
                <w:bCs/>
                <w:color w:val="000000" w:themeColor="text1"/>
                <w:sz w:val="20"/>
              </w:rPr>
              <w:t xml:space="preserve">Whilst I understand the disappointment in the HF community that the ‘full’ guideline is not being updated, the concerns raised are far </w:t>
            </w:r>
            <w:r w:rsidRPr="00CC6553">
              <w:rPr>
                <w:rFonts w:cs="Arial"/>
                <w:bCs/>
                <w:color w:val="000000" w:themeColor="text1"/>
                <w:sz w:val="20"/>
              </w:rPr>
              <w:lastRenderedPageBreak/>
              <w:t>beyond what a simple guideline update can achieve.</w:t>
            </w:r>
          </w:p>
          <w:p w14:paraId="0D967C46" w14:textId="77777777" w:rsidR="00897293" w:rsidRPr="00CC6553" w:rsidRDefault="00897293" w:rsidP="009B3C47">
            <w:pPr>
              <w:pStyle w:val="Paragraph"/>
              <w:numPr>
                <w:ilvl w:val="0"/>
                <w:numId w:val="0"/>
              </w:numPr>
              <w:rPr>
                <w:rFonts w:cs="Arial"/>
                <w:bCs/>
                <w:color w:val="000000" w:themeColor="text1"/>
                <w:sz w:val="20"/>
              </w:rPr>
            </w:pPr>
            <w:r w:rsidRPr="00CC6553">
              <w:rPr>
                <w:rFonts w:cs="Arial"/>
                <w:bCs/>
                <w:color w:val="000000" w:themeColor="text1"/>
                <w:sz w:val="20"/>
              </w:rPr>
              <w:t xml:space="preserve">I fully agree that endorsement by NICE regarding access to HF services is an important factor during any commissioning process. Recommendations regarding HF services are, however, clearly stated in the 2018 guideline, along with access to cardiac rehabilitation and palliative care. They are also stipulated for all HF patients, with no distinction between phenotypes. Whilst there have been several position papers, the most recent ESC guidelines (2021) had only one new recommendation regarding cardiac rehabilitation and this was ‘a supervised, exercise-based, cardiac rehabilitation programme should be considered in patients with more severe disease, frailty, or with comorbidities’. There were no new recommendations regarding palliative care or self-management. With no significant new evidence in these areas, it is unlikely any update </w:t>
            </w:r>
            <w:r w:rsidRPr="00CC6553">
              <w:rPr>
                <w:rFonts w:cs="Arial"/>
                <w:bCs/>
                <w:color w:val="000000" w:themeColor="text1"/>
                <w:sz w:val="20"/>
              </w:rPr>
              <w:lastRenderedPageBreak/>
              <w:t>would result in significant change to the recommendations made in 2018.</w:t>
            </w:r>
          </w:p>
          <w:p w14:paraId="612A37BC" w14:textId="77777777" w:rsidR="00897293" w:rsidRPr="00CC6553" w:rsidRDefault="00897293" w:rsidP="009B3C47">
            <w:pPr>
              <w:pStyle w:val="Paragraph"/>
              <w:numPr>
                <w:ilvl w:val="0"/>
                <w:numId w:val="0"/>
              </w:numPr>
              <w:rPr>
                <w:rFonts w:cs="Arial"/>
                <w:bCs/>
                <w:color w:val="000000" w:themeColor="text1"/>
                <w:sz w:val="20"/>
              </w:rPr>
            </w:pPr>
            <w:r w:rsidRPr="00CC6553">
              <w:rPr>
                <w:rFonts w:cs="Arial"/>
                <w:bCs/>
                <w:color w:val="000000" w:themeColor="text1"/>
                <w:sz w:val="20"/>
              </w:rPr>
              <w:t>The vast majority of new evidence/working is absolutely related to pharmacological therapies. This is further evidenced by the focussed update in 2023 which was almost exclusively on this.  Although other therapies are clearly important when providing a holistic approach to patient care, updating to and. more importantly endorsement of, the ‘four pillars’ approach is fundamental to improving outcomes in HF care. A delay in updating this will almost certainly result in increased HF mortality and hospitalisations. It is also the area where the majority of ‘disharmony’ between community/primary and secondary/tertiary care arises due to the clear differences in approach when compared with the 2018 guideline. This includes the ‘STRONG-HF’ approach which the committee are considering.</w:t>
            </w:r>
            <w:r w:rsidRPr="00CC6553">
              <w:rPr>
                <w:rFonts w:cs="Arial"/>
                <w:bCs/>
                <w:color w:val="000000" w:themeColor="text1"/>
                <w:sz w:val="20"/>
              </w:rPr>
              <w:br/>
            </w:r>
            <w:r w:rsidRPr="00CC6553">
              <w:rPr>
                <w:rFonts w:cs="Arial"/>
                <w:bCs/>
                <w:color w:val="000000" w:themeColor="text1"/>
                <w:sz w:val="20"/>
              </w:rPr>
              <w:br/>
            </w:r>
            <w:r w:rsidRPr="00CC6553">
              <w:rPr>
                <w:rFonts w:cs="Arial"/>
                <w:bCs/>
                <w:color w:val="000000" w:themeColor="text1"/>
                <w:sz w:val="20"/>
              </w:rPr>
              <w:lastRenderedPageBreak/>
              <w:t>Please let me know if there is any more info you require.</w:t>
            </w:r>
            <w:r w:rsidRPr="00CC6553">
              <w:rPr>
                <w:rFonts w:cs="Arial"/>
                <w:bCs/>
                <w:color w:val="000000" w:themeColor="text1"/>
                <w:sz w:val="20"/>
              </w:rPr>
              <w:br/>
            </w:r>
            <w:r w:rsidRPr="00CC6553">
              <w:rPr>
                <w:rFonts w:cs="Arial"/>
                <w:bCs/>
                <w:color w:val="000000" w:themeColor="text1"/>
                <w:sz w:val="20"/>
              </w:rPr>
              <w:br/>
              <w:t>Kind regards,</w:t>
            </w:r>
            <w:r w:rsidRPr="00CC6553">
              <w:rPr>
                <w:rFonts w:cs="Arial"/>
                <w:bCs/>
                <w:color w:val="000000" w:themeColor="text1"/>
                <w:sz w:val="20"/>
              </w:rPr>
              <w:br/>
              <w:t>Surveillance team</w:t>
            </w:r>
          </w:p>
          <w:p w14:paraId="13E0ED9C" w14:textId="7FB09F2E" w:rsidR="00897293" w:rsidRPr="00CC6553" w:rsidRDefault="00897293" w:rsidP="00B234F1">
            <w:pPr>
              <w:pStyle w:val="Heading1"/>
              <w:rPr>
                <w:rFonts w:cs="Arial"/>
                <w:b w:val="0"/>
                <w:color w:val="000000" w:themeColor="text1"/>
                <w:sz w:val="20"/>
              </w:rPr>
            </w:pPr>
          </w:p>
        </w:tc>
      </w:tr>
      <w:tr w:rsidR="00897293" w:rsidRPr="00CC6553" w14:paraId="758E63FE" w14:textId="77777777" w:rsidTr="00897293">
        <w:trPr>
          <w:trHeight w:val="300"/>
        </w:trPr>
        <w:tc>
          <w:tcPr>
            <w:tcW w:w="109" w:type="pct"/>
          </w:tcPr>
          <w:p w14:paraId="516DC8D1"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405</w:t>
            </w:r>
          </w:p>
        </w:tc>
        <w:tc>
          <w:tcPr>
            <w:tcW w:w="143" w:type="pct"/>
          </w:tcPr>
          <w:p w14:paraId="7BBDED16" w14:textId="5A25343E"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403D6C2A" w14:textId="605216BF" w:rsidR="00897293" w:rsidRPr="00CC6553" w:rsidRDefault="00897293" w:rsidP="00B234F1">
            <w:pPr>
              <w:rPr>
                <w:rFonts w:cs="Arial"/>
                <w:bCs/>
                <w:iCs/>
                <w:color w:val="000000" w:themeColor="text1"/>
                <w:sz w:val="20"/>
              </w:rPr>
            </w:pPr>
            <w:r w:rsidRPr="00CC6553">
              <w:rPr>
                <w:rFonts w:cs="Arial"/>
                <w:color w:val="000000" w:themeColor="text1"/>
                <w:sz w:val="20"/>
              </w:rPr>
              <w:t>Pumping Marvellous Foundation</w:t>
            </w:r>
          </w:p>
        </w:tc>
        <w:tc>
          <w:tcPr>
            <w:tcW w:w="279" w:type="pct"/>
          </w:tcPr>
          <w:p w14:paraId="0F6B54D0" w14:textId="483F90A0"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23A162F7" w14:textId="499C31E7"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015E6870" w14:textId="0833345A"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1DD947D6" w14:textId="2F6C1479" w:rsidR="00897293" w:rsidRPr="00CC6553" w:rsidRDefault="00897293" w:rsidP="00B234F1">
            <w:pPr>
              <w:rPr>
                <w:rFonts w:cs="Arial"/>
                <w:color w:val="000000" w:themeColor="text1"/>
                <w:sz w:val="20"/>
              </w:rPr>
            </w:pPr>
            <w:r w:rsidRPr="00CC6553">
              <w:rPr>
                <w:rFonts w:cs="Arial"/>
                <w:color w:val="000000" w:themeColor="text1"/>
                <w:sz w:val="20"/>
              </w:rPr>
              <w:t>Nick Hartshorne-Evans</w:t>
            </w:r>
            <w:r w:rsidRPr="00CC6553">
              <w:rPr>
                <w:rFonts w:cs="Arial"/>
                <w:color w:val="000000" w:themeColor="text1"/>
                <w:sz w:val="20"/>
              </w:rPr>
              <w:br/>
              <w:t>CEO Pumping Marvellous Foundation</w:t>
            </w:r>
            <w:r w:rsidRPr="00CC6553">
              <w:rPr>
                <w:rFonts w:cs="Arial"/>
                <w:color w:val="000000" w:themeColor="text1"/>
                <w:sz w:val="20"/>
              </w:rPr>
              <w:br/>
              <w:t>Business First</w:t>
            </w:r>
            <w:r w:rsidRPr="00CC6553">
              <w:rPr>
                <w:rFonts w:cs="Arial"/>
                <w:color w:val="000000" w:themeColor="text1"/>
                <w:sz w:val="20"/>
              </w:rPr>
              <w:br/>
              <w:t>Millennium City Park</w:t>
            </w:r>
            <w:r w:rsidRPr="00CC6553">
              <w:rPr>
                <w:rFonts w:cs="Arial"/>
                <w:color w:val="000000" w:themeColor="text1"/>
                <w:sz w:val="20"/>
              </w:rPr>
              <w:br/>
              <w:t xml:space="preserve">Preston </w:t>
            </w:r>
            <w:r w:rsidRPr="00CC6553">
              <w:rPr>
                <w:rFonts w:cs="Arial"/>
                <w:color w:val="000000" w:themeColor="text1"/>
                <w:sz w:val="20"/>
              </w:rPr>
              <w:br/>
              <w:t>PR2 5BL</w:t>
            </w:r>
            <w:r w:rsidRPr="00CC6553">
              <w:rPr>
                <w:rFonts w:cs="Arial"/>
                <w:color w:val="000000" w:themeColor="text1"/>
                <w:sz w:val="20"/>
              </w:rPr>
              <w:br/>
            </w:r>
            <w:r w:rsidRPr="00CC6553">
              <w:rPr>
                <w:rFonts w:cs="Arial"/>
                <w:color w:val="000000" w:themeColor="text1"/>
                <w:sz w:val="20"/>
              </w:rPr>
              <w:br/>
              <w:t>Dear NICE Surveillance Committee,28th February 2024</w:t>
            </w:r>
            <w:r w:rsidRPr="00CC6553">
              <w:rPr>
                <w:rFonts w:cs="Arial"/>
                <w:color w:val="000000" w:themeColor="text1"/>
                <w:sz w:val="20"/>
              </w:rPr>
              <w:br/>
            </w:r>
            <w:r w:rsidRPr="00CC6553">
              <w:rPr>
                <w:rFonts w:cs="Arial"/>
                <w:color w:val="000000" w:themeColor="text1"/>
                <w:sz w:val="20"/>
              </w:rPr>
              <w:br/>
              <w:t>I am writing on behalf of the Pumping Marvellous Foundation, the UK’s patient-led heart failure charity that represents the needs of people with all types of heart failure. I am formally responding to the current situation where NICE is reviewing the current NG106 Chronic Heart Failure Guidelines, which are only focused on pharmacological development since its publication in 2018.</w:t>
            </w:r>
            <w:r w:rsidRPr="00CC6553">
              <w:rPr>
                <w:rFonts w:cs="Arial"/>
                <w:color w:val="000000" w:themeColor="text1"/>
                <w:sz w:val="20"/>
              </w:rPr>
              <w:br/>
            </w:r>
            <w:r w:rsidRPr="00CC6553">
              <w:rPr>
                <w:rFonts w:cs="Arial"/>
                <w:color w:val="000000" w:themeColor="text1"/>
                <w:sz w:val="20"/>
              </w:rPr>
              <w:br/>
              <w:t>Concerns</w:t>
            </w:r>
            <w:r w:rsidRPr="00CC6553">
              <w:rPr>
                <w:rFonts w:cs="Arial"/>
                <w:color w:val="000000" w:themeColor="text1"/>
                <w:sz w:val="20"/>
              </w:rPr>
              <w:br/>
              <w:t>1.There was no formal scoping session. Many stakeholder colleagues and leaders in heart failure were not consulted as to the scope of the guidelines.</w:t>
            </w:r>
            <w:r w:rsidRPr="00CC6553">
              <w:rPr>
                <w:rFonts w:cs="Arial"/>
                <w:color w:val="000000" w:themeColor="text1"/>
                <w:sz w:val="20"/>
              </w:rPr>
              <w:br/>
              <w:t>2.As the UK’s heart failure charity, we were not consulted concerning the scope. We were informed of the guidelines and invited to apply but declined because there was no scoping. We fed this back.</w:t>
            </w:r>
            <w:r w:rsidRPr="00CC6553">
              <w:rPr>
                <w:rFonts w:cs="Arial"/>
                <w:color w:val="000000" w:themeColor="text1"/>
                <w:sz w:val="20"/>
              </w:rPr>
              <w:br/>
              <w:t xml:space="preserve">3.Even with adjustments to the NG106 2018 guidelines around pharmacological treatment, assuming the incorporation of the 6 STAs since 2018 that NICE has recommended, the management of heart failure involves a great deal more than </w:t>
            </w:r>
            <w:r w:rsidRPr="00CC6553">
              <w:rPr>
                <w:rFonts w:cs="Arial"/>
                <w:color w:val="000000" w:themeColor="text1"/>
                <w:sz w:val="20"/>
              </w:rPr>
              <w:lastRenderedPageBreak/>
              <w:t>pharmacological treatment alone.</w:t>
            </w:r>
            <w:r w:rsidRPr="00CC6553">
              <w:rPr>
                <w:rFonts w:cs="Arial"/>
                <w:color w:val="000000" w:themeColor="text1"/>
                <w:sz w:val="20"/>
              </w:rPr>
              <w:br/>
              <w:t>4.When published, these guidelines will therefore be disregarded by HF specialists for the comprehensive and up-to-date ESC Guidelines . Therefore, heart failure specialists will work dis-harmoniously with their generalist colleagues based in Primary Care.</w:t>
            </w:r>
            <w:r w:rsidRPr="00CC6553">
              <w:rPr>
                <w:rFonts w:cs="Arial"/>
                <w:color w:val="000000" w:themeColor="text1"/>
                <w:sz w:val="20"/>
              </w:rPr>
              <w:br/>
              <w:t xml:space="preserve">5.A heart failure guideline should include – the promotion of Self-Management, commissioning advice for HF services for people with HFpEF, increased choice of Cardiac Rehab offer and Palliative services along with the adoption of STRONG-HF protocols, to name a few, all not pharmacologically driven. </w:t>
            </w:r>
            <w:r w:rsidRPr="00CC6553">
              <w:rPr>
                <w:rFonts w:cs="Arial"/>
                <w:color w:val="000000" w:themeColor="text1"/>
                <w:sz w:val="20"/>
              </w:rPr>
              <w:br/>
              <w:t>6.Large areas of the country lack commissioned HF services for patients with HFpEF. NICE is complicit in the inequity of access for over 400,000 HFpEF patients to services like HF-led MDTs and HF consultants and Specialist Heart Failure Nurses. This is an opportunity to change this.</w:t>
            </w:r>
            <w:r w:rsidRPr="00CC6553">
              <w:rPr>
                <w:rFonts w:cs="Arial"/>
                <w:color w:val="000000" w:themeColor="text1"/>
                <w:sz w:val="20"/>
              </w:rPr>
              <w:br/>
              <w:t>7.It is essential to have comprehensive national guidelines for heart failure that both specialists and general practitioners can work with Heart failure and is already the commonest cause for medical admission over 65 years of age is a growing epidemic, and prevalence will double over the next 15-20 years. We need the tools to prevent soaring costs, improve mortality and, most importantly, improve the quality of life for people who live with this disabling long-term condition.</w:t>
            </w:r>
            <w:r w:rsidRPr="00CC6553">
              <w:rPr>
                <w:rFonts w:cs="Arial"/>
                <w:color w:val="000000" w:themeColor="text1"/>
                <w:sz w:val="20"/>
              </w:rPr>
              <w:br/>
              <w:t>8.It is also a concern that NICE continues to separate ACUTE and CHRONIC guidelines. This is not compatible with clinical or lived patient experience. This cannot be perceived as a “staccato” process from diagnosis to palliation. We need all-inclusive guidelines to ensure efficient connectivity and communication, one of the significant aspects that patients say needs improving.</w:t>
            </w:r>
            <w:r w:rsidRPr="00CC6553">
              <w:rPr>
                <w:rFonts w:cs="Arial"/>
                <w:color w:val="000000" w:themeColor="text1"/>
                <w:sz w:val="20"/>
              </w:rPr>
              <w:br/>
              <w:t xml:space="preserve">   </w:t>
            </w:r>
            <w:r w:rsidRPr="00CC6553">
              <w:rPr>
                <w:rFonts w:cs="Arial"/>
                <w:color w:val="000000" w:themeColor="text1"/>
                <w:sz w:val="20"/>
              </w:rPr>
              <w:br/>
              <w:t>Since the introduction of the NG106 Chronic Heart Failure Guidelines for Adults, the health system, outside the specialist, has not adopted, wholesale its recommendations, preferring to defer the diagnosis and management of people with heart failure to HF specialists. This cannot continue as heart failure is a whole system and growing problem. NICE has the unique position of shaping treatment, care, and, more importantly, attitude to adopt best practices.</w:t>
            </w:r>
            <w:r w:rsidRPr="00CC6553">
              <w:rPr>
                <w:rFonts w:cs="Arial"/>
                <w:color w:val="000000" w:themeColor="text1"/>
                <w:sz w:val="20"/>
              </w:rPr>
              <w:br/>
            </w:r>
            <w:r w:rsidRPr="00CC6553">
              <w:rPr>
                <w:rFonts w:cs="Arial"/>
                <w:color w:val="000000" w:themeColor="text1"/>
                <w:sz w:val="20"/>
              </w:rPr>
              <w:lastRenderedPageBreak/>
              <w:br/>
              <w:t>Yours sincerely,</w:t>
            </w:r>
            <w:r w:rsidRPr="00CC6553">
              <w:rPr>
                <w:rFonts w:cs="Arial"/>
                <w:color w:val="000000" w:themeColor="text1"/>
                <w:sz w:val="20"/>
              </w:rPr>
              <w:br/>
              <w:t xml:space="preserve"> </w:t>
            </w:r>
            <w:r w:rsidRPr="00CC6553">
              <w:rPr>
                <w:rFonts w:cs="Arial"/>
                <w:color w:val="000000" w:themeColor="text1"/>
                <w:sz w:val="20"/>
              </w:rPr>
              <w:br/>
            </w:r>
            <w:r w:rsidRPr="00CC6553">
              <w:rPr>
                <w:rFonts w:cs="Arial"/>
                <w:color w:val="000000" w:themeColor="text1"/>
                <w:sz w:val="20"/>
              </w:rPr>
              <w:br/>
              <w:t>Nick Hartshorne-Evans</w:t>
            </w:r>
            <w:r w:rsidRPr="00CC6553">
              <w:rPr>
                <w:rFonts w:cs="Arial"/>
                <w:color w:val="000000" w:themeColor="text1"/>
                <w:sz w:val="20"/>
              </w:rPr>
              <w:br/>
              <w:t>CEO Founder</w:t>
            </w:r>
          </w:p>
        </w:tc>
        <w:tc>
          <w:tcPr>
            <w:tcW w:w="2122" w:type="pct"/>
          </w:tcPr>
          <w:p w14:paraId="2BA90AE1" w14:textId="77777777" w:rsidR="00897293" w:rsidRPr="00CC6553" w:rsidRDefault="00897293" w:rsidP="00B234F1">
            <w:pPr>
              <w:pStyle w:val="Paragraph"/>
              <w:numPr>
                <w:ilvl w:val="0"/>
                <w:numId w:val="0"/>
              </w:numPr>
              <w:rPr>
                <w:rFonts w:cs="Arial"/>
                <w:bCs/>
                <w:color w:val="000000" w:themeColor="text1"/>
                <w:sz w:val="20"/>
              </w:rPr>
            </w:pPr>
            <w:r w:rsidRPr="00CC6553">
              <w:rPr>
                <w:rFonts w:cs="Arial"/>
                <w:bCs/>
                <w:color w:val="000000" w:themeColor="text1"/>
                <w:sz w:val="20"/>
              </w:rPr>
              <w:lastRenderedPageBreak/>
              <w:t>Thank you for your comment.   A reply to your letter was sent on the 24</w:t>
            </w:r>
            <w:r w:rsidRPr="00CC6553">
              <w:rPr>
                <w:rFonts w:cs="Arial"/>
                <w:bCs/>
                <w:color w:val="000000" w:themeColor="text1"/>
                <w:sz w:val="20"/>
                <w:vertAlign w:val="superscript"/>
              </w:rPr>
              <w:t>th</w:t>
            </w:r>
            <w:r w:rsidRPr="00CC6553">
              <w:rPr>
                <w:rFonts w:cs="Arial"/>
                <w:bCs/>
                <w:color w:val="000000" w:themeColor="text1"/>
                <w:sz w:val="20"/>
              </w:rPr>
              <w:t xml:space="preserve"> April which I am sorry you do not seem to have received it.  Here is the reply:</w:t>
            </w:r>
          </w:p>
          <w:p w14:paraId="0F131C94" w14:textId="77777777" w:rsidR="00897293" w:rsidRPr="00CC6553" w:rsidRDefault="00897293" w:rsidP="00B234F1">
            <w:pPr>
              <w:pStyle w:val="Paragraph"/>
              <w:numPr>
                <w:ilvl w:val="0"/>
                <w:numId w:val="0"/>
              </w:numPr>
              <w:rPr>
                <w:rFonts w:cs="Arial"/>
                <w:bCs/>
                <w:color w:val="000000" w:themeColor="text1"/>
                <w:sz w:val="20"/>
              </w:rPr>
            </w:pPr>
            <w:r w:rsidRPr="00CC6553">
              <w:rPr>
                <w:rFonts w:cs="Arial"/>
                <w:bCs/>
                <w:color w:val="000000" w:themeColor="text1"/>
                <w:sz w:val="20"/>
                <w:lang w:val="en-US"/>
              </w:rPr>
              <w:t>Thank you for your patience while we reviewed the concerns raised in your previous letter.</w:t>
            </w:r>
            <w:r w:rsidRPr="00CC6553">
              <w:rPr>
                <w:rFonts w:cs="Arial"/>
                <w:bCs/>
                <w:color w:val="000000" w:themeColor="text1"/>
                <w:sz w:val="20"/>
                <w:lang w:val="en-US"/>
              </w:rPr>
              <w:br/>
            </w:r>
            <w:r w:rsidRPr="00CC6553">
              <w:rPr>
                <w:rFonts w:cs="Arial"/>
                <w:bCs/>
                <w:color w:val="000000" w:themeColor="text1"/>
                <w:sz w:val="20"/>
                <w:lang w:val="en-US"/>
              </w:rPr>
              <w:br/>
              <w:t>We have spoken to our CVD suite committee chair and topic advisor about the points made in relation to the acute HF guideline. Their response is as follows:</w:t>
            </w:r>
            <w:r w:rsidRPr="00CC6553">
              <w:rPr>
                <w:rFonts w:cs="Arial"/>
                <w:bCs/>
                <w:color w:val="000000" w:themeColor="text1"/>
                <w:sz w:val="20"/>
                <w:lang w:val="en-US"/>
              </w:rPr>
              <w:br/>
            </w:r>
            <w:r w:rsidRPr="00CC6553">
              <w:rPr>
                <w:rFonts w:cs="Arial"/>
                <w:bCs/>
                <w:color w:val="000000" w:themeColor="text1"/>
                <w:sz w:val="20"/>
                <w:lang w:val="en-US"/>
              </w:rPr>
              <w:br/>
            </w:r>
            <w:r w:rsidRPr="00CC6553">
              <w:rPr>
                <w:rFonts w:cs="Arial"/>
                <w:bCs/>
                <w:color w:val="000000" w:themeColor="text1"/>
                <w:sz w:val="20"/>
              </w:rPr>
              <w:t xml:space="preserve">Whilst I understand the disappointment in the HF community that the ‘full’ guideline is not being updated, the concerns raised are far </w:t>
            </w:r>
            <w:r w:rsidRPr="00CC6553">
              <w:rPr>
                <w:rFonts w:cs="Arial"/>
                <w:bCs/>
                <w:color w:val="000000" w:themeColor="text1"/>
                <w:sz w:val="20"/>
              </w:rPr>
              <w:lastRenderedPageBreak/>
              <w:t>beyond what a simple guideline update can achieve.</w:t>
            </w:r>
          </w:p>
          <w:p w14:paraId="6B3C0E23" w14:textId="77777777" w:rsidR="00897293" w:rsidRPr="00CC6553" w:rsidRDefault="00897293" w:rsidP="009B3C47">
            <w:pPr>
              <w:pStyle w:val="Paragraph"/>
              <w:numPr>
                <w:ilvl w:val="0"/>
                <w:numId w:val="0"/>
              </w:numPr>
              <w:rPr>
                <w:rFonts w:cs="Arial"/>
                <w:bCs/>
                <w:color w:val="000000" w:themeColor="text1"/>
                <w:sz w:val="20"/>
              </w:rPr>
            </w:pPr>
            <w:r w:rsidRPr="00CC6553">
              <w:rPr>
                <w:rFonts w:cs="Arial"/>
                <w:bCs/>
                <w:color w:val="000000" w:themeColor="text1"/>
                <w:sz w:val="20"/>
              </w:rPr>
              <w:t xml:space="preserve">I fully agree that endorsement by NICE regarding access to HF services is an important factor during any commissioning process. Recommendations regarding HF services are, however, clearly stated in the 2018 guideline, along with access to cardiac rehabilitation and palliative care. They are also stipulated for all HF patients, with no distinction between phenotypes. Whilst there have been several position papers, the most recent ESC guidelines (2021) had only one new recommendation regarding cardiac rehabilitation and this was ‘a supervised, exercise-based, cardiac rehabilitation programme should be considered in patients with more severe disease, frailty, or with comorbidities’. There were no new recommendations regarding palliative care or self-management. With no significant new evidence in these areas, it is unlikely any update </w:t>
            </w:r>
            <w:r w:rsidRPr="00CC6553">
              <w:rPr>
                <w:rFonts w:cs="Arial"/>
                <w:bCs/>
                <w:color w:val="000000" w:themeColor="text1"/>
                <w:sz w:val="20"/>
              </w:rPr>
              <w:lastRenderedPageBreak/>
              <w:t>would result in significant change to the recommendations made in 2018.</w:t>
            </w:r>
          </w:p>
          <w:p w14:paraId="79F753A4" w14:textId="77777777" w:rsidR="00897293" w:rsidRPr="00CC6553" w:rsidRDefault="00897293" w:rsidP="009B3C47">
            <w:pPr>
              <w:pStyle w:val="Paragraph"/>
              <w:numPr>
                <w:ilvl w:val="0"/>
                <w:numId w:val="0"/>
              </w:numPr>
              <w:rPr>
                <w:rFonts w:cs="Arial"/>
                <w:bCs/>
                <w:color w:val="000000" w:themeColor="text1"/>
                <w:sz w:val="20"/>
              </w:rPr>
            </w:pPr>
            <w:r w:rsidRPr="00CC6553">
              <w:rPr>
                <w:rFonts w:cs="Arial"/>
                <w:bCs/>
                <w:color w:val="000000" w:themeColor="text1"/>
                <w:sz w:val="20"/>
              </w:rPr>
              <w:t>The vast majority of new evidence/working is absolutely related to pharmacological therapies. This is further evidenced by the focussed update in 2023 which was almost exclusively on this.  Although other therapies are clearly important when providing a holistic approach to patient care, updating to and. more importantly endorsement of, the ‘four pillars’ approach is fundamental to improving outcomes in HF care. A delay in updating this will almost certainly result in increased HF mortality and hospitalisations. It is also the area where the majority of ‘disharmony’ between community/primary and secondary/tertiary care arises due to the clear differences in approach when compared with the 2018 guideline. This includes the ‘STRONG-HF’ approach which the committee are considering.</w:t>
            </w:r>
            <w:r w:rsidRPr="00CC6553">
              <w:rPr>
                <w:rFonts w:cs="Arial"/>
                <w:bCs/>
                <w:color w:val="000000" w:themeColor="text1"/>
                <w:sz w:val="20"/>
              </w:rPr>
              <w:br/>
            </w:r>
            <w:r w:rsidRPr="00CC6553">
              <w:rPr>
                <w:rFonts w:cs="Arial"/>
                <w:bCs/>
                <w:color w:val="000000" w:themeColor="text1"/>
                <w:sz w:val="20"/>
              </w:rPr>
              <w:br/>
            </w:r>
            <w:r w:rsidRPr="00CC6553">
              <w:rPr>
                <w:rFonts w:cs="Arial"/>
                <w:bCs/>
                <w:color w:val="000000" w:themeColor="text1"/>
                <w:sz w:val="20"/>
              </w:rPr>
              <w:lastRenderedPageBreak/>
              <w:t>Please let me know if there is any more info you require.</w:t>
            </w:r>
            <w:r w:rsidRPr="00CC6553">
              <w:rPr>
                <w:rFonts w:cs="Arial"/>
                <w:bCs/>
                <w:color w:val="000000" w:themeColor="text1"/>
                <w:sz w:val="20"/>
              </w:rPr>
              <w:br/>
            </w:r>
            <w:r w:rsidRPr="00CC6553">
              <w:rPr>
                <w:rFonts w:cs="Arial"/>
                <w:bCs/>
                <w:color w:val="000000" w:themeColor="text1"/>
                <w:sz w:val="20"/>
              </w:rPr>
              <w:br/>
              <w:t>Kind regards,</w:t>
            </w:r>
            <w:r w:rsidRPr="00CC6553">
              <w:rPr>
                <w:rFonts w:cs="Arial"/>
                <w:bCs/>
                <w:color w:val="000000" w:themeColor="text1"/>
                <w:sz w:val="20"/>
              </w:rPr>
              <w:br/>
              <w:t>Surveillance team</w:t>
            </w:r>
          </w:p>
          <w:p w14:paraId="33A5AA98" w14:textId="77777777" w:rsidR="00897293" w:rsidRPr="00CC6553" w:rsidRDefault="00897293" w:rsidP="00B234F1">
            <w:pPr>
              <w:pStyle w:val="Heading1"/>
              <w:rPr>
                <w:rFonts w:cs="Arial"/>
                <w:b w:val="0"/>
                <w:color w:val="000000" w:themeColor="text1"/>
                <w:sz w:val="20"/>
              </w:rPr>
            </w:pPr>
          </w:p>
        </w:tc>
      </w:tr>
      <w:tr w:rsidR="00897293" w:rsidRPr="00CC6553" w14:paraId="2F425A7C" w14:textId="77777777" w:rsidTr="00897293">
        <w:trPr>
          <w:trHeight w:val="300"/>
        </w:trPr>
        <w:tc>
          <w:tcPr>
            <w:tcW w:w="109" w:type="pct"/>
          </w:tcPr>
          <w:p w14:paraId="729EF680" w14:textId="77777777" w:rsidR="00897293" w:rsidRPr="00CC6553" w:rsidRDefault="00897293" w:rsidP="00B234F1">
            <w:pPr>
              <w:rPr>
                <w:rFonts w:cs="Arial"/>
                <w:color w:val="000000" w:themeColor="text1"/>
                <w:sz w:val="20"/>
              </w:rPr>
            </w:pPr>
            <w:r w:rsidRPr="00CC6553">
              <w:rPr>
                <w:rFonts w:cs="Arial"/>
                <w:color w:val="000000" w:themeColor="text1"/>
                <w:sz w:val="20"/>
              </w:rPr>
              <w:lastRenderedPageBreak/>
              <w:t>406</w:t>
            </w:r>
          </w:p>
        </w:tc>
        <w:tc>
          <w:tcPr>
            <w:tcW w:w="143" w:type="pct"/>
          </w:tcPr>
          <w:p w14:paraId="57639265" w14:textId="605A2D23"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21F41D50" w14:textId="7E8286FB" w:rsidR="00897293" w:rsidRPr="00CC6553" w:rsidRDefault="00897293" w:rsidP="00B234F1">
            <w:pPr>
              <w:rPr>
                <w:rFonts w:cs="Arial"/>
                <w:bCs/>
                <w:iCs/>
                <w:color w:val="000000" w:themeColor="text1"/>
                <w:sz w:val="20"/>
              </w:rPr>
            </w:pPr>
            <w:r w:rsidRPr="00CC6553">
              <w:rPr>
                <w:rFonts w:cs="Arial"/>
                <w:color w:val="000000" w:themeColor="text1"/>
                <w:sz w:val="20"/>
              </w:rPr>
              <w:t>Royal College of Nursing</w:t>
            </w:r>
          </w:p>
        </w:tc>
        <w:tc>
          <w:tcPr>
            <w:tcW w:w="279" w:type="pct"/>
          </w:tcPr>
          <w:p w14:paraId="2D1539C4" w14:textId="70814145"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2255D46B" w14:textId="455F6DF1"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51C2D9E6" w14:textId="79099B1A"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3B2E1BE8" w14:textId="14F6A109" w:rsidR="00897293" w:rsidRPr="00CC6553" w:rsidRDefault="00897293" w:rsidP="00B234F1">
            <w:pPr>
              <w:rPr>
                <w:rFonts w:cs="Arial"/>
                <w:color w:val="000000" w:themeColor="text1"/>
                <w:sz w:val="20"/>
              </w:rPr>
            </w:pPr>
            <w:r w:rsidRPr="00CC6553">
              <w:rPr>
                <w:rFonts w:cs="Arial"/>
                <w:color w:val="000000" w:themeColor="text1"/>
                <w:sz w:val="20"/>
              </w:rPr>
              <w:t xml:space="preserve">Thank you for the opportunity to review and comment on this NICE draft guideline. Royal College of Nursing invited members who work in this area of health or have interest in this specialist area to review the document and comment on its behalf.  </w:t>
            </w:r>
            <w:r w:rsidRPr="00CC6553">
              <w:rPr>
                <w:rFonts w:cs="Arial"/>
                <w:color w:val="000000" w:themeColor="text1"/>
                <w:sz w:val="20"/>
              </w:rPr>
              <w:br/>
            </w:r>
            <w:r w:rsidRPr="00CC6553">
              <w:rPr>
                <w:rFonts w:cs="Arial"/>
                <w:color w:val="000000" w:themeColor="text1"/>
                <w:sz w:val="20"/>
              </w:rPr>
              <w:br/>
              <w:t>The comments below, reflect the views of our reviewers.</w:t>
            </w:r>
          </w:p>
        </w:tc>
        <w:tc>
          <w:tcPr>
            <w:tcW w:w="2122" w:type="pct"/>
          </w:tcPr>
          <w:p w14:paraId="72F15477" w14:textId="27FA2D00"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t>Thank you for your comment.</w:t>
            </w:r>
          </w:p>
        </w:tc>
      </w:tr>
      <w:tr w:rsidR="00897293" w:rsidRPr="00CC6553" w14:paraId="5704FC54" w14:textId="77777777" w:rsidTr="00897293">
        <w:trPr>
          <w:trHeight w:val="300"/>
        </w:trPr>
        <w:tc>
          <w:tcPr>
            <w:tcW w:w="109" w:type="pct"/>
          </w:tcPr>
          <w:p w14:paraId="1F960743" w14:textId="77777777" w:rsidR="00897293" w:rsidRPr="00CC6553" w:rsidRDefault="00897293" w:rsidP="00B234F1">
            <w:pPr>
              <w:rPr>
                <w:rFonts w:cs="Arial"/>
                <w:color w:val="000000" w:themeColor="text1"/>
                <w:sz w:val="20"/>
              </w:rPr>
            </w:pPr>
            <w:r w:rsidRPr="00CC6553">
              <w:rPr>
                <w:rFonts w:cs="Arial"/>
                <w:color w:val="000000" w:themeColor="text1"/>
                <w:sz w:val="20"/>
              </w:rPr>
              <w:t>407</w:t>
            </w:r>
          </w:p>
        </w:tc>
        <w:tc>
          <w:tcPr>
            <w:tcW w:w="143" w:type="pct"/>
          </w:tcPr>
          <w:p w14:paraId="59A1625D" w14:textId="548C8699"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F477F80" w14:textId="2E147B7E" w:rsidR="00897293" w:rsidRPr="00CC6553" w:rsidRDefault="00897293" w:rsidP="00B234F1">
            <w:pPr>
              <w:rPr>
                <w:rFonts w:cs="Arial"/>
                <w:bCs/>
                <w:iCs/>
                <w:color w:val="000000" w:themeColor="text1"/>
                <w:sz w:val="20"/>
              </w:rPr>
            </w:pPr>
            <w:r w:rsidRPr="00CC6553">
              <w:rPr>
                <w:rFonts w:cs="Arial"/>
                <w:color w:val="000000" w:themeColor="text1"/>
                <w:sz w:val="20"/>
              </w:rPr>
              <w:t>Boehringer Ingelheim Ltd</w:t>
            </w:r>
          </w:p>
        </w:tc>
        <w:tc>
          <w:tcPr>
            <w:tcW w:w="279" w:type="pct"/>
          </w:tcPr>
          <w:p w14:paraId="14F312B1" w14:textId="62D2576E"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4C20C4D3" w14:textId="009036F9"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214" w:type="pct"/>
          </w:tcPr>
          <w:p w14:paraId="202BB928" w14:textId="3799B21E" w:rsidR="00897293" w:rsidRPr="00CC6553" w:rsidRDefault="00897293" w:rsidP="00B234F1">
            <w:pPr>
              <w:rPr>
                <w:rFonts w:cs="Arial"/>
                <w:color w:val="000000" w:themeColor="text1"/>
                <w:sz w:val="20"/>
              </w:rPr>
            </w:pPr>
            <w:r w:rsidRPr="00CC6553">
              <w:rPr>
                <w:rFonts w:cs="Arial"/>
                <w:color w:val="000000" w:themeColor="text1"/>
                <w:sz w:val="20"/>
              </w:rPr>
              <w:t>General</w:t>
            </w:r>
          </w:p>
        </w:tc>
        <w:tc>
          <w:tcPr>
            <w:tcW w:w="1521" w:type="pct"/>
          </w:tcPr>
          <w:p w14:paraId="486AF997" w14:textId="16AAC4C3" w:rsidR="00897293" w:rsidRPr="00CC6553" w:rsidRDefault="00897293" w:rsidP="00B234F1">
            <w:pPr>
              <w:rPr>
                <w:rFonts w:cs="Arial"/>
                <w:color w:val="000000" w:themeColor="text1"/>
                <w:sz w:val="20"/>
              </w:rPr>
            </w:pPr>
            <w:r w:rsidRPr="00CC6553">
              <w:rPr>
                <w:rFonts w:cs="Arial"/>
                <w:color w:val="000000" w:themeColor="text1"/>
                <w:sz w:val="20"/>
              </w:rPr>
              <w:t>Boehringer Ingelheim Ltd would like to take this opportunity to commend NICE on the development of the draft Chronic Heart Failure (CHF) clinical guidelines, recognising the complexity of this undertaking given the extensive clinical and economic evidence available for CHF treatments.</w:t>
            </w:r>
            <w:r w:rsidRPr="00CC6553">
              <w:rPr>
                <w:rFonts w:cs="Arial"/>
                <w:color w:val="000000" w:themeColor="text1"/>
                <w:sz w:val="20"/>
              </w:rPr>
              <w:br/>
            </w:r>
            <w:r w:rsidRPr="00CC6553">
              <w:rPr>
                <w:rFonts w:cs="Arial"/>
                <w:color w:val="000000" w:themeColor="text1"/>
                <w:sz w:val="20"/>
              </w:rPr>
              <w:br/>
              <w:t>A critical goal in the management of CHF in patients is to improve their length and quality of life. The diversity of treatment options available, ranging from pharmacological to device-based interventions, necessitates an approach that aligns with the latest evidence while addressing patient-specific factors such as comorbidities, tolerability, and preferences.</w:t>
            </w:r>
            <w:r w:rsidRPr="00CC6553">
              <w:rPr>
                <w:rFonts w:cs="Arial"/>
                <w:color w:val="000000" w:themeColor="text1"/>
                <w:sz w:val="20"/>
              </w:rPr>
              <w:br/>
            </w:r>
            <w:r w:rsidRPr="00CC6553">
              <w:rPr>
                <w:rFonts w:cs="Arial"/>
                <w:color w:val="000000" w:themeColor="text1"/>
                <w:sz w:val="20"/>
              </w:rPr>
              <w:br/>
              <w:t>The clinical guidelines hold significant importance not only within the UK but also internationally, contributing to a global benchmark for CHF management. It is therefore essential that the recommendations are grounded in robust, high-quality evidence, with a strong emphasis on data from randomised controlled trials complemented by long-term economic evaluations. Where appropriate, real-world evidence should also be considered, as it provides valuable insights into treatment outcomes in routine clinical practice.</w:t>
            </w:r>
            <w:r w:rsidRPr="00CC6553">
              <w:rPr>
                <w:rFonts w:cs="Arial"/>
                <w:color w:val="000000" w:themeColor="text1"/>
                <w:sz w:val="20"/>
              </w:rPr>
              <w:br/>
            </w:r>
            <w:r w:rsidRPr="00CC6553">
              <w:rPr>
                <w:rFonts w:cs="Arial"/>
                <w:color w:val="000000" w:themeColor="text1"/>
                <w:sz w:val="20"/>
              </w:rPr>
              <w:br/>
            </w:r>
            <w:r w:rsidRPr="00CC6553">
              <w:rPr>
                <w:rFonts w:cs="Arial"/>
                <w:color w:val="000000" w:themeColor="text1"/>
                <w:sz w:val="20"/>
              </w:rPr>
              <w:lastRenderedPageBreak/>
              <w:t>In our response, we acknowledge the thorough efforts of NICE in preparing these guidelines and take the opportunity to outline areas where further refinement may enhance the applicability and relevance of the recommendations. We believe that ensuring the guidelines are as comprehensive, evidence-based, and patient-centred as possible will ultimately serve to benefit the broader CHF patient population.</w:t>
            </w:r>
          </w:p>
        </w:tc>
        <w:tc>
          <w:tcPr>
            <w:tcW w:w="2122" w:type="pct"/>
          </w:tcPr>
          <w:p w14:paraId="4AF5E953" w14:textId="05D1769E" w:rsidR="00897293" w:rsidRPr="00CC6553" w:rsidRDefault="00897293" w:rsidP="00B234F1">
            <w:pPr>
              <w:pStyle w:val="Heading1"/>
              <w:rPr>
                <w:rFonts w:cs="Arial"/>
                <w:b w:val="0"/>
                <w:color w:val="000000" w:themeColor="text1"/>
                <w:sz w:val="20"/>
              </w:rPr>
            </w:pPr>
            <w:r w:rsidRPr="00CC6553">
              <w:rPr>
                <w:rFonts w:cs="Arial"/>
                <w:b w:val="0"/>
                <w:color w:val="000000" w:themeColor="text1"/>
                <w:sz w:val="20"/>
              </w:rPr>
              <w:lastRenderedPageBreak/>
              <w:t>Thank you for your comment.</w:t>
            </w:r>
          </w:p>
        </w:tc>
      </w:tr>
      <w:tr w:rsidR="00897293" w:rsidRPr="00CC6553" w14:paraId="205A4116" w14:textId="77777777" w:rsidTr="00897293">
        <w:trPr>
          <w:trHeight w:val="300"/>
        </w:trPr>
        <w:tc>
          <w:tcPr>
            <w:tcW w:w="109" w:type="pct"/>
          </w:tcPr>
          <w:p w14:paraId="705B0481" w14:textId="2B6F98A5" w:rsidR="00897293" w:rsidRPr="00CC6553" w:rsidRDefault="00897293" w:rsidP="00B234F1">
            <w:pPr>
              <w:rPr>
                <w:rFonts w:cs="Arial"/>
                <w:color w:val="000000" w:themeColor="text1"/>
                <w:sz w:val="20"/>
              </w:rPr>
            </w:pPr>
            <w:r w:rsidRPr="00CC6553">
              <w:rPr>
                <w:rFonts w:cs="Arial"/>
                <w:color w:val="000000" w:themeColor="text1"/>
                <w:sz w:val="20"/>
              </w:rPr>
              <w:t>408</w:t>
            </w:r>
          </w:p>
        </w:tc>
        <w:tc>
          <w:tcPr>
            <w:tcW w:w="143" w:type="pct"/>
          </w:tcPr>
          <w:p w14:paraId="6EC8B19C" w14:textId="4E0ECF73"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2452AB7A" w14:textId="29394CF7" w:rsidR="00897293" w:rsidRPr="00CC6553" w:rsidRDefault="00897293" w:rsidP="00B234F1">
            <w:pPr>
              <w:rPr>
                <w:rFonts w:cs="Arial"/>
                <w:color w:val="000000" w:themeColor="text1"/>
                <w:sz w:val="20"/>
              </w:rPr>
            </w:pPr>
            <w:r w:rsidRPr="00CC6553">
              <w:rPr>
                <w:rFonts w:cs="Arial"/>
                <w:color w:val="000000" w:themeColor="text1"/>
                <w:sz w:val="20"/>
              </w:rPr>
              <w:t>AstraZeneca UK Ltd</w:t>
            </w:r>
          </w:p>
        </w:tc>
        <w:tc>
          <w:tcPr>
            <w:tcW w:w="279" w:type="pct"/>
          </w:tcPr>
          <w:p w14:paraId="12894043" w14:textId="164A5F92" w:rsidR="00897293" w:rsidRPr="00CC6553" w:rsidRDefault="00897293" w:rsidP="00B234F1">
            <w:pPr>
              <w:rPr>
                <w:rFonts w:cs="Arial"/>
                <w:color w:val="000000" w:themeColor="text1"/>
                <w:sz w:val="20"/>
              </w:rPr>
            </w:pPr>
            <w:r w:rsidRPr="00CC6553">
              <w:rPr>
                <w:rFonts w:cs="Arial"/>
                <w:color w:val="000000" w:themeColor="text1"/>
                <w:sz w:val="20"/>
              </w:rPr>
              <w:t>References</w:t>
            </w:r>
          </w:p>
        </w:tc>
        <w:tc>
          <w:tcPr>
            <w:tcW w:w="214" w:type="pct"/>
          </w:tcPr>
          <w:p w14:paraId="3673151F" w14:textId="3E413496" w:rsidR="00897293" w:rsidRPr="00CC6553" w:rsidRDefault="00897293" w:rsidP="00B234F1">
            <w:pPr>
              <w:rPr>
                <w:rFonts w:cs="Arial"/>
                <w:color w:val="000000" w:themeColor="text1"/>
                <w:sz w:val="20"/>
              </w:rPr>
            </w:pPr>
            <w:r w:rsidRPr="00CC6553">
              <w:rPr>
                <w:rFonts w:cs="Arial"/>
                <w:color w:val="000000" w:themeColor="text1"/>
                <w:sz w:val="20"/>
              </w:rPr>
              <w:t>NA</w:t>
            </w:r>
          </w:p>
        </w:tc>
        <w:tc>
          <w:tcPr>
            <w:tcW w:w="214" w:type="pct"/>
          </w:tcPr>
          <w:p w14:paraId="77FE0460" w14:textId="668B4272" w:rsidR="00897293" w:rsidRPr="00CC6553" w:rsidRDefault="00897293" w:rsidP="00B234F1">
            <w:pPr>
              <w:rPr>
                <w:rFonts w:cs="Arial"/>
                <w:color w:val="000000" w:themeColor="text1"/>
                <w:sz w:val="20"/>
              </w:rPr>
            </w:pPr>
            <w:r w:rsidRPr="00CC6553">
              <w:rPr>
                <w:rFonts w:cs="Arial"/>
                <w:color w:val="000000" w:themeColor="text1"/>
                <w:sz w:val="20"/>
              </w:rPr>
              <w:t>NA</w:t>
            </w:r>
          </w:p>
        </w:tc>
        <w:tc>
          <w:tcPr>
            <w:tcW w:w="1521" w:type="pct"/>
          </w:tcPr>
          <w:sdt>
            <w:sdtPr>
              <w:rPr>
                <w:b w:val="0"/>
                <w:bCs w:val="0"/>
                <w:color w:val="000000" w:themeColor="text1"/>
              </w:rPr>
              <w:id w:val="-1099946210"/>
              <w:docPartObj>
                <w:docPartGallery w:val="Bibliographies"/>
                <w:docPartUnique/>
              </w:docPartObj>
            </w:sdtPr>
            <w:sdtEndPr>
              <w:rPr>
                <w:b/>
                <w:bCs/>
              </w:rPr>
            </w:sdtEndPr>
            <w:sdtContent>
              <w:p w14:paraId="1333E979" w14:textId="77777777" w:rsidR="00897293" w:rsidRPr="00CC6553" w:rsidRDefault="00897293" w:rsidP="00B234F1">
                <w:pPr>
                  <w:pStyle w:val="Heading1"/>
                  <w:rPr>
                    <w:color w:val="000000" w:themeColor="text1"/>
                  </w:rPr>
                </w:pPr>
                <w:r w:rsidRPr="00CC6553">
                  <w:rPr>
                    <w:color w:val="000000" w:themeColor="text1"/>
                  </w:rPr>
                  <w:t>References</w:t>
                </w:r>
              </w:p>
              <w:sdt>
                <w:sdtPr>
                  <w:rPr>
                    <w:b/>
                    <w:bCs/>
                    <w:color w:val="000000" w:themeColor="text1"/>
                  </w:rPr>
                  <w:id w:val="7422142"/>
                  <w:bibliography/>
                </w:sdtPr>
                <w:sdtEndPr/>
                <w:sdtContent>
                  <w:p w14:paraId="49907F3A" w14:textId="77777777" w:rsidR="00897293" w:rsidRPr="00CC6553" w:rsidRDefault="00897293" w:rsidP="00B234F1">
                    <w:pPr>
                      <w:rPr>
                        <w:rFonts w:ascii="Times New Roman" w:hAnsi="Times New Roman"/>
                        <w:noProof/>
                        <w:color w:val="000000" w:themeColor="text1"/>
                        <w:sz w:val="20"/>
                        <w:lang w:eastAsia="en-GB"/>
                      </w:rPr>
                    </w:pPr>
                    <w:r w:rsidRPr="00CC6553">
                      <w:rPr>
                        <w:color w:val="000000" w:themeColor="text1"/>
                      </w:rPr>
                      <w:fldChar w:fldCharType="begin"/>
                    </w:r>
                    <w:r w:rsidRPr="00CC6553">
                      <w:rPr>
                        <w:color w:val="000000" w:themeColor="text1"/>
                      </w:rPr>
                      <w:instrText xml:space="preserve"> BIBLIOGRAPHY </w:instrText>
                    </w:r>
                    <w:r w:rsidRPr="00CC6553">
                      <w:rPr>
                        <w:color w:val="000000" w:themeColor="text1"/>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
                      <w:gridCol w:w="6638"/>
                    </w:tblGrid>
                    <w:tr w:rsidR="00897293" w:rsidRPr="00CC6553" w14:paraId="163764BF" w14:textId="77777777" w:rsidTr="00897293">
                      <w:trPr>
                        <w:tblCellSpacing w:w="15" w:type="dxa"/>
                      </w:trPr>
                      <w:tc>
                        <w:tcPr>
                          <w:tcW w:w="435" w:type="pct"/>
                          <w:hideMark/>
                        </w:tcPr>
                        <w:p w14:paraId="476DBDB8" w14:textId="77777777" w:rsidR="00897293" w:rsidRPr="00CC6553" w:rsidRDefault="00897293" w:rsidP="00B234F1">
                          <w:pPr>
                            <w:pStyle w:val="Bibliography"/>
                            <w:rPr>
                              <w:noProof/>
                              <w:color w:val="000000" w:themeColor="text1"/>
                              <w:sz w:val="24"/>
                              <w:szCs w:val="24"/>
                            </w:rPr>
                          </w:pPr>
                          <w:r w:rsidRPr="00CC6553">
                            <w:rPr>
                              <w:noProof/>
                              <w:color w:val="000000" w:themeColor="text1"/>
                            </w:rPr>
                            <w:t xml:space="preserve">[1] </w:t>
                          </w:r>
                        </w:p>
                      </w:tc>
                      <w:tc>
                        <w:tcPr>
                          <w:tcW w:w="4489" w:type="pct"/>
                          <w:hideMark/>
                        </w:tcPr>
                        <w:p w14:paraId="58141A07" w14:textId="77777777" w:rsidR="00897293" w:rsidRPr="00CC6553" w:rsidRDefault="00897293" w:rsidP="00B234F1">
                          <w:pPr>
                            <w:pStyle w:val="Bibliography"/>
                            <w:rPr>
                              <w:noProof/>
                              <w:color w:val="000000" w:themeColor="text1"/>
                            </w:rPr>
                          </w:pPr>
                          <w:r w:rsidRPr="00CC6553">
                            <w:rPr>
                              <w:noProof/>
                              <w:color w:val="000000" w:themeColor="text1"/>
                            </w:rPr>
                            <w:t xml:space="preserve">B. Pieske, C. Tschope, R. de Boer and A. Fraser, “How to Diagnose Heart Failure with Preserved Ejection Fraction: the HFA-PEFF Diagnostic Algorithm: A Consensus Recommendation from the Heart Failure Association of the European Society of Cardiology,” </w:t>
                          </w:r>
                          <w:r w:rsidRPr="00CC6553">
                            <w:rPr>
                              <w:i/>
                              <w:iCs/>
                              <w:noProof/>
                              <w:color w:val="000000" w:themeColor="text1"/>
                            </w:rPr>
                            <w:t xml:space="preserve">European Heart Journal, </w:t>
                          </w:r>
                          <w:r w:rsidRPr="00CC6553">
                            <w:rPr>
                              <w:noProof/>
                              <w:color w:val="000000" w:themeColor="text1"/>
                            </w:rPr>
                            <w:t xml:space="preserve">no. 40, pp. 3297-3317, 2019. </w:t>
                          </w:r>
                        </w:p>
                      </w:tc>
                    </w:tr>
                    <w:tr w:rsidR="00897293" w:rsidRPr="00CC6553" w14:paraId="134436F9" w14:textId="77777777" w:rsidTr="00897293">
                      <w:trPr>
                        <w:tblCellSpacing w:w="15" w:type="dxa"/>
                      </w:trPr>
                      <w:tc>
                        <w:tcPr>
                          <w:tcW w:w="435" w:type="pct"/>
                          <w:hideMark/>
                        </w:tcPr>
                        <w:p w14:paraId="6620C3EF" w14:textId="77777777" w:rsidR="00897293" w:rsidRPr="00CC6553" w:rsidRDefault="00897293" w:rsidP="00B234F1">
                          <w:pPr>
                            <w:pStyle w:val="Bibliography"/>
                            <w:rPr>
                              <w:noProof/>
                              <w:color w:val="000000" w:themeColor="text1"/>
                            </w:rPr>
                          </w:pPr>
                          <w:r w:rsidRPr="00CC6553">
                            <w:rPr>
                              <w:noProof/>
                              <w:color w:val="000000" w:themeColor="text1"/>
                            </w:rPr>
                            <w:t xml:space="preserve">[2] </w:t>
                          </w:r>
                        </w:p>
                      </w:tc>
                      <w:tc>
                        <w:tcPr>
                          <w:tcW w:w="4489" w:type="pct"/>
                          <w:hideMark/>
                        </w:tcPr>
                        <w:p w14:paraId="12098BC8" w14:textId="77777777" w:rsidR="00897293" w:rsidRPr="00CC6553" w:rsidRDefault="00897293" w:rsidP="00B234F1">
                          <w:pPr>
                            <w:pStyle w:val="Bibliography"/>
                            <w:rPr>
                              <w:noProof/>
                              <w:color w:val="000000" w:themeColor="text1"/>
                            </w:rPr>
                          </w:pPr>
                          <w:r w:rsidRPr="00CC6553">
                            <w:rPr>
                              <w:noProof/>
                              <w:color w:val="000000" w:themeColor="text1"/>
                            </w:rPr>
                            <w:t xml:space="preserve">European Society of Cardiology, “2021 ESC Guidelines for the diagnosis and treatment of acute and chronic heart failure: Developed by the Task Force for the diagnosis and treatment of acute and chronic heart failure of the European Society of Cardiology (ESC) With the special contributio,” </w:t>
                          </w:r>
                          <w:r w:rsidRPr="00CC6553">
                            <w:rPr>
                              <w:i/>
                              <w:iCs/>
                              <w:noProof/>
                              <w:color w:val="000000" w:themeColor="text1"/>
                            </w:rPr>
                            <w:t xml:space="preserve">European Heart Journal, </w:t>
                          </w:r>
                          <w:r w:rsidRPr="00CC6553">
                            <w:rPr>
                              <w:noProof/>
                              <w:color w:val="000000" w:themeColor="text1"/>
                            </w:rPr>
                            <w:t xml:space="preserve">vol. 42, no. 36, pp. 3599-3726, 2021. </w:t>
                          </w:r>
                        </w:p>
                      </w:tc>
                    </w:tr>
                    <w:tr w:rsidR="00897293" w:rsidRPr="00CC6553" w14:paraId="2654234E" w14:textId="77777777" w:rsidTr="00897293">
                      <w:trPr>
                        <w:tblCellSpacing w:w="15" w:type="dxa"/>
                      </w:trPr>
                      <w:tc>
                        <w:tcPr>
                          <w:tcW w:w="435" w:type="pct"/>
                          <w:hideMark/>
                        </w:tcPr>
                        <w:p w14:paraId="3AFDB497" w14:textId="77777777" w:rsidR="00897293" w:rsidRPr="00CC6553" w:rsidRDefault="00897293" w:rsidP="00B234F1">
                          <w:pPr>
                            <w:pStyle w:val="Bibliography"/>
                            <w:rPr>
                              <w:noProof/>
                              <w:color w:val="000000" w:themeColor="text1"/>
                            </w:rPr>
                          </w:pPr>
                          <w:r w:rsidRPr="00CC6553">
                            <w:rPr>
                              <w:noProof/>
                              <w:color w:val="000000" w:themeColor="text1"/>
                            </w:rPr>
                            <w:t xml:space="preserve">[3] </w:t>
                          </w:r>
                        </w:p>
                      </w:tc>
                      <w:tc>
                        <w:tcPr>
                          <w:tcW w:w="4489" w:type="pct"/>
                          <w:hideMark/>
                        </w:tcPr>
                        <w:p w14:paraId="3205DF4C" w14:textId="77777777" w:rsidR="00897293" w:rsidRPr="00CC6553" w:rsidRDefault="00897293" w:rsidP="00B234F1">
                          <w:pPr>
                            <w:pStyle w:val="Bibliography"/>
                            <w:rPr>
                              <w:noProof/>
                              <w:color w:val="000000" w:themeColor="text1"/>
                            </w:rPr>
                          </w:pPr>
                          <w:r w:rsidRPr="00CC6553">
                            <w:rPr>
                              <w:noProof/>
                              <w:color w:val="000000" w:themeColor="text1"/>
                            </w:rPr>
                            <w:t xml:space="preserve">American Heart Association, “2022 AHA/ACC/HFSA Guideline for the Management of Heart Failure: A Report of the American College of Cardiology/American Heart Association Joint Committee on Clinical Practice Guidelines,” </w:t>
                          </w:r>
                          <w:r w:rsidRPr="00CC6553">
                            <w:rPr>
                              <w:i/>
                              <w:iCs/>
                              <w:noProof/>
                              <w:color w:val="000000" w:themeColor="text1"/>
                            </w:rPr>
                            <w:t xml:space="preserve">Circulation, </w:t>
                          </w:r>
                          <w:r w:rsidRPr="00CC6553">
                            <w:rPr>
                              <w:noProof/>
                              <w:color w:val="000000" w:themeColor="text1"/>
                            </w:rPr>
                            <w:t xml:space="preserve">vol. 145, no. 18, pp. e895-e1032, 2022. </w:t>
                          </w:r>
                        </w:p>
                      </w:tc>
                    </w:tr>
                    <w:tr w:rsidR="00897293" w:rsidRPr="00CC6553" w14:paraId="67FF76F8" w14:textId="77777777" w:rsidTr="00897293">
                      <w:trPr>
                        <w:tblCellSpacing w:w="15" w:type="dxa"/>
                      </w:trPr>
                      <w:tc>
                        <w:tcPr>
                          <w:tcW w:w="435" w:type="pct"/>
                          <w:hideMark/>
                        </w:tcPr>
                        <w:p w14:paraId="04DB1FC3" w14:textId="77777777" w:rsidR="00897293" w:rsidRPr="00CC6553" w:rsidRDefault="00897293" w:rsidP="00B234F1">
                          <w:pPr>
                            <w:pStyle w:val="Bibliography"/>
                            <w:rPr>
                              <w:noProof/>
                              <w:color w:val="000000" w:themeColor="text1"/>
                            </w:rPr>
                          </w:pPr>
                          <w:r w:rsidRPr="00CC6553">
                            <w:rPr>
                              <w:noProof/>
                              <w:color w:val="000000" w:themeColor="text1"/>
                            </w:rPr>
                            <w:t xml:space="preserve">[4] </w:t>
                          </w:r>
                        </w:p>
                      </w:tc>
                      <w:tc>
                        <w:tcPr>
                          <w:tcW w:w="4489" w:type="pct"/>
                          <w:hideMark/>
                        </w:tcPr>
                        <w:p w14:paraId="655E26B2" w14:textId="77777777" w:rsidR="00897293" w:rsidRPr="00CC6553" w:rsidRDefault="00897293" w:rsidP="00B234F1">
                          <w:pPr>
                            <w:pStyle w:val="Bibliography"/>
                            <w:rPr>
                              <w:noProof/>
                              <w:color w:val="000000" w:themeColor="text1"/>
                            </w:rPr>
                          </w:pPr>
                          <w:r w:rsidRPr="00CC6553">
                            <w:rPr>
                              <w:noProof/>
                              <w:color w:val="000000" w:themeColor="text1"/>
                            </w:rPr>
                            <w:t xml:space="preserve">A. Aimo, M. Merlo, A. Porcari, G. Georgiopolous, L. Pagura, G. Vergaro, G. Singara, M. Emdin and C. Rapezzi, “Redefining the epidemiology of cardiac amyloidosis. A systematic review and </w:t>
                          </w:r>
                          <w:r w:rsidRPr="00CC6553">
                            <w:rPr>
                              <w:noProof/>
                              <w:color w:val="000000" w:themeColor="text1"/>
                            </w:rPr>
                            <w:lastRenderedPageBreak/>
                            <w:t>meta</w:t>
                          </w:r>
                          <w:r w:rsidRPr="00CC6553">
                            <w:rPr>
                              <w:rFonts w:ascii="Cambria Math" w:hAnsi="Cambria Math" w:cs="Cambria Math"/>
                              <w:noProof/>
                              <w:color w:val="000000" w:themeColor="text1"/>
                            </w:rPr>
                            <w:t>‐</w:t>
                          </w:r>
                          <w:r w:rsidRPr="00CC6553">
                            <w:rPr>
                              <w:noProof/>
                              <w:color w:val="000000" w:themeColor="text1"/>
                            </w:rPr>
                            <w:t>analysis of screening studies,</w:t>
                          </w:r>
                          <w:r w:rsidRPr="00CC6553">
                            <w:rPr>
                              <w:rFonts w:cs="Arial"/>
                              <w:noProof/>
                              <w:color w:val="000000" w:themeColor="text1"/>
                            </w:rPr>
                            <w:t>”</w:t>
                          </w:r>
                          <w:r w:rsidRPr="00CC6553">
                            <w:rPr>
                              <w:noProof/>
                              <w:color w:val="000000" w:themeColor="text1"/>
                            </w:rPr>
                            <w:t xml:space="preserve"> </w:t>
                          </w:r>
                          <w:r w:rsidRPr="00CC6553">
                            <w:rPr>
                              <w:i/>
                              <w:iCs/>
                              <w:noProof/>
                              <w:color w:val="000000" w:themeColor="text1"/>
                            </w:rPr>
                            <w:t xml:space="preserve">Eur J Heart Fail, </w:t>
                          </w:r>
                          <w:r w:rsidRPr="00CC6553">
                            <w:rPr>
                              <w:noProof/>
                              <w:color w:val="000000" w:themeColor="text1"/>
                            </w:rPr>
                            <w:t xml:space="preserve">vol. 24, no. 12, pp. 2342-2351, 2022. </w:t>
                          </w:r>
                        </w:p>
                      </w:tc>
                    </w:tr>
                    <w:tr w:rsidR="00897293" w:rsidRPr="00CC6553" w14:paraId="77A1C764" w14:textId="77777777" w:rsidTr="00897293">
                      <w:trPr>
                        <w:tblCellSpacing w:w="15" w:type="dxa"/>
                      </w:trPr>
                      <w:tc>
                        <w:tcPr>
                          <w:tcW w:w="435" w:type="pct"/>
                          <w:hideMark/>
                        </w:tcPr>
                        <w:p w14:paraId="4E83EF0B" w14:textId="77777777" w:rsidR="00897293" w:rsidRPr="00CC6553" w:rsidRDefault="00897293" w:rsidP="00B234F1">
                          <w:pPr>
                            <w:pStyle w:val="Bibliography"/>
                            <w:rPr>
                              <w:noProof/>
                              <w:color w:val="000000" w:themeColor="text1"/>
                            </w:rPr>
                          </w:pPr>
                          <w:r w:rsidRPr="00CC6553">
                            <w:rPr>
                              <w:noProof/>
                              <w:color w:val="000000" w:themeColor="text1"/>
                            </w:rPr>
                            <w:lastRenderedPageBreak/>
                            <w:t xml:space="preserve">[5] </w:t>
                          </w:r>
                        </w:p>
                      </w:tc>
                      <w:tc>
                        <w:tcPr>
                          <w:tcW w:w="4489" w:type="pct"/>
                          <w:hideMark/>
                        </w:tcPr>
                        <w:p w14:paraId="367668DD" w14:textId="77777777" w:rsidR="00897293" w:rsidRPr="00CC6553" w:rsidRDefault="00897293" w:rsidP="00B234F1">
                          <w:pPr>
                            <w:pStyle w:val="Bibliography"/>
                            <w:rPr>
                              <w:noProof/>
                              <w:color w:val="000000" w:themeColor="text1"/>
                            </w:rPr>
                          </w:pPr>
                          <w:r w:rsidRPr="00CC6553">
                            <w:rPr>
                              <w:noProof/>
                              <w:color w:val="000000" w:themeColor="text1"/>
                            </w:rPr>
                            <w:t xml:space="preserve">A. Antonopoulos, I. Panagiotopoulos, A. Kouroutzoglou, G. Koutsis, P. Toskas, G. Lazaros and K. Toutouzas, “Prevalence and clinical outcomes of transthyretin amyloidosis: a systematic review and meta-analysis,” </w:t>
                          </w:r>
                          <w:r w:rsidRPr="00CC6553">
                            <w:rPr>
                              <w:i/>
                              <w:iCs/>
                              <w:noProof/>
                              <w:color w:val="000000" w:themeColor="text1"/>
                            </w:rPr>
                            <w:t xml:space="preserve">European Journal of Heart Failure, </w:t>
                          </w:r>
                          <w:r w:rsidRPr="00CC6553">
                            <w:rPr>
                              <w:noProof/>
                              <w:color w:val="000000" w:themeColor="text1"/>
                            </w:rPr>
                            <w:t xml:space="preserve">vol. 24, no. 9, pp. 1677-1696, 2022. </w:t>
                          </w:r>
                        </w:p>
                      </w:tc>
                    </w:tr>
                    <w:tr w:rsidR="00897293" w:rsidRPr="00CC6553" w14:paraId="24BC3FC4" w14:textId="77777777" w:rsidTr="00897293">
                      <w:trPr>
                        <w:tblCellSpacing w:w="15" w:type="dxa"/>
                      </w:trPr>
                      <w:tc>
                        <w:tcPr>
                          <w:tcW w:w="435" w:type="pct"/>
                          <w:hideMark/>
                        </w:tcPr>
                        <w:p w14:paraId="146B30C1" w14:textId="77777777" w:rsidR="00897293" w:rsidRPr="00CC6553" w:rsidRDefault="00897293" w:rsidP="00B234F1">
                          <w:pPr>
                            <w:pStyle w:val="Bibliography"/>
                            <w:rPr>
                              <w:noProof/>
                              <w:color w:val="000000" w:themeColor="text1"/>
                            </w:rPr>
                          </w:pPr>
                          <w:r w:rsidRPr="00CC6553">
                            <w:rPr>
                              <w:noProof/>
                              <w:color w:val="000000" w:themeColor="text1"/>
                            </w:rPr>
                            <w:t xml:space="preserve">[6] </w:t>
                          </w:r>
                        </w:p>
                      </w:tc>
                      <w:tc>
                        <w:tcPr>
                          <w:tcW w:w="4489" w:type="pct"/>
                          <w:hideMark/>
                        </w:tcPr>
                        <w:p w14:paraId="6F3A2577" w14:textId="77777777" w:rsidR="00897293" w:rsidRPr="00CC6553" w:rsidRDefault="00897293" w:rsidP="00B234F1">
                          <w:pPr>
                            <w:pStyle w:val="Bibliography"/>
                            <w:rPr>
                              <w:noProof/>
                              <w:color w:val="000000" w:themeColor="text1"/>
                            </w:rPr>
                          </w:pPr>
                          <w:r w:rsidRPr="00CC6553">
                            <w:rPr>
                              <w:noProof/>
                              <w:color w:val="000000" w:themeColor="text1"/>
                            </w:rPr>
                            <w:t>NICE, “Tafamidis for treating transthyretin amyloidosis with cardiomyopathy,” 2024. [Online]. Available: https://www.nice.org.uk/guidance/ta984.</w:t>
                          </w:r>
                        </w:p>
                      </w:tc>
                    </w:tr>
                    <w:tr w:rsidR="00897293" w:rsidRPr="00CC6553" w14:paraId="1D634581" w14:textId="77777777" w:rsidTr="00897293">
                      <w:trPr>
                        <w:tblCellSpacing w:w="15" w:type="dxa"/>
                      </w:trPr>
                      <w:tc>
                        <w:tcPr>
                          <w:tcW w:w="435" w:type="pct"/>
                          <w:hideMark/>
                        </w:tcPr>
                        <w:p w14:paraId="64E70DA7" w14:textId="77777777" w:rsidR="00897293" w:rsidRPr="00CC6553" w:rsidRDefault="00897293" w:rsidP="00B234F1">
                          <w:pPr>
                            <w:pStyle w:val="Bibliography"/>
                            <w:rPr>
                              <w:noProof/>
                              <w:color w:val="000000" w:themeColor="text1"/>
                            </w:rPr>
                          </w:pPr>
                          <w:r w:rsidRPr="00CC6553">
                            <w:rPr>
                              <w:noProof/>
                              <w:color w:val="000000" w:themeColor="text1"/>
                            </w:rPr>
                            <w:t xml:space="preserve">[7] </w:t>
                          </w:r>
                        </w:p>
                      </w:tc>
                      <w:tc>
                        <w:tcPr>
                          <w:tcW w:w="4489" w:type="pct"/>
                          <w:hideMark/>
                        </w:tcPr>
                        <w:p w14:paraId="0F03BC80" w14:textId="77777777" w:rsidR="00897293" w:rsidRPr="00CC6553" w:rsidRDefault="00897293" w:rsidP="00B234F1">
                          <w:pPr>
                            <w:pStyle w:val="Bibliography"/>
                            <w:rPr>
                              <w:noProof/>
                              <w:color w:val="000000" w:themeColor="text1"/>
                            </w:rPr>
                          </w:pPr>
                          <w:r w:rsidRPr="00CC6553">
                            <w:rPr>
                              <w:noProof/>
                              <w:color w:val="000000" w:themeColor="text1"/>
                            </w:rPr>
                            <w:t>NICE, “Vutrisiran for treating hereditary transthyretin-related amyloidosis,” 2023. [Online]. Available: https://www.nice.org.uk/guidance/ta868.</w:t>
                          </w:r>
                        </w:p>
                      </w:tc>
                    </w:tr>
                    <w:tr w:rsidR="00897293" w:rsidRPr="00CC6553" w14:paraId="0DB0D128" w14:textId="77777777" w:rsidTr="00897293">
                      <w:trPr>
                        <w:tblCellSpacing w:w="15" w:type="dxa"/>
                      </w:trPr>
                      <w:tc>
                        <w:tcPr>
                          <w:tcW w:w="435" w:type="pct"/>
                          <w:hideMark/>
                        </w:tcPr>
                        <w:p w14:paraId="046E38E3" w14:textId="77777777" w:rsidR="00897293" w:rsidRPr="00CC6553" w:rsidRDefault="00897293" w:rsidP="00B234F1">
                          <w:pPr>
                            <w:pStyle w:val="Bibliography"/>
                            <w:rPr>
                              <w:noProof/>
                              <w:color w:val="000000" w:themeColor="text1"/>
                            </w:rPr>
                          </w:pPr>
                          <w:r w:rsidRPr="00CC6553">
                            <w:rPr>
                              <w:noProof/>
                              <w:color w:val="000000" w:themeColor="text1"/>
                            </w:rPr>
                            <w:t xml:space="preserve">[8] </w:t>
                          </w:r>
                        </w:p>
                      </w:tc>
                      <w:tc>
                        <w:tcPr>
                          <w:tcW w:w="4489" w:type="pct"/>
                          <w:hideMark/>
                        </w:tcPr>
                        <w:p w14:paraId="138919D6" w14:textId="77777777" w:rsidR="00897293" w:rsidRPr="00CC6553" w:rsidRDefault="00897293" w:rsidP="00B234F1">
                          <w:pPr>
                            <w:pStyle w:val="Bibliography"/>
                            <w:rPr>
                              <w:noProof/>
                              <w:color w:val="000000" w:themeColor="text1"/>
                            </w:rPr>
                          </w:pPr>
                          <w:r w:rsidRPr="00CC6553">
                            <w:rPr>
                              <w:noProof/>
                              <w:color w:val="000000" w:themeColor="text1"/>
                            </w:rPr>
                            <w:t>NICE, “Eplontersen for treating hereditary transthyretin-related amyloidosis,” 2024. [Online]. Available: https://www.nice.org.uk/guidance/ta1020.</w:t>
                          </w:r>
                        </w:p>
                      </w:tc>
                    </w:tr>
                    <w:tr w:rsidR="00897293" w:rsidRPr="00CC6553" w14:paraId="32335629" w14:textId="77777777" w:rsidTr="00897293">
                      <w:trPr>
                        <w:tblCellSpacing w:w="15" w:type="dxa"/>
                      </w:trPr>
                      <w:tc>
                        <w:tcPr>
                          <w:tcW w:w="435" w:type="pct"/>
                          <w:hideMark/>
                        </w:tcPr>
                        <w:p w14:paraId="535497AA" w14:textId="77777777" w:rsidR="00897293" w:rsidRPr="00CC6553" w:rsidRDefault="00897293" w:rsidP="00B234F1">
                          <w:pPr>
                            <w:pStyle w:val="Bibliography"/>
                            <w:rPr>
                              <w:noProof/>
                              <w:color w:val="000000" w:themeColor="text1"/>
                            </w:rPr>
                          </w:pPr>
                          <w:r w:rsidRPr="00CC6553">
                            <w:rPr>
                              <w:noProof/>
                              <w:color w:val="000000" w:themeColor="text1"/>
                            </w:rPr>
                            <w:t xml:space="preserve">[9] </w:t>
                          </w:r>
                        </w:p>
                      </w:tc>
                      <w:tc>
                        <w:tcPr>
                          <w:tcW w:w="4489" w:type="pct"/>
                          <w:hideMark/>
                        </w:tcPr>
                        <w:p w14:paraId="6F4B2E12" w14:textId="77777777" w:rsidR="00897293" w:rsidRPr="00CC6553" w:rsidRDefault="00897293" w:rsidP="00B234F1">
                          <w:pPr>
                            <w:pStyle w:val="Bibliography"/>
                            <w:rPr>
                              <w:noProof/>
                              <w:color w:val="000000" w:themeColor="text1"/>
                            </w:rPr>
                          </w:pPr>
                          <w:r w:rsidRPr="00CC6553">
                            <w:rPr>
                              <w:noProof/>
                              <w:color w:val="000000" w:themeColor="text1"/>
                            </w:rPr>
                            <w:t>NICE, “Inotersen for treating hereditary transthyretin amyloidosis,” [Online]. Available: https://www.nice.org.uk/guidance/hst9.</w:t>
                          </w:r>
                        </w:p>
                      </w:tc>
                    </w:tr>
                    <w:tr w:rsidR="00897293" w:rsidRPr="00CC6553" w14:paraId="73F56F10" w14:textId="77777777" w:rsidTr="00897293">
                      <w:trPr>
                        <w:tblCellSpacing w:w="15" w:type="dxa"/>
                      </w:trPr>
                      <w:tc>
                        <w:tcPr>
                          <w:tcW w:w="435" w:type="pct"/>
                          <w:hideMark/>
                        </w:tcPr>
                        <w:p w14:paraId="767D32D7" w14:textId="77777777" w:rsidR="00897293" w:rsidRPr="00CC6553" w:rsidRDefault="00897293" w:rsidP="00B234F1">
                          <w:pPr>
                            <w:pStyle w:val="Bibliography"/>
                            <w:rPr>
                              <w:noProof/>
                              <w:color w:val="000000" w:themeColor="text1"/>
                            </w:rPr>
                          </w:pPr>
                          <w:r w:rsidRPr="00CC6553">
                            <w:rPr>
                              <w:noProof/>
                              <w:color w:val="000000" w:themeColor="text1"/>
                            </w:rPr>
                            <w:t xml:space="preserve">[10] </w:t>
                          </w:r>
                        </w:p>
                      </w:tc>
                      <w:tc>
                        <w:tcPr>
                          <w:tcW w:w="4489" w:type="pct"/>
                          <w:hideMark/>
                        </w:tcPr>
                        <w:p w14:paraId="3C145B0A" w14:textId="77777777" w:rsidR="00897293" w:rsidRPr="00CC6553" w:rsidRDefault="00897293" w:rsidP="00B234F1">
                          <w:pPr>
                            <w:pStyle w:val="Bibliography"/>
                            <w:rPr>
                              <w:noProof/>
                              <w:color w:val="000000" w:themeColor="text1"/>
                            </w:rPr>
                          </w:pPr>
                          <w:r w:rsidRPr="00CC6553">
                            <w:rPr>
                              <w:noProof/>
                              <w:color w:val="000000" w:themeColor="text1"/>
                            </w:rPr>
                            <w:t>NICE, “Patisiran for treating hereditary transthyretin amyloidosis,” 2019. [Online]. Available: https://www.nice.org.uk/guidance/hst10.</w:t>
                          </w:r>
                        </w:p>
                      </w:tc>
                    </w:tr>
                    <w:tr w:rsidR="00897293" w:rsidRPr="00CC6553" w14:paraId="3D931F8C" w14:textId="77777777" w:rsidTr="00897293">
                      <w:trPr>
                        <w:tblCellSpacing w:w="15" w:type="dxa"/>
                      </w:trPr>
                      <w:tc>
                        <w:tcPr>
                          <w:tcW w:w="435" w:type="pct"/>
                          <w:hideMark/>
                        </w:tcPr>
                        <w:p w14:paraId="29B2B040" w14:textId="77777777" w:rsidR="00897293" w:rsidRPr="00CC6553" w:rsidRDefault="00897293" w:rsidP="00B234F1">
                          <w:pPr>
                            <w:pStyle w:val="Bibliography"/>
                            <w:rPr>
                              <w:noProof/>
                              <w:color w:val="000000" w:themeColor="text1"/>
                            </w:rPr>
                          </w:pPr>
                          <w:r w:rsidRPr="00CC6553">
                            <w:rPr>
                              <w:noProof/>
                              <w:color w:val="000000" w:themeColor="text1"/>
                            </w:rPr>
                            <w:t xml:space="preserve">[11] </w:t>
                          </w:r>
                        </w:p>
                      </w:tc>
                      <w:tc>
                        <w:tcPr>
                          <w:tcW w:w="4489" w:type="pct"/>
                          <w:hideMark/>
                        </w:tcPr>
                        <w:p w14:paraId="47204F68" w14:textId="77777777" w:rsidR="00897293" w:rsidRPr="00CC6553" w:rsidRDefault="00897293" w:rsidP="00B234F1">
                          <w:pPr>
                            <w:pStyle w:val="Bibliography"/>
                            <w:rPr>
                              <w:noProof/>
                              <w:color w:val="000000" w:themeColor="text1"/>
                            </w:rPr>
                          </w:pPr>
                          <w:r w:rsidRPr="00CC6553">
                            <w:rPr>
                              <w:noProof/>
                              <w:color w:val="000000" w:themeColor="text1"/>
                            </w:rPr>
                            <w:t>NICE, “Making decisions using NICE guidelines,” [Online]. Available: https://www.nice.org.uk/about/what-we-do/our-programmes/nice-guidance/nice-guidelines/making-decisions-using-nice-guidelines.</w:t>
                          </w:r>
                        </w:p>
                      </w:tc>
                    </w:tr>
                    <w:tr w:rsidR="00897293" w:rsidRPr="00CC6553" w14:paraId="72ED4864" w14:textId="77777777" w:rsidTr="00897293">
                      <w:trPr>
                        <w:tblCellSpacing w:w="15" w:type="dxa"/>
                      </w:trPr>
                      <w:tc>
                        <w:tcPr>
                          <w:tcW w:w="435" w:type="pct"/>
                          <w:hideMark/>
                        </w:tcPr>
                        <w:p w14:paraId="502E24BC" w14:textId="77777777" w:rsidR="00897293" w:rsidRPr="00CC6553" w:rsidRDefault="00897293" w:rsidP="00B234F1">
                          <w:pPr>
                            <w:pStyle w:val="Bibliography"/>
                            <w:rPr>
                              <w:color w:val="000000" w:themeColor="text1"/>
                              <w:highlight w:val="yellow"/>
                            </w:rPr>
                          </w:pPr>
                          <w:r w:rsidRPr="00CC6553">
                            <w:rPr>
                              <w:noProof/>
                              <w:color w:val="000000" w:themeColor="text1"/>
                            </w:rPr>
                            <w:t xml:space="preserve">[12] </w:t>
                          </w:r>
                        </w:p>
                      </w:tc>
                      <w:tc>
                        <w:tcPr>
                          <w:tcW w:w="4489" w:type="pct"/>
                          <w:hideMark/>
                        </w:tcPr>
                        <w:p w14:paraId="15442933" w14:textId="77777777" w:rsidR="00897293" w:rsidRPr="00CC6553" w:rsidRDefault="00897293" w:rsidP="00B234F1">
                          <w:pPr>
                            <w:pStyle w:val="Bibliography"/>
                            <w:rPr>
                              <w:color w:val="000000" w:themeColor="text1"/>
                              <w:highlight w:val="yellow"/>
                            </w:rPr>
                          </w:pPr>
                          <w:r w:rsidRPr="00CC6553">
                            <w:rPr>
                              <w:noProof/>
                              <w:color w:val="000000" w:themeColor="text1"/>
                            </w:rPr>
                            <w:t xml:space="preserve">J. M. e. a. Solomon, “Dapagliflozin in Heart Failure with Mildly Reduced or Preserved Ejection Fraction,” </w:t>
                          </w:r>
                          <w:r w:rsidRPr="00CC6553">
                            <w:rPr>
                              <w:i/>
                              <w:iCs/>
                              <w:noProof/>
                              <w:color w:val="000000" w:themeColor="text1"/>
                            </w:rPr>
                            <w:t xml:space="preserve">The New England Journal of Medicine, </w:t>
                          </w:r>
                          <w:r w:rsidRPr="00CC6553">
                            <w:rPr>
                              <w:noProof/>
                              <w:color w:val="000000" w:themeColor="text1"/>
                            </w:rPr>
                            <w:t xml:space="preserve">vol. 387, pp. 1089-1098, 2022. </w:t>
                          </w:r>
                        </w:p>
                      </w:tc>
                    </w:tr>
                    <w:tr w:rsidR="00897293" w:rsidRPr="00CC6553" w14:paraId="35A0932F" w14:textId="77777777" w:rsidTr="00897293">
                      <w:trPr>
                        <w:tblCellSpacing w:w="15" w:type="dxa"/>
                      </w:trPr>
                      <w:tc>
                        <w:tcPr>
                          <w:tcW w:w="435" w:type="pct"/>
                          <w:hideMark/>
                        </w:tcPr>
                        <w:p w14:paraId="13FF0D61" w14:textId="77777777" w:rsidR="00897293" w:rsidRPr="00CC6553" w:rsidRDefault="00897293" w:rsidP="00B234F1">
                          <w:pPr>
                            <w:pStyle w:val="Bibliography"/>
                            <w:rPr>
                              <w:color w:val="000000" w:themeColor="text1"/>
                              <w:highlight w:val="yellow"/>
                            </w:rPr>
                          </w:pPr>
                          <w:r w:rsidRPr="00CC6553">
                            <w:rPr>
                              <w:noProof/>
                              <w:color w:val="000000" w:themeColor="text1"/>
                            </w:rPr>
                            <w:lastRenderedPageBreak/>
                            <w:t xml:space="preserve">[13] </w:t>
                          </w:r>
                        </w:p>
                      </w:tc>
                      <w:tc>
                        <w:tcPr>
                          <w:tcW w:w="4489" w:type="pct"/>
                          <w:hideMark/>
                        </w:tcPr>
                        <w:p w14:paraId="3AB10F31" w14:textId="77777777" w:rsidR="00897293" w:rsidRPr="00CC6553" w:rsidRDefault="00897293" w:rsidP="00B234F1">
                          <w:pPr>
                            <w:pStyle w:val="Bibliography"/>
                            <w:rPr>
                              <w:color w:val="000000" w:themeColor="text1"/>
                              <w:highlight w:val="yellow"/>
                            </w:rPr>
                          </w:pPr>
                          <w:r w:rsidRPr="00CC6553">
                            <w:rPr>
                              <w:noProof/>
                              <w:color w:val="000000" w:themeColor="text1"/>
                            </w:rPr>
                            <w:t xml:space="preserve">B. F. e. a. Anker, “Empagliflozin in Heart Failure with a Preserved Ejection Fraction,” </w:t>
                          </w:r>
                          <w:r w:rsidRPr="00CC6553">
                            <w:rPr>
                              <w:i/>
                              <w:iCs/>
                              <w:noProof/>
                              <w:color w:val="000000" w:themeColor="text1"/>
                            </w:rPr>
                            <w:t xml:space="preserve">The New England Journal of Medicine, </w:t>
                          </w:r>
                          <w:r w:rsidRPr="00CC6553">
                            <w:rPr>
                              <w:noProof/>
                              <w:color w:val="000000" w:themeColor="text1"/>
                            </w:rPr>
                            <w:t xml:space="preserve">vol. 385, pp. 1451-1461, 2021. </w:t>
                          </w:r>
                        </w:p>
                      </w:tc>
                    </w:tr>
                    <w:tr w:rsidR="00897293" w:rsidRPr="00CC6553" w14:paraId="45A7938F" w14:textId="77777777" w:rsidTr="00897293">
                      <w:trPr>
                        <w:tblCellSpacing w:w="15" w:type="dxa"/>
                      </w:trPr>
                      <w:tc>
                        <w:tcPr>
                          <w:tcW w:w="435" w:type="pct"/>
                          <w:hideMark/>
                        </w:tcPr>
                        <w:p w14:paraId="6C3B3761" w14:textId="77777777" w:rsidR="00897293" w:rsidRPr="00CC6553" w:rsidRDefault="00897293" w:rsidP="00B234F1">
                          <w:pPr>
                            <w:pStyle w:val="Bibliography"/>
                            <w:rPr>
                              <w:noProof/>
                              <w:color w:val="000000" w:themeColor="text1"/>
                            </w:rPr>
                          </w:pPr>
                          <w:r w:rsidRPr="00CC6553">
                            <w:rPr>
                              <w:noProof/>
                              <w:color w:val="000000" w:themeColor="text1"/>
                            </w:rPr>
                            <w:t xml:space="preserve">[14] </w:t>
                          </w:r>
                        </w:p>
                      </w:tc>
                      <w:tc>
                        <w:tcPr>
                          <w:tcW w:w="4489" w:type="pct"/>
                          <w:hideMark/>
                        </w:tcPr>
                        <w:p w14:paraId="36C8851E" w14:textId="77777777" w:rsidR="00897293" w:rsidRPr="00CC6553" w:rsidRDefault="00897293" w:rsidP="00B234F1">
                          <w:pPr>
                            <w:pStyle w:val="Bibliography"/>
                            <w:rPr>
                              <w:noProof/>
                              <w:color w:val="000000" w:themeColor="text1"/>
                            </w:rPr>
                          </w:pPr>
                          <w:r w:rsidRPr="00CC6553">
                            <w:rPr>
                              <w:noProof/>
                              <w:color w:val="000000" w:themeColor="text1"/>
                            </w:rPr>
                            <w:t xml:space="preserve">European Society of Cardiology, “2023 Focused Update of the 2021 ESC Guidelines for the diagnosis and treatment of acute and chronic heart failure,” </w:t>
                          </w:r>
                          <w:r w:rsidRPr="00CC6553">
                            <w:rPr>
                              <w:i/>
                              <w:iCs/>
                              <w:noProof/>
                              <w:color w:val="000000" w:themeColor="text1"/>
                            </w:rPr>
                            <w:t xml:space="preserve">European Heart Journal, </w:t>
                          </w:r>
                          <w:r w:rsidRPr="00CC6553">
                            <w:rPr>
                              <w:noProof/>
                              <w:color w:val="000000" w:themeColor="text1"/>
                            </w:rPr>
                            <w:t xml:space="preserve">vol. 44, no. 37, pp. 3627-3639, 2023. </w:t>
                          </w:r>
                        </w:p>
                      </w:tc>
                    </w:tr>
                    <w:tr w:rsidR="00897293" w:rsidRPr="00CC6553" w14:paraId="21997846" w14:textId="77777777" w:rsidTr="00897293">
                      <w:trPr>
                        <w:tblCellSpacing w:w="15" w:type="dxa"/>
                      </w:trPr>
                      <w:tc>
                        <w:tcPr>
                          <w:tcW w:w="435" w:type="pct"/>
                          <w:hideMark/>
                        </w:tcPr>
                        <w:p w14:paraId="48D4AF9D" w14:textId="77777777" w:rsidR="00897293" w:rsidRPr="00CC6553" w:rsidRDefault="00897293" w:rsidP="00B234F1">
                          <w:pPr>
                            <w:pStyle w:val="Bibliography"/>
                            <w:rPr>
                              <w:noProof/>
                              <w:color w:val="000000" w:themeColor="text1"/>
                            </w:rPr>
                          </w:pPr>
                          <w:r w:rsidRPr="00CC6553">
                            <w:rPr>
                              <w:noProof/>
                              <w:color w:val="000000" w:themeColor="text1"/>
                            </w:rPr>
                            <w:t xml:space="preserve">[15] </w:t>
                          </w:r>
                        </w:p>
                      </w:tc>
                      <w:tc>
                        <w:tcPr>
                          <w:tcW w:w="4489" w:type="pct"/>
                          <w:hideMark/>
                        </w:tcPr>
                        <w:p w14:paraId="2261EBA2" w14:textId="77777777" w:rsidR="00897293" w:rsidRPr="00CC6553" w:rsidRDefault="00897293" w:rsidP="00B234F1">
                          <w:pPr>
                            <w:pStyle w:val="Bibliography"/>
                            <w:rPr>
                              <w:noProof/>
                              <w:color w:val="000000" w:themeColor="text1"/>
                            </w:rPr>
                          </w:pPr>
                          <w:r w:rsidRPr="00CC6553">
                            <w:rPr>
                              <w:noProof/>
                              <w:color w:val="000000" w:themeColor="text1"/>
                            </w:rPr>
                            <w:t>NICE, “Dapagliflozin for treating chronic heart failure with preserved or mildly reduced ejection fraction,” 2023. [Online]. Available: https://www.nice.org.uk/guidance/ta902.</w:t>
                          </w:r>
                        </w:p>
                      </w:tc>
                    </w:tr>
                    <w:tr w:rsidR="00897293" w:rsidRPr="00CC6553" w14:paraId="2E4EFDFC" w14:textId="77777777" w:rsidTr="00897293">
                      <w:trPr>
                        <w:tblCellSpacing w:w="15" w:type="dxa"/>
                      </w:trPr>
                      <w:tc>
                        <w:tcPr>
                          <w:tcW w:w="435" w:type="pct"/>
                          <w:hideMark/>
                        </w:tcPr>
                        <w:p w14:paraId="17A7E7C7" w14:textId="77777777" w:rsidR="00897293" w:rsidRPr="00CC6553" w:rsidRDefault="00897293" w:rsidP="00B234F1">
                          <w:pPr>
                            <w:pStyle w:val="Bibliography"/>
                            <w:rPr>
                              <w:noProof/>
                              <w:color w:val="000000" w:themeColor="text1"/>
                            </w:rPr>
                          </w:pPr>
                          <w:r w:rsidRPr="00CC6553">
                            <w:rPr>
                              <w:noProof/>
                              <w:color w:val="000000" w:themeColor="text1"/>
                            </w:rPr>
                            <w:t xml:space="preserve">[16] </w:t>
                          </w:r>
                        </w:p>
                      </w:tc>
                      <w:tc>
                        <w:tcPr>
                          <w:tcW w:w="4489" w:type="pct"/>
                          <w:hideMark/>
                        </w:tcPr>
                        <w:p w14:paraId="1F7388AC" w14:textId="77777777" w:rsidR="00897293" w:rsidRPr="00CC6553" w:rsidRDefault="00897293" w:rsidP="00B234F1">
                          <w:pPr>
                            <w:pStyle w:val="Bibliography"/>
                            <w:rPr>
                              <w:noProof/>
                              <w:color w:val="000000" w:themeColor="text1"/>
                            </w:rPr>
                          </w:pPr>
                          <w:r w:rsidRPr="00CC6553">
                            <w:rPr>
                              <w:noProof/>
                              <w:color w:val="000000" w:themeColor="text1"/>
                            </w:rPr>
                            <w:t>NICE, “Empagliflozin for treating chronic heart failure with preserved or mildly reduced ejection fraction,” 2023. [Online]. Available: https://www.nice.org.uk/guidance/ta929.</w:t>
                          </w:r>
                        </w:p>
                      </w:tc>
                    </w:tr>
                    <w:tr w:rsidR="00897293" w:rsidRPr="00CC6553" w14:paraId="757F013D" w14:textId="77777777" w:rsidTr="00897293">
                      <w:trPr>
                        <w:tblCellSpacing w:w="15" w:type="dxa"/>
                      </w:trPr>
                      <w:tc>
                        <w:tcPr>
                          <w:tcW w:w="435" w:type="pct"/>
                          <w:hideMark/>
                        </w:tcPr>
                        <w:p w14:paraId="27727BAC" w14:textId="77777777" w:rsidR="00897293" w:rsidRPr="00CC6553" w:rsidRDefault="00897293" w:rsidP="00B234F1">
                          <w:pPr>
                            <w:pStyle w:val="Bibliography"/>
                            <w:rPr>
                              <w:noProof/>
                              <w:color w:val="000000" w:themeColor="text1"/>
                            </w:rPr>
                          </w:pPr>
                          <w:r w:rsidRPr="00CC6553">
                            <w:rPr>
                              <w:noProof/>
                              <w:color w:val="000000" w:themeColor="text1"/>
                            </w:rPr>
                            <w:t xml:space="preserve">[17] </w:t>
                          </w:r>
                        </w:p>
                      </w:tc>
                      <w:tc>
                        <w:tcPr>
                          <w:tcW w:w="4489" w:type="pct"/>
                          <w:hideMark/>
                        </w:tcPr>
                        <w:p w14:paraId="6DFF4821" w14:textId="77777777" w:rsidR="00897293" w:rsidRPr="00CC6553" w:rsidRDefault="00897293" w:rsidP="00B234F1">
                          <w:pPr>
                            <w:pStyle w:val="Bibliography"/>
                            <w:rPr>
                              <w:noProof/>
                              <w:color w:val="000000" w:themeColor="text1"/>
                            </w:rPr>
                          </w:pPr>
                          <w:r w:rsidRPr="00CC6553">
                            <w:rPr>
                              <w:noProof/>
                              <w:color w:val="000000" w:themeColor="text1"/>
                            </w:rPr>
                            <w:t>NICE, “Sodium zirconium cyclosilicate for treating hyperkalaemia,” 2022. [Online]. Available: https://www.nice.org.uk/guidance/ta599.</w:t>
                          </w:r>
                        </w:p>
                      </w:tc>
                    </w:tr>
                    <w:tr w:rsidR="00897293" w:rsidRPr="00CC6553" w14:paraId="62CD66B0" w14:textId="77777777" w:rsidTr="00897293">
                      <w:trPr>
                        <w:tblCellSpacing w:w="15" w:type="dxa"/>
                      </w:trPr>
                      <w:tc>
                        <w:tcPr>
                          <w:tcW w:w="435" w:type="pct"/>
                          <w:hideMark/>
                        </w:tcPr>
                        <w:p w14:paraId="245F66B1" w14:textId="77777777" w:rsidR="00897293" w:rsidRPr="00CC6553" w:rsidRDefault="00897293" w:rsidP="00B234F1">
                          <w:pPr>
                            <w:pStyle w:val="Bibliography"/>
                            <w:rPr>
                              <w:noProof/>
                              <w:color w:val="000000" w:themeColor="text1"/>
                            </w:rPr>
                          </w:pPr>
                          <w:r w:rsidRPr="00CC6553">
                            <w:rPr>
                              <w:noProof/>
                              <w:color w:val="000000" w:themeColor="text1"/>
                            </w:rPr>
                            <w:t xml:space="preserve">[18] </w:t>
                          </w:r>
                        </w:p>
                      </w:tc>
                      <w:tc>
                        <w:tcPr>
                          <w:tcW w:w="4489" w:type="pct"/>
                          <w:hideMark/>
                        </w:tcPr>
                        <w:p w14:paraId="7AF34C92" w14:textId="77777777" w:rsidR="00897293" w:rsidRPr="00CC6553" w:rsidRDefault="00897293" w:rsidP="00B234F1">
                          <w:pPr>
                            <w:pStyle w:val="Bibliography"/>
                            <w:rPr>
                              <w:noProof/>
                              <w:color w:val="000000" w:themeColor="text1"/>
                            </w:rPr>
                          </w:pPr>
                          <w:r w:rsidRPr="00CC6553">
                            <w:rPr>
                              <w:noProof/>
                              <w:color w:val="000000" w:themeColor="text1"/>
                            </w:rPr>
                            <w:t>NICE, “Patiromer for treating hyperkalaemia,” 2020. [Online]. Available: https://www.nice.org.uk/guidance/ta623.</w:t>
                          </w:r>
                        </w:p>
                      </w:tc>
                    </w:tr>
                    <w:tr w:rsidR="00897293" w:rsidRPr="00CC6553" w14:paraId="6BF5A4B5" w14:textId="77777777" w:rsidTr="00897293">
                      <w:trPr>
                        <w:tblCellSpacing w:w="15" w:type="dxa"/>
                      </w:trPr>
                      <w:tc>
                        <w:tcPr>
                          <w:tcW w:w="435" w:type="pct"/>
                          <w:hideMark/>
                        </w:tcPr>
                        <w:p w14:paraId="7CE94C45" w14:textId="77777777" w:rsidR="00897293" w:rsidRPr="00CC6553" w:rsidRDefault="00897293" w:rsidP="00B234F1">
                          <w:pPr>
                            <w:pStyle w:val="Bibliography"/>
                            <w:rPr>
                              <w:noProof/>
                              <w:color w:val="000000" w:themeColor="text1"/>
                            </w:rPr>
                          </w:pPr>
                          <w:r w:rsidRPr="00CC6553">
                            <w:rPr>
                              <w:noProof/>
                              <w:color w:val="000000" w:themeColor="text1"/>
                            </w:rPr>
                            <w:t xml:space="preserve">[19] </w:t>
                          </w:r>
                        </w:p>
                      </w:tc>
                      <w:tc>
                        <w:tcPr>
                          <w:tcW w:w="4489" w:type="pct"/>
                          <w:hideMark/>
                        </w:tcPr>
                        <w:p w14:paraId="1D1FE735" w14:textId="77777777" w:rsidR="00897293" w:rsidRPr="00CC6553" w:rsidRDefault="00897293" w:rsidP="00B234F1">
                          <w:pPr>
                            <w:pStyle w:val="Bibliography"/>
                            <w:rPr>
                              <w:noProof/>
                              <w:color w:val="000000" w:themeColor="text1"/>
                            </w:rPr>
                          </w:pPr>
                          <w:r w:rsidRPr="00CC6553">
                            <w:rPr>
                              <w:noProof/>
                              <w:color w:val="000000" w:themeColor="text1"/>
                            </w:rPr>
                            <w:t xml:space="preserve">K. Swedberg, U. Idanpaan Heikila and J. Remes, “CONSENSUS trial study group: Effects of enalapril on mortality in severe congestive heart failure. Results of the cooperative north scandinavian enalapril survival study (CONSENSUS),” </w:t>
                          </w:r>
                          <w:r w:rsidRPr="00CC6553">
                            <w:rPr>
                              <w:i/>
                              <w:iCs/>
                              <w:noProof/>
                              <w:color w:val="000000" w:themeColor="text1"/>
                            </w:rPr>
                            <w:t xml:space="preserve">N Engl J Med, </w:t>
                          </w:r>
                          <w:r w:rsidRPr="00CC6553">
                            <w:rPr>
                              <w:noProof/>
                              <w:color w:val="000000" w:themeColor="text1"/>
                            </w:rPr>
                            <w:t xml:space="preserve">vol. 316, no. 23, pp. 1429-1435, 1987. </w:t>
                          </w:r>
                        </w:p>
                      </w:tc>
                    </w:tr>
                    <w:tr w:rsidR="00897293" w:rsidRPr="00CC6553" w14:paraId="20E19AC5" w14:textId="77777777" w:rsidTr="00897293">
                      <w:trPr>
                        <w:tblCellSpacing w:w="15" w:type="dxa"/>
                      </w:trPr>
                      <w:tc>
                        <w:tcPr>
                          <w:tcW w:w="435" w:type="pct"/>
                          <w:hideMark/>
                        </w:tcPr>
                        <w:p w14:paraId="49BCA665" w14:textId="77777777" w:rsidR="00897293" w:rsidRPr="00CC6553" w:rsidRDefault="00897293" w:rsidP="00B234F1">
                          <w:pPr>
                            <w:pStyle w:val="Bibliography"/>
                            <w:rPr>
                              <w:noProof/>
                              <w:color w:val="000000" w:themeColor="text1"/>
                            </w:rPr>
                          </w:pPr>
                          <w:r w:rsidRPr="00CC6553">
                            <w:rPr>
                              <w:noProof/>
                              <w:color w:val="000000" w:themeColor="text1"/>
                            </w:rPr>
                            <w:t xml:space="preserve">[20] </w:t>
                          </w:r>
                        </w:p>
                      </w:tc>
                      <w:tc>
                        <w:tcPr>
                          <w:tcW w:w="4489" w:type="pct"/>
                          <w:hideMark/>
                        </w:tcPr>
                        <w:p w14:paraId="6548473B" w14:textId="77777777" w:rsidR="00897293" w:rsidRPr="00CC6553" w:rsidRDefault="00897293" w:rsidP="00B234F1">
                          <w:pPr>
                            <w:pStyle w:val="Bibliography"/>
                            <w:rPr>
                              <w:noProof/>
                              <w:color w:val="000000" w:themeColor="text1"/>
                            </w:rPr>
                          </w:pPr>
                          <w:r w:rsidRPr="00CC6553">
                            <w:rPr>
                              <w:noProof/>
                              <w:color w:val="000000" w:themeColor="text1"/>
                            </w:rPr>
                            <w:t xml:space="preserve">S. Investigators*, “Effect of enalapril on survival in patients with reduced left ventricular ejection fractions and congestive heart failure,” </w:t>
                          </w:r>
                          <w:r w:rsidRPr="00CC6553">
                            <w:rPr>
                              <w:i/>
                              <w:iCs/>
                              <w:noProof/>
                              <w:color w:val="000000" w:themeColor="text1"/>
                            </w:rPr>
                            <w:t xml:space="preserve">New England Journal of Medicine, </w:t>
                          </w:r>
                          <w:r w:rsidRPr="00CC6553">
                            <w:rPr>
                              <w:noProof/>
                              <w:color w:val="000000" w:themeColor="text1"/>
                            </w:rPr>
                            <w:t xml:space="preserve">vol. 325, no. 5, pp. 293-302, 1991. </w:t>
                          </w:r>
                        </w:p>
                      </w:tc>
                    </w:tr>
                    <w:tr w:rsidR="00897293" w:rsidRPr="00CC6553" w14:paraId="17B0DB7F" w14:textId="77777777" w:rsidTr="00897293">
                      <w:trPr>
                        <w:tblCellSpacing w:w="15" w:type="dxa"/>
                      </w:trPr>
                      <w:tc>
                        <w:tcPr>
                          <w:tcW w:w="435" w:type="pct"/>
                          <w:hideMark/>
                        </w:tcPr>
                        <w:p w14:paraId="09FB4678" w14:textId="77777777" w:rsidR="00897293" w:rsidRPr="00CC6553" w:rsidRDefault="00897293" w:rsidP="00B234F1">
                          <w:pPr>
                            <w:pStyle w:val="Bibliography"/>
                            <w:rPr>
                              <w:noProof/>
                              <w:color w:val="000000" w:themeColor="text1"/>
                            </w:rPr>
                          </w:pPr>
                          <w:r w:rsidRPr="00CC6553">
                            <w:rPr>
                              <w:noProof/>
                              <w:color w:val="000000" w:themeColor="text1"/>
                            </w:rPr>
                            <w:lastRenderedPageBreak/>
                            <w:t xml:space="preserve">[21] </w:t>
                          </w:r>
                        </w:p>
                      </w:tc>
                      <w:tc>
                        <w:tcPr>
                          <w:tcW w:w="4489" w:type="pct"/>
                          <w:hideMark/>
                        </w:tcPr>
                        <w:p w14:paraId="07CB2757" w14:textId="77777777" w:rsidR="00897293" w:rsidRPr="00CC6553" w:rsidRDefault="00897293" w:rsidP="00B234F1">
                          <w:pPr>
                            <w:pStyle w:val="Bibliography"/>
                            <w:rPr>
                              <w:noProof/>
                              <w:color w:val="000000" w:themeColor="text1"/>
                            </w:rPr>
                          </w:pPr>
                          <w:r w:rsidRPr="00CC6553">
                            <w:rPr>
                              <w:noProof/>
                              <w:color w:val="000000" w:themeColor="text1"/>
                            </w:rPr>
                            <w:t xml:space="preserve">M. Packer, P. A. Poole-Wilson, P. W. Armstrong, J. G. Cleland, J. D. Horowitz, B. M. Massie, L. Rydén, K. Thygesen and B. F. Uretsky, “Comparative effects of low and high doses of the angiotensin-converting enzyme inhibitor, lisinopril, on morbidity and mortality in chronic heart failure,” </w:t>
                          </w:r>
                          <w:r w:rsidRPr="00CC6553">
                            <w:rPr>
                              <w:i/>
                              <w:iCs/>
                              <w:noProof/>
                              <w:color w:val="000000" w:themeColor="text1"/>
                            </w:rPr>
                            <w:t xml:space="preserve">Circulation, </w:t>
                          </w:r>
                          <w:r w:rsidRPr="00CC6553">
                            <w:rPr>
                              <w:noProof/>
                              <w:color w:val="000000" w:themeColor="text1"/>
                            </w:rPr>
                            <w:t xml:space="preserve">vol. 100, no. 23, pp. 2312-2318, 1999. </w:t>
                          </w:r>
                        </w:p>
                      </w:tc>
                    </w:tr>
                    <w:tr w:rsidR="00897293" w:rsidRPr="00CC6553" w14:paraId="1D2C8A06" w14:textId="77777777" w:rsidTr="00897293">
                      <w:trPr>
                        <w:tblCellSpacing w:w="15" w:type="dxa"/>
                      </w:trPr>
                      <w:tc>
                        <w:tcPr>
                          <w:tcW w:w="435" w:type="pct"/>
                          <w:hideMark/>
                        </w:tcPr>
                        <w:p w14:paraId="76E15506" w14:textId="77777777" w:rsidR="00897293" w:rsidRPr="00CC6553" w:rsidRDefault="00897293" w:rsidP="00B234F1">
                          <w:pPr>
                            <w:pStyle w:val="Bibliography"/>
                            <w:rPr>
                              <w:noProof/>
                              <w:color w:val="000000" w:themeColor="text1"/>
                            </w:rPr>
                          </w:pPr>
                          <w:r w:rsidRPr="00CC6553">
                            <w:rPr>
                              <w:noProof/>
                              <w:color w:val="000000" w:themeColor="text1"/>
                            </w:rPr>
                            <w:t xml:space="preserve">[22] </w:t>
                          </w:r>
                        </w:p>
                      </w:tc>
                      <w:tc>
                        <w:tcPr>
                          <w:tcW w:w="4489" w:type="pct"/>
                          <w:hideMark/>
                        </w:tcPr>
                        <w:p w14:paraId="3D87C8BB" w14:textId="77777777" w:rsidR="00897293" w:rsidRPr="00CC6553" w:rsidRDefault="00897293" w:rsidP="00B234F1">
                          <w:pPr>
                            <w:pStyle w:val="Bibliography"/>
                            <w:rPr>
                              <w:noProof/>
                              <w:color w:val="000000" w:themeColor="text1"/>
                            </w:rPr>
                          </w:pPr>
                          <w:r w:rsidRPr="00CC6553">
                            <w:rPr>
                              <w:noProof/>
                              <w:color w:val="000000" w:themeColor="text1"/>
                            </w:rPr>
                            <w:t xml:space="preserve">B. Pitt, F. Zannad, W. J. Remme, R. Cody, A. Castaigne, A. Perez, J. Palensky and J. Wittes, “The effect of spironolactone on morbidity and mortality in patients with severe heart failure,” </w:t>
                          </w:r>
                          <w:r w:rsidRPr="00CC6553">
                            <w:rPr>
                              <w:i/>
                              <w:iCs/>
                              <w:noProof/>
                              <w:color w:val="000000" w:themeColor="text1"/>
                            </w:rPr>
                            <w:t xml:space="preserve">New England Journal of Medicine, </w:t>
                          </w:r>
                          <w:r w:rsidRPr="00CC6553">
                            <w:rPr>
                              <w:noProof/>
                              <w:color w:val="000000" w:themeColor="text1"/>
                            </w:rPr>
                            <w:t xml:space="preserve">vol. 341, no. 10, pp. 709-717, 1999. </w:t>
                          </w:r>
                        </w:p>
                      </w:tc>
                    </w:tr>
                    <w:tr w:rsidR="00897293" w:rsidRPr="00CC6553" w14:paraId="4541F88D" w14:textId="77777777" w:rsidTr="00897293">
                      <w:trPr>
                        <w:tblCellSpacing w:w="15" w:type="dxa"/>
                      </w:trPr>
                      <w:tc>
                        <w:tcPr>
                          <w:tcW w:w="435" w:type="pct"/>
                          <w:hideMark/>
                        </w:tcPr>
                        <w:p w14:paraId="50B7C4B9" w14:textId="77777777" w:rsidR="00897293" w:rsidRPr="00CC6553" w:rsidRDefault="00897293" w:rsidP="00B234F1">
                          <w:pPr>
                            <w:pStyle w:val="Bibliography"/>
                            <w:rPr>
                              <w:noProof/>
                              <w:color w:val="000000" w:themeColor="text1"/>
                            </w:rPr>
                          </w:pPr>
                          <w:r w:rsidRPr="00CC6553">
                            <w:rPr>
                              <w:noProof/>
                              <w:color w:val="000000" w:themeColor="text1"/>
                            </w:rPr>
                            <w:t xml:space="preserve">[23] </w:t>
                          </w:r>
                        </w:p>
                      </w:tc>
                      <w:tc>
                        <w:tcPr>
                          <w:tcW w:w="4489" w:type="pct"/>
                          <w:hideMark/>
                        </w:tcPr>
                        <w:p w14:paraId="3502BE0E" w14:textId="77777777" w:rsidR="00897293" w:rsidRPr="00CC6553" w:rsidRDefault="00897293" w:rsidP="00B234F1">
                          <w:pPr>
                            <w:pStyle w:val="Bibliography"/>
                            <w:rPr>
                              <w:noProof/>
                              <w:color w:val="000000" w:themeColor="text1"/>
                            </w:rPr>
                          </w:pPr>
                          <w:r w:rsidRPr="00CC6553">
                            <w:rPr>
                              <w:noProof/>
                              <w:color w:val="000000" w:themeColor="text1"/>
                            </w:rPr>
                            <w:t xml:space="preserve">F. Zannad, J. J. McMurray, H. Krum, D. J. van Veldhuisen, K. Swedberg, H. Shi, J. Vincent, S. J. Pocock and B. Pitt, “Eplerenone in patients with systolic heart failure and mild symptoms,” </w:t>
                          </w:r>
                          <w:r w:rsidRPr="00CC6553">
                            <w:rPr>
                              <w:i/>
                              <w:iCs/>
                              <w:noProof/>
                              <w:color w:val="000000" w:themeColor="text1"/>
                            </w:rPr>
                            <w:t xml:space="preserve">New England Journal of Medicine, </w:t>
                          </w:r>
                          <w:r w:rsidRPr="00CC6553">
                            <w:rPr>
                              <w:noProof/>
                              <w:color w:val="000000" w:themeColor="text1"/>
                            </w:rPr>
                            <w:t xml:space="preserve">vol. 364, no. 1, pp. 11-21, 2011. </w:t>
                          </w:r>
                        </w:p>
                      </w:tc>
                    </w:tr>
                    <w:tr w:rsidR="00897293" w:rsidRPr="00CC6553" w14:paraId="71C9AF36" w14:textId="77777777" w:rsidTr="00897293">
                      <w:trPr>
                        <w:tblCellSpacing w:w="15" w:type="dxa"/>
                      </w:trPr>
                      <w:tc>
                        <w:tcPr>
                          <w:tcW w:w="435" w:type="pct"/>
                          <w:hideMark/>
                        </w:tcPr>
                        <w:p w14:paraId="0EE90E6B" w14:textId="77777777" w:rsidR="00897293" w:rsidRPr="00CC6553" w:rsidRDefault="00897293" w:rsidP="00B234F1">
                          <w:pPr>
                            <w:pStyle w:val="Bibliography"/>
                            <w:rPr>
                              <w:noProof/>
                              <w:color w:val="000000" w:themeColor="text1"/>
                            </w:rPr>
                          </w:pPr>
                          <w:r w:rsidRPr="00CC6553">
                            <w:rPr>
                              <w:noProof/>
                              <w:color w:val="000000" w:themeColor="text1"/>
                            </w:rPr>
                            <w:t xml:space="preserve">[24] </w:t>
                          </w:r>
                        </w:p>
                      </w:tc>
                      <w:tc>
                        <w:tcPr>
                          <w:tcW w:w="4489" w:type="pct"/>
                          <w:hideMark/>
                        </w:tcPr>
                        <w:p w14:paraId="1DDAE681" w14:textId="77777777" w:rsidR="00897293" w:rsidRPr="00CC6553" w:rsidRDefault="00897293" w:rsidP="00B234F1">
                          <w:pPr>
                            <w:pStyle w:val="Bibliography"/>
                            <w:rPr>
                              <w:noProof/>
                              <w:color w:val="000000" w:themeColor="text1"/>
                            </w:rPr>
                          </w:pPr>
                          <w:r w:rsidRPr="00CC6553">
                            <w:rPr>
                              <w:noProof/>
                              <w:color w:val="000000" w:themeColor="text1"/>
                            </w:rPr>
                            <w:t xml:space="preserve">J. J. McMurray, M. Packer, A. S. Desai, J. Gong, M. P. Lefkowitz, A. R. Rizkala and J. L. Rouleau, “Angiotensin–neprilysin inhibition versus enalapril in heart failure,” </w:t>
                          </w:r>
                          <w:r w:rsidRPr="00CC6553">
                            <w:rPr>
                              <w:i/>
                              <w:iCs/>
                              <w:noProof/>
                              <w:color w:val="000000" w:themeColor="text1"/>
                            </w:rPr>
                            <w:t xml:space="preserve">New England Journal of Medicine, </w:t>
                          </w:r>
                          <w:r w:rsidRPr="00CC6553">
                            <w:rPr>
                              <w:noProof/>
                              <w:color w:val="000000" w:themeColor="text1"/>
                            </w:rPr>
                            <w:t xml:space="preserve">vol. 371, no. 11, pp. 993-1004, 2014. </w:t>
                          </w:r>
                        </w:p>
                      </w:tc>
                    </w:tr>
                    <w:tr w:rsidR="00897293" w:rsidRPr="00CC6553" w14:paraId="5143E65C" w14:textId="77777777" w:rsidTr="00897293">
                      <w:trPr>
                        <w:tblCellSpacing w:w="15" w:type="dxa"/>
                      </w:trPr>
                      <w:tc>
                        <w:tcPr>
                          <w:tcW w:w="435" w:type="pct"/>
                          <w:hideMark/>
                        </w:tcPr>
                        <w:p w14:paraId="6153AE57" w14:textId="77777777" w:rsidR="00897293" w:rsidRPr="00CC6553" w:rsidRDefault="00897293" w:rsidP="00B234F1">
                          <w:pPr>
                            <w:pStyle w:val="Bibliography"/>
                            <w:rPr>
                              <w:noProof/>
                              <w:color w:val="000000" w:themeColor="text1"/>
                            </w:rPr>
                          </w:pPr>
                          <w:r w:rsidRPr="00CC6553">
                            <w:rPr>
                              <w:noProof/>
                              <w:color w:val="000000" w:themeColor="text1"/>
                            </w:rPr>
                            <w:t xml:space="preserve">[25] </w:t>
                          </w:r>
                        </w:p>
                      </w:tc>
                      <w:tc>
                        <w:tcPr>
                          <w:tcW w:w="4489" w:type="pct"/>
                          <w:hideMark/>
                        </w:tcPr>
                        <w:p w14:paraId="62542608" w14:textId="77777777" w:rsidR="00897293" w:rsidRPr="00CC6553" w:rsidRDefault="00897293" w:rsidP="00B234F1">
                          <w:pPr>
                            <w:pStyle w:val="Bibliography"/>
                            <w:rPr>
                              <w:noProof/>
                              <w:color w:val="000000" w:themeColor="text1"/>
                            </w:rPr>
                          </w:pPr>
                          <w:r w:rsidRPr="00CC6553">
                            <w:rPr>
                              <w:noProof/>
                              <w:color w:val="000000" w:themeColor="text1"/>
                            </w:rPr>
                            <w:t xml:space="preserve">E. Palaka, S. Grandy, O. Darlington, P. McEwan and A. van Doornewaard, “Associations between serum potassium and adverse clinical outcomes: a systematic literature review,” </w:t>
                          </w:r>
                          <w:r w:rsidRPr="00CC6553">
                            <w:rPr>
                              <w:i/>
                              <w:iCs/>
                              <w:noProof/>
                              <w:color w:val="000000" w:themeColor="text1"/>
                            </w:rPr>
                            <w:t xml:space="preserve">International journal of clinical practice, </w:t>
                          </w:r>
                          <w:r w:rsidRPr="00CC6553">
                            <w:rPr>
                              <w:noProof/>
                              <w:color w:val="000000" w:themeColor="text1"/>
                            </w:rPr>
                            <w:t xml:space="preserve">vol. 74, no. 1, p. e13421, 2020. </w:t>
                          </w:r>
                        </w:p>
                      </w:tc>
                    </w:tr>
                    <w:tr w:rsidR="00897293" w:rsidRPr="00CC6553" w14:paraId="2E0748C3" w14:textId="77777777" w:rsidTr="00897293">
                      <w:trPr>
                        <w:tblCellSpacing w:w="15" w:type="dxa"/>
                      </w:trPr>
                      <w:tc>
                        <w:tcPr>
                          <w:tcW w:w="435" w:type="pct"/>
                          <w:hideMark/>
                        </w:tcPr>
                        <w:p w14:paraId="34E92F04" w14:textId="77777777" w:rsidR="00897293" w:rsidRPr="00CC6553" w:rsidRDefault="00897293" w:rsidP="00B234F1">
                          <w:pPr>
                            <w:pStyle w:val="Bibliography"/>
                            <w:rPr>
                              <w:noProof/>
                              <w:color w:val="000000" w:themeColor="text1"/>
                            </w:rPr>
                          </w:pPr>
                          <w:r w:rsidRPr="00CC6553">
                            <w:rPr>
                              <w:noProof/>
                              <w:color w:val="000000" w:themeColor="text1"/>
                            </w:rPr>
                            <w:t xml:space="preserve">[26] </w:t>
                          </w:r>
                        </w:p>
                      </w:tc>
                      <w:tc>
                        <w:tcPr>
                          <w:tcW w:w="4489" w:type="pct"/>
                          <w:hideMark/>
                        </w:tcPr>
                        <w:p w14:paraId="70BD6CE4" w14:textId="77777777" w:rsidR="00897293" w:rsidRPr="00CC6553" w:rsidRDefault="00897293" w:rsidP="00B234F1">
                          <w:pPr>
                            <w:pStyle w:val="Bibliography"/>
                            <w:rPr>
                              <w:noProof/>
                              <w:color w:val="000000" w:themeColor="text1"/>
                            </w:rPr>
                          </w:pPr>
                          <w:r w:rsidRPr="00CC6553">
                            <w:rPr>
                              <w:noProof/>
                              <w:color w:val="000000" w:themeColor="text1"/>
                            </w:rPr>
                            <w:t xml:space="preserve">L. Qin, P. McEwan, M. Evans, K. Bergenheim, L. Horne and S. Grandy, “MO067 The Relationship Between Serum K+ and Incidence Rates of Major Adverse Cardiovascular Events and </w:t>
                          </w:r>
                          <w:r w:rsidRPr="00CC6553">
                            <w:rPr>
                              <w:noProof/>
                              <w:color w:val="000000" w:themeColor="text1"/>
                            </w:rPr>
                            <w:lastRenderedPageBreak/>
                            <w:t xml:space="preserve">Mortality in UK Patients With CKD,” </w:t>
                          </w:r>
                          <w:r w:rsidRPr="00CC6553">
                            <w:rPr>
                              <w:i/>
                              <w:iCs/>
                              <w:noProof/>
                              <w:color w:val="000000" w:themeColor="text1"/>
                            </w:rPr>
                            <w:t xml:space="preserve">Nephrology Dialysis Transplantation, </w:t>
                          </w:r>
                          <w:r w:rsidRPr="00CC6553">
                            <w:rPr>
                              <w:noProof/>
                              <w:color w:val="000000" w:themeColor="text1"/>
                            </w:rPr>
                            <w:t xml:space="preserve">vol. 32, no. suppl_3, pp. iii73-iii74, 2017. </w:t>
                          </w:r>
                        </w:p>
                      </w:tc>
                    </w:tr>
                    <w:tr w:rsidR="00897293" w:rsidRPr="00CC6553" w14:paraId="0A4056BC" w14:textId="77777777" w:rsidTr="00897293">
                      <w:trPr>
                        <w:tblCellSpacing w:w="15" w:type="dxa"/>
                      </w:trPr>
                      <w:tc>
                        <w:tcPr>
                          <w:tcW w:w="435" w:type="pct"/>
                          <w:hideMark/>
                        </w:tcPr>
                        <w:p w14:paraId="687F23E6" w14:textId="77777777" w:rsidR="00897293" w:rsidRPr="00CC6553" w:rsidRDefault="00897293" w:rsidP="00B234F1">
                          <w:pPr>
                            <w:pStyle w:val="Bibliography"/>
                            <w:rPr>
                              <w:noProof/>
                              <w:color w:val="000000" w:themeColor="text1"/>
                            </w:rPr>
                          </w:pPr>
                          <w:r w:rsidRPr="00CC6553">
                            <w:rPr>
                              <w:noProof/>
                              <w:color w:val="000000" w:themeColor="text1"/>
                            </w:rPr>
                            <w:lastRenderedPageBreak/>
                            <w:t xml:space="preserve">[27] </w:t>
                          </w:r>
                        </w:p>
                      </w:tc>
                      <w:tc>
                        <w:tcPr>
                          <w:tcW w:w="4489" w:type="pct"/>
                          <w:hideMark/>
                        </w:tcPr>
                        <w:p w14:paraId="70911E32" w14:textId="77777777" w:rsidR="00897293" w:rsidRPr="00CC6553" w:rsidRDefault="00897293" w:rsidP="00B234F1">
                          <w:pPr>
                            <w:pStyle w:val="Bibliography"/>
                            <w:rPr>
                              <w:noProof/>
                              <w:color w:val="000000" w:themeColor="text1"/>
                            </w:rPr>
                          </w:pPr>
                          <w:r w:rsidRPr="00CC6553">
                            <w:rPr>
                              <w:noProof/>
                              <w:color w:val="000000" w:themeColor="text1"/>
                            </w:rPr>
                            <w:t xml:space="preserve">C. P. Kovesdy, K. Matsushita, Y. Sang, N. J. Brunskill, J. J. Carrero, G. Chodick and T. Hasegawa, “Serum potassium and adverse outcomes across the range of kidney function: a CKD Prognosis Consortium meta-analysis,” </w:t>
                          </w:r>
                          <w:r w:rsidRPr="00CC6553">
                            <w:rPr>
                              <w:i/>
                              <w:iCs/>
                              <w:noProof/>
                              <w:color w:val="000000" w:themeColor="text1"/>
                            </w:rPr>
                            <w:t xml:space="preserve">European heart journal, </w:t>
                          </w:r>
                          <w:r w:rsidRPr="00CC6553">
                            <w:rPr>
                              <w:noProof/>
                              <w:color w:val="000000" w:themeColor="text1"/>
                            </w:rPr>
                            <w:t xml:space="preserve">vol. 39, no. 17, pp. 1535-1542, 2018. </w:t>
                          </w:r>
                        </w:p>
                      </w:tc>
                    </w:tr>
                    <w:tr w:rsidR="00897293" w:rsidRPr="00CC6553" w14:paraId="0F58066D" w14:textId="77777777" w:rsidTr="00897293">
                      <w:trPr>
                        <w:tblCellSpacing w:w="15" w:type="dxa"/>
                      </w:trPr>
                      <w:tc>
                        <w:tcPr>
                          <w:tcW w:w="435" w:type="pct"/>
                          <w:hideMark/>
                        </w:tcPr>
                        <w:p w14:paraId="614C136E" w14:textId="77777777" w:rsidR="00897293" w:rsidRPr="00CC6553" w:rsidRDefault="00897293" w:rsidP="00B234F1">
                          <w:pPr>
                            <w:pStyle w:val="Bibliography"/>
                            <w:rPr>
                              <w:noProof/>
                              <w:color w:val="000000" w:themeColor="text1"/>
                            </w:rPr>
                          </w:pPr>
                          <w:r w:rsidRPr="00CC6553">
                            <w:rPr>
                              <w:noProof/>
                              <w:color w:val="000000" w:themeColor="text1"/>
                            </w:rPr>
                            <w:t xml:space="preserve">[28] </w:t>
                          </w:r>
                        </w:p>
                      </w:tc>
                      <w:tc>
                        <w:tcPr>
                          <w:tcW w:w="4489" w:type="pct"/>
                          <w:hideMark/>
                        </w:tcPr>
                        <w:p w14:paraId="3E925873" w14:textId="77777777" w:rsidR="00897293" w:rsidRPr="00CC6553" w:rsidRDefault="00897293" w:rsidP="00B234F1">
                          <w:pPr>
                            <w:pStyle w:val="Bibliography"/>
                            <w:rPr>
                              <w:noProof/>
                              <w:color w:val="000000" w:themeColor="text1"/>
                            </w:rPr>
                          </w:pPr>
                          <w:r w:rsidRPr="00CC6553">
                            <w:rPr>
                              <w:noProof/>
                              <w:color w:val="000000" w:themeColor="text1"/>
                            </w:rPr>
                            <w:t xml:space="preserve">R. W. Thomsen, S. K. Nicolaisen, P. Hasvold and H. T. Sorensen, “P5827 Elevated potassium levels in patients with congestive heart failure: incidence and clinical outcomes. A Danish population based cohort study,” </w:t>
                          </w:r>
                          <w:r w:rsidRPr="00CC6553">
                            <w:rPr>
                              <w:i/>
                              <w:iCs/>
                              <w:noProof/>
                              <w:color w:val="000000" w:themeColor="text1"/>
                            </w:rPr>
                            <w:t xml:space="preserve">European Heart Journal, </w:t>
                          </w:r>
                          <w:r w:rsidRPr="00CC6553">
                            <w:rPr>
                              <w:noProof/>
                              <w:color w:val="000000" w:themeColor="text1"/>
                            </w:rPr>
                            <w:t xml:space="preserve">vol. 38, no. suppl_1, pp. ehx493-P5827, 2017. </w:t>
                          </w:r>
                        </w:p>
                      </w:tc>
                    </w:tr>
                    <w:tr w:rsidR="00897293" w:rsidRPr="00CC6553" w14:paraId="5224DC38" w14:textId="77777777" w:rsidTr="00897293">
                      <w:trPr>
                        <w:tblCellSpacing w:w="15" w:type="dxa"/>
                      </w:trPr>
                      <w:tc>
                        <w:tcPr>
                          <w:tcW w:w="435" w:type="pct"/>
                          <w:hideMark/>
                        </w:tcPr>
                        <w:p w14:paraId="3EFB447C" w14:textId="77777777" w:rsidR="00897293" w:rsidRPr="00CC6553" w:rsidRDefault="00897293" w:rsidP="00B234F1">
                          <w:pPr>
                            <w:pStyle w:val="Bibliography"/>
                            <w:rPr>
                              <w:noProof/>
                              <w:color w:val="000000" w:themeColor="text1"/>
                            </w:rPr>
                          </w:pPr>
                          <w:r w:rsidRPr="00CC6553">
                            <w:rPr>
                              <w:noProof/>
                              <w:color w:val="000000" w:themeColor="text1"/>
                            </w:rPr>
                            <w:t xml:space="preserve">[29] </w:t>
                          </w:r>
                        </w:p>
                      </w:tc>
                      <w:tc>
                        <w:tcPr>
                          <w:tcW w:w="4489" w:type="pct"/>
                          <w:hideMark/>
                        </w:tcPr>
                        <w:p w14:paraId="487F2E6D" w14:textId="77777777" w:rsidR="00897293" w:rsidRPr="00CC6553" w:rsidRDefault="00897293" w:rsidP="00B234F1">
                          <w:pPr>
                            <w:pStyle w:val="Bibliography"/>
                            <w:rPr>
                              <w:noProof/>
                              <w:color w:val="000000" w:themeColor="text1"/>
                            </w:rPr>
                          </w:pPr>
                          <w:r w:rsidRPr="00CC6553">
                            <w:rPr>
                              <w:noProof/>
                              <w:color w:val="000000" w:themeColor="text1"/>
                            </w:rPr>
                            <w:t xml:space="preserve">L. Qin, P. McEwan, M. Evans, K. Bergenheim, L. Horne and S. Grandy, “P4901 Association between serum potassium and clinical outcomes in UK patients with heart failure,” </w:t>
                          </w:r>
                          <w:r w:rsidRPr="00CC6553">
                            <w:rPr>
                              <w:i/>
                              <w:iCs/>
                              <w:noProof/>
                              <w:color w:val="000000" w:themeColor="text1"/>
                            </w:rPr>
                            <w:t xml:space="preserve">European Heart Journal, </w:t>
                          </w:r>
                          <w:r w:rsidRPr="00CC6553">
                            <w:rPr>
                              <w:noProof/>
                              <w:color w:val="000000" w:themeColor="text1"/>
                            </w:rPr>
                            <w:t xml:space="preserve">vol. 38, no. suppl_1, pp. ehx493-P4901, 2017. </w:t>
                          </w:r>
                        </w:p>
                      </w:tc>
                    </w:tr>
                  </w:tbl>
                  <w:p w14:paraId="6B213B44" w14:textId="77777777" w:rsidR="00897293" w:rsidRPr="00CC6553" w:rsidRDefault="00897293" w:rsidP="00B234F1">
                    <w:pPr>
                      <w:rPr>
                        <w:noProof/>
                        <w:color w:val="000000" w:themeColor="text1"/>
                      </w:rPr>
                    </w:pPr>
                  </w:p>
                  <w:p w14:paraId="66FAC6F7" w14:textId="74EB8142" w:rsidR="00897293" w:rsidRPr="00CC6553" w:rsidRDefault="00897293" w:rsidP="00B234F1">
                    <w:pPr>
                      <w:pStyle w:val="Heading1"/>
                      <w:rPr>
                        <w:rFonts w:cs="Arial"/>
                        <w:b w:val="0"/>
                        <w:bCs w:val="0"/>
                        <w:color w:val="000000" w:themeColor="text1"/>
                        <w:sz w:val="20"/>
                      </w:rPr>
                    </w:pPr>
                    <w:r w:rsidRPr="00CC6553">
                      <w:rPr>
                        <w:b w:val="0"/>
                        <w:bCs w:val="0"/>
                        <w:noProof/>
                        <w:color w:val="000000" w:themeColor="text1"/>
                      </w:rPr>
                      <w:fldChar w:fldCharType="end"/>
                    </w:r>
                  </w:p>
                </w:sdtContent>
              </w:sdt>
            </w:sdtContent>
          </w:sdt>
        </w:tc>
        <w:tc>
          <w:tcPr>
            <w:tcW w:w="2122" w:type="pct"/>
          </w:tcPr>
          <w:p w14:paraId="3F912F3D" w14:textId="23513B45" w:rsidR="00897293" w:rsidRDefault="00897293" w:rsidP="00ED5869">
            <w:pPr>
              <w:pStyle w:val="Heading1"/>
              <w:rPr>
                <w:rFonts w:cs="Arial"/>
                <w:b w:val="0"/>
                <w:bCs w:val="0"/>
                <w:color w:val="000000" w:themeColor="text1"/>
                <w:sz w:val="20"/>
              </w:rPr>
            </w:pPr>
            <w:r w:rsidRPr="00CC6553">
              <w:rPr>
                <w:rFonts w:cs="Arial"/>
                <w:b w:val="0"/>
                <w:bCs w:val="0"/>
                <w:color w:val="000000" w:themeColor="text1"/>
                <w:sz w:val="20"/>
              </w:rPr>
              <w:lastRenderedPageBreak/>
              <w:t xml:space="preserve">Thank you for your comment. . </w:t>
            </w:r>
            <w:r>
              <w:rPr>
                <w:rFonts w:cs="Arial"/>
                <w:b w:val="0"/>
                <w:bCs w:val="0"/>
                <w:color w:val="000000" w:themeColor="text1"/>
                <w:sz w:val="20"/>
              </w:rPr>
              <w:t>The</w:t>
            </w:r>
            <w:r w:rsidRPr="00CC6553">
              <w:rPr>
                <w:rFonts w:cs="Arial"/>
                <w:b w:val="0"/>
                <w:bCs w:val="0"/>
                <w:color w:val="000000" w:themeColor="text1"/>
                <w:sz w:val="20"/>
              </w:rPr>
              <w:t xml:space="preserve"> randomised controlled trials listed have been </w:t>
            </w:r>
            <w:r>
              <w:rPr>
                <w:rFonts w:cs="Arial"/>
                <w:b w:val="0"/>
                <w:bCs w:val="0"/>
                <w:color w:val="000000" w:themeColor="text1"/>
                <w:sz w:val="20"/>
              </w:rPr>
              <w:t>checked</w:t>
            </w:r>
            <w:r w:rsidRPr="00CC6553">
              <w:rPr>
                <w:rFonts w:cs="Arial"/>
                <w:b w:val="0"/>
                <w:bCs w:val="0"/>
                <w:color w:val="000000" w:themeColor="text1"/>
                <w:sz w:val="20"/>
              </w:rPr>
              <w:t xml:space="preserve"> </w:t>
            </w:r>
            <w:r>
              <w:rPr>
                <w:rFonts w:cs="Arial"/>
                <w:b w:val="0"/>
                <w:bCs w:val="0"/>
                <w:color w:val="000000" w:themeColor="text1"/>
                <w:sz w:val="20"/>
              </w:rPr>
              <w:t xml:space="preserve">to ensure no relevant trial was omitted from this guideline update. </w:t>
            </w:r>
          </w:p>
          <w:p w14:paraId="07D53F57" w14:textId="7E5B8D05" w:rsidR="00897293" w:rsidRDefault="00897293" w:rsidP="00ED5869">
            <w:pPr>
              <w:pStyle w:val="Heading1"/>
              <w:rPr>
                <w:rFonts w:cs="Arial"/>
                <w:b w:val="0"/>
                <w:bCs w:val="0"/>
                <w:color w:val="000000" w:themeColor="text1"/>
                <w:sz w:val="20"/>
              </w:rPr>
            </w:pPr>
            <w:r>
              <w:rPr>
                <w:rFonts w:cs="Arial"/>
                <w:b w:val="0"/>
                <w:bCs w:val="0"/>
                <w:color w:val="000000" w:themeColor="text1"/>
                <w:sz w:val="20"/>
              </w:rPr>
              <w:t xml:space="preserve">During guideline development, published trials were assessed for eligibility initially at the title and abstract search stage and then at the full-text assessment stage during for each evidence review. Where a trial did not meet the protocol inclusion criteria at full-text assessment, the reason for exclusion has been listed in appendix J of each evidence review. </w:t>
            </w:r>
          </w:p>
          <w:p w14:paraId="3DAFE7BE" w14:textId="78985A83" w:rsidR="00897293" w:rsidRPr="00CC6553" w:rsidRDefault="00897293" w:rsidP="00B234F1">
            <w:pPr>
              <w:pStyle w:val="Heading1"/>
              <w:rPr>
                <w:rFonts w:cs="Arial"/>
                <w:b w:val="0"/>
                <w:color w:val="000000" w:themeColor="text1"/>
                <w:sz w:val="20"/>
              </w:rPr>
            </w:pPr>
            <w:r w:rsidRPr="00CC6553">
              <w:rPr>
                <w:rFonts w:cs="Arial"/>
                <w:b w:val="0"/>
                <w:bCs w:val="0"/>
                <w:color w:val="000000" w:themeColor="text1"/>
                <w:sz w:val="20"/>
              </w:rPr>
              <w:t xml:space="preserve">Please note, due to the existing NICE TA guidance on </w:t>
            </w:r>
            <w:r w:rsidRPr="00CC6553">
              <w:rPr>
                <w:rFonts w:eastAsia="Arial" w:cs="Arial"/>
                <w:b w:val="0"/>
                <w:color w:val="000000" w:themeColor="text1"/>
                <w:sz w:val="20"/>
              </w:rPr>
              <w:t>dapagliflozin and empagliflozin</w:t>
            </w:r>
            <w:r w:rsidRPr="00CC6553">
              <w:rPr>
                <w:rFonts w:eastAsia="Arial" w:cs="Arial"/>
                <w:b w:val="0"/>
                <w:bCs w:val="0"/>
                <w:color w:val="000000" w:themeColor="text1"/>
                <w:sz w:val="20"/>
              </w:rPr>
              <w:t xml:space="preserve"> (TA902 and TA929)</w:t>
            </w:r>
            <w:r w:rsidRPr="00CC6553">
              <w:rPr>
                <w:rFonts w:cs="Arial"/>
                <w:b w:val="0"/>
                <w:bCs w:val="0"/>
                <w:color w:val="000000" w:themeColor="text1"/>
                <w:sz w:val="20"/>
              </w:rPr>
              <w:t xml:space="preserve"> these interventions were not reviewed in this guideline update for populations with mildly reduced or preserved ejection fraction. </w:t>
            </w:r>
          </w:p>
        </w:tc>
      </w:tr>
      <w:tr w:rsidR="00897293" w:rsidRPr="00CC6553" w14:paraId="7D7EE5BB" w14:textId="77777777" w:rsidTr="00897293">
        <w:trPr>
          <w:trHeight w:val="300"/>
        </w:trPr>
        <w:tc>
          <w:tcPr>
            <w:tcW w:w="109" w:type="pct"/>
          </w:tcPr>
          <w:p w14:paraId="4071A944" w14:textId="17C8DC8F" w:rsidR="00897293" w:rsidRPr="00CC6553" w:rsidRDefault="00897293" w:rsidP="00B234F1">
            <w:pPr>
              <w:rPr>
                <w:rFonts w:cs="Arial"/>
                <w:color w:val="000000" w:themeColor="text1"/>
                <w:sz w:val="20"/>
              </w:rPr>
            </w:pPr>
            <w:r w:rsidRPr="00CC6553">
              <w:rPr>
                <w:rFonts w:cs="Arial"/>
                <w:color w:val="000000" w:themeColor="text1"/>
                <w:sz w:val="20"/>
              </w:rPr>
              <w:lastRenderedPageBreak/>
              <w:t>409</w:t>
            </w:r>
          </w:p>
        </w:tc>
        <w:tc>
          <w:tcPr>
            <w:tcW w:w="143" w:type="pct"/>
          </w:tcPr>
          <w:p w14:paraId="63777203" w14:textId="721009C3"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785DD4E6" w14:textId="25491F12" w:rsidR="00897293" w:rsidRPr="00CC6553" w:rsidRDefault="00897293" w:rsidP="00B234F1">
            <w:pPr>
              <w:rPr>
                <w:rFonts w:cs="Arial"/>
                <w:color w:val="000000" w:themeColor="text1"/>
                <w:sz w:val="20"/>
              </w:rPr>
            </w:pPr>
            <w:r w:rsidRPr="00CC6553">
              <w:rPr>
                <w:rFonts w:cs="Arial"/>
                <w:color w:val="000000" w:themeColor="text1"/>
                <w:sz w:val="20"/>
              </w:rPr>
              <w:t>British Medical Association</w:t>
            </w:r>
          </w:p>
        </w:tc>
        <w:tc>
          <w:tcPr>
            <w:tcW w:w="279" w:type="pct"/>
            <w:tcBorders>
              <w:top w:val="single" w:sz="6" w:space="0" w:color="auto"/>
              <w:left w:val="single" w:sz="6" w:space="0" w:color="auto"/>
              <w:bottom w:val="single" w:sz="6" w:space="0" w:color="auto"/>
              <w:right w:val="single" w:sz="6" w:space="0" w:color="auto"/>
            </w:tcBorders>
          </w:tcPr>
          <w:p w14:paraId="42BD6667" w14:textId="30F930DF" w:rsidR="00897293" w:rsidRPr="00CC6553" w:rsidRDefault="00897293" w:rsidP="00B234F1">
            <w:pPr>
              <w:rPr>
                <w:rFonts w:cs="Arial"/>
                <w:color w:val="000000" w:themeColor="text1"/>
                <w:sz w:val="20"/>
              </w:rPr>
            </w:pPr>
            <w:r w:rsidRPr="00CC6553">
              <w:rPr>
                <w:rStyle w:val="normaltextrun"/>
                <w:rFonts w:cs="Arial"/>
                <w:color w:val="000000" w:themeColor="text1"/>
                <w:szCs w:val="22"/>
              </w:rPr>
              <w:t>Guideline</w:t>
            </w:r>
            <w:r w:rsidRPr="00CC6553">
              <w:rPr>
                <w:rStyle w:val="eop"/>
                <w:rFonts w:cs="Arial"/>
                <w:color w:val="000000" w:themeColor="text1"/>
                <w:szCs w:val="22"/>
              </w:rPr>
              <w:t> </w:t>
            </w:r>
          </w:p>
        </w:tc>
        <w:tc>
          <w:tcPr>
            <w:tcW w:w="214" w:type="pct"/>
            <w:tcBorders>
              <w:top w:val="single" w:sz="6" w:space="0" w:color="auto"/>
              <w:left w:val="single" w:sz="6" w:space="0" w:color="auto"/>
              <w:bottom w:val="single" w:sz="6" w:space="0" w:color="auto"/>
              <w:right w:val="single" w:sz="6" w:space="0" w:color="auto"/>
            </w:tcBorders>
          </w:tcPr>
          <w:p w14:paraId="770E5827" w14:textId="62D4ACD5" w:rsidR="00897293" w:rsidRPr="00CC6553" w:rsidRDefault="00897293" w:rsidP="00B234F1">
            <w:pPr>
              <w:rPr>
                <w:rFonts w:cs="Arial"/>
                <w:color w:val="000000" w:themeColor="text1"/>
                <w:sz w:val="20"/>
              </w:rPr>
            </w:pPr>
            <w:r w:rsidRPr="00CC6553">
              <w:rPr>
                <w:rStyle w:val="normaltextrun"/>
                <w:rFonts w:cs="Arial"/>
                <w:color w:val="000000" w:themeColor="text1"/>
                <w:szCs w:val="22"/>
              </w:rPr>
              <w:t>General</w:t>
            </w:r>
            <w:r w:rsidRPr="00CC6553">
              <w:rPr>
                <w:rStyle w:val="eop"/>
                <w:rFonts w:cs="Arial"/>
                <w:color w:val="000000" w:themeColor="text1"/>
                <w:szCs w:val="22"/>
              </w:rPr>
              <w:t> </w:t>
            </w:r>
          </w:p>
        </w:tc>
        <w:tc>
          <w:tcPr>
            <w:tcW w:w="214" w:type="pct"/>
            <w:tcBorders>
              <w:top w:val="single" w:sz="6" w:space="0" w:color="auto"/>
              <w:left w:val="single" w:sz="6" w:space="0" w:color="auto"/>
              <w:bottom w:val="single" w:sz="6" w:space="0" w:color="auto"/>
              <w:right w:val="single" w:sz="6" w:space="0" w:color="auto"/>
            </w:tcBorders>
          </w:tcPr>
          <w:p w14:paraId="7C58CF18" w14:textId="13F74EB5" w:rsidR="00897293" w:rsidRPr="00CC6553" w:rsidRDefault="00897293" w:rsidP="00B234F1">
            <w:pPr>
              <w:rPr>
                <w:rFonts w:cs="Arial"/>
                <w:color w:val="000000" w:themeColor="text1"/>
                <w:sz w:val="20"/>
              </w:rPr>
            </w:pPr>
            <w:r w:rsidRPr="00CC6553">
              <w:rPr>
                <w:rStyle w:val="normaltextrun"/>
                <w:rFonts w:cs="Arial"/>
                <w:color w:val="000000" w:themeColor="text1"/>
                <w:szCs w:val="22"/>
              </w:rPr>
              <w:t>General</w:t>
            </w:r>
            <w:r w:rsidRPr="00CC6553">
              <w:rPr>
                <w:rStyle w:val="eop"/>
                <w:rFonts w:cs="Arial"/>
                <w:color w:val="000000" w:themeColor="text1"/>
                <w:szCs w:val="22"/>
              </w:rPr>
              <w:t> </w:t>
            </w:r>
          </w:p>
        </w:tc>
        <w:tc>
          <w:tcPr>
            <w:tcW w:w="1521" w:type="pct"/>
            <w:tcBorders>
              <w:top w:val="single" w:sz="6" w:space="0" w:color="auto"/>
              <w:left w:val="single" w:sz="6" w:space="0" w:color="auto"/>
              <w:bottom w:val="single" w:sz="6" w:space="0" w:color="auto"/>
              <w:right w:val="single" w:sz="6" w:space="0" w:color="auto"/>
            </w:tcBorders>
          </w:tcPr>
          <w:p w14:paraId="11933BBD" w14:textId="77777777" w:rsidR="00897293" w:rsidRPr="00CC6553" w:rsidRDefault="00897293" w:rsidP="00B234F1">
            <w:pPr>
              <w:pStyle w:val="paragraph0"/>
              <w:spacing w:before="0" w:beforeAutospacing="0" w:after="0" w:afterAutospacing="0"/>
              <w:textAlignment w:val="baseline"/>
              <w:divId w:val="518272922"/>
              <w:rPr>
                <w:rFonts w:ascii="Segoe UI" w:hAnsi="Segoe UI" w:cs="Segoe UI"/>
                <w:color w:val="000000" w:themeColor="text1"/>
                <w:sz w:val="18"/>
                <w:szCs w:val="18"/>
              </w:rPr>
            </w:pPr>
            <w:r w:rsidRPr="00CC6553">
              <w:rPr>
                <w:rStyle w:val="normaltextrun"/>
                <w:rFonts w:ascii="Arial" w:hAnsi="Arial" w:cs="Arial"/>
                <w:color w:val="000000" w:themeColor="text1"/>
                <w:sz w:val="22"/>
                <w:szCs w:val="22"/>
              </w:rPr>
              <w:t>The significant change of treating heart failure with preserved ejection fraction with MRAs and SGLT inhibitors, will increase the workload in general practice which is not necessarily captured by QOF.</w:t>
            </w:r>
            <w:r w:rsidRPr="00CC6553">
              <w:rPr>
                <w:rStyle w:val="eop"/>
                <w:rFonts w:ascii="Arial" w:hAnsi="Arial" w:cs="Arial"/>
                <w:color w:val="000000" w:themeColor="text1"/>
                <w:sz w:val="22"/>
                <w:szCs w:val="22"/>
              </w:rPr>
              <w:t> </w:t>
            </w:r>
          </w:p>
          <w:p w14:paraId="58678E29" w14:textId="77777777" w:rsidR="00897293" w:rsidRPr="00CC6553" w:rsidRDefault="00897293" w:rsidP="00B234F1">
            <w:pPr>
              <w:pStyle w:val="paragraph0"/>
              <w:spacing w:before="0" w:beforeAutospacing="0" w:after="0" w:afterAutospacing="0"/>
              <w:textAlignment w:val="baseline"/>
              <w:divId w:val="401223897"/>
              <w:rPr>
                <w:rFonts w:ascii="Segoe UI" w:hAnsi="Segoe UI" w:cs="Segoe UI"/>
                <w:color w:val="000000" w:themeColor="text1"/>
                <w:sz w:val="18"/>
                <w:szCs w:val="18"/>
              </w:rPr>
            </w:pPr>
            <w:r w:rsidRPr="00CC6553">
              <w:rPr>
                <w:rStyle w:val="eop"/>
                <w:rFonts w:ascii="Arial" w:hAnsi="Arial" w:cs="Arial"/>
                <w:color w:val="000000" w:themeColor="text1"/>
                <w:sz w:val="22"/>
                <w:szCs w:val="22"/>
              </w:rPr>
              <w:t> </w:t>
            </w:r>
          </w:p>
          <w:p w14:paraId="760DC087" w14:textId="17C5A632" w:rsidR="00897293" w:rsidRPr="00CC6553" w:rsidRDefault="00897293" w:rsidP="00B234F1">
            <w:pPr>
              <w:pStyle w:val="Heading1"/>
              <w:rPr>
                <w:b w:val="0"/>
                <w:bCs w:val="0"/>
                <w:color w:val="000000" w:themeColor="text1"/>
              </w:rPr>
            </w:pPr>
            <w:r w:rsidRPr="00CC6553">
              <w:rPr>
                <w:rStyle w:val="normaltextrun"/>
                <w:rFonts w:cs="Arial"/>
                <w:b w:val="0"/>
                <w:bCs w:val="0"/>
                <w:color w:val="000000" w:themeColor="text1"/>
                <w:szCs w:val="22"/>
              </w:rPr>
              <w:t>It is clear from this guidance that this is a specialist activity that GPs can support, rather than the other way round, as happens in many parts of the country.</w:t>
            </w:r>
            <w:r w:rsidRPr="00CC6553">
              <w:rPr>
                <w:rStyle w:val="eop"/>
                <w:rFonts w:cs="Arial"/>
                <w:b w:val="0"/>
                <w:bCs w:val="0"/>
                <w:color w:val="000000" w:themeColor="text1"/>
                <w:szCs w:val="22"/>
              </w:rPr>
              <w:t> </w:t>
            </w:r>
          </w:p>
        </w:tc>
        <w:tc>
          <w:tcPr>
            <w:tcW w:w="2122" w:type="pct"/>
          </w:tcPr>
          <w:p w14:paraId="08A00224" w14:textId="77777777" w:rsidR="00897293" w:rsidRPr="00CC6553" w:rsidRDefault="00897293" w:rsidP="00B234F1">
            <w:pPr>
              <w:pStyle w:val="Heading1"/>
              <w:rPr>
                <w:rFonts w:cs="Arial"/>
                <w:b w:val="0"/>
                <w:color w:val="000000" w:themeColor="text1"/>
                <w:sz w:val="20"/>
              </w:rPr>
            </w:pPr>
          </w:p>
        </w:tc>
      </w:tr>
      <w:tr w:rsidR="00897293" w:rsidRPr="00CC6553" w14:paraId="35230A61" w14:textId="77777777" w:rsidTr="00897293">
        <w:trPr>
          <w:trHeight w:val="300"/>
        </w:trPr>
        <w:tc>
          <w:tcPr>
            <w:tcW w:w="109" w:type="pct"/>
          </w:tcPr>
          <w:p w14:paraId="2817399B" w14:textId="0DB8E2F0" w:rsidR="00897293" w:rsidRPr="00CC6553" w:rsidRDefault="00897293" w:rsidP="00B234F1">
            <w:pPr>
              <w:rPr>
                <w:rFonts w:cs="Arial"/>
                <w:color w:val="000000" w:themeColor="text1"/>
                <w:sz w:val="20"/>
              </w:rPr>
            </w:pPr>
            <w:r w:rsidRPr="00CC6553">
              <w:rPr>
                <w:rFonts w:cs="Arial"/>
                <w:color w:val="000000" w:themeColor="text1"/>
                <w:sz w:val="20"/>
              </w:rPr>
              <w:t>410</w:t>
            </w:r>
          </w:p>
        </w:tc>
        <w:tc>
          <w:tcPr>
            <w:tcW w:w="143" w:type="pct"/>
          </w:tcPr>
          <w:p w14:paraId="234635EE" w14:textId="1FF75164"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3C1BA194" w14:textId="1C57C40C" w:rsidR="00897293" w:rsidRPr="00CC6553" w:rsidRDefault="00897293" w:rsidP="00B234F1">
            <w:pPr>
              <w:rPr>
                <w:rFonts w:cs="Arial"/>
                <w:color w:val="000000" w:themeColor="text1"/>
                <w:sz w:val="20"/>
              </w:rPr>
            </w:pPr>
            <w:r w:rsidRPr="00CC6553">
              <w:rPr>
                <w:rFonts w:cs="Arial"/>
                <w:color w:val="000000" w:themeColor="text1"/>
                <w:sz w:val="20"/>
              </w:rPr>
              <w:t>Medicines UK </w:t>
            </w:r>
          </w:p>
        </w:tc>
        <w:tc>
          <w:tcPr>
            <w:tcW w:w="279" w:type="pct"/>
            <w:tcBorders>
              <w:top w:val="single" w:sz="6" w:space="0" w:color="auto"/>
              <w:left w:val="single" w:sz="6" w:space="0" w:color="auto"/>
              <w:bottom w:val="single" w:sz="6" w:space="0" w:color="auto"/>
              <w:right w:val="single" w:sz="6" w:space="0" w:color="auto"/>
            </w:tcBorders>
          </w:tcPr>
          <w:p w14:paraId="401091E5" w14:textId="279DFCA6" w:rsidR="00897293" w:rsidRPr="00CC6553" w:rsidRDefault="00897293" w:rsidP="00B234F1">
            <w:pPr>
              <w:rPr>
                <w:rFonts w:eastAsia="Arial" w:cs="Arial"/>
                <w:color w:val="000000" w:themeColor="text1"/>
                <w:szCs w:val="22"/>
              </w:rPr>
            </w:pPr>
            <w:r w:rsidRPr="00CC6553">
              <w:rPr>
                <w:rFonts w:eastAsia="Arial" w:cs="Arial"/>
                <w:color w:val="000000" w:themeColor="text1"/>
                <w:szCs w:val="22"/>
              </w:rPr>
              <w:t>Guideline</w:t>
            </w:r>
          </w:p>
        </w:tc>
        <w:tc>
          <w:tcPr>
            <w:tcW w:w="214" w:type="pct"/>
            <w:tcBorders>
              <w:top w:val="single" w:sz="6" w:space="0" w:color="auto"/>
              <w:left w:val="single" w:sz="6" w:space="0" w:color="auto"/>
              <w:bottom w:val="single" w:sz="6" w:space="0" w:color="auto"/>
              <w:right w:val="single" w:sz="6" w:space="0" w:color="auto"/>
            </w:tcBorders>
          </w:tcPr>
          <w:p w14:paraId="517109DC" w14:textId="35E03D62" w:rsidR="00897293" w:rsidRPr="00CC6553" w:rsidRDefault="00897293" w:rsidP="00B234F1">
            <w:pPr>
              <w:rPr>
                <w:rFonts w:eastAsia="Arial" w:cs="Arial"/>
                <w:color w:val="000000" w:themeColor="text1"/>
                <w:szCs w:val="22"/>
              </w:rPr>
            </w:pPr>
            <w:r w:rsidRPr="00CC6553">
              <w:rPr>
                <w:rFonts w:eastAsia="Arial" w:cs="Arial"/>
                <w:color w:val="000000" w:themeColor="text1"/>
                <w:szCs w:val="22"/>
              </w:rPr>
              <w:t>General</w:t>
            </w:r>
          </w:p>
        </w:tc>
        <w:tc>
          <w:tcPr>
            <w:tcW w:w="214" w:type="pct"/>
            <w:tcBorders>
              <w:top w:val="single" w:sz="6" w:space="0" w:color="auto"/>
              <w:left w:val="single" w:sz="6" w:space="0" w:color="auto"/>
              <w:bottom w:val="single" w:sz="6" w:space="0" w:color="auto"/>
              <w:right w:val="single" w:sz="6" w:space="0" w:color="auto"/>
            </w:tcBorders>
          </w:tcPr>
          <w:p w14:paraId="63A95B60" w14:textId="1CBA8E1C" w:rsidR="00897293" w:rsidRPr="00CC6553" w:rsidRDefault="00897293" w:rsidP="00B234F1">
            <w:pPr>
              <w:rPr>
                <w:rFonts w:eastAsia="Arial" w:cs="Arial"/>
                <w:color w:val="000000" w:themeColor="text1"/>
                <w:szCs w:val="22"/>
              </w:rPr>
            </w:pPr>
            <w:r w:rsidRPr="00CC6553">
              <w:rPr>
                <w:rFonts w:eastAsia="Arial" w:cs="Arial"/>
                <w:color w:val="000000" w:themeColor="text1"/>
                <w:szCs w:val="22"/>
              </w:rPr>
              <w:t>General</w:t>
            </w:r>
          </w:p>
        </w:tc>
        <w:tc>
          <w:tcPr>
            <w:tcW w:w="1521" w:type="pct"/>
            <w:tcBorders>
              <w:top w:val="single" w:sz="6" w:space="0" w:color="auto"/>
              <w:left w:val="single" w:sz="6" w:space="0" w:color="auto"/>
              <w:bottom w:val="single" w:sz="6" w:space="0" w:color="auto"/>
              <w:right w:val="single" w:sz="6" w:space="0" w:color="auto"/>
            </w:tcBorders>
          </w:tcPr>
          <w:p w14:paraId="65CE3E78" w14:textId="69CD5A67" w:rsidR="00897293" w:rsidRPr="00CC6553" w:rsidRDefault="00897293" w:rsidP="00B234F1">
            <w:pPr>
              <w:rPr>
                <w:rFonts w:eastAsia="Arial" w:cs="Arial"/>
                <w:color w:val="000000" w:themeColor="text1"/>
                <w:szCs w:val="22"/>
              </w:rPr>
            </w:pPr>
            <w:r w:rsidRPr="00CC6553">
              <w:rPr>
                <w:rFonts w:eastAsia="Arial" w:cs="Arial"/>
                <w:color w:val="000000" w:themeColor="text1"/>
                <w:szCs w:val="22"/>
              </w:rPr>
              <w:t xml:space="preserve">We welcome the proposed updated heart failure guidelines. NICE has noted in its news release, published 10 June 2025, that “around 3,000 deaths and 5,500 hospital admissions in England caused by chronic heart </w:t>
            </w:r>
            <w:r w:rsidRPr="00CC6553">
              <w:rPr>
                <w:rFonts w:eastAsia="Arial" w:cs="Arial"/>
                <w:color w:val="000000" w:themeColor="text1"/>
                <w:szCs w:val="22"/>
              </w:rPr>
              <w:lastRenderedPageBreak/>
              <w:t xml:space="preserve">failure could be prevented each year following our updated draft guideline on medical treatment of the disease”. </w:t>
            </w:r>
          </w:p>
          <w:p w14:paraId="0E2B8013" w14:textId="2BC7E165" w:rsidR="00897293" w:rsidRPr="00CC6553" w:rsidRDefault="00897293" w:rsidP="00B234F1">
            <w:pPr>
              <w:rPr>
                <w:rFonts w:eastAsia="Arial" w:cs="Arial"/>
                <w:color w:val="000000" w:themeColor="text1"/>
                <w:szCs w:val="22"/>
              </w:rPr>
            </w:pPr>
          </w:p>
          <w:p w14:paraId="5C5B6967" w14:textId="0747F6E1" w:rsidR="00897293" w:rsidRPr="00CC6553" w:rsidRDefault="00897293" w:rsidP="00B234F1">
            <w:pPr>
              <w:rPr>
                <w:rFonts w:eastAsia="Arial" w:cs="Arial"/>
                <w:color w:val="000000" w:themeColor="text1"/>
                <w:szCs w:val="22"/>
              </w:rPr>
            </w:pPr>
            <w:r w:rsidRPr="00CC6553">
              <w:rPr>
                <w:rFonts w:eastAsia="Arial" w:cs="Arial"/>
                <w:color w:val="000000" w:themeColor="text1"/>
                <w:szCs w:val="22"/>
              </w:rPr>
              <w:t xml:space="preserve">We note also that the incidence of heart failure in the public is increasing. The draft guideline for consultation notes that “Almost 1 million people in the UK are currently diagnosed with heart failure, with 200,000 new cases each year”. </w:t>
            </w:r>
          </w:p>
          <w:p w14:paraId="1F361B5C" w14:textId="64598521" w:rsidR="00897293" w:rsidRPr="00CC6553" w:rsidRDefault="00897293" w:rsidP="00B234F1">
            <w:pPr>
              <w:rPr>
                <w:rFonts w:eastAsia="Arial" w:cs="Arial"/>
                <w:color w:val="000000" w:themeColor="text1"/>
                <w:szCs w:val="22"/>
              </w:rPr>
            </w:pPr>
          </w:p>
          <w:p w14:paraId="45550AB7" w14:textId="092923F1" w:rsidR="00897293" w:rsidRPr="00CC6553" w:rsidRDefault="00897293" w:rsidP="00B234F1">
            <w:pPr>
              <w:rPr>
                <w:rFonts w:eastAsia="Arial" w:cs="Arial"/>
                <w:color w:val="000000" w:themeColor="text1"/>
                <w:szCs w:val="22"/>
              </w:rPr>
            </w:pPr>
            <w:r w:rsidRPr="00CC6553">
              <w:rPr>
                <w:rFonts w:eastAsia="Arial" w:cs="Arial"/>
                <w:color w:val="000000" w:themeColor="text1"/>
                <w:szCs w:val="22"/>
              </w:rPr>
              <w:t>Therefore, we need to treat this important disease growth area successfully, affordably, and in a way that is administratively efficient while ensuring appropriate clinical oversight. It is right that we capatalise on the looming onset of generic competition for dapagliflozin to help achieve this; and in time through further treatments in the sodium-glucose cotransporter-2 (SGLT 2) and angiotensin receptor-neprilysin inhibitor (ARNI) classes (empagliflozin and sacubitril-valsartan respectively).</w:t>
            </w:r>
          </w:p>
          <w:p w14:paraId="094D1311" w14:textId="35F03035" w:rsidR="00897293" w:rsidRPr="00CC6553" w:rsidRDefault="00897293" w:rsidP="00B234F1">
            <w:pPr>
              <w:rPr>
                <w:rFonts w:eastAsia="Arial" w:cs="Arial"/>
                <w:color w:val="000000" w:themeColor="text1"/>
                <w:szCs w:val="22"/>
              </w:rPr>
            </w:pPr>
          </w:p>
        </w:tc>
        <w:tc>
          <w:tcPr>
            <w:tcW w:w="2122" w:type="pct"/>
          </w:tcPr>
          <w:p w14:paraId="07C882BC" w14:textId="5CC11829" w:rsidR="00897293" w:rsidRPr="00CC6553" w:rsidRDefault="00897293" w:rsidP="00B234F1">
            <w:pPr>
              <w:pStyle w:val="Heading1"/>
              <w:rPr>
                <w:rFonts w:cs="Arial"/>
                <w:b w:val="0"/>
                <w:bCs w:val="0"/>
                <w:color w:val="000000" w:themeColor="text1"/>
                <w:sz w:val="20"/>
              </w:rPr>
            </w:pPr>
            <w:r w:rsidRPr="00CC6553">
              <w:rPr>
                <w:rFonts w:cs="Arial"/>
                <w:b w:val="0"/>
                <w:bCs w:val="0"/>
                <w:color w:val="000000" w:themeColor="text1"/>
                <w:sz w:val="20"/>
              </w:rPr>
              <w:lastRenderedPageBreak/>
              <w:t>Thank you for your comment.</w:t>
            </w:r>
          </w:p>
        </w:tc>
      </w:tr>
      <w:tr w:rsidR="00897293" w:rsidRPr="00CC6553" w14:paraId="0F84E0B8" w14:textId="77777777" w:rsidTr="00897293">
        <w:trPr>
          <w:trHeight w:val="300"/>
        </w:trPr>
        <w:tc>
          <w:tcPr>
            <w:tcW w:w="109" w:type="pct"/>
          </w:tcPr>
          <w:p w14:paraId="78B2F004" w14:textId="0E29F295" w:rsidR="00897293" w:rsidRPr="00CC6553" w:rsidRDefault="00897293" w:rsidP="00B234F1">
            <w:pPr>
              <w:rPr>
                <w:rFonts w:cs="Arial"/>
                <w:color w:val="000000" w:themeColor="text1"/>
                <w:sz w:val="20"/>
              </w:rPr>
            </w:pPr>
            <w:r w:rsidRPr="00CC6553">
              <w:rPr>
                <w:rFonts w:cs="Arial"/>
                <w:color w:val="000000" w:themeColor="text1"/>
                <w:sz w:val="20"/>
              </w:rPr>
              <w:t>411</w:t>
            </w:r>
          </w:p>
        </w:tc>
        <w:tc>
          <w:tcPr>
            <w:tcW w:w="143" w:type="pct"/>
          </w:tcPr>
          <w:p w14:paraId="51EF39D5" w14:textId="43B73673"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0519D07C" w14:textId="66B0B137" w:rsidR="00897293" w:rsidRPr="00CC6553" w:rsidRDefault="00897293" w:rsidP="00B234F1">
            <w:pPr>
              <w:spacing w:before="240"/>
              <w:rPr>
                <w:rFonts w:cs="Arial"/>
                <w:color w:val="000000" w:themeColor="text1"/>
                <w:sz w:val="20"/>
              </w:rPr>
            </w:pPr>
            <w:r w:rsidRPr="00CC6553">
              <w:rPr>
                <w:rFonts w:cs="Arial"/>
                <w:color w:val="000000" w:themeColor="text1"/>
                <w:sz w:val="20"/>
              </w:rPr>
              <w:t>Medicines UK </w:t>
            </w:r>
          </w:p>
        </w:tc>
        <w:tc>
          <w:tcPr>
            <w:tcW w:w="279" w:type="pct"/>
            <w:tcBorders>
              <w:top w:val="single" w:sz="6" w:space="0" w:color="auto"/>
              <w:left w:val="single" w:sz="6" w:space="0" w:color="auto"/>
              <w:bottom w:val="single" w:sz="6" w:space="0" w:color="auto"/>
              <w:right w:val="single" w:sz="6" w:space="0" w:color="auto"/>
            </w:tcBorders>
          </w:tcPr>
          <w:p w14:paraId="394EFCE8" w14:textId="08FC5186" w:rsidR="00897293" w:rsidRPr="00CC6553" w:rsidRDefault="00897293" w:rsidP="00B234F1">
            <w:pPr>
              <w:rPr>
                <w:rFonts w:eastAsia="Arial" w:cs="Arial"/>
                <w:color w:val="000000" w:themeColor="text1"/>
                <w:szCs w:val="22"/>
              </w:rPr>
            </w:pPr>
            <w:r w:rsidRPr="00CC6553">
              <w:rPr>
                <w:rFonts w:eastAsia="Arial" w:cs="Arial"/>
                <w:color w:val="000000" w:themeColor="text1"/>
                <w:szCs w:val="22"/>
              </w:rPr>
              <w:t>Guideline</w:t>
            </w:r>
          </w:p>
        </w:tc>
        <w:tc>
          <w:tcPr>
            <w:tcW w:w="214" w:type="pct"/>
            <w:tcBorders>
              <w:top w:val="single" w:sz="6" w:space="0" w:color="auto"/>
              <w:left w:val="single" w:sz="6" w:space="0" w:color="auto"/>
              <w:bottom w:val="single" w:sz="6" w:space="0" w:color="auto"/>
              <w:right w:val="single" w:sz="6" w:space="0" w:color="auto"/>
            </w:tcBorders>
          </w:tcPr>
          <w:p w14:paraId="12ACA298" w14:textId="17B95F4D" w:rsidR="00897293" w:rsidRPr="00CC6553" w:rsidRDefault="00897293" w:rsidP="00B234F1">
            <w:pPr>
              <w:rPr>
                <w:rFonts w:eastAsia="Arial" w:cs="Arial"/>
                <w:color w:val="000000" w:themeColor="text1"/>
                <w:szCs w:val="22"/>
              </w:rPr>
            </w:pPr>
            <w:r w:rsidRPr="00CC6553">
              <w:rPr>
                <w:rFonts w:eastAsia="Arial" w:cs="Arial"/>
                <w:color w:val="000000" w:themeColor="text1"/>
                <w:szCs w:val="22"/>
              </w:rPr>
              <w:t>General</w:t>
            </w:r>
          </w:p>
        </w:tc>
        <w:tc>
          <w:tcPr>
            <w:tcW w:w="214" w:type="pct"/>
            <w:tcBorders>
              <w:top w:val="single" w:sz="6" w:space="0" w:color="auto"/>
              <w:left w:val="single" w:sz="6" w:space="0" w:color="auto"/>
              <w:bottom w:val="single" w:sz="6" w:space="0" w:color="auto"/>
              <w:right w:val="single" w:sz="6" w:space="0" w:color="auto"/>
            </w:tcBorders>
          </w:tcPr>
          <w:p w14:paraId="3A911A71" w14:textId="63C137ED" w:rsidR="00897293" w:rsidRPr="00CC6553" w:rsidRDefault="00897293" w:rsidP="00B234F1">
            <w:pPr>
              <w:rPr>
                <w:rFonts w:eastAsia="Arial" w:cs="Arial"/>
                <w:color w:val="000000" w:themeColor="text1"/>
                <w:szCs w:val="22"/>
              </w:rPr>
            </w:pPr>
            <w:r w:rsidRPr="00CC6553">
              <w:rPr>
                <w:rFonts w:eastAsia="Arial" w:cs="Arial"/>
                <w:color w:val="000000" w:themeColor="text1"/>
                <w:szCs w:val="22"/>
              </w:rPr>
              <w:t>General</w:t>
            </w:r>
          </w:p>
        </w:tc>
        <w:tc>
          <w:tcPr>
            <w:tcW w:w="1521" w:type="pct"/>
            <w:tcBorders>
              <w:top w:val="single" w:sz="6" w:space="0" w:color="auto"/>
              <w:left w:val="single" w:sz="6" w:space="0" w:color="auto"/>
              <w:bottom w:val="single" w:sz="6" w:space="0" w:color="auto"/>
              <w:right w:val="single" w:sz="6" w:space="0" w:color="auto"/>
            </w:tcBorders>
          </w:tcPr>
          <w:p w14:paraId="4B115253" w14:textId="558545A6" w:rsidR="00897293" w:rsidRPr="00CC6553" w:rsidRDefault="00897293" w:rsidP="00B234F1">
            <w:pPr>
              <w:rPr>
                <w:rFonts w:eastAsia="Arial" w:cs="Arial"/>
                <w:color w:val="000000" w:themeColor="text1"/>
                <w:szCs w:val="22"/>
              </w:rPr>
            </w:pPr>
            <w:r w:rsidRPr="00CC6553">
              <w:rPr>
                <w:rFonts w:eastAsia="Arial" w:cs="Arial"/>
                <w:color w:val="000000" w:themeColor="text1"/>
                <w:szCs w:val="22"/>
              </w:rPr>
              <w:t>We agree with the updated treatment guideline shifting away from a stepwise approach towards four classes of medicine becoming first-line treatments. We note the comments from NICE in the draft guideline for consultation (page 25, from line 13): “Evidence showed adding a sodium-glucose cotransporter-2 (SGLT2) inhibitor to existing treatment with an angiotensin-converting enzyme (ACE) inhibitor or angiotensin II receptor blocker (ARB), beta-blocker and mineralocorticoid receptor antagonist (MRA) reduced mortality and hospitalisation for heart failure without important increases in adverse events”.</w:t>
            </w:r>
          </w:p>
        </w:tc>
        <w:tc>
          <w:tcPr>
            <w:tcW w:w="2122" w:type="pct"/>
          </w:tcPr>
          <w:p w14:paraId="243ABC79" w14:textId="24EA9DB1" w:rsidR="00897293" w:rsidRPr="00CC6553" w:rsidRDefault="00897293" w:rsidP="00B234F1">
            <w:pPr>
              <w:pStyle w:val="Heading1"/>
              <w:rPr>
                <w:rFonts w:cs="Arial"/>
                <w:b w:val="0"/>
                <w:bCs w:val="0"/>
                <w:color w:val="000000" w:themeColor="text1"/>
                <w:sz w:val="20"/>
              </w:rPr>
            </w:pPr>
            <w:r w:rsidRPr="00CC6553">
              <w:rPr>
                <w:rFonts w:cs="Arial"/>
                <w:b w:val="0"/>
                <w:bCs w:val="0"/>
                <w:color w:val="000000" w:themeColor="text1"/>
                <w:sz w:val="20"/>
              </w:rPr>
              <w:t>Thank you for your comment</w:t>
            </w:r>
          </w:p>
        </w:tc>
      </w:tr>
      <w:tr w:rsidR="00897293" w:rsidRPr="00CC6553" w14:paraId="35FBD6F1" w14:textId="77777777" w:rsidTr="00897293">
        <w:trPr>
          <w:trHeight w:val="300"/>
        </w:trPr>
        <w:tc>
          <w:tcPr>
            <w:tcW w:w="109" w:type="pct"/>
          </w:tcPr>
          <w:p w14:paraId="7D3C8B6D" w14:textId="171284D9" w:rsidR="00897293" w:rsidRPr="00CC6553" w:rsidRDefault="00897293" w:rsidP="00B234F1">
            <w:pPr>
              <w:rPr>
                <w:rFonts w:cs="Arial"/>
                <w:color w:val="000000" w:themeColor="text1"/>
                <w:sz w:val="20"/>
              </w:rPr>
            </w:pPr>
            <w:r w:rsidRPr="00CC6553">
              <w:rPr>
                <w:rFonts w:cs="Arial"/>
                <w:color w:val="000000" w:themeColor="text1"/>
                <w:sz w:val="20"/>
              </w:rPr>
              <w:t>412</w:t>
            </w:r>
          </w:p>
        </w:tc>
        <w:tc>
          <w:tcPr>
            <w:tcW w:w="143" w:type="pct"/>
          </w:tcPr>
          <w:p w14:paraId="400396D0" w14:textId="238B8A36"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340BE6B" w14:textId="3B41FD6E" w:rsidR="00897293" w:rsidRPr="00CC6553" w:rsidRDefault="00897293" w:rsidP="00B234F1">
            <w:pPr>
              <w:rPr>
                <w:rFonts w:cs="Arial"/>
                <w:color w:val="000000" w:themeColor="text1"/>
                <w:sz w:val="20"/>
              </w:rPr>
            </w:pPr>
            <w:r w:rsidRPr="00CC6553">
              <w:rPr>
                <w:rFonts w:cs="Arial"/>
                <w:color w:val="000000" w:themeColor="text1"/>
                <w:sz w:val="20"/>
              </w:rPr>
              <w:t>Medicines UK </w:t>
            </w:r>
          </w:p>
        </w:tc>
        <w:tc>
          <w:tcPr>
            <w:tcW w:w="279" w:type="pct"/>
            <w:tcBorders>
              <w:top w:val="single" w:sz="6" w:space="0" w:color="auto"/>
              <w:left w:val="single" w:sz="6" w:space="0" w:color="auto"/>
              <w:bottom w:val="single" w:sz="6" w:space="0" w:color="auto"/>
              <w:right w:val="single" w:sz="6" w:space="0" w:color="auto"/>
            </w:tcBorders>
          </w:tcPr>
          <w:p w14:paraId="4DF7578B" w14:textId="1C4564C4" w:rsidR="00897293" w:rsidRPr="00CC6553" w:rsidRDefault="00897293" w:rsidP="00B234F1">
            <w:pPr>
              <w:rPr>
                <w:rFonts w:eastAsia="Arial" w:cs="Arial"/>
                <w:color w:val="000000" w:themeColor="text1"/>
                <w:szCs w:val="22"/>
              </w:rPr>
            </w:pPr>
            <w:r w:rsidRPr="00CC6553">
              <w:rPr>
                <w:rFonts w:eastAsia="Arial" w:cs="Arial"/>
                <w:color w:val="000000" w:themeColor="text1"/>
                <w:szCs w:val="22"/>
              </w:rPr>
              <w:t>Guideline</w:t>
            </w:r>
          </w:p>
        </w:tc>
        <w:tc>
          <w:tcPr>
            <w:tcW w:w="214" w:type="pct"/>
            <w:tcBorders>
              <w:top w:val="single" w:sz="6" w:space="0" w:color="auto"/>
              <w:left w:val="single" w:sz="6" w:space="0" w:color="auto"/>
              <w:bottom w:val="single" w:sz="6" w:space="0" w:color="auto"/>
              <w:right w:val="single" w:sz="6" w:space="0" w:color="auto"/>
            </w:tcBorders>
          </w:tcPr>
          <w:p w14:paraId="294B9B51" w14:textId="4CB40EA8" w:rsidR="00897293" w:rsidRPr="00CC6553" w:rsidRDefault="00897293" w:rsidP="00B234F1">
            <w:pPr>
              <w:rPr>
                <w:rFonts w:eastAsia="Arial" w:cs="Arial"/>
                <w:color w:val="000000" w:themeColor="text1"/>
                <w:szCs w:val="22"/>
              </w:rPr>
            </w:pPr>
            <w:r w:rsidRPr="00CC6553">
              <w:rPr>
                <w:rFonts w:eastAsia="Arial" w:cs="Arial"/>
                <w:color w:val="000000" w:themeColor="text1"/>
                <w:szCs w:val="22"/>
              </w:rPr>
              <w:t>General</w:t>
            </w:r>
          </w:p>
        </w:tc>
        <w:tc>
          <w:tcPr>
            <w:tcW w:w="214" w:type="pct"/>
            <w:tcBorders>
              <w:top w:val="single" w:sz="6" w:space="0" w:color="auto"/>
              <w:left w:val="single" w:sz="6" w:space="0" w:color="auto"/>
              <w:bottom w:val="single" w:sz="6" w:space="0" w:color="auto"/>
              <w:right w:val="single" w:sz="6" w:space="0" w:color="auto"/>
            </w:tcBorders>
          </w:tcPr>
          <w:p w14:paraId="1B3EDA78" w14:textId="5B5C03C2" w:rsidR="00897293" w:rsidRPr="00CC6553" w:rsidRDefault="00897293" w:rsidP="00B234F1">
            <w:pPr>
              <w:rPr>
                <w:rFonts w:eastAsia="Arial" w:cs="Arial"/>
                <w:color w:val="000000" w:themeColor="text1"/>
                <w:szCs w:val="22"/>
              </w:rPr>
            </w:pPr>
            <w:r w:rsidRPr="00CC6553">
              <w:rPr>
                <w:rFonts w:eastAsia="Arial" w:cs="Arial"/>
                <w:color w:val="000000" w:themeColor="text1"/>
                <w:szCs w:val="22"/>
              </w:rPr>
              <w:t>General</w:t>
            </w:r>
          </w:p>
        </w:tc>
        <w:tc>
          <w:tcPr>
            <w:tcW w:w="1521" w:type="pct"/>
            <w:tcBorders>
              <w:top w:val="single" w:sz="6" w:space="0" w:color="auto"/>
              <w:left w:val="single" w:sz="6" w:space="0" w:color="auto"/>
              <w:bottom w:val="single" w:sz="6" w:space="0" w:color="auto"/>
              <w:right w:val="single" w:sz="6" w:space="0" w:color="auto"/>
            </w:tcBorders>
          </w:tcPr>
          <w:p w14:paraId="77E559DE" w14:textId="3DA9CF7E" w:rsidR="00897293" w:rsidRPr="00CC6553" w:rsidRDefault="00897293" w:rsidP="00B234F1">
            <w:pPr>
              <w:rPr>
                <w:rFonts w:eastAsia="Arial" w:cs="Arial"/>
                <w:color w:val="000000" w:themeColor="text1"/>
                <w:szCs w:val="22"/>
              </w:rPr>
            </w:pPr>
            <w:r w:rsidRPr="00CC6553">
              <w:rPr>
                <w:rFonts w:eastAsia="Arial" w:cs="Arial"/>
                <w:color w:val="000000" w:themeColor="text1"/>
                <w:szCs w:val="22"/>
              </w:rPr>
              <w:t>We agree that healthcare professionals should not be required to fully titrate one class of medicine before moving patients to another treatment class.</w:t>
            </w:r>
          </w:p>
        </w:tc>
        <w:tc>
          <w:tcPr>
            <w:tcW w:w="2122" w:type="pct"/>
          </w:tcPr>
          <w:p w14:paraId="79BE5DE1" w14:textId="7BF8C6A1" w:rsidR="00897293" w:rsidRPr="00CC6553" w:rsidRDefault="00897293" w:rsidP="00B234F1">
            <w:pPr>
              <w:pStyle w:val="Heading1"/>
              <w:rPr>
                <w:rFonts w:cs="Arial"/>
                <w:b w:val="0"/>
                <w:bCs w:val="0"/>
                <w:color w:val="000000" w:themeColor="text1"/>
                <w:sz w:val="20"/>
              </w:rPr>
            </w:pPr>
            <w:r w:rsidRPr="00CC6553">
              <w:rPr>
                <w:rFonts w:cs="Arial"/>
                <w:b w:val="0"/>
                <w:bCs w:val="0"/>
                <w:color w:val="000000" w:themeColor="text1"/>
                <w:sz w:val="20"/>
              </w:rPr>
              <w:t>Thank you for your comment</w:t>
            </w:r>
          </w:p>
        </w:tc>
      </w:tr>
      <w:tr w:rsidR="00897293" w:rsidRPr="00CC6553" w14:paraId="5C7169A3" w14:textId="77777777" w:rsidTr="00897293">
        <w:trPr>
          <w:trHeight w:val="300"/>
        </w:trPr>
        <w:tc>
          <w:tcPr>
            <w:tcW w:w="109" w:type="pct"/>
          </w:tcPr>
          <w:p w14:paraId="0E984A3D" w14:textId="1DAC7326" w:rsidR="00897293" w:rsidRPr="00CC6553" w:rsidRDefault="00897293" w:rsidP="00B234F1">
            <w:pPr>
              <w:rPr>
                <w:rFonts w:cs="Arial"/>
                <w:color w:val="000000" w:themeColor="text1"/>
                <w:sz w:val="20"/>
              </w:rPr>
            </w:pPr>
            <w:r w:rsidRPr="00CC6553">
              <w:rPr>
                <w:rFonts w:cs="Arial"/>
                <w:color w:val="000000" w:themeColor="text1"/>
                <w:sz w:val="20"/>
              </w:rPr>
              <w:lastRenderedPageBreak/>
              <w:t>413</w:t>
            </w:r>
          </w:p>
        </w:tc>
        <w:tc>
          <w:tcPr>
            <w:tcW w:w="143" w:type="pct"/>
          </w:tcPr>
          <w:p w14:paraId="209B9E6A" w14:textId="6DA42732"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09E8314B" w14:textId="4D8098E2" w:rsidR="00897293" w:rsidRPr="00CC6553" w:rsidRDefault="00897293" w:rsidP="00B234F1">
            <w:pPr>
              <w:rPr>
                <w:rFonts w:cs="Arial"/>
                <w:color w:val="000000" w:themeColor="text1"/>
                <w:sz w:val="20"/>
              </w:rPr>
            </w:pPr>
            <w:r w:rsidRPr="00CC6553">
              <w:rPr>
                <w:rFonts w:cs="Arial"/>
                <w:color w:val="000000" w:themeColor="text1"/>
                <w:sz w:val="20"/>
              </w:rPr>
              <w:t>Medicines UK </w:t>
            </w:r>
          </w:p>
        </w:tc>
        <w:tc>
          <w:tcPr>
            <w:tcW w:w="279" w:type="pct"/>
            <w:tcBorders>
              <w:top w:val="single" w:sz="6" w:space="0" w:color="auto"/>
              <w:left w:val="single" w:sz="6" w:space="0" w:color="auto"/>
              <w:bottom w:val="single" w:sz="6" w:space="0" w:color="auto"/>
              <w:right w:val="single" w:sz="6" w:space="0" w:color="auto"/>
            </w:tcBorders>
          </w:tcPr>
          <w:p w14:paraId="5EB55185" w14:textId="210EF484" w:rsidR="00897293" w:rsidRPr="00CC6553" w:rsidRDefault="00897293" w:rsidP="00B234F1">
            <w:pPr>
              <w:rPr>
                <w:rFonts w:eastAsia="Arial" w:cs="Arial"/>
                <w:color w:val="000000" w:themeColor="text1"/>
                <w:szCs w:val="22"/>
              </w:rPr>
            </w:pPr>
            <w:r w:rsidRPr="00CC6553">
              <w:rPr>
                <w:rFonts w:eastAsia="Arial" w:cs="Arial"/>
                <w:color w:val="000000" w:themeColor="text1"/>
                <w:szCs w:val="22"/>
              </w:rPr>
              <w:t>Guideline</w:t>
            </w:r>
          </w:p>
        </w:tc>
        <w:tc>
          <w:tcPr>
            <w:tcW w:w="214" w:type="pct"/>
            <w:tcBorders>
              <w:top w:val="single" w:sz="6" w:space="0" w:color="auto"/>
              <w:left w:val="single" w:sz="6" w:space="0" w:color="auto"/>
              <w:bottom w:val="single" w:sz="6" w:space="0" w:color="auto"/>
              <w:right w:val="single" w:sz="6" w:space="0" w:color="auto"/>
            </w:tcBorders>
          </w:tcPr>
          <w:p w14:paraId="2B69CFE3" w14:textId="35056558" w:rsidR="00897293" w:rsidRPr="00CC6553" w:rsidRDefault="00897293" w:rsidP="00B234F1">
            <w:pPr>
              <w:rPr>
                <w:rFonts w:eastAsia="Arial" w:cs="Arial"/>
                <w:color w:val="000000" w:themeColor="text1"/>
                <w:szCs w:val="22"/>
              </w:rPr>
            </w:pPr>
            <w:r w:rsidRPr="00CC6553">
              <w:rPr>
                <w:rFonts w:eastAsia="Arial" w:cs="Arial"/>
                <w:color w:val="000000" w:themeColor="text1"/>
                <w:szCs w:val="22"/>
              </w:rPr>
              <w:t>General</w:t>
            </w:r>
          </w:p>
        </w:tc>
        <w:tc>
          <w:tcPr>
            <w:tcW w:w="214" w:type="pct"/>
            <w:tcBorders>
              <w:top w:val="single" w:sz="6" w:space="0" w:color="auto"/>
              <w:left w:val="single" w:sz="6" w:space="0" w:color="auto"/>
              <w:bottom w:val="single" w:sz="6" w:space="0" w:color="auto"/>
              <w:right w:val="single" w:sz="6" w:space="0" w:color="auto"/>
            </w:tcBorders>
          </w:tcPr>
          <w:p w14:paraId="1A082BE2" w14:textId="3D8DD691" w:rsidR="00897293" w:rsidRPr="00CC6553" w:rsidRDefault="00897293" w:rsidP="00B234F1">
            <w:pPr>
              <w:rPr>
                <w:rFonts w:eastAsia="Arial" w:cs="Arial"/>
                <w:color w:val="000000" w:themeColor="text1"/>
                <w:szCs w:val="22"/>
              </w:rPr>
            </w:pPr>
            <w:r w:rsidRPr="00CC6553">
              <w:rPr>
                <w:rFonts w:eastAsia="Arial" w:cs="Arial"/>
                <w:color w:val="000000" w:themeColor="text1"/>
                <w:szCs w:val="22"/>
              </w:rPr>
              <w:t>General</w:t>
            </w:r>
          </w:p>
        </w:tc>
        <w:tc>
          <w:tcPr>
            <w:tcW w:w="1521" w:type="pct"/>
            <w:tcBorders>
              <w:top w:val="single" w:sz="6" w:space="0" w:color="auto"/>
              <w:left w:val="single" w:sz="6" w:space="0" w:color="auto"/>
              <w:bottom w:val="single" w:sz="6" w:space="0" w:color="auto"/>
              <w:right w:val="single" w:sz="6" w:space="0" w:color="auto"/>
            </w:tcBorders>
          </w:tcPr>
          <w:p w14:paraId="31AD0AC0" w14:textId="75455EDB" w:rsidR="00897293" w:rsidRPr="00CC6553" w:rsidRDefault="00897293" w:rsidP="00B234F1">
            <w:pPr>
              <w:rPr>
                <w:rFonts w:eastAsia="Arial" w:cs="Arial"/>
                <w:color w:val="000000" w:themeColor="text1"/>
                <w:szCs w:val="22"/>
              </w:rPr>
            </w:pPr>
            <w:r w:rsidRPr="00CC6553">
              <w:rPr>
                <w:rFonts w:eastAsia="Arial" w:cs="Arial"/>
                <w:color w:val="000000" w:themeColor="text1"/>
                <w:szCs w:val="22"/>
              </w:rPr>
              <w:t>We support GPs being able to prescribe SGLT2 inhibitors and ARNIs on the advice of a heart failure specialist.</w:t>
            </w:r>
          </w:p>
        </w:tc>
        <w:tc>
          <w:tcPr>
            <w:tcW w:w="2122" w:type="pct"/>
          </w:tcPr>
          <w:p w14:paraId="68DF33B5" w14:textId="560E6943" w:rsidR="00897293" w:rsidRPr="00CC6553" w:rsidRDefault="00897293" w:rsidP="00B234F1">
            <w:pPr>
              <w:pStyle w:val="Heading1"/>
              <w:rPr>
                <w:rFonts w:cs="Arial"/>
                <w:b w:val="0"/>
                <w:bCs w:val="0"/>
                <w:color w:val="000000" w:themeColor="text1"/>
                <w:sz w:val="20"/>
              </w:rPr>
            </w:pPr>
            <w:r w:rsidRPr="00CC6553">
              <w:rPr>
                <w:rFonts w:cs="Arial"/>
                <w:b w:val="0"/>
                <w:bCs w:val="0"/>
                <w:color w:val="000000" w:themeColor="text1"/>
                <w:sz w:val="20"/>
              </w:rPr>
              <w:t>Thank you for your comment.  The committee discussed the stakeholder feedback which was in support of GPs being able to prescribe SGLT2 inhibitors without seeking advice from a heart failure specialist.  This is supported by their ability to prescribe SGLT2 inhibitors without advice for other conditions.  The committee has therefore edited the recommendation so that advice only needs to be sought for an ARNI.</w:t>
            </w:r>
          </w:p>
        </w:tc>
      </w:tr>
      <w:tr w:rsidR="00897293" w:rsidRPr="00CC6553" w14:paraId="4C908D31" w14:textId="77777777" w:rsidTr="00897293">
        <w:trPr>
          <w:trHeight w:val="300"/>
        </w:trPr>
        <w:tc>
          <w:tcPr>
            <w:tcW w:w="109" w:type="pct"/>
          </w:tcPr>
          <w:p w14:paraId="2C883185" w14:textId="5162BAAF" w:rsidR="00897293" w:rsidRPr="00CC6553" w:rsidRDefault="00897293" w:rsidP="00B234F1">
            <w:pPr>
              <w:rPr>
                <w:rFonts w:cs="Arial"/>
                <w:color w:val="000000" w:themeColor="text1"/>
                <w:sz w:val="20"/>
              </w:rPr>
            </w:pPr>
            <w:r w:rsidRPr="00CC6553">
              <w:rPr>
                <w:rFonts w:cs="Arial"/>
                <w:color w:val="000000" w:themeColor="text1"/>
                <w:sz w:val="20"/>
              </w:rPr>
              <w:t>414</w:t>
            </w:r>
          </w:p>
        </w:tc>
        <w:tc>
          <w:tcPr>
            <w:tcW w:w="143" w:type="pct"/>
          </w:tcPr>
          <w:p w14:paraId="45E335DF" w14:textId="5975E958"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35722F31" w14:textId="1B85CD9B" w:rsidR="00897293" w:rsidRPr="00CC6553" w:rsidRDefault="00897293" w:rsidP="00B234F1">
            <w:pPr>
              <w:rPr>
                <w:rFonts w:cs="Arial"/>
                <w:color w:val="000000" w:themeColor="text1"/>
                <w:sz w:val="20"/>
              </w:rPr>
            </w:pPr>
            <w:r w:rsidRPr="00CC6553">
              <w:rPr>
                <w:rFonts w:cs="Arial"/>
                <w:color w:val="000000" w:themeColor="text1"/>
                <w:sz w:val="20"/>
              </w:rPr>
              <w:t>Medicines UK </w:t>
            </w:r>
          </w:p>
        </w:tc>
        <w:tc>
          <w:tcPr>
            <w:tcW w:w="279" w:type="pct"/>
            <w:tcBorders>
              <w:top w:val="single" w:sz="6" w:space="0" w:color="auto"/>
              <w:left w:val="single" w:sz="6" w:space="0" w:color="auto"/>
              <w:bottom w:val="single" w:sz="6" w:space="0" w:color="auto"/>
              <w:right w:val="single" w:sz="6" w:space="0" w:color="auto"/>
            </w:tcBorders>
          </w:tcPr>
          <w:p w14:paraId="47D64D84" w14:textId="6E8DBB7E" w:rsidR="00897293" w:rsidRPr="00CC6553" w:rsidRDefault="00897293" w:rsidP="00B234F1">
            <w:pPr>
              <w:rPr>
                <w:rFonts w:eastAsia="Arial" w:cs="Arial"/>
                <w:color w:val="000000" w:themeColor="text1"/>
                <w:szCs w:val="22"/>
              </w:rPr>
            </w:pPr>
            <w:r w:rsidRPr="00CC6553">
              <w:rPr>
                <w:rFonts w:eastAsia="Arial" w:cs="Arial"/>
                <w:color w:val="000000" w:themeColor="text1"/>
                <w:szCs w:val="22"/>
              </w:rPr>
              <w:t>Guideline</w:t>
            </w:r>
          </w:p>
        </w:tc>
        <w:tc>
          <w:tcPr>
            <w:tcW w:w="214" w:type="pct"/>
            <w:tcBorders>
              <w:top w:val="single" w:sz="6" w:space="0" w:color="auto"/>
              <w:left w:val="single" w:sz="6" w:space="0" w:color="auto"/>
              <w:bottom w:val="single" w:sz="6" w:space="0" w:color="auto"/>
              <w:right w:val="single" w:sz="6" w:space="0" w:color="auto"/>
            </w:tcBorders>
          </w:tcPr>
          <w:p w14:paraId="66649301" w14:textId="22EFCF22" w:rsidR="00897293" w:rsidRPr="00CC6553" w:rsidRDefault="00897293" w:rsidP="00B234F1">
            <w:pPr>
              <w:rPr>
                <w:rFonts w:eastAsia="Arial" w:cs="Arial"/>
                <w:color w:val="000000" w:themeColor="text1"/>
                <w:szCs w:val="22"/>
              </w:rPr>
            </w:pPr>
            <w:r w:rsidRPr="00CC6553">
              <w:rPr>
                <w:rFonts w:eastAsia="Arial" w:cs="Arial"/>
                <w:color w:val="000000" w:themeColor="text1"/>
                <w:szCs w:val="22"/>
              </w:rPr>
              <w:t>General</w:t>
            </w:r>
          </w:p>
        </w:tc>
        <w:tc>
          <w:tcPr>
            <w:tcW w:w="214" w:type="pct"/>
            <w:tcBorders>
              <w:top w:val="single" w:sz="6" w:space="0" w:color="auto"/>
              <w:left w:val="single" w:sz="6" w:space="0" w:color="auto"/>
              <w:bottom w:val="single" w:sz="6" w:space="0" w:color="auto"/>
              <w:right w:val="single" w:sz="6" w:space="0" w:color="auto"/>
            </w:tcBorders>
          </w:tcPr>
          <w:p w14:paraId="1DA8BB5F" w14:textId="679BF73F" w:rsidR="00897293" w:rsidRPr="00CC6553" w:rsidRDefault="00897293" w:rsidP="00B234F1">
            <w:pPr>
              <w:rPr>
                <w:rFonts w:eastAsia="Arial" w:cs="Arial"/>
                <w:color w:val="000000" w:themeColor="text1"/>
                <w:szCs w:val="22"/>
              </w:rPr>
            </w:pPr>
            <w:r w:rsidRPr="00CC6553">
              <w:rPr>
                <w:rFonts w:eastAsia="Arial" w:cs="Arial"/>
                <w:color w:val="000000" w:themeColor="text1"/>
                <w:szCs w:val="22"/>
              </w:rPr>
              <w:t>General</w:t>
            </w:r>
          </w:p>
        </w:tc>
        <w:tc>
          <w:tcPr>
            <w:tcW w:w="1521" w:type="pct"/>
            <w:tcBorders>
              <w:top w:val="single" w:sz="6" w:space="0" w:color="auto"/>
              <w:left w:val="single" w:sz="6" w:space="0" w:color="auto"/>
              <w:bottom w:val="single" w:sz="6" w:space="0" w:color="auto"/>
              <w:right w:val="single" w:sz="6" w:space="0" w:color="auto"/>
            </w:tcBorders>
          </w:tcPr>
          <w:p w14:paraId="2921F2BB" w14:textId="0382608A" w:rsidR="00897293" w:rsidRPr="00CC6553" w:rsidRDefault="00897293" w:rsidP="00B234F1">
            <w:pPr>
              <w:rPr>
                <w:rFonts w:eastAsia="Arial" w:cs="Arial"/>
                <w:color w:val="000000" w:themeColor="text1"/>
                <w:szCs w:val="22"/>
              </w:rPr>
            </w:pPr>
            <w:r w:rsidRPr="00CC6553">
              <w:rPr>
                <w:rFonts w:eastAsia="Arial" w:cs="Arial"/>
                <w:color w:val="000000" w:themeColor="text1"/>
                <w:szCs w:val="22"/>
              </w:rPr>
              <w:t>Once agreed, to ensure that patients benefit from this updated guidance and we prevent unnecessary hospitalisations (and poorer patient experiences and outcomes that come with this), NICE should consider establishing a funding mandate to direct prescribing.</w:t>
            </w:r>
          </w:p>
        </w:tc>
        <w:tc>
          <w:tcPr>
            <w:tcW w:w="2122" w:type="pct"/>
          </w:tcPr>
          <w:p w14:paraId="6288E5B9" w14:textId="59B97B84" w:rsidR="00897293" w:rsidRPr="00CC6553" w:rsidRDefault="00897293" w:rsidP="00B234F1">
            <w:pPr>
              <w:pStyle w:val="Heading1"/>
              <w:rPr>
                <w:rFonts w:cs="Arial"/>
                <w:b w:val="0"/>
                <w:bCs w:val="0"/>
                <w:color w:val="000000" w:themeColor="text1"/>
                <w:sz w:val="20"/>
              </w:rPr>
            </w:pPr>
            <w:r w:rsidRPr="009B3C47">
              <w:rPr>
                <w:b w:val="0"/>
                <w:bCs w:val="0"/>
                <w:color w:val="000000" w:themeColor="text1"/>
                <w:sz w:val="20"/>
              </w:rPr>
              <w:t>Thank you for your comment.  NICE technology appraisals and not the clinical guidelines have funding mandate</w:t>
            </w:r>
            <w:r>
              <w:rPr>
                <w:color w:val="000000" w:themeColor="text1"/>
                <w:sz w:val="20"/>
              </w:rPr>
              <w:t>.</w:t>
            </w:r>
          </w:p>
        </w:tc>
      </w:tr>
      <w:tr w:rsidR="00897293" w:rsidRPr="00CC6553" w14:paraId="418E766B" w14:textId="77777777" w:rsidTr="00897293">
        <w:trPr>
          <w:trHeight w:val="300"/>
        </w:trPr>
        <w:tc>
          <w:tcPr>
            <w:tcW w:w="109" w:type="pct"/>
          </w:tcPr>
          <w:p w14:paraId="09AEC154" w14:textId="4DE7FF58" w:rsidR="00897293" w:rsidRPr="00CC6553" w:rsidRDefault="00897293" w:rsidP="00B234F1">
            <w:pPr>
              <w:rPr>
                <w:rFonts w:cs="Arial"/>
                <w:color w:val="000000" w:themeColor="text1"/>
                <w:sz w:val="20"/>
              </w:rPr>
            </w:pPr>
            <w:r w:rsidRPr="00CC6553">
              <w:rPr>
                <w:rFonts w:cs="Arial"/>
                <w:color w:val="000000" w:themeColor="text1"/>
                <w:sz w:val="20"/>
              </w:rPr>
              <w:t>415</w:t>
            </w:r>
          </w:p>
        </w:tc>
        <w:tc>
          <w:tcPr>
            <w:tcW w:w="143" w:type="pct"/>
          </w:tcPr>
          <w:p w14:paraId="071F3A71" w14:textId="772D77B7"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51CD1EB8" w14:textId="2656A177" w:rsidR="00897293" w:rsidRPr="00CC6553" w:rsidRDefault="00897293" w:rsidP="00B234F1">
            <w:pPr>
              <w:rPr>
                <w:rFonts w:cs="Arial"/>
                <w:color w:val="000000" w:themeColor="text1"/>
                <w:sz w:val="20"/>
              </w:rPr>
            </w:pPr>
            <w:r w:rsidRPr="00CC6553">
              <w:rPr>
                <w:rFonts w:cs="Arial"/>
                <w:color w:val="000000" w:themeColor="text1"/>
                <w:sz w:val="20"/>
              </w:rPr>
              <w:t>Medicines UK </w:t>
            </w:r>
          </w:p>
        </w:tc>
        <w:tc>
          <w:tcPr>
            <w:tcW w:w="279" w:type="pct"/>
            <w:tcBorders>
              <w:top w:val="single" w:sz="6" w:space="0" w:color="auto"/>
              <w:left w:val="single" w:sz="6" w:space="0" w:color="auto"/>
              <w:bottom w:val="single" w:sz="6" w:space="0" w:color="auto"/>
              <w:right w:val="single" w:sz="6" w:space="0" w:color="auto"/>
            </w:tcBorders>
          </w:tcPr>
          <w:p w14:paraId="06E5C5E1" w14:textId="2FBADC96" w:rsidR="00897293" w:rsidRPr="00CC6553" w:rsidRDefault="00897293" w:rsidP="00B234F1">
            <w:pPr>
              <w:rPr>
                <w:rFonts w:eastAsia="Arial" w:cs="Arial"/>
                <w:color w:val="000000" w:themeColor="text1"/>
                <w:szCs w:val="22"/>
              </w:rPr>
            </w:pPr>
            <w:r w:rsidRPr="00CC6553">
              <w:rPr>
                <w:rFonts w:eastAsia="Arial" w:cs="Arial"/>
                <w:color w:val="000000" w:themeColor="text1"/>
                <w:szCs w:val="22"/>
              </w:rPr>
              <w:t>General</w:t>
            </w:r>
          </w:p>
        </w:tc>
        <w:tc>
          <w:tcPr>
            <w:tcW w:w="214" w:type="pct"/>
            <w:tcBorders>
              <w:top w:val="single" w:sz="6" w:space="0" w:color="auto"/>
              <w:left w:val="single" w:sz="6" w:space="0" w:color="auto"/>
              <w:bottom w:val="single" w:sz="6" w:space="0" w:color="auto"/>
              <w:right w:val="single" w:sz="6" w:space="0" w:color="auto"/>
            </w:tcBorders>
          </w:tcPr>
          <w:p w14:paraId="6B72C245" w14:textId="733DAA54" w:rsidR="00897293" w:rsidRPr="00CC6553" w:rsidRDefault="00897293" w:rsidP="00B234F1">
            <w:pPr>
              <w:rPr>
                <w:rFonts w:eastAsia="Arial" w:cs="Arial"/>
                <w:color w:val="000000" w:themeColor="text1"/>
                <w:szCs w:val="22"/>
              </w:rPr>
            </w:pPr>
            <w:r w:rsidRPr="00CC6553">
              <w:rPr>
                <w:rFonts w:eastAsia="Arial" w:cs="Arial"/>
                <w:color w:val="000000" w:themeColor="text1"/>
                <w:szCs w:val="22"/>
              </w:rPr>
              <w:t>General</w:t>
            </w:r>
          </w:p>
        </w:tc>
        <w:tc>
          <w:tcPr>
            <w:tcW w:w="214" w:type="pct"/>
            <w:tcBorders>
              <w:top w:val="single" w:sz="6" w:space="0" w:color="auto"/>
              <w:left w:val="single" w:sz="6" w:space="0" w:color="auto"/>
              <w:bottom w:val="single" w:sz="6" w:space="0" w:color="auto"/>
              <w:right w:val="single" w:sz="6" w:space="0" w:color="auto"/>
            </w:tcBorders>
          </w:tcPr>
          <w:p w14:paraId="3E617873" w14:textId="4242D28D" w:rsidR="00897293" w:rsidRPr="00CC6553" w:rsidRDefault="00897293" w:rsidP="00B234F1">
            <w:pPr>
              <w:rPr>
                <w:rFonts w:eastAsia="Arial" w:cs="Arial"/>
                <w:color w:val="000000" w:themeColor="text1"/>
                <w:szCs w:val="22"/>
              </w:rPr>
            </w:pPr>
            <w:r w:rsidRPr="00CC6553">
              <w:rPr>
                <w:rFonts w:eastAsia="Arial" w:cs="Arial"/>
                <w:color w:val="000000" w:themeColor="text1"/>
                <w:szCs w:val="22"/>
              </w:rPr>
              <w:t>General</w:t>
            </w:r>
          </w:p>
        </w:tc>
        <w:tc>
          <w:tcPr>
            <w:tcW w:w="1521" w:type="pct"/>
            <w:tcBorders>
              <w:top w:val="single" w:sz="6" w:space="0" w:color="auto"/>
              <w:left w:val="single" w:sz="6" w:space="0" w:color="auto"/>
              <w:bottom w:val="single" w:sz="6" w:space="0" w:color="auto"/>
              <w:right w:val="single" w:sz="6" w:space="0" w:color="auto"/>
            </w:tcBorders>
          </w:tcPr>
          <w:p w14:paraId="66AA7C93" w14:textId="09018BF1" w:rsidR="00897293" w:rsidRPr="00CC6553" w:rsidRDefault="00897293" w:rsidP="00B234F1">
            <w:pPr>
              <w:rPr>
                <w:rFonts w:eastAsia="Arial" w:cs="Arial"/>
                <w:color w:val="000000" w:themeColor="text1"/>
                <w:szCs w:val="22"/>
              </w:rPr>
            </w:pPr>
            <w:r w:rsidRPr="00CC6553">
              <w:rPr>
                <w:rFonts w:eastAsia="Arial" w:cs="Arial"/>
                <w:color w:val="000000" w:themeColor="text1"/>
                <w:szCs w:val="22"/>
              </w:rPr>
              <w:t>Medicines UK welcomes the role that NICE can play in optimising the use of off-patent (and soon to be off-patent) treatments. The availability of off-patent treatments can significantly alter the value for money equation to enable population health breakthroughs.</w:t>
            </w:r>
          </w:p>
        </w:tc>
        <w:tc>
          <w:tcPr>
            <w:tcW w:w="2122" w:type="pct"/>
          </w:tcPr>
          <w:p w14:paraId="61D10420" w14:textId="0F5ECAAC" w:rsidR="00897293" w:rsidRPr="00CC6553" w:rsidRDefault="00897293" w:rsidP="21434BE0">
            <w:pPr>
              <w:pStyle w:val="Heading1"/>
              <w:rPr>
                <w:rFonts w:cs="Arial"/>
                <w:b w:val="0"/>
                <w:bCs w:val="0"/>
                <w:color w:val="000000" w:themeColor="text1"/>
                <w:sz w:val="20"/>
              </w:rPr>
            </w:pPr>
            <w:r w:rsidRPr="00CC6553">
              <w:rPr>
                <w:rFonts w:cs="Arial"/>
                <w:b w:val="0"/>
                <w:bCs w:val="0"/>
                <w:color w:val="000000" w:themeColor="text1"/>
                <w:sz w:val="20"/>
              </w:rPr>
              <w:t>Thank you for your comment</w:t>
            </w:r>
          </w:p>
        </w:tc>
      </w:tr>
      <w:tr w:rsidR="00897293" w:rsidRPr="00CC6553" w14:paraId="09BBFD7E" w14:textId="77777777" w:rsidTr="00897293">
        <w:trPr>
          <w:trHeight w:val="300"/>
        </w:trPr>
        <w:tc>
          <w:tcPr>
            <w:tcW w:w="109" w:type="pct"/>
          </w:tcPr>
          <w:p w14:paraId="74208398" w14:textId="70DD38D6" w:rsidR="00897293" w:rsidRPr="00CC6553" w:rsidRDefault="00897293" w:rsidP="00B234F1">
            <w:pPr>
              <w:rPr>
                <w:rFonts w:cs="Arial"/>
                <w:color w:val="000000" w:themeColor="text1"/>
                <w:sz w:val="20"/>
              </w:rPr>
            </w:pPr>
            <w:r w:rsidRPr="00CC6553">
              <w:rPr>
                <w:rFonts w:cs="Arial"/>
                <w:color w:val="000000" w:themeColor="text1"/>
                <w:sz w:val="20"/>
              </w:rPr>
              <w:t>416</w:t>
            </w:r>
          </w:p>
        </w:tc>
        <w:tc>
          <w:tcPr>
            <w:tcW w:w="143" w:type="pct"/>
          </w:tcPr>
          <w:p w14:paraId="1E654147" w14:textId="0CEF6C23"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2D85F95E" w14:textId="3FBF95A3" w:rsidR="00897293" w:rsidRPr="00CC6553" w:rsidRDefault="00897293" w:rsidP="00B234F1">
            <w:pPr>
              <w:rPr>
                <w:rFonts w:cs="Arial"/>
                <w:color w:val="000000" w:themeColor="text1"/>
                <w:sz w:val="20"/>
              </w:rPr>
            </w:pPr>
            <w:r w:rsidRPr="00CC6553">
              <w:rPr>
                <w:rStyle w:val="normaltextrun"/>
                <w:rFonts w:cs="Arial"/>
                <w:color w:val="000000" w:themeColor="text1"/>
                <w:szCs w:val="22"/>
                <w:shd w:val="clear" w:color="auto" w:fill="FFFFFF"/>
              </w:rPr>
              <w:t>Sandoz Ltd</w:t>
            </w:r>
            <w:r w:rsidRPr="00CC6553">
              <w:rPr>
                <w:rStyle w:val="eop"/>
                <w:rFonts w:cs="Arial"/>
                <w:color w:val="000000" w:themeColor="text1"/>
                <w:szCs w:val="22"/>
                <w:shd w:val="clear" w:color="auto" w:fill="FFFFFF"/>
              </w:rPr>
              <w:t> </w:t>
            </w:r>
          </w:p>
        </w:tc>
        <w:tc>
          <w:tcPr>
            <w:tcW w:w="279" w:type="pct"/>
            <w:tcBorders>
              <w:top w:val="single" w:sz="6" w:space="0" w:color="auto"/>
              <w:left w:val="single" w:sz="6" w:space="0" w:color="auto"/>
              <w:bottom w:val="single" w:sz="6" w:space="0" w:color="auto"/>
              <w:right w:val="single" w:sz="6" w:space="0" w:color="auto"/>
            </w:tcBorders>
          </w:tcPr>
          <w:p w14:paraId="07BC43F3" w14:textId="7874DB86"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Guideline</w:t>
            </w:r>
            <w:r w:rsidRPr="00CC6553">
              <w:rPr>
                <w:rStyle w:val="eop"/>
                <w:rFonts w:cs="Arial"/>
                <w:color w:val="000000" w:themeColor="text1"/>
                <w:szCs w:val="22"/>
              </w:rPr>
              <w:t> </w:t>
            </w:r>
          </w:p>
        </w:tc>
        <w:tc>
          <w:tcPr>
            <w:tcW w:w="214" w:type="pct"/>
            <w:tcBorders>
              <w:top w:val="single" w:sz="6" w:space="0" w:color="auto"/>
              <w:left w:val="single" w:sz="6" w:space="0" w:color="auto"/>
              <w:bottom w:val="single" w:sz="6" w:space="0" w:color="auto"/>
              <w:right w:val="single" w:sz="6" w:space="0" w:color="auto"/>
            </w:tcBorders>
          </w:tcPr>
          <w:p w14:paraId="5C87689D" w14:textId="3616A3E2"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010 - 011</w:t>
            </w:r>
            <w:r w:rsidRPr="00CC6553">
              <w:rPr>
                <w:rStyle w:val="eop"/>
                <w:rFonts w:cs="Arial"/>
                <w:color w:val="000000" w:themeColor="text1"/>
                <w:szCs w:val="22"/>
              </w:rPr>
              <w:t> </w:t>
            </w:r>
          </w:p>
        </w:tc>
        <w:tc>
          <w:tcPr>
            <w:tcW w:w="214" w:type="pct"/>
            <w:tcBorders>
              <w:top w:val="single" w:sz="6" w:space="0" w:color="auto"/>
              <w:left w:val="single" w:sz="6" w:space="0" w:color="auto"/>
              <w:bottom w:val="single" w:sz="6" w:space="0" w:color="auto"/>
              <w:right w:val="single" w:sz="6" w:space="0" w:color="auto"/>
            </w:tcBorders>
          </w:tcPr>
          <w:p w14:paraId="51C536BC" w14:textId="1D99E6DA"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001 – 003</w:t>
            </w:r>
            <w:r w:rsidRPr="00CC6553">
              <w:rPr>
                <w:rStyle w:val="eop"/>
                <w:rFonts w:cs="Arial"/>
                <w:color w:val="000000" w:themeColor="text1"/>
                <w:szCs w:val="22"/>
              </w:rPr>
              <w:t> </w:t>
            </w:r>
          </w:p>
        </w:tc>
        <w:tc>
          <w:tcPr>
            <w:tcW w:w="1521" w:type="pct"/>
            <w:tcBorders>
              <w:top w:val="single" w:sz="6" w:space="0" w:color="auto"/>
              <w:left w:val="single" w:sz="6" w:space="0" w:color="auto"/>
              <w:bottom w:val="single" w:sz="6" w:space="0" w:color="auto"/>
              <w:right w:val="single" w:sz="6" w:space="0" w:color="auto"/>
            </w:tcBorders>
          </w:tcPr>
          <w:p w14:paraId="15D1B320" w14:textId="3439F331"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We agree with the updated treatment guideline moving from a stepwise approach to first-line optimisation of the four main classes of pharmacological therapy in patients with Heart Failure with Reduced Ejection Fraction.</w:t>
            </w:r>
            <w:r w:rsidRPr="00CC6553">
              <w:rPr>
                <w:rStyle w:val="eop"/>
                <w:rFonts w:cs="Arial"/>
                <w:color w:val="000000" w:themeColor="text1"/>
                <w:szCs w:val="22"/>
              </w:rPr>
              <w:t> </w:t>
            </w:r>
          </w:p>
        </w:tc>
        <w:tc>
          <w:tcPr>
            <w:tcW w:w="2122" w:type="pct"/>
          </w:tcPr>
          <w:p w14:paraId="28D18A86" w14:textId="295F0533" w:rsidR="00897293" w:rsidRPr="00CC6553" w:rsidRDefault="00897293" w:rsidP="00B234F1">
            <w:pPr>
              <w:pStyle w:val="Heading1"/>
              <w:rPr>
                <w:rFonts w:cs="Arial"/>
                <w:b w:val="0"/>
                <w:bCs w:val="0"/>
                <w:color w:val="000000" w:themeColor="text1"/>
                <w:sz w:val="20"/>
              </w:rPr>
            </w:pPr>
            <w:r w:rsidRPr="00CC6553">
              <w:rPr>
                <w:rFonts w:cs="Arial"/>
                <w:b w:val="0"/>
                <w:bCs w:val="0"/>
                <w:color w:val="000000" w:themeColor="text1"/>
                <w:sz w:val="20"/>
              </w:rPr>
              <w:t>Thank you for your comment.</w:t>
            </w:r>
          </w:p>
        </w:tc>
      </w:tr>
      <w:tr w:rsidR="00897293" w:rsidRPr="00CC6553" w14:paraId="5573D2FC" w14:textId="77777777" w:rsidTr="00897293">
        <w:trPr>
          <w:trHeight w:val="300"/>
        </w:trPr>
        <w:tc>
          <w:tcPr>
            <w:tcW w:w="109" w:type="pct"/>
          </w:tcPr>
          <w:p w14:paraId="3B237CDD" w14:textId="726E6902" w:rsidR="00897293" w:rsidRPr="00CC6553" w:rsidRDefault="00897293" w:rsidP="00B234F1">
            <w:pPr>
              <w:rPr>
                <w:rFonts w:cs="Arial"/>
                <w:color w:val="000000" w:themeColor="text1"/>
                <w:sz w:val="20"/>
              </w:rPr>
            </w:pPr>
            <w:r w:rsidRPr="00CC6553">
              <w:rPr>
                <w:rFonts w:cs="Arial"/>
                <w:color w:val="000000" w:themeColor="text1"/>
                <w:sz w:val="20"/>
              </w:rPr>
              <w:t>417</w:t>
            </w:r>
          </w:p>
        </w:tc>
        <w:tc>
          <w:tcPr>
            <w:tcW w:w="143" w:type="pct"/>
          </w:tcPr>
          <w:p w14:paraId="5B7A00D3" w14:textId="581420DA"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727E96FC" w14:textId="33DC64AF" w:rsidR="00897293" w:rsidRPr="00CC6553" w:rsidRDefault="00897293" w:rsidP="00B234F1">
            <w:pPr>
              <w:rPr>
                <w:rFonts w:cs="Arial"/>
                <w:color w:val="000000" w:themeColor="text1"/>
                <w:sz w:val="20"/>
              </w:rPr>
            </w:pPr>
            <w:r w:rsidRPr="00CC6553">
              <w:rPr>
                <w:rStyle w:val="normaltextrun"/>
                <w:rFonts w:cs="Arial"/>
                <w:color w:val="000000" w:themeColor="text1"/>
                <w:szCs w:val="22"/>
                <w:shd w:val="clear" w:color="auto" w:fill="FFFFFF"/>
              </w:rPr>
              <w:t>Sandoz Ltd</w:t>
            </w:r>
            <w:r w:rsidRPr="00CC6553">
              <w:rPr>
                <w:rStyle w:val="eop"/>
                <w:rFonts w:cs="Arial"/>
                <w:color w:val="000000" w:themeColor="text1"/>
                <w:szCs w:val="22"/>
                <w:shd w:val="clear" w:color="auto" w:fill="FFFFFF"/>
              </w:rPr>
              <w:t> </w:t>
            </w:r>
          </w:p>
        </w:tc>
        <w:tc>
          <w:tcPr>
            <w:tcW w:w="279" w:type="pct"/>
            <w:tcBorders>
              <w:top w:val="single" w:sz="6" w:space="0" w:color="auto"/>
              <w:left w:val="single" w:sz="6" w:space="0" w:color="auto"/>
              <w:bottom w:val="single" w:sz="6" w:space="0" w:color="auto"/>
              <w:right w:val="single" w:sz="6" w:space="0" w:color="auto"/>
            </w:tcBorders>
          </w:tcPr>
          <w:p w14:paraId="7D7336CE" w14:textId="2E3368E8"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Guideline</w:t>
            </w:r>
            <w:r w:rsidRPr="00CC6553">
              <w:rPr>
                <w:rStyle w:val="eop"/>
                <w:rFonts w:cs="Arial"/>
                <w:color w:val="000000" w:themeColor="text1"/>
                <w:szCs w:val="22"/>
              </w:rPr>
              <w:t> </w:t>
            </w:r>
          </w:p>
        </w:tc>
        <w:tc>
          <w:tcPr>
            <w:tcW w:w="214" w:type="pct"/>
            <w:tcBorders>
              <w:top w:val="single" w:sz="6" w:space="0" w:color="auto"/>
              <w:left w:val="single" w:sz="6" w:space="0" w:color="auto"/>
              <w:bottom w:val="single" w:sz="6" w:space="0" w:color="auto"/>
              <w:right w:val="single" w:sz="6" w:space="0" w:color="auto"/>
            </w:tcBorders>
          </w:tcPr>
          <w:p w14:paraId="480A8761" w14:textId="054C586A"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013</w:t>
            </w:r>
            <w:r w:rsidRPr="00CC6553">
              <w:rPr>
                <w:rStyle w:val="eop"/>
                <w:rFonts w:cs="Arial"/>
                <w:color w:val="000000" w:themeColor="text1"/>
                <w:szCs w:val="22"/>
              </w:rPr>
              <w:t> </w:t>
            </w:r>
          </w:p>
        </w:tc>
        <w:tc>
          <w:tcPr>
            <w:tcW w:w="214" w:type="pct"/>
            <w:tcBorders>
              <w:top w:val="single" w:sz="6" w:space="0" w:color="auto"/>
              <w:left w:val="single" w:sz="6" w:space="0" w:color="auto"/>
              <w:bottom w:val="single" w:sz="6" w:space="0" w:color="auto"/>
              <w:right w:val="single" w:sz="6" w:space="0" w:color="auto"/>
            </w:tcBorders>
          </w:tcPr>
          <w:p w14:paraId="56F86888" w14:textId="5CE87C99"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014 – 017</w:t>
            </w:r>
            <w:r w:rsidRPr="00CC6553">
              <w:rPr>
                <w:rStyle w:val="eop"/>
                <w:rFonts w:cs="Arial"/>
                <w:color w:val="000000" w:themeColor="text1"/>
                <w:szCs w:val="22"/>
              </w:rPr>
              <w:t> </w:t>
            </w:r>
          </w:p>
        </w:tc>
        <w:tc>
          <w:tcPr>
            <w:tcW w:w="1521" w:type="pct"/>
            <w:tcBorders>
              <w:top w:val="single" w:sz="6" w:space="0" w:color="auto"/>
              <w:left w:val="single" w:sz="6" w:space="0" w:color="auto"/>
              <w:bottom w:val="single" w:sz="6" w:space="0" w:color="auto"/>
              <w:right w:val="single" w:sz="6" w:space="0" w:color="auto"/>
            </w:tcBorders>
          </w:tcPr>
          <w:p w14:paraId="12CF1083" w14:textId="5E00EC39"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We agree with the updated treatment guideline moving from a stepwise approach to first-line optimisation of the four main classes of pharmacological therapy in patients with Heart Failure with Mildly Reduced Ejection Fraction.</w:t>
            </w:r>
            <w:r w:rsidRPr="00CC6553">
              <w:rPr>
                <w:rStyle w:val="eop"/>
                <w:rFonts w:cs="Arial"/>
                <w:color w:val="000000" w:themeColor="text1"/>
                <w:szCs w:val="22"/>
              </w:rPr>
              <w:t> </w:t>
            </w:r>
          </w:p>
        </w:tc>
        <w:tc>
          <w:tcPr>
            <w:tcW w:w="2122" w:type="pct"/>
          </w:tcPr>
          <w:p w14:paraId="2CB922AB" w14:textId="587DC606" w:rsidR="00897293" w:rsidRPr="00CC6553" w:rsidRDefault="00897293" w:rsidP="00B234F1">
            <w:pPr>
              <w:pStyle w:val="Heading1"/>
              <w:rPr>
                <w:rFonts w:cs="Arial"/>
                <w:b w:val="0"/>
                <w:bCs w:val="0"/>
                <w:color w:val="000000" w:themeColor="text1"/>
                <w:sz w:val="20"/>
              </w:rPr>
            </w:pPr>
            <w:r w:rsidRPr="00CC6553">
              <w:rPr>
                <w:rFonts w:cs="Arial"/>
                <w:b w:val="0"/>
                <w:bCs w:val="0"/>
                <w:color w:val="000000" w:themeColor="text1"/>
                <w:sz w:val="20"/>
              </w:rPr>
              <w:t>Thank you for your comment.</w:t>
            </w:r>
          </w:p>
        </w:tc>
      </w:tr>
      <w:tr w:rsidR="00897293" w:rsidRPr="00CC6553" w14:paraId="50B4502A" w14:textId="77777777" w:rsidTr="00897293">
        <w:trPr>
          <w:trHeight w:val="300"/>
        </w:trPr>
        <w:tc>
          <w:tcPr>
            <w:tcW w:w="109" w:type="pct"/>
          </w:tcPr>
          <w:p w14:paraId="356F819D" w14:textId="53A14AB3" w:rsidR="00897293" w:rsidRPr="00CC6553" w:rsidRDefault="00897293" w:rsidP="00B234F1">
            <w:pPr>
              <w:rPr>
                <w:rFonts w:cs="Arial"/>
                <w:color w:val="000000" w:themeColor="text1"/>
                <w:sz w:val="20"/>
              </w:rPr>
            </w:pPr>
            <w:r w:rsidRPr="00CC6553">
              <w:rPr>
                <w:rFonts w:cs="Arial"/>
                <w:color w:val="000000" w:themeColor="text1"/>
                <w:sz w:val="20"/>
              </w:rPr>
              <w:lastRenderedPageBreak/>
              <w:t>418</w:t>
            </w:r>
          </w:p>
        </w:tc>
        <w:tc>
          <w:tcPr>
            <w:tcW w:w="143" w:type="pct"/>
          </w:tcPr>
          <w:p w14:paraId="11CC37A9" w14:textId="173D41FF"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627FF6C7" w14:textId="290F5894" w:rsidR="00897293" w:rsidRPr="00CC6553" w:rsidRDefault="00897293" w:rsidP="00B234F1">
            <w:pPr>
              <w:rPr>
                <w:rFonts w:cs="Arial"/>
                <w:color w:val="000000" w:themeColor="text1"/>
                <w:sz w:val="20"/>
              </w:rPr>
            </w:pPr>
            <w:r w:rsidRPr="00CC6553">
              <w:rPr>
                <w:rStyle w:val="normaltextrun"/>
                <w:rFonts w:cs="Arial"/>
                <w:color w:val="000000" w:themeColor="text1"/>
                <w:szCs w:val="22"/>
                <w:shd w:val="clear" w:color="auto" w:fill="FFFFFF"/>
              </w:rPr>
              <w:t>Sandoz Ltd</w:t>
            </w:r>
            <w:r w:rsidRPr="00CC6553">
              <w:rPr>
                <w:rStyle w:val="eop"/>
                <w:rFonts w:cs="Arial"/>
                <w:color w:val="000000" w:themeColor="text1"/>
                <w:szCs w:val="22"/>
                <w:shd w:val="clear" w:color="auto" w:fill="FFFFFF"/>
              </w:rPr>
              <w:t> </w:t>
            </w:r>
          </w:p>
        </w:tc>
        <w:tc>
          <w:tcPr>
            <w:tcW w:w="279" w:type="pct"/>
            <w:tcBorders>
              <w:top w:val="single" w:sz="6" w:space="0" w:color="auto"/>
              <w:left w:val="single" w:sz="6" w:space="0" w:color="auto"/>
              <w:bottom w:val="single" w:sz="6" w:space="0" w:color="auto"/>
              <w:right w:val="single" w:sz="6" w:space="0" w:color="auto"/>
            </w:tcBorders>
          </w:tcPr>
          <w:p w14:paraId="622B2CD2" w14:textId="64731D19"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Guideline</w:t>
            </w:r>
            <w:r w:rsidRPr="00CC6553">
              <w:rPr>
                <w:rStyle w:val="eop"/>
                <w:rFonts w:cs="Arial"/>
                <w:color w:val="000000" w:themeColor="text1"/>
                <w:szCs w:val="22"/>
              </w:rPr>
              <w:t> </w:t>
            </w:r>
          </w:p>
        </w:tc>
        <w:tc>
          <w:tcPr>
            <w:tcW w:w="214" w:type="pct"/>
            <w:tcBorders>
              <w:top w:val="single" w:sz="6" w:space="0" w:color="auto"/>
              <w:left w:val="single" w:sz="6" w:space="0" w:color="auto"/>
              <w:bottom w:val="single" w:sz="6" w:space="0" w:color="auto"/>
              <w:right w:val="single" w:sz="6" w:space="0" w:color="auto"/>
            </w:tcBorders>
          </w:tcPr>
          <w:p w14:paraId="2D637026" w14:textId="2F30327B"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014</w:t>
            </w:r>
            <w:r w:rsidRPr="00CC6553">
              <w:rPr>
                <w:rStyle w:val="eop"/>
                <w:rFonts w:cs="Arial"/>
                <w:color w:val="000000" w:themeColor="text1"/>
                <w:szCs w:val="22"/>
              </w:rPr>
              <w:t> </w:t>
            </w:r>
          </w:p>
        </w:tc>
        <w:tc>
          <w:tcPr>
            <w:tcW w:w="214" w:type="pct"/>
            <w:tcBorders>
              <w:top w:val="single" w:sz="6" w:space="0" w:color="auto"/>
              <w:left w:val="single" w:sz="6" w:space="0" w:color="auto"/>
              <w:bottom w:val="single" w:sz="6" w:space="0" w:color="auto"/>
              <w:right w:val="single" w:sz="6" w:space="0" w:color="auto"/>
            </w:tcBorders>
          </w:tcPr>
          <w:p w14:paraId="5AD21EF2" w14:textId="670D6FD3"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005 - 006</w:t>
            </w:r>
            <w:r w:rsidRPr="00CC6553">
              <w:rPr>
                <w:rStyle w:val="eop"/>
                <w:rFonts w:cs="Arial"/>
                <w:color w:val="000000" w:themeColor="text1"/>
                <w:szCs w:val="22"/>
              </w:rPr>
              <w:t> </w:t>
            </w:r>
          </w:p>
        </w:tc>
        <w:tc>
          <w:tcPr>
            <w:tcW w:w="1521" w:type="pct"/>
            <w:tcBorders>
              <w:top w:val="single" w:sz="6" w:space="0" w:color="auto"/>
              <w:left w:val="single" w:sz="6" w:space="0" w:color="auto"/>
              <w:bottom w:val="single" w:sz="6" w:space="0" w:color="auto"/>
              <w:right w:val="single" w:sz="6" w:space="0" w:color="auto"/>
            </w:tcBorders>
          </w:tcPr>
          <w:p w14:paraId="49FA0C25" w14:textId="0987D503"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We agree with the updated treatment guideline advising that healthcare professionals consider both an MRA and an SGLT2 inhibitor for patients with Heart Failure with Preserved Ejection Fraction.</w:t>
            </w:r>
            <w:r w:rsidRPr="00CC6553">
              <w:rPr>
                <w:rStyle w:val="eop"/>
                <w:rFonts w:cs="Arial"/>
                <w:color w:val="000000" w:themeColor="text1"/>
                <w:szCs w:val="22"/>
              </w:rPr>
              <w:t> </w:t>
            </w:r>
          </w:p>
        </w:tc>
        <w:tc>
          <w:tcPr>
            <w:tcW w:w="2122" w:type="pct"/>
          </w:tcPr>
          <w:p w14:paraId="18B0C64E" w14:textId="0083B9DB" w:rsidR="00897293" w:rsidRPr="00CC6553" w:rsidRDefault="00897293" w:rsidP="00B234F1">
            <w:pPr>
              <w:pStyle w:val="Heading1"/>
              <w:rPr>
                <w:rFonts w:cs="Arial"/>
                <w:b w:val="0"/>
                <w:bCs w:val="0"/>
                <w:color w:val="000000" w:themeColor="text1"/>
                <w:sz w:val="20"/>
              </w:rPr>
            </w:pPr>
            <w:r w:rsidRPr="00CC6553">
              <w:rPr>
                <w:rFonts w:cs="Arial"/>
                <w:b w:val="0"/>
                <w:bCs w:val="0"/>
                <w:color w:val="000000" w:themeColor="text1"/>
                <w:sz w:val="20"/>
              </w:rPr>
              <w:t>Thank you for your comment.</w:t>
            </w:r>
          </w:p>
        </w:tc>
      </w:tr>
      <w:tr w:rsidR="00897293" w:rsidRPr="00CC6553" w14:paraId="5296BA97" w14:textId="77777777" w:rsidTr="00897293">
        <w:trPr>
          <w:trHeight w:val="300"/>
        </w:trPr>
        <w:tc>
          <w:tcPr>
            <w:tcW w:w="109" w:type="pct"/>
          </w:tcPr>
          <w:p w14:paraId="30742D15" w14:textId="4C6805B5" w:rsidR="00897293" w:rsidRPr="00CC6553" w:rsidRDefault="00897293" w:rsidP="00B234F1">
            <w:pPr>
              <w:rPr>
                <w:rFonts w:cs="Arial"/>
                <w:color w:val="000000" w:themeColor="text1"/>
                <w:sz w:val="20"/>
              </w:rPr>
            </w:pPr>
            <w:r w:rsidRPr="00CC6553">
              <w:rPr>
                <w:rFonts w:cs="Arial"/>
                <w:color w:val="000000" w:themeColor="text1"/>
                <w:sz w:val="20"/>
              </w:rPr>
              <w:t>419</w:t>
            </w:r>
          </w:p>
        </w:tc>
        <w:tc>
          <w:tcPr>
            <w:tcW w:w="143" w:type="pct"/>
          </w:tcPr>
          <w:p w14:paraId="73F23F97" w14:textId="0ACBBB7B"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2F7E7034" w14:textId="4CC5F8C9" w:rsidR="00897293" w:rsidRPr="00CC6553" w:rsidRDefault="00897293" w:rsidP="00B234F1">
            <w:pPr>
              <w:rPr>
                <w:rFonts w:cs="Arial"/>
                <w:color w:val="000000" w:themeColor="text1"/>
                <w:sz w:val="20"/>
              </w:rPr>
            </w:pPr>
            <w:r w:rsidRPr="00CC6553">
              <w:rPr>
                <w:rStyle w:val="normaltextrun"/>
                <w:rFonts w:cs="Arial"/>
                <w:color w:val="000000" w:themeColor="text1"/>
                <w:szCs w:val="22"/>
                <w:shd w:val="clear" w:color="auto" w:fill="FFFFFF"/>
              </w:rPr>
              <w:t>Sandoz Ltd</w:t>
            </w:r>
            <w:r w:rsidRPr="00CC6553">
              <w:rPr>
                <w:rStyle w:val="eop"/>
                <w:rFonts w:cs="Arial"/>
                <w:color w:val="000000" w:themeColor="text1"/>
                <w:szCs w:val="22"/>
                <w:shd w:val="clear" w:color="auto" w:fill="FFFFFF"/>
              </w:rPr>
              <w:t> </w:t>
            </w:r>
          </w:p>
        </w:tc>
        <w:tc>
          <w:tcPr>
            <w:tcW w:w="279" w:type="pct"/>
            <w:tcBorders>
              <w:top w:val="single" w:sz="6" w:space="0" w:color="auto"/>
              <w:left w:val="single" w:sz="6" w:space="0" w:color="auto"/>
              <w:bottom w:val="single" w:sz="6" w:space="0" w:color="auto"/>
              <w:right w:val="single" w:sz="6" w:space="0" w:color="auto"/>
            </w:tcBorders>
          </w:tcPr>
          <w:p w14:paraId="20A3478B" w14:textId="3B038206"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Guideline</w:t>
            </w:r>
            <w:r w:rsidRPr="00CC6553">
              <w:rPr>
                <w:rStyle w:val="eop"/>
                <w:rFonts w:cs="Arial"/>
                <w:color w:val="000000" w:themeColor="text1"/>
                <w:szCs w:val="22"/>
              </w:rPr>
              <w:t> </w:t>
            </w:r>
          </w:p>
        </w:tc>
        <w:tc>
          <w:tcPr>
            <w:tcW w:w="214" w:type="pct"/>
            <w:tcBorders>
              <w:top w:val="single" w:sz="6" w:space="0" w:color="auto"/>
              <w:left w:val="single" w:sz="6" w:space="0" w:color="auto"/>
              <w:bottom w:val="single" w:sz="6" w:space="0" w:color="auto"/>
              <w:right w:val="single" w:sz="6" w:space="0" w:color="auto"/>
            </w:tcBorders>
          </w:tcPr>
          <w:p w14:paraId="32FC725E" w14:textId="109FE0EC"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015</w:t>
            </w:r>
            <w:r w:rsidRPr="00CC6553">
              <w:rPr>
                <w:rStyle w:val="eop"/>
                <w:rFonts w:cs="Arial"/>
                <w:color w:val="000000" w:themeColor="text1"/>
                <w:szCs w:val="22"/>
              </w:rPr>
              <w:t> </w:t>
            </w:r>
          </w:p>
        </w:tc>
        <w:tc>
          <w:tcPr>
            <w:tcW w:w="214" w:type="pct"/>
            <w:tcBorders>
              <w:top w:val="single" w:sz="6" w:space="0" w:color="auto"/>
              <w:left w:val="single" w:sz="6" w:space="0" w:color="auto"/>
              <w:bottom w:val="single" w:sz="6" w:space="0" w:color="auto"/>
              <w:right w:val="single" w:sz="6" w:space="0" w:color="auto"/>
            </w:tcBorders>
          </w:tcPr>
          <w:p w14:paraId="19BC55F2" w14:textId="60846ED0"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013 - 014</w:t>
            </w:r>
            <w:r w:rsidRPr="00CC6553">
              <w:rPr>
                <w:rStyle w:val="eop"/>
                <w:rFonts w:cs="Arial"/>
                <w:color w:val="000000" w:themeColor="text1"/>
                <w:szCs w:val="22"/>
              </w:rPr>
              <w:t> </w:t>
            </w:r>
          </w:p>
        </w:tc>
        <w:tc>
          <w:tcPr>
            <w:tcW w:w="1521" w:type="pct"/>
            <w:tcBorders>
              <w:top w:val="single" w:sz="6" w:space="0" w:color="auto"/>
              <w:left w:val="single" w:sz="6" w:space="0" w:color="auto"/>
              <w:bottom w:val="single" w:sz="6" w:space="0" w:color="auto"/>
              <w:right w:val="single" w:sz="6" w:space="0" w:color="auto"/>
            </w:tcBorders>
          </w:tcPr>
          <w:p w14:paraId="6939D790" w14:textId="539BFA6D"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We agree with the updated treatment guideline advising that healthcare professionals need not optimise each medicine dose before introducing another, in patients with heart failure and chronic kidney disease.</w:t>
            </w:r>
            <w:r w:rsidRPr="00CC6553">
              <w:rPr>
                <w:rStyle w:val="eop"/>
                <w:rFonts w:cs="Arial"/>
                <w:color w:val="000000" w:themeColor="text1"/>
                <w:szCs w:val="22"/>
              </w:rPr>
              <w:t> </w:t>
            </w:r>
          </w:p>
        </w:tc>
        <w:tc>
          <w:tcPr>
            <w:tcW w:w="2122" w:type="pct"/>
          </w:tcPr>
          <w:p w14:paraId="6B0FA76C" w14:textId="7196D4E3" w:rsidR="00897293" w:rsidRPr="00CC6553" w:rsidRDefault="00897293" w:rsidP="00B234F1">
            <w:pPr>
              <w:pStyle w:val="Heading1"/>
              <w:rPr>
                <w:rFonts w:cs="Arial"/>
                <w:b w:val="0"/>
                <w:bCs w:val="0"/>
                <w:color w:val="000000" w:themeColor="text1"/>
                <w:sz w:val="20"/>
              </w:rPr>
            </w:pPr>
            <w:r w:rsidRPr="00CC6553">
              <w:rPr>
                <w:rFonts w:cs="Arial"/>
                <w:b w:val="0"/>
                <w:bCs w:val="0"/>
                <w:color w:val="000000" w:themeColor="text1"/>
                <w:sz w:val="20"/>
              </w:rPr>
              <w:t>Thank you for your comment.</w:t>
            </w:r>
          </w:p>
        </w:tc>
      </w:tr>
      <w:tr w:rsidR="00897293" w:rsidRPr="00CC6553" w14:paraId="3A218139" w14:textId="77777777" w:rsidTr="00897293">
        <w:trPr>
          <w:trHeight w:val="300"/>
        </w:trPr>
        <w:tc>
          <w:tcPr>
            <w:tcW w:w="109" w:type="pct"/>
          </w:tcPr>
          <w:p w14:paraId="668801F4" w14:textId="138DE0B4" w:rsidR="00897293" w:rsidRPr="00CC6553" w:rsidRDefault="00897293" w:rsidP="00B234F1">
            <w:pPr>
              <w:rPr>
                <w:rFonts w:cs="Arial"/>
                <w:color w:val="000000" w:themeColor="text1"/>
                <w:sz w:val="20"/>
              </w:rPr>
            </w:pPr>
            <w:r w:rsidRPr="00CC6553">
              <w:rPr>
                <w:rFonts w:cs="Arial"/>
                <w:color w:val="000000" w:themeColor="text1"/>
                <w:sz w:val="20"/>
              </w:rPr>
              <w:t>420</w:t>
            </w:r>
          </w:p>
        </w:tc>
        <w:tc>
          <w:tcPr>
            <w:tcW w:w="143" w:type="pct"/>
          </w:tcPr>
          <w:p w14:paraId="0ABFE7C7" w14:textId="44E40B51"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7F2B739D" w14:textId="61E61ABF" w:rsidR="00897293" w:rsidRPr="00CC6553" w:rsidRDefault="00897293" w:rsidP="00B234F1">
            <w:pPr>
              <w:rPr>
                <w:rFonts w:cs="Arial"/>
                <w:color w:val="000000" w:themeColor="text1"/>
                <w:sz w:val="20"/>
              </w:rPr>
            </w:pPr>
            <w:r w:rsidRPr="00CC6553">
              <w:rPr>
                <w:rStyle w:val="normaltextrun"/>
                <w:rFonts w:cs="Arial"/>
                <w:color w:val="000000" w:themeColor="text1"/>
                <w:szCs w:val="22"/>
                <w:shd w:val="clear" w:color="auto" w:fill="FFFFFF"/>
              </w:rPr>
              <w:t>Sandoz Ltd</w:t>
            </w:r>
            <w:r w:rsidRPr="00CC6553">
              <w:rPr>
                <w:rStyle w:val="eop"/>
                <w:rFonts w:cs="Arial"/>
                <w:color w:val="000000" w:themeColor="text1"/>
                <w:szCs w:val="22"/>
                <w:shd w:val="clear" w:color="auto" w:fill="FFFFFF"/>
              </w:rPr>
              <w:t> </w:t>
            </w:r>
          </w:p>
        </w:tc>
        <w:tc>
          <w:tcPr>
            <w:tcW w:w="279" w:type="pct"/>
            <w:tcBorders>
              <w:top w:val="single" w:sz="6" w:space="0" w:color="auto"/>
              <w:left w:val="single" w:sz="6" w:space="0" w:color="auto"/>
              <w:bottom w:val="single" w:sz="6" w:space="0" w:color="auto"/>
              <w:right w:val="single" w:sz="6" w:space="0" w:color="auto"/>
            </w:tcBorders>
          </w:tcPr>
          <w:p w14:paraId="40FF4253" w14:textId="2A438037"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Guideline</w:t>
            </w:r>
            <w:r w:rsidRPr="00CC6553">
              <w:rPr>
                <w:rStyle w:val="eop"/>
                <w:rFonts w:cs="Arial"/>
                <w:color w:val="000000" w:themeColor="text1"/>
                <w:szCs w:val="22"/>
              </w:rPr>
              <w:t> </w:t>
            </w:r>
          </w:p>
        </w:tc>
        <w:tc>
          <w:tcPr>
            <w:tcW w:w="214" w:type="pct"/>
            <w:tcBorders>
              <w:top w:val="single" w:sz="6" w:space="0" w:color="auto"/>
              <w:left w:val="single" w:sz="6" w:space="0" w:color="auto"/>
              <w:bottom w:val="single" w:sz="6" w:space="0" w:color="auto"/>
              <w:right w:val="single" w:sz="6" w:space="0" w:color="auto"/>
            </w:tcBorders>
          </w:tcPr>
          <w:p w14:paraId="1BA04066" w14:textId="7A9A87C8"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General</w:t>
            </w:r>
            <w:r w:rsidRPr="00CC6553">
              <w:rPr>
                <w:rStyle w:val="eop"/>
                <w:rFonts w:cs="Arial"/>
                <w:color w:val="000000" w:themeColor="text1"/>
                <w:szCs w:val="22"/>
              </w:rPr>
              <w:t> </w:t>
            </w:r>
          </w:p>
        </w:tc>
        <w:tc>
          <w:tcPr>
            <w:tcW w:w="214" w:type="pct"/>
            <w:tcBorders>
              <w:top w:val="single" w:sz="6" w:space="0" w:color="auto"/>
              <w:left w:val="single" w:sz="6" w:space="0" w:color="auto"/>
              <w:bottom w:val="single" w:sz="6" w:space="0" w:color="auto"/>
              <w:right w:val="single" w:sz="6" w:space="0" w:color="auto"/>
            </w:tcBorders>
          </w:tcPr>
          <w:p w14:paraId="6DD33F27" w14:textId="155800A4"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General</w:t>
            </w:r>
            <w:r w:rsidRPr="00CC6553">
              <w:rPr>
                <w:rStyle w:val="eop"/>
                <w:rFonts w:cs="Arial"/>
                <w:color w:val="000000" w:themeColor="text1"/>
                <w:szCs w:val="22"/>
              </w:rPr>
              <w:t> </w:t>
            </w:r>
          </w:p>
        </w:tc>
        <w:tc>
          <w:tcPr>
            <w:tcW w:w="1521" w:type="pct"/>
            <w:tcBorders>
              <w:top w:val="single" w:sz="6" w:space="0" w:color="auto"/>
              <w:left w:val="single" w:sz="6" w:space="0" w:color="auto"/>
              <w:bottom w:val="single" w:sz="6" w:space="0" w:color="auto"/>
              <w:right w:val="single" w:sz="6" w:space="0" w:color="auto"/>
            </w:tcBorders>
          </w:tcPr>
          <w:p w14:paraId="6C1D4627" w14:textId="77777777" w:rsidR="00897293" w:rsidRPr="00CC6553" w:rsidRDefault="00897293" w:rsidP="00B234F1">
            <w:pPr>
              <w:pStyle w:val="paragraph0"/>
              <w:spacing w:before="0" w:beforeAutospacing="0" w:after="0" w:afterAutospacing="0"/>
              <w:textAlignment w:val="baseline"/>
              <w:rPr>
                <w:rFonts w:ascii="Segoe UI" w:hAnsi="Segoe UI" w:cs="Segoe UI"/>
                <w:color w:val="000000" w:themeColor="text1"/>
                <w:sz w:val="18"/>
                <w:szCs w:val="18"/>
              </w:rPr>
            </w:pPr>
            <w:r w:rsidRPr="00CC6553">
              <w:rPr>
                <w:rStyle w:val="normaltextrun"/>
                <w:rFonts w:ascii="Arial" w:hAnsi="Arial" w:cs="Arial"/>
                <w:color w:val="000000" w:themeColor="text1"/>
                <w:sz w:val="22"/>
                <w:szCs w:val="22"/>
              </w:rPr>
              <w:t>We welcome the updated heart failure guidelines that should, as NICE states, prevent around 3,000 deaths and 5,500 hospital admissions annually in England from chronic heart failure. We support the use of medicines to improve population health at scale, noting that heart failure is a common condition with over 600,000 diagnosed cases in the UK.</w:t>
            </w:r>
            <w:r w:rsidRPr="00CC6553">
              <w:rPr>
                <w:rStyle w:val="eop"/>
                <w:rFonts w:ascii="Arial" w:hAnsi="Arial" w:cs="Arial"/>
                <w:color w:val="000000" w:themeColor="text1"/>
                <w:sz w:val="22"/>
                <w:szCs w:val="22"/>
              </w:rPr>
              <w:t> </w:t>
            </w:r>
          </w:p>
          <w:p w14:paraId="3A19374F" w14:textId="77777777" w:rsidR="00897293" w:rsidRPr="00CC6553" w:rsidRDefault="00897293" w:rsidP="00B234F1">
            <w:pPr>
              <w:pStyle w:val="paragraph0"/>
              <w:spacing w:before="0" w:beforeAutospacing="0" w:after="0" w:afterAutospacing="0"/>
              <w:textAlignment w:val="baseline"/>
              <w:rPr>
                <w:rFonts w:ascii="Segoe UI" w:hAnsi="Segoe UI" w:cs="Segoe UI"/>
                <w:color w:val="000000" w:themeColor="text1"/>
                <w:sz w:val="18"/>
                <w:szCs w:val="18"/>
              </w:rPr>
            </w:pPr>
            <w:r w:rsidRPr="00CC6553">
              <w:rPr>
                <w:rStyle w:val="eop"/>
                <w:rFonts w:ascii="Arial" w:hAnsi="Arial" w:cs="Arial"/>
                <w:color w:val="000000" w:themeColor="text1"/>
                <w:sz w:val="22"/>
                <w:szCs w:val="22"/>
              </w:rPr>
              <w:t> </w:t>
            </w:r>
          </w:p>
          <w:p w14:paraId="746BB653" w14:textId="77777777" w:rsidR="00897293" w:rsidRPr="00CC6553" w:rsidRDefault="00897293" w:rsidP="00B234F1">
            <w:pPr>
              <w:pStyle w:val="paragraph0"/>
              <w:spacing w:before="0" w:beforeAutospacing="0" w:after="0" w:afterAutospacing="0"/>
              <w:textAlignment w:val="baseline"/>
              <w:rPr>
                <w:rFonts w:ascii="Segoe UI" w:hAnsi="Segoe UI" w:cs="Segoe UI"/>
                <w:color w:val="000000" w:themeColor="text1"/>
                <w:sz w:val="18"/>
                <w:szCs w:val="18"/>
              </w:rPr>
            </w:pPr>
            <w:r w:rsidRPr="00CC6553">
              <w:rPr>
                <w:rStyle w:val="normaltextrun"/>
                <w:rFonts w:ascii="Arial" w:hAnsi="Arial" w:cs="Arial"/>
                <w:color w:val="000000" w:themeColor="text1"/>
                <w:sz w:val="22"/>
                <w:szCs w:val="22"/>
              </w:rPr>
              <w:t>We commend NICE for adopting this approach to guideline development that reflects the clinical reality of increasing use of sodium-glucose cotransporter-2 inhibitors and angiotensin receptor neprilysin inhibitors.</w:t>
            </w:r>
            <w:r w:rsidRPr="00CC6553">
              <w:rPr>
                <w:rStyle w:val="eop"/>
                <w:rFonts w:ascii="Arial" w:hAnsi="Arial" w:cs="Arial"/>
                <w:color w:val="000000" w:themeColor="text1"/>
                <w:sz w:val="22"/>
                <w:szCs w:val="22"/>
              </w:rPr>
              <w:t> </w:t>
            </w:r>
          </w:p>
          <w:p w14:paraId="633E8C2E" w14:textId="77777777" w:rsidR="00897293" w:rsidRPr="00CC6553" w:rsidRDefault="00897293" w:rsidP="00B234F1">
            <w:pPr>
              <w:pStyle w:val="paragraph0"/>
              <w:spacing w:before="0" w:beforeAutospacing="0" w:after="0" w:afterAutospacing="0"/>
              <w:textAlignment w:val="baseline"/>
              <w:rPr>
                <w:rFonts w:ascii="Segoe UI" w:hAnsi="Segoe UI" w:cs="Segoe UI"/>
                <w:color w:val="000000" w:themeColor="text1"/>
                <w:sz w:val="18"/>
                <w:szCs w:val="18"/>
              </w:rPr>
            </w:pPr>
            <w:r w:rsidRPr="00CC6553">
              <w:rPr>
                <w:rStyle w:val="eop"/>
                <w:rFonts w:ascii="Arial" w:hAnsi="Arial" w:cs="Arial"/>
                <w:color w:val="000000" w:themeColor="text1"/>
                <w:sz w:val="22"/>
                <w:szCs w:val="22"/>
              </w:rPr>
              <w:t> </w:t>
            </w:r>
          </w:p>
          <w:p w14:paraId="7194AEA1" w14:textId="77777777" w:rsidR="00897293" w:rsidRPr="00CC6553" w:rsidRDefault="00897293" w:rsidP="00B234F1">
            <w:pPr>
              <w:pStyle w:val="paragraph0"/>
              <w:spacing w:before="0" w:beforeAutospacing="0" w:after="0" w:afterAutospacing="0"/>
              <w:textAlignment w:val="baseline"/>
              <w:rPr>
                <w:rFonts w:ascii="Segoe UI" w:hAnsi="Segoe UI" w:cs="Segoe UI"/>
                <w:color w:val="000000" w:themeColor="text1"/>
                <w:sz w:val="18"/>
                <w:szCs w:val="18"/>
              </w:rPr>
            </w:pPr>
            <w:r w:rsidRPr="00CC6553">
              <w:rPr>
                <w:rStyle w:val="normaltextrun"/>
                <w:rFonts w:ascii="Arial" w:hAnsi="Arial" w:cs="Arial"/>
                <w:color w:val="000000" w:themeColor="text1"/>
                <w:sz w:val="22"/>
                <w:szCs w:val="22"/>
              </w:rPr>
              <w:t>We note that NICE has found four-modality treatment to be cost-effective, and we expect generic market entry, subject to patent expiry, for dapagliflozin and sacubitril-valsartan over the course of the Comprehensive Spending Review period, which will further enhance both cost-effectiveness and affordability for the NHS and taxpayer.</w:t>
            </w:r>
            <w:r w:rsidRPr="00CC6553">
              <w:rPr>
                <w:rStyle w:val="eop"/>
                <w:rFonts w:ascii="Arial" w:hAnsi="Arial" w:cs="Arial"/>
                <w:color w:val="000000" w:themeColor="text1"/>
                <w:sz w:val="22"/>
                <w:szCs w:val="22"/>
              </w:rPr>
              <w:t> </w:t>
            </w:r>
          </w:p>
          <w:p w14:paraId="5C2A9A8D" w14:textId="6FFC423C" w:rsidR="00897293" w:rsidRPr="00CC6553" w:rsidRDefault="00897293" w:rsidP="00B234F1">
            <w:pPr>
              <w:rPr>
                <w:rFonts w:eastAsia="Arial" w:cs="Arial"/>
                <w:color w:val="000000" w:themeColor="text1"/>
                <w:szCs w:val="22"/>
              </w:rPr>
            </w:pPr>
            <w:r w:rsidRPr="00CC6553">
              <w:rPr>
                <w:rStyle w:val="eop"/>
                <w:rFonts w:cs="Arial"/>
                <w:color w:val="000000" w:themeColor="text1"/>
                <w:szCs w:val="22"/>
              </w:rPr>
              <w:t> </w:t>
            </w:r>
          </w:p>
        </w:tc>
        <w:tc>
          <w:tcPr>
            <w:tcW w:w="2122" w:type="pct"/>
          </w:tcPr>
          <w:p w14:paraId="6977F5E7" w14:textId="78785DC1" w:rsidR="00897293" w:rsidRPr="00CC6553" w:rsidRDefault="00897293" w:rsidP="00B234F1">
            <w:pPr>
              <w:pStyle w:val="Heading1"/>
              <w:rPr>
                <w:rFonts w:cs="Arial"/>
                <w:b w:val="0"/>
                <w:bCs w:val="0"/>
                <w:color w:val="000000" w:themeColor="text1"/>
                <w:sz w:val="20"/>
              </w:rPr>
            </w:pPr>
            <w:r w:rsidRPr="00CC6553">
              <w:rPr>
                <w:rFonts w:cs="Arial"/>
                <w:b w:val="0"/>
                <w:bCs w:val="0"/>
                <w:color w:val="000000" w:themeColor="text1"/>
                <w:sz w:val="20"/>
              </w:rPr>
              <w:t>Thank you for your comment.</w:t>
            </w:r>
          </w:p>
        </w:tc>
      </w:tr>
      <w:tr w:rsidR="00897293" w:rsidRPr="00CC6553" w14:paraId="28604E86" w14:textId="77777777" w:rsidTr="00897293">
        <w:trPr>
          <w:trHeight w:val="300"/>
        </w:trPr>
        <w:tc>
          <w:tcPr>
            <w:tcW w:w="109" w:type="pct"/>
          </w:tcPr>
          <w:p w14:paraId="3804BD20" w14:textId="14D16C90" w:rsidR="00897293" w:rsidRPr="00CC6553" w:rsidRDefault="00897293" w:rsidP="00B234F1">
            <w:pPr>
              <w:rPr>
                <w:rFonts w:cs="Arial"/>
                <w:color w:val="000000" w:themeColor="text1"/>
                <w:sz w:val="20"/>
              </w:rPr>
            </w:pPr>
            <w:r w:rsidRPr="00CC6553">
              <w:rPr>
                <w:rFonts w:cs="Arial"/>
                <w:color w:val="000000" w:themeColor="text1"/>
                <w:sz w:val="20"/>
              </w:rPr>
              <w:t>421</w:t>
            </w:r>
          </w:p>
        </w:tc>
        <w:tc>
          <w:tcPr>
            <w:tcW w:w="143" w:type="pct"/>
          </w:tcPr>
          <w:p w14:paraId="28D8422D" w14:textId="299F98B0"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0B6F921E" w14:textId="539D0886" w:rsidR="00897293" w:rsidRPr="00CC6553" w:rsidRDefault="00897293" w:rsidP="00B234F1">
            <w:pPr>
              <w:rPr>
                <w:rFonts w:cs="Arial"/>
                <w:color w:val="000000" w:themeColor="text1"/>
                <w:sz w:val="20"/>
              </w:rPr>
            </w:pPr>
            <w:r w:rsidRPr="00CC6553">
              <w:rPr>
                <w:rStyle w:val="normaltextrun"/>
                <w:rFonts w:cs="Arial"/>
                <w:color w:val="000000" w:themeColor="text1"/>
                <w:szCs w:val="22"/>
                <w:shd w:val="clear" w:color="auto" w:fill="FFFFFF"/>
              </w:rPr>
              <w:t>Sandoz Ltd</w:t>
            </w:r>
            <w:r w:rsidRPr="00CC6553">
              <w:rPr>
                <w:rStyle w:val="eop"/>
                <w:rFonts w:cs="Arial"/>
                <w:color w:val="000000" w:themeColor="text1"/>
                <w:szCs w:val="22"/>
                <w:shd w:val="clear" w:color="auto" w:fill="FFFFFF"/>
              </w:rPr>
              <w:t> </w:t>
            </w:r>
          </w:p>
        </w:tc>
        <w:tc>
          <w:tcPr>
            <w:tcW w:w="279" w:type="pct"/>
            <w:tcBorders>
              <w:top w:val="single" w:sz="6" w:space="0" w:color="auto"/>
              <w:left w:val="single" w:sz="6" w:space="0" w:color="auto"/>
              <w:bottom w:val="single" w:sz="6" w:space="0" w:color="auto"/>
              <w:right w:val="single" w:sz="6" w:space="0" w:color="auto"/>
            </w:tcBorders>
          </w:tcPr>
          <w:p w14:paraId="52452D3D" w14:textId="3B85D96E"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Guideline</w:t>
            </w:r>
            <w:r w:rsidRPr="00CC6553">
              <w:rPr>
                <w:rStyle w:val="eop"/>
                <w:rFonts w:cs="Arial"/>
                <w:color w:val="000000" w:themeColor="text1"/>
                <w:szCs w:val="22"/>
              </w:rPr>
              <w:t> </w:t>
            </w:r>
          </w:p>
        </w:tc>
        <w:tc>
          <w:tcPr>
            <w:tcW w:w="214" w:type="pct"/>
            <w:tcBorders>
              <w:top w:val="single" w:sz="6" w:space="0" w:color="auto"/>
              <w:left w:val="single" w:sz="6" w:space="0" w:color="auto"/>
              <w:bottom w:val="single" w:sz="6" w:space="0" w:color="auto"/>
              <w:right w:val="single" w:sz="6" w:space="0" w:color="auto"/>
            </w:tcBorders>
          </w:tcPr>
          <w:p w14:paraId="42E55AAC" w14:textId="18F31E84"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General</w:t>
            </w:r>
            <w:r w:rsidRPr="00CC6553">
              <w:rPr>
                <w:rStyle w:val="eop"/>
                <w:rFonts w:cs="Arial"/>
                <w:color w:val="000000" w:themeColor="text1"/>
                <w:szCs w:val="22"/>
              </w:rPr>
              <w:t> </w:t>
            </w:r>
          </w:p>
        </w:tc>
        <w:tc>
          <w:tcPr>
            <w:tcW w:w="214" w:type="pct"/>
            <w:tcBorders>
              <w:top w:val="single" w:sz="6" w:space="0" w:color="auto"/>
              <w:left w:val="single" w:sz="6" w:space="0" w:color="auto"/>
              <w:bottom w:val="single" w:sz="6" w:space="0" w:color="auto"/>
              <w:right w:val="single" w:sz="6" w:space="0" w:color="auto"/>
            </w:tcBorders>
          </w:tcPr>
          <w:p w14:paraId="73D44655" w14:textId="41E6615B"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General</w:t>
            </w:r>
            <w:r w:rsidRPr="00CC6553">
              <w:rPr>
                <w:rStyle w:val="eop"/>
                <w:rFonts w:cs="Arial"/>
                <w:color w:val="000000" w:themeColor="text1"/>
                <w:szCs w:val="22"/>
              </w:rPr>
              <w:t> </w:t>
            </w:r>
          </w:p>
        </w:tc>
        <w:tc>
          <w:tcPr>
            <w:tcW w:w="1521" w:type="pct"/>
            <w:tcBorders>
              <w:top w:val="single" w:sz="6" w:space="0" w:color="auto"/>
              <w:left w:val="single" w:sz="6" w:space="0" w:color="auto"/>
              <w:bottom w:val="single" w:sz="6" w:space="0" w:color="auto"/>
              <w:right w:val="single" w:sz="6" w:space="0" w:color="auto"/>
            </w:tcBorders>
          </w:tcPr>
          <w:p w14:paraId="319B2084" w14:textId="3E31AAC3"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We agree with the updated treatment guideline shifting away from a stepwise approach towards first-line optimisation of the four primary pharmacological classes for patients with the four types of heart failure (HFrEF, HFmrEF, HFpEF and heart failure with CKD).</w:t>
            </w:r>
            <w:r w:rsidRPr="00CC6553">
              <w:rPr>
                <w:rStyle w:val="eop"/>
                <w:rFonts w:cs="Arial"/>
                <w:color w:val="000000" w:themeColor="text1"/>
                <w:szCs w:val="22"/>
              </w:rPr>
              <w:t> </w:t>
            </w:r>
          </w:p>
        </w:tc>
        <w:tc>
          <w:tcPr>
            <w:tcW w:w="2122" w:type="pct"/>
          </w:tcPr>
          <w:p w14:paraId="273B48B0" w14:textId="00DEE2DE" w:rsidR="00897293" w:rsidRPr="00CC6553" w:rsidRDefault="00897293" w:rsidP="00B234F1">
            <w:pPr>
              <w:pStyle w:val="Heading1"/>
              <w:rPr>
                <w:rFonts w:cs="Arial"/>
                <w:b w:val="0"/>
                <w:bCs w:val="0"/>
                <w:color w:val="000000" w:themeColor="text1"/>
                <w:sz w:val="20"/>
              </w:rPr>
            </w:pPr>
            <w:r w:rsidRPr="00CC6553">
              <w:rPr>
                <w:rFonts w:cs="Arial"/>
                <w:b w:val="0"/>
                <w:bCs w:val="0"/>
                <w:color w:val="000000" w:themeColor="text1"/>
                <w:sz w:val="20"/>
              </w:rPr>
              <w:t>Thank you for your comment.</w:t>
            </w:r>
          </w:p>
        </w:tc>
      </w:tr>
      <w:tr w:rsidR="00897293" w:rsidRPr="00CC6553" w14:paraId="7AAD44DD" w14:textId="77777777" w:rsidTr="00897293">
        <w:trPr>
          <w:trHeight w:val="300"/>
        </w:trPr>
        <w:tc>
          <w:tcPr>
            <w:tcW w:w="109" w:type="pct"/>
          </w:tcPr>
          <w:p w14:paraId="11B12234" w14:textId="0C80A04F" w:rsidR="00897293" w:rsidRPr="00CC6553" w:rsidRDefault="00897293" w:rsidP="00B234F1">
            <w:pPr>
              <w:rPr>
                <w:rFonts w:cs="Arial"/>
                <w:color w:val="000000" w:themeColor="text1"/>
                <w:sz w:val="20"/>
              </w:rPr>
            </w:pPr>
            <w:r w:rsidRPr="00CC6553">
              <w:rPr>
                <w:rFonts w:cs="Arial"/>
                <w:color w:val="000000" w:themeColor="text1"/>
                <w:sz w:val="20"/>
              </w:rPr>
              <w:t>422</w:t>
            </w:r>
          </w:p>
        </w:tc>
        <w:tc>
          <w:tcPr>
            <w:tcW w:w="143" w:type="pct"/>
          </w:tcPr>
          <w:p w14:paraId="5379EF38" w14:textId="6AB162CA"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07DB1861" w14:textId="4A5CCF2D" w:rsidR="00897293" w:rsidRPr="00CC6553" w:rsidRDefault="00897293" w:rsidP="00B234F1">
            <w:pPr>
              <w:rPr>
                <w:rFonts w:cs="Arial"/>
                <w:color w:val="000000" w:themeColor="text1"/>
                <w:sz w:val="20"/>
              </w:rPr>
            </w:pPr>
            <w:r w:rsidRPr="00CC6553">
              <w:rPr>
                <w:rStyle w:val="normaltextrun"/>
                <w:rFonts w:cs="Arial"/>
                <w:color w:val="000000" w:themeColor="text1"/>
                <w:szCs w:val="22"/>
                <w:shd w:val="clear" w:color="auto" w:fill="FFFFFF"/>
              </w:rPr>
              <w:t>Sandoz Ltd</w:t>
            </w:r>
            <w:r w:rsidRPr="00CC6553">
              <w:rPr>
                <w:rStyle w:val="eop"/>
                <w:rFonts w:cs="Arial"/>
                <w:color w:val="000000" w:themeColor="text1"/>
                <w:szCs w:val="22"/>
                <w:shd w:val="clear" w:color="auto" w:fill="FFFFFF"/>
              </w:rPr>
              <w:t> </w:t>
            </w:r>
          </w:p>
        </w:tc>
        <w:tc>
          <w:tcPr>
            <w:tcW w:w="279" w:type="pct"/>
            <w:tcBorders>
              <w:top w:val="single" w:sz="6" w:space="0" w:color="auto"/>
              <w:left w:val="single" w:sz="6" w:space="0" w:color="auto"/>
              <w:bottom w:val="single" w:sz="6" w:space="0" w:color="auto"/>
              <w:right w:val="single" w:sz="6" w:space="0" w:color="auto"/>
            </w:tcBorders>
          </w:tcPr>
          <w:p w14:paraId="7B42FD54" w14:textId="1270D85A"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Guideline</w:t>
            </w:r>
            <w:r w:rsidRPr="00CC6553">
              <w:rPr>
                <w:rStyle w:val="eop"/>
                <w:rFonts w:cs="Arial"/>
                <w:color w:val="000000" w:themeColor="text1"/>
                <w:szCs w:val="22"/>
              </w:rPr>
              <w:t> </w:t>
            </w:r>
          </w:p>
        </w:tc>
        <w:tc>
          <w:tcPr>
            <w:tcW w:w="214" w:type="pct"/>
            <w:tcBorders>
              <w:top w:val="single" w:sz="6" w:space="0" w:color="auto"/>
              <w:left w:val="single" w:sz="6" w:space="0" w:color="auto"/>
              <w:bottom w:val="single" w:sz="6" w:space="0" w:color="auto"/>
              <w:right w:val="single" w:sz="6" w:space="0" w:color="auto"/>
            </w:tcBorders>
          </w:tcPr>
          <w:p w14:paraId="53FD7347" w14:textId="0E28C28D"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General</w:t>
            </w:r>
            <w:r w:rsidRPr="00CC6553">
              <w:rPr>
                <w:rStyle w:val="eop"/>
                <w:rFonts w:cs="Arial"/>
                <w:color w:val="000000" w:themeColor="text1"/>
                <w:szCs w:val="22"/>
              </w:rPr>
              <w:t> </w:t>
            </w:r>
          </w:p>
        </w:tc>
        <w:tc>
          <w:tcPr>
            <w:tcW w:w="214" w:type="pct"/>
            <w:tcBorders>
              <w:top w:val="single" w:sz="6" w:space="0" w:color="auto"/>
              <w:left w:val="single" w:sz="6" w:space="0" w:color="auto"/>
              <w:bottom w:val="single" w:sz="6" w:space="0" w:color="auto"/>
              <w:right w:val="single" w:sz="6" w:space="0" w:color="auto"/>
            </w:tcBorders>
          </w:tcPr>
          <w:p w14:paraId="3D3C5D0F" w14:textId="4CBC4422"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General</w:t>
            </w:r>
            <w:r w:rsidRPr="00CC6553">
              <w:rPr>
                <w:rStyle w:val="eop"/>
                <w:rFonts w:cs="Arial"/>
                <w:color w:val="000000" w:themeColor="text1"/>
                <w:szCs w:val="22"/>
              </w:rPr>
              <w:t> </w:t>
            </w:r>
          </w:p>
        </w:tc>
        <w:tc>
          <w:tcPr>
            <w:tcW w:w="1521" w:type="pct"/>
            <w:tcBorders>
              <w:top w:val="single" w:sz="6" w:space="0" w:color="auto"/>
              <w:left w:val="single" w:sz="6" w:space="0" w:color="auto"/>
              <w:bottom w:val="single" w:sz="6" w:space="0" w:color="auto"/>
              <w:right w:val="single" w:sz="6" w:space="0" w:color="auto"/>
            </w:tcBorders>
          </w:tcPr>
          <w:p w14:paraId="4FCAE25D" w14:textId="6D8EACEF"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We agree that healthcare professionals should not be required to fully titrate one class of medicines before initiating another.</w:t>
            </w:r>
            <w:r w:rsidRPr="00CC6553">
              <w:rPr>
                <w:rStyle w:val="eop"/>
                <w:rFonts w:cs="Arial"/>
                <w:color w:val="000000" w:themeColor="text1"/>
                <w:szCs w:val="22"/>
              </w:rPr>
              <w:t> </w:t>
            </w:r>
          </w:p>
        </w:tc>
        <w:tc>
          <w:tcPr>
            <w:tcW w:w="2122" w:type="pct"/>
          </w:tcPr>
          <w:p w14:paraId="355AE26D" w14:textId="62AD629C" w:rsidR="00897293" w:rsidRPr="00CC6553" w:rsidRDefault="00897293" w:rsidP="00B234F1">
            <w:pPr>
              <w:pStyle w:val="Heading1"/>
              <w:rPr>
                <w:rFonts w:cs="Arial"/>
                <w:b w:val="0"/>
                <w:bCs w:val="0"/>
                <w:color w:val="000000" w:themeColor="text1"/>
                <w:sz w:val="20"/>
              </w:rPr>
            </w:pPr>
            <w:r w:rsidRPr="00CC6553">
              <w:rPr>
                <w:rFonts w:cs="Arial"/>
                <w:b w:val="0"/>
                <w:bCs w:val="0"/>
                <w:color w:val="000000" w:themeColor="text1"/>
                <w:sz w:val="20"/>
              </w:rPr>
              <w:t>Thank you for your comment.</w:t>
            </w:r>
          </w:p>
        </w:tc>
      </w:tr>
      <w:tr w:rsidR="00897293" w:rsidRPr="00CC6553" w14:paraId="63D5A45C" w14:textId="77777777" w:rsidTr="00897293">
        <w:trPr>
          <w:trHeight w:val="300"/>
        </w:trPr>
        <w:tc>
          <w:tcPr>
            <w:tcW w:w="109" w:type="pct"/>
          </w:tcPr>
          <w:p w14:paraId="6437C73F" w14:textId="57769D4F" w:rsidR="00897293" w:rsidRPr="00CC6553" w:rsidRDefault="00897293" w:rsidP="00B234F1">
            <w:pPr>
              <w:rPr>
                <w:rFonts w:cs="Arial"/>
                <w:color w:val="000000" w:themeColor="text1"/>
                <w:sz w:val="20"/>
              </w:rPr>
            </w:pPr>
            <w:r w:rsidRPr="00CC6553">
              <w:rPr>
                <w:rFonts w:cs="Arial"/>
                <w:color w:val="000000" w:themeColor="text1"/>
                <w:sz w:val="20"/>
              </w:rPr>
              <w:lastRenderedPageBreak/>
              <w:t>423</w:t>
            </w:r>
          </w:p>
        </w:tc>
        <w:tc>
          <w:tcPr>
            <w:tcW w:w="143" w:type="pct"/>
          </w:tcPr>
          <w:p w14:paraId="4AE3AA8E" w14:textId="3227CAD5"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1B12EE4B" w14:textId="6584CAA9" w:rsidR="00897293" w:rsidRPr="00CC6553" w:rsidRDefault="00897293" w:rsidP="00B234F1">
            <w:pPr>
              <w:rPr>
                <w:rFonts w:cs="Arial"/>
                <w:color w:val="000000" w:themeColor="text1"/>
                <w:sz w:val="20"/>
              </w:rPr>
            </w:pPr>
            <w:r w:rsidRPr="00CC6553">
              <w:rPr>
                <w:rStyle w:val="normaltextrun"/>
                <w:rFonts w:cs="Arial"/>
                <w:color w:val="000000" w:themeColor="text1"/>
                <w:szCs w:val="22"/>
                <w:shd w:val="clear" w:color="auto" w:fill="FFFFFF"/>
              </w:rPr>
              <w:t>Sandoz Ltd</w:t>
            </w:r>
            <w:r w:rsidRPr="00CC6553">
              <w:rPr>
                <w:rStyle w:val="eop"/>
                <w:rFonts w:cs="Arial"/>
                <w:color w:val="000000" w:themeColor="text1"/>
                <w:szCs w:val="22"/>
                <w:shd w:val="clear" w:color="auto" w:fill="FFFFFF"/>
              </w:rPr>
              <w:t> </w:t>
            </w:r>
          </w:p>
        </w:tc>
        <w:tc>
          <w:tcPr>
            <w:tcW w:w="279" w:type="pct"/>
            <w:tcBorders>
              <w:top w:val="single" w:sz="6" w:space="0" w:color="auto"/>
              <w:left w:val="single" w:sz="6" w:space="0" w:color="auto"/>
              <w:bottom w:val="single" w:sz="6" w:space="0" w:color="auto"/>
              <w:right w:val="single" w:sz="6" w:space="0" w:color="auto"/>
            </w:tcBorders>
          </w:tcPr>
          <w:p w14:paraId="404C6B84" w14:textId="158D2BD6"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Guideline</w:t>
            </w:r>
            <w:r w:rsidRPr="00CC6553">
              <w:rPr>
                <w:rStyle w:val="eop"/>
                <w:rFonts w:cs="Arial"/>
                <w:color w:val="000000" w:themeColor="text1"/>
                <w:szCs w:val="22"/>
              </w:rPr>
              <w:t> </w:t>
            </w:r>
          </w:p>
        </w:tc>
        <w:tc>
          <w:tcPr>
            <w:tcW w:w="214" w:type="pct"/>
            <w:tcBorders>
              <w:top w:val="single" w:sz="6" w:space="0" w:color="auto"/>
              <w:left w:val="single" w:sz="6" w:space="0" w:color="auto"/>
              <w:bottom w:val="single" w:sz="6" w:space="0" w:color="auto"/>
              <w:right w:val="single" w:sz="6" w:space="0" w:color="auto"/>
            </w:tcBorders>
          </w:tcPr>
          <w:p w14:paraId="4EC5909A" w14:textId="63D77081"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General</w:t>
            </w:r>
            <w:r w:rsidRPr="00CC6553">
              <w:rPr>
                <w:rStyle w:val="eop"/>
                <w:rFonts w:cs="Arial"/>
                <w:color w:val="000000" w:themeColor="text1"/>
                <w:szCs w:val="22"/>
              </w:rPr>
              <w:t> </w:t>
            </w:r>
          </w:p>
        </w:tc>
        <w:tc>
          <w:tcPr>
            <w:tcW w:w="214" w:type="pct"/>
            <w:tcBorders>
              <w:top w:val="single" w:sz="6" w:space="0" w:color="auto"/>
              <w:left w:val="single" w:sz="6" w:space="0" w:color="auto"/>
              <w:bottom w:val="single" w:sz="6" w:space="0" w:color="auto"/>
              <w:right w:val="single" w:sz="6" w:space="0" w:color="auto"/>
            </w:tcBorders>
          </w:tcPr>
          <w:p w14:paraId="0C494222" w14:textId="5B03F4CE"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General</w:t>
            </w:r>
            <w:r w:rsidRPr="00CC6553">
              <w:rPr>
                <w:rStyle w:val="eop"/>
                <w:rFonts w:cs="Arial"/>
                <w:color w:val="000000" w:themeColor="text1"/>
                <w:szCs w:val="22"/>
              </w:rPr>
              <w:t> </w:t>
            </w:r>
          </w:p>
        </w:tc>
        <w:tc>
          <w:tcPr>
            <w:tcW w:w="1521" w:type="pct"/>
            <w:tcBorders>
              <w:top w:val="single" w:sz="6" w:space="0" w:color="auto"/>
              <w:left w:val="single" w:sz="6" w:space="0" w:color="auto"/>
              <w:bottom w:val="single" w:sz="6" w:space="0" w:color="auto"/>
              <w:right w:val="single" w:sz="6" w:space="0" w:color="auto"/>
            </w:tcBorders>
          </w:tcPr>
          <w:p w14:paraId="717AD230" w14:textId="41D36AE9"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We support enabling GPs to prescribe SGLT2 inhibitors and ARNIs on the advice of a heart failure specialist, which will address a key implementation barrier and avoid bottlenecks to effective therapy.</w:t>
            </w:r>
            <w:r w:rsidRPr="00CC6553">
              <w:rPr>
                <w:rStyle w:val="eop"/>
                <w:rFonts w:cs="Arial"/>
                <w:color w:val="000000" w:themeColor="text1"/>
                <w:szCs w:val="22"/>
              </w:rPr>
              <w:t> </w:t>
            </w:r>
          </w:p>
        </w:tc>
        <w:tc>
          <w:tcPr>
            <w:tcW w:w="2122" w:type="pct"/>
          </w:tcPr>
          <w:p w14:paraId="0FDE725A" w14:textId="18F032ED" w:rsidR="00897293" w:rsidRPr="00CC6553" w:rsidRDefault="00897293" w:rsidP="00B234F1">
            <w:pPr>
              <w:pStyle w:val="Heading1"/>
              <w:rPr>
                <w:rFonts w:cs="Arial"/>
                <w:b w:val="0"/>
                <w:bCs w:val="0"/>
                <w:color w:val="000000" w:themeColor="text1"/>
                <w:sz w:val="20"/>
              </w:rPr>
            </w:pPr>
            <w:r w:rsidRPr="00CC6553">
              <w:rPr>
                <w:rFonts w:cs="Arial"/>
                <w:b w:val="0"/>
                <w:bCs w:val="0"/>
                <w:color w:val="000000" w:themeColor="text1"/>
                <w:sz w:val="20"/>
              </w:rPr>
              <w:t>Thank you for your comment.  The committee discussed the stakeholder feedback which was in support of GPs being able to prescribe SGLT2 inhibitors without seeking advice from a heart failure specialist.  This is supported by their ability to prescribe SGLT2 inhibitors without advice for other conditions.  The committee has therefore edited the recommendation so that advice only needs to be sought for an ARNI.</w:t>
            </w:r>
          </w:p>
        </w:tc>
      </w:tr>
      <w:tr w:rsidR="00897293" w:rsidRPr="00CC6553" w14:paraId="5A9D5CE4" w14:textId="77777777" w:rsidTr="00897293">
        <w:trPr>
          <w:trHeight w:val="300"/>
        </w:trPr>
        <w:tc>
          <w:tcPr>
            <w:tcW w:w="109" w:type="pct"/>
          </w:tcPr>
          <w:p w14:paraId="160F4A12" w14:textId="483DED27" w:rsidR="00897293" w:rsidRPr="00CC6553" w:rsidRDefault="00897293" w:rsidP="00B234F1">
            <w:pPr>
              <w:rPr>
                <w:rFonts w:cs="Arial"/>
                <w:color w:val="000000" w:themeColor="text1"/>
                <w:sz w:val="20"/>
              </w:rPr>
            </w:pPr>
            <w:r w:rsidRPr="00CC6553">
              <w:rPr>
                <w:rFonts w:cs="Arial"/>
                <w:color w:val="000000" w:themeColor="text1"/>
                <w:sz w:val="20"/>
              </w:rPr>
              <w:t>424</w:t>
            </w:r>
          </w:p>
        </w:tc>
        <w:tc>
          <w:tcPr>
            <w:tcW w:w="143" w:type="pct"/>
          </w:tcPr>
          <w:p w14:paraId="6399568D" w14:textId="3B9D12FD"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0C9A3A0A" w14:textId="325FA304" w:rsidR="00897293" w:rsidRPr="00CC6553" w:rsidRDefault="00897293" w:rsidP="00B234F1">
            <w:pPr>
              <w:rPr>
                <w:rFonts w:cs="Arial"/>
                <w:color w:val="000000" w:themeColor="text1"/>
                <w:sz w:val="20"/>
              </w:rPr>
            </w:pPr>
            <w:r w:rsidRPr="00CC6553">
              <w:rPr>
                <w:rStyle w:val="normaltextrun"/>
                <w:rFonts w:cs="Arial"/>
                <w:color w:val="000000" w:themeColor="text1"/>
                <w:szCs w:val="22"/>
                <w:shd w:val="clear" w:color="auto" w:fill="FFFFFF"/>
              </w:rPr>
              <w:t>Sandoz Ltd</w:t>
            </w:r>
            <w:r w:rsidRPr="00CC6553">
              <w:rPr>
                <w:rStyle w:val="eop"/>
                <w:rFonts w:cs="Arial"/>
                <w:color w:val="000000" w:themeColor="text1"/>
                <w:szCs w:val="22"/>
                <w:shd w:val="clear" w:color="auto" w:fill="FFFFFF"/>
              </w:rPr>
              <w:t> </w:t>
            </w:r>
          </w:p>
        </w:tc>
        <w:tc>
          <w:tcPr>
            <w:tcW w:w="279" w:type="pct"/>
            <w:tcBorders>
              <w:top w:val="single" w:sz="6" w:space="0" w:color="auto"/>
              <w:left w:val="single" w:sz="6" w:space="0" w:color="auto"/>
              <w:bottom w:val="single" w:sz="6" w:space="0" w:color="auto"/>
              <w:right w:val="single" w:sz="6" w:space="0" w:color="auto"/>
            </w:tcBorders>
          </w:tcPr>
          <w:p w14:paraId="13B14ACE" w14:textId="66B951F2"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Guideline</w:t>
            </w:r>
            <w:r w:rsidRPr="00CC6553">
              <w:rPr>
                <w:rStyle w:val="eop"/>
                <w:rFonts w:cs="Arial"/>
                <w:color w:val="000000" w:themeColor="text1"/>
                <w:szCs w:val="22"/>
              </w:rPr>
              <w:t> </w:t>
            </w:r>
          </w:p>
        </w:tc>
        <w:tc>
          <w:tcPr>
            <w:tcW w:w="214" w:type="pct"/>
            <w:tcBorders>
              <w:top w:val="single" w:sz="6" w:space="0" w:color="auto"/>
              <w:left w:val="single" w:sz="6" w:space="0" w:color="auto"/>
              <w:bottom w:val="single" w:sz="6" w:space="0" w:color="auto"/>
              <w:right w:val="single" w:sz="6" w:space="0" w:color="auto"/>
            </w:tcBorders>
          </w:tcPr>
          <w:p w14:paraId="138F8B05" w14:textId="6E89A0EE"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General</w:t>
            </w:r>
            <w:r w:rsidRPr="00CC6553">
              <w:rPr>
                <w:rStyle w:val="eop"/>
                <w:rFonts w:cs="Arial"/>
                <w:color w:val="000000" w:themeColor="text1"/>
                <w:szCs w:val="22"/>
              </w:rPr>
              <w:t> </w:t>
            </w:r>
          </w:p>
        </w:tc>
        <w:tc>
          <w:tcPr>
            <w:tcW w:w="214" w:type="pct"/>
            <w:tcBorders>
              <w:top w:val="single" w:sz="6" w:space="0" w:color="auto"/>
              <w:left w:val="single" w:sz="6" w:space="0" w:color="auto"/>
              <w:bottom w:val="single" w:sz="6" w:space="0" w:color="auto"/>
              <w:right w:val="single" w:sz="6" w:space="0" w:color="auto"/>
            </w:tcBorders>
          </w:tcPr>
          <w:p w14:paraId="04D4EB8D" w14:textId="30EFB982"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General</w:t>
            </w:r>
            <w:r w:rsidRPr="00CC6553">
              <w:rPr>
                <w:rStyle w:val="eop"/>
                <w:rFonts w:cs="Arial"/>
                <w:color w:val="000000" w:themeColor="text1"/>
                <w:szCs w:val="22"/>
              </w:rPr>
              <w:t> </w:t>
            </w:r>
          </w:p>
        </w:tc>
        <w:tc>
          <w:tcPr>
            <w:tcW w:w="1521" w:type="pct"/>
            <w:tcBorders>
              <w:top w:val="single" w:sz="6" w:space="0" w:color="auto"/>
              <w:left w:val="single" w:sz="6" w:space="0" w:color="auto"/>
              <w:bottom w:val="single" w:sz="6" w:space="0" w:color="auto"/>
              <w:right w:val="single" w:sz="6" w:space="0" w:color="auto"/>
            </w:tcBorders>
          </w:tcPr>
          <w:p w14:paraId="775D448E" w14:textId="77AC6B31"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We welcome the updated treatment guidelines recommending early initiation of the SGLT2 inhibitors empagliflozin and dapagliflozin at any point in the treatment pathway, rather than delaying until after titration of other agents.</w:t>
            </w:r>
            <w:r w:rsidRPr="00CC6553">
              <w:rPr>
                <w:rStyle w:val="eop"/>
                <w:rFonts w:cs="Arial"/>
                <w:color w:val="000000" w:themeColor="text1"/>
                <w:szCs w:val="22"/>
              </w:rPr>
              <w:t> </w:t>
            </w:r>
          </w:p>
        </w:tc>
        <w:tc>
          <w:tcPr>
            <w:tcW w:w="2122" w:type="pct"/>
          </w:tcPr>
          <w:p w14:paraId="501BEE9A" w14:textId="133B1DB2" w:rsidR="00897293" w:rsidRPr="00CC6553" w:rsidRDefault="00897293" w:rsidP="00B234F1">
            <w:pPr>
              <w:pStyle w:val="Heading1"/>
              <w:rPr>
                <w:rFonts w:cs="Arial"/>
                <w:b w:val="0"/>
                <w:bCs w:val="0"/>
                <w:color w:val="000000" w:themeColor="text1"/>
                <w:sz w:val="20"/>
              </w:rPr>
            </w:pPr>
            <w:r w:rsidRPr="00CC6553">
              <w:rPr>
                <w:rFonts w:cs="Arial"/>
                <w:b w:val="0"/>
                <w:bCs w:val="0"/>
                <w:color w:val="000000" w:themeColor="text1"/>
                <w:sz w:val="20"/>
              </w:rPr>
              <w:t>Thank you for your comment.</w:t>
            </w:r>
          </w:p>
        </w:tc>
      </w:tr>
      <w:tr w:rsidR="00897293" w:rsidRPr="00CC6553" w14:paraId="5E9CEA28" w14:textId="77777777" w:rsidTr="00897293">
        <w:trPr>
          <w:trHeight w:val="300"/>
        </w:trPr>
        <w:tc>
          <w:tcPr>
            <w:tcW w:w="109" w:type="pct"/>
          </w:tcPr>
          <w:p w14:paraId="62017396" w14:textId="4024075B" w:rsidR="00897293" w:rsidRPr="00CC6553" w:rsidRDefault="00897293" w:rsidP="00B234F1">
            <w:pPr>
              <w:rPr>
                <w:rFonts w:cs="Arial"/>
                <w:color w:val="000000" w:themeColor="text1"/>
                <w:sz w:val="20"/>
              </w:rPr>
            </w:pPr>
            <w:r w:rsidRPr="00CC6553">
              <w:rPr>
                <w:rFonts w:cs="Arial"/>
                <w:color w:val="000000" w:themeColor="text1"/>
                <w:sz w:val="20"/>
              </w:rPr>
              <w:t>425</w:t>
            </w:r>
          </w:p>
        </w:tc>
        <w:tc>
          <w:tcPr>
            <w:tcW w:w="143" w:type="pct"/>
          </w:tcPr>
          <w:p w14:paraId="6CBC3CBF" w14:textId="13EE43F0"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0C7363E0" w14:textId="19FDA054" w:rsidR="00897293" w:rsidRPr="00CC6553" w:rsidRDefault="00897293" w:rsidP="00B234F1">
            <w:pPr>
              <w:rPr>
                <w:rFonts w:cs="Arial"/>
                <w:color w:val="000000" w:themeColor="text1"/>
                <w:sz w:val="20"/>
              </w:rPr>
            </w:pPr>
            <w:r w:rsidRPr="00CC6553">
              <w:rPr>
                <w:rStyle w:val="normaltextrun"/>
                <w:rFonts w:cs="Arial"/>
                <w:color w:val="000000" w:themeColor="text1"/>
                <w:szCs w:val="22"/>
                <w:shd w:val="clear" w:color="auto" w:fill="FFFFFF"/>
              </w:rPr>
              <w:t>Sandoz Ltd</w:t>
            </w:r>
            <w:r w:rsidRPr="00CC6553">
              <w:rPr>
                <w:rStyle w:val="eop"/>
                <w:rFonts w:cs="Arial"/>
                <w:color w:val="000000" w:themeColor="text1"/>
                <w:szCs w:val="22"/>
                <w:shd w:val="clear" w:color="auto" w:fill="FFFFFF"/>
              </w:rPr>
              <w:t> </w:t>
            </w:r>
          </w:p>
        </w:tc>
        <w:tc>
          <w:tcPr>
            <w:tcW w:w="279" w:type="pct"/>
            <w:tcBorders>
              <w:top w:val="single" w:sz="6" w:space="0" w:color="auto"/>
              <w:left w:val="single" w:sz="6" w:space="0" w:color="auto"/>
              <w:bottom w:val="single" w:sz="6" w:space="0" w:color="auto"/>
              <w:right w:val="single" w:sz="6" w:space="0" w:color="auto"/>
            </w:tcBorders>
          </w:tcPr>
          <w:p w14:paraId="41CB3ED9" w14:textId="2C993522"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Guideline</w:t>
            </w:r>
            <w:r w:rsidRPr="00CC6553">
              <w:rPr>
                <w:rStyle w:val="eop"/>
                <w:rFonts w:cs="Arial"/>
                <w:color w:val="000000" w:themeColor="text1"/>
                <w:szCs w:val="22"/>
              </w:rPr>
              <w:t> </w:t>
            </w:r>
          </w:p>
        </w:tc>
        <w:tc>
          <w:tcPr>
            <w:tcW w:w="214" w:type="pct"/>
            <w:tcBorders>
              <w:top w:val="single" w:sz="6" w:space="0" w:color="auto"/>
              <w:left w:val="single" w:sz="6" w:space="0" w:color="auto"/>
              <w:bottom w:val="single" w:sz="6" w:space="0" w:color="auto"/>
              <w:right w:val="single" w:sz="6" w:space="0" w:color="auto"/>
            </w:tcBorders>
          </w:tcPr>
          <w:p w14:paraId="2D36E6B2" w14:textId="0C98166C"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General</w:t>
            </w:r>
            <w:r w:rsidRPr="00CC6553">
              <w:rPr>
                <w:rStyle w:val="eop"/>
                <w:rFonts w:cs="Arial"/>
                <w:color w:val="000000" w:themeColor="text1"/>
                <w:szCs w:val="22"/>
              </w:rPr>
              <w:t> </w:t>
            </w:r>
          </w:p>
        </w:tc>
        <w:tc>
          <w:tcPr>
            <w:tcW w:w="214" w:type="pct"/>
            <w:tcBorders>
              <w:top w:val="single" w:sz="6" w:space="0" w:color="auto"/>
              <w:left w:val="single" w:sz="6" w:space="0" w:color="auto"/>
              <w:bottom w:val="single" w:sz="6" w:space="0" w:color="auto"/>
              <w:right w:val="single" w:sz="6" w:space="0" w:color="auto"/>
            </w:tcBorders>
          </w:tcPr>
          <w:p w14:paraId="2E3D08AA" w14:textId="41A0E222"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General</w:t>
            </w:r>
            <w:r w:rsidRPr="00CC6553">
              <w:rPr>
                <w:rStyle w:val="eop"/>
                <w:rFonts w:cs="Arial"/>
                <w:color w:val="000000" w:themeColor="text1"/>
                <w:szCs w:val="22"/>
              </w:rPr>
              <w:t> </w:t>
            </w:r>
          </w:p>
        </w:tc>
        <w:tc>
          <w:tcPr>
            <w:tcW w:w="1521" w:type="pct"/>
            <w:tcBorders>
              <w:top w:val="single" w:sz="6" w:space="0" w:color="auto"/>
              <w:left w:val="single" w:sz="6" w:space="0" w:color="auto"/>
              <w:bottom w:val="single" w:sz="6" w:space="0" w:color="auto"/>
              <w:right w:val="single" w:sz="6" w:space="0" w:color="auto"/>
            </w:tcBorders>
          </w:tcPr>
          <w:p w14:paraId="54101555" w14:textId="77777777" w:rsidR="00897293" w:rsidRPr="00CC6553" w:rsidRDefault="00897293" w:rsidP="00B234F1">
            <w:pPr>
              <w:pStyle w:val="paragraph0"/>
              <w:spacing w:before="0" w:beforeAutospacing="0" w:after="0" w:afterAutospacing="0"/>
              <w:textAlignment w:val="baseline"/>
              <w:rPr>
                <w:rFonts w:ascii="Segoe UI" w:hAnsi="Segoe UI" w:cs="Segoe UI"/>
                <w:color w:val="000000" w:themeColor="text1"/>
                <w:sz w:val="18"/>
                <w:szCs w:val="18"/>
              </w:rPr>
            </w:pPr>
            <w:r w:rsidRPr="00CC6553">
              <w:rPr>
                <w:rStyle w:val="normaltextrun"/>
                <w:rFonts w:ascii="Arial" w:hAnsi="Arial" w:cs="Arial"/>
                <w:color w:val="000000" w:themeColor="text1"/>
                <w:sz w:val="22"/>
                <w:szCs w:val="22"/>
              </w:rPr>
              <w:t>We welcome the updated treatment guidelines recommending that an angiotensin receptor neprilysin inhibitor is used if patients with Heart Failure with Reduced Ejection Fraction, the most common type of heart failure, cannot tolerate an ACE inhibitor, rather than only for patients who are already taking a stable dose of an ACE inhibitor or Angiotensin Receptor Blocker.</w:t>
            </w:r>
            <w:r w:rsidRPr="00CC6553">
              <w:rPr>
                <w:rStyle w:val="eop"/>
                <w:rFonts w:ascii="Arial" w:hAnsi="Arial" w:cs="Arial"/>
                <w:color w:val="000000" w:themeColor="text1"/>
                <w:sz w:val="22"/>
                <w:szCs w:val="22"/>
              </w:rPr>
              <w:t> </w:t>
            </w:r>
          </w:p>
          <w:p w14:paraId="76823EF7" w14:textId="080F35B3" w:rsidR="00897293" w:rsidRPr="00CC6553" w:rsidRDefault="00897293" w:rsidP="00B234F1">
            <w:pPr>
              <w:rPr>
                <w:rFonts w:eastAsia="Arial" w:cs="Arial"/>
                <w:color w:val="000000" w:themeColor="text1"/>
                <w:szCs w:val="22"/>
              </w:rPr>
            </w:pPr>
            <w:r w:rsidRPr="00CC6553">
              <w:rPr>
                <w:rStyle w:val="scxw238722519"/>
                <w:rFonts w:cs="Arial"/>
                <w:color w:val="000000" w:themeColor="text1"/>
                <w:szCs w:val="22"/>
              </w:rPr>
              <w:t> </w:t>
            </w:r>
            <w:r w:rsidRPr="00CC6553">
              <w:rPr>
                <w:rFonts w:cs="Arial"/>
                <w:color w:val="000000" w:themeColor="text1"/>
                <w:szCs w:val="22"/>
              </w:rPr>
              <w:br/>
            </w:r>
            <w:r w:rsidRPr="00CC6553">
              <w:rPr>
                <w:rStyle w:val="normaltextrun"/>
                <w:rFonts w:cs="Arial"/>
                <w:color w:val="000000" w:themeColor="text1"/>
                <w:szCs w:val="22"/>
              </w:rPr>
              <w:t>We also support the recommendation to switch patients from an ACE inhibitor to an angiotensin receptor neprilysin inhibitor where they remain symptomatic despite being on the maximum tolerated ACE inhibitor dose.</w:t>
            </w:r>
            <w:r w:rsidRPr="00CC6553">
              <w:rPr>
                <w:rStyle w:val="eop"/>
                <w:rFonts w:cs="Arial"/>
                <w:color w:val="000000" w:themeColor="text1"/>
                <w:szCs w:val="22"/>
              </w:rPr>
              <w:t> </w:t>
            </w:r>
          </w:p>
        </w:tc>
        <w:tc>
          <w:tcPr>
            <w:tcW w:w="2122" w:type="pct"/>
          </w:tcPr>
          <w:p w14:paraId="7DB6886E" w14:textId="0C2C3AD9" w:rsidR="00897293" w:rsidRPr="00CC6553" w:rsidRDefault="00897293" w:rsidP="00B234F1">
            <w:pPr>
              <w:pStyle w:val="Heading1"/>
              <w:rPr>
                <w:rFonts w:cs="Arial"/>
                <w:b w:val="0"/>
                <w:bCs w:val="0"/>
                <w:color w:val="000000" w:themeColor="text1"/>
                <w:sz w:val="20"/>
              </w:rPr>
            </w:pPr>
            <w:r w:rsidRPr="00CC6553">
              <w:rPr>
                <w:rFonts w:cs="Arial"/>
                <w:b w:val="0"/>
                <w:bCs w:val="0"/>
                <w:color w:val="000000" w:themeColor="text1"/>
                <w:sz w:val="20"/>
              </w:rPr>
              <w:t>Thank you for your comment.</w:t>
            </w:r>
          </w:p>
        </w:tc>
      </w:tr>
      <w:tr w:rsidR="00897293" w:rsidRPr="00CC6553" w14:paraId="70198DF7" w14:textId="77777777" w:rsidTr="00897293">
        <w:trPr>
          <w:trHeight w:val="300"/>
        </w:trPr>
        <w:tc>
          <w:tcPr>
            <w:tcW w:w="109" w:type="pct"/>
          </w:tcPr>
          <w:p w14:paraId="64F3BBEB" w14:textId="777A463F" w:rsidR="00897293" w:rsidRPr="00CC6553" w:rsidRDefault="00897293" w:rsidP="00B234F1">
            <w:pPr>
              <w:rPr>
                <w:rFonts w:cs="Arial"/>
                <w:color w:val="000000" w:themeColor="text1"/>
                <w:sz w:val="20"/>
              </w:rPr>
            </w:pPr>
            <w:r w:rsidRPr="00CC6553">
              <w:rPr>
                <w:rFonts w:cs="Arial"/>
                <w:color w:val="000000" w:themeColor="text1"/>
                <w:sz w:val="20"/>
              </w:rPr>
              <w:t>426</w:t>
            </w:r>
          </w:p>
        </w:tc>
        <w:tc>
          <w:tcPr>
            <w:tcW w:w="143" w:type="pct"/>
          </w:tcPr>
          <w:p w14:paraId="757D1B2E" w14:textId="76B184E7" w:rsidR="00897293" w:rsidRPr="00CC6553" w:rsidRDefault="00897293" w:rsidP="00B234F1">
            <w:pPr>
              <w:rPr>
                <w:rFonts w:cs="Arial"/>
                <w:color w:val="000000" w:themeColor="text1"/>
                <w:sz w:val="20"/>
              </w:rPr>
            </w:pPr>
            <w:r w:rsidRPr="00CC6553">
              <w:rPr>
                <w:rFonts w:cs="Arial"/>
                <w:color w:val="000000" w:themeColor="text1"/>
                <w:sz w:val="20"/>
              </w:rPr>
              <w:t>SH</w:t>
            </w:r>
          </w:p>
        </w:tc>
        <w:tc>
          <w:tcPr>
            <w:tcW w:w="396" w:type="pct"/>
          </w:tcPr>
          <w:p w14:paraId="5B88BABB" w14:textId="3C537DAF" w:rsidR="00897293" w:rsidRPr="00CC6553" w:rsidRDefault="00897293" w:rsidP="00B234F1">
            <w:pPr>
              <w:rPr>
                <w:rFonts w:cs="Arial"/>
                <w:color w:val="000000" w:themeColor="text1"/>
                <w:sz w:val="20"/>
              </w:rPr>
            </w:pPr>
            <w:r w:rsidRPr="00CC6553">
              <w:rPr>
                <w:rFonts w:cs="Arial"/>
                <w:color w:val="000000" w:themeColor="text1"/>
                <w:sz w:val="20"/>
              </w:rPr>
              <w:t>Sandoz Ltd </w:t>
            </w:r>
          </w:p>
        </w:tc>
        <w:tc>
          <w:tcPr>
            <w:tcW w:w="279" w:type="pct"/>
            <w:tcBorders>
              <w:top w:val="single" w:sz="6" w:space="0" w:color="auto"/>
              <w:left w:val="single" w:sz="6" w:space="0" w:color="auto"/>
              <w:bottom w:val="single" w:sz="6" w:space="0" w:color="auto"/>
              <w:right w:val="single" w:sz="6" w:space="0" w:color="auto"/>
            </w:tcBorders>
          </w:tcPr>
          <w:p w14:paraId="27707E10" w14:textId="4A8BC302"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Guideline</w:t>
            </w:r>
            <w:r w:rsidRPr="00CC6553">
              <w:rPr>
                <w:rStyle w:val="eop"/>
                <w:rFonts w:cs="Arial"/>
                <w:color w:val="000000" w:themeColor="text1"/>
                <w:szCs w:val="22"/>
              </w:rPr>
              <w:t> </w:t>
            </w:r>
          </w:p>
        </w:tc>
        <w:tc>
          <w:tcPr>
            <w:tcW w:w="214" w:type="pct"/>
            <w:tcBorders>
              <w:top w:val="single" w:sz="6" w:space="0" w:color="auto"/>
              <w:left w:val="single" w:sz="6" w:space="0" w:color="auto"/>
              <w:bottom w:val="single" w:sz="6" w:space="0" w:color="auto"/>
              <w:right w:val="single" w:sz="6" w:space="0" w:color="auto"/>
            </w:tcBorders>
          </w:tcPr>
          <w:p w14:paraId="21A0F565" w14:textId="6EC4F94B"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General</w:t>
            </w:r>
            <w:r w:rsidRPr="00CC6553">
              <w:rPr>
                <w:rStyle w:val="eop"/>
                <w:rFonts w:cs="Arial"/>
                <w:color w:val="000000" w:themeColor="text1"/>
                <w:szCs w:val="22"/>
              </w:rPr>
              <w:t> </w:t>
            </w:r>
          </w:p>
        </w:tc>
        <w:tc>
          <w:tcPr>
            <w:tcW w:w="214" w:type="pct"/>
            <w:tcBorders>
              <w:top w:val="single" w:sz="6" w:space="0" w:color="auto"/>
              <w:left w:val="single" w:sz="6" w:space="0" w:color="auto"/>
              <w:bottom w:val="single" w:sz="6" w:space="0" w:color="auto"/>
              <w:right w:val="single" w:sz="6" w:space="0" w:color="auto"/>
            </w:tcBorders>
          </w:tcPr>
          <w:p w14:paraId="36F2E568" w14:textId="159C9CB9"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General</w:t>
            </w:r>
            <w:r w:rsidRPr="00CC6553">
              <w:rPr>
                <w:rStyle w:val="eop"/>
                <w:rFonts w:cs="Arial"/>
                <w:color w:val="000000" w:themeColor="text1"/>
                <w:szCs w:val="22"/>
              </w:rPr>
              <w:t> </w:t>
            </w:r>
          </w:p>
        </w:tc>
        <w:tc>
          <w:tcPr>
            <w:tcW w:w="1521" w:type="pct"/>
            <w:tcBorders>
              <w:top w:val="single" w:sz="6" w:space="0" w:color="auto"/>
              <w:left w:val="single" w:sz="6" w:space="0" w:color="auto"/>
              <w:bottom w:val="single" w:sz="6" w:space="0" w:color="auto"/>
              <w:right w:val="single" w:sz="6" w:space="0" w:color="auto"/>
            </w:tcBorders>
          </w:tcPr>
          <w:p w14:paraId="1F5785B9" w14:textId="34351D08" w:rsidR="00897293" w:rsidRPr="00CC6553" w:rsidRDefault="00897293" w:rsidP="00B234F1">
            <w:pPr>
              <w:rPr>
                <w:rFonts w:eastAsia="Arial" w:cs="Arial"/>
                <w:color w:val="000000" w:themeColor="text1"/>
                <w:szCs w:val="22"/>
              </w:rPr>
            </w:pPr>
            <w:r w:rsidRPr="00CC6553">
              <w:rPr>
                <w:rStyle w:val="normaltextrun"/>
                <w:rFonts w:cs="Arial"/>
                <w:color w:val="000000" w:themeColor="text1"/>
                <w:szCs w:val="22"/>
              </w:rPr>
              <w:t xml:space="preserve">The updated treatment guidelines recommend earlier, and therefore greater, use of two sodium-glucose cotransporter-2 inhibitors and the angiotensin receptor neprilysin inhibitor than is recommended in the </w:t>
            </w:r>
            <w:r w:rsidRPr="00CC6553">
              <w:rPr>
                <w:rStyle w:val="normaltextrun"/>
                <w:rFonts w:cs="Arial"/>
                <w:color w:val="000000" w:themeColor="text1"/>
                <w:szCs w:val="22"/>
              </w:rPr>
              <w:lastRenderedPageBreak/>
              <w:t>current NICE guidance. We would ask NICE to consider how it might align funding directions for this and future guidelines, to ensure NHS organisations are legally mandated to provide these therapies.</w:t>
            </w:r>
            <w:r w:rsidRPr="00CC6553">
              <w:rPr>
                <w:rStyle w:val="eop"/>
                <w:rFonts w:cs="Arial"/>
                <w:color w:val="000000" w:themeColor="text1"/>
                <w:szCs w:val="22"/>
              </w:rPr>
              <w:t> </w:t>
            </w:r>
          </w:p>
        </w:tc>
        <w:tc>
          <w:tcPr>
            <w:tcW w:w="2122" w:type="pct"/>
          </w:tcPr>
          <w:p w14:paraId="7BB1D3DC" w14:textId="52C91627" w:rsidR="00897293" w:rsidRPr="00CC6553" w:rsidRDefault="00897293" w:rsidP="00B234F1">
            <w:pPr>
              <w:pStyle w:val="Heading1"/>
              <w:rPr>
                <w:rFonts w:cs="Arial"/>
                <w:b w:val="0"/>
                <w:bCs w:val="0"/>
                <w:color w:val="000000" w:themeColor="text1"/>
                <w:sz w:val="20"/>
              </w:rPr>
            </w:pPr>
            <w:r w:rsidRPr="00CC6553">
              <w:rPr>
                <w:rFonts w:cs="Arial"/>
                <w:b w:val="0"/>
                <w:bCs w:val="0"/>
                <w:color w:val="000000" w:themeColor="text1"/>
                <w:sz w:val="20"/>
              </w:rPr>
              <w:lastRenderedPageBreak/>
              <w:t xml:space="preserve">Thank you for your comment.  NICE is currently engaging with an advisory Stakeholder Panel to inform </w:t>
            </w:r>
            <w:r w:rsidRPr="00CC6553">
              <w:rPr>
                <w:rFonts w:cs="Arial"/>
                <w:b w:val="0"/>
                <w:bCs w:val="0"/>
                <w:color w:val="000000" w:themeColor="text1"/>
                <w:sz w:val="20"/>
              </w:rPr>
              <w:lastRenderedPageBreak/>
              <w:t>development of </w:t>
            </w:r>
            <w:hyperlink r:id="rId65" w:history="1">
              <w:r w:rsidRPr="00CC6553">
                <w:rPr>
                  <w:rStyle w:val="Hyperlink"/>
                  <w:rFonts w:cs="Arial"/>
                  <w:b w:val="0"/>
                  <w:bCs w:val="0"/>
                  <w:color w:val="000000" w:themeColor="text1"/>
                  <w:sz w:val="20"/>
                </w:rPr>
                <w:t>our approach</w:t>
              </w:r>
            </w:hyperlink>
            <w:r w:rsidRPr="00CC6553">
              <w:rPr>
                <w:rFonts w:cs="Arial"/>
                <w:b w:val="0"/>
                <w:bCs w:val="0"/>
                <w:color w:val="000000" w:themeColor="text1"/>
                <w:sz w:val="20"/>
              </w:rPr>
              <w:t> to technology appraisal incorporation.  </w:t>
            </w:r>
          </w:p>
        </w:tc>
      </w:tr>
    </w:tbl>
    <w:p w14:paraId="371AE4A1" w14:textId="77777777" w:rsidR="004E5E4B" w:rsidRPr="00CC6553" w:rsidRDefault="004E5E4B" w:rsidP="008715DF">
      <w:pPr>
        <w:rPr>
          <w:color w:val="000000" w:themeColor="text1"/>
          <w:sz w:val="20"/>
        </w:rPr>
      </w:pPr>
    </w:p>
    <w:p w14:paraId="1DC1C81C" w14:textId="77777777" w:rsidR="00704BA4" w:rsidRPr="00CC6553" w:rsidRDefault="00704BA4" w:rsidP="00704BA4">
      <w:pPr>
        <w:rPr>
          <w:color w:val="000000" w:themeColor="text1"/>
        </w:rPr>
      </w:pPr>
    </w:p>
    <w:p w14:paraId="11914164" w14:textId="4F0AE222" w:rsidR="7620EDBB" w:rsidRPr="00CC6553" w:rsidRDefault="7620EDBB">
      <w:pPr>
        <w:rPr>
          <w:color w:val="000000" w:themeColor="text1"/>
        </w:rPr>
      </w:pPr>
    </w:p>
    <w:p w14:paraId="55EE83E0" w14:textId="215C216B" w:rsidR="7620EDBB" w:rsidRPr="00CC6553" w:rsidRDefault="7620EDBB">
      <w:pPr>
        <w:rPr>
          <w:color w:val="000000" w:themeColor="text1"/>
        </w:rPr>
      </w:pPr>
    </w:p>
    <w:p w14:paraId="2C07199F" w14:textId="72ADE0AE" w:rsidR="7620EDBB" w:rsidRPr="00CC6553" w:rsidRDefault="7620EDBB">
      <w:pPr>
        <w:rPr>
          <w:color w:val="000000" w:themeColor="text1"/>
        </w:rPr>
      </w:pPr>
    </w:p>
    <w:p w14:paraId="798251B4" w14:textId="437758FE" w:rsidR="7620EDBB" w:rsidRPr="00CC6553" w:rsidRDefault="7620EDBB">
      <w:pPr>
        <w:rPr>
          <w:color w:val="000000" w:themeColor="text1"/>
        </w:rPr>
      </w:pPr>
    </w:p>
    <w:p w14:paraId="2F6126A2" w14:textId="32D018FE" w:rsidR="7620EDBB" w:rsidRPr="00CC6553" w:rsidRDefault="7620EDBB">
      <w:pPr>
        <w:rPr>
          <w:color w:val="000000" w:themeColor="text1"/>
        </w:rPr>
      </w:pPr>
    </w:p>
    <w:p w14:paraId="554222D0" w14:textId="6B9FD124" w:rsidR="7620EDBB" w:rsidRPr="00CC6553" w:rsidRDefault="7620EDBB">
      <w:pPr>
        <w:rPr>
          <w:color w:val="000000" w:themeColor="text1"/>
        </w:rPr>
      </w:pPr>
    </w:p>
    <w:tbl>
      <w:tblPr>
        <w:tblW w:w="15055"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60"/>
        <w:gridCol w:w="9023"/>
        <w:gridCol w:w="3572"/>
      </w:tblGrid>
      <w:tr w:rsidR="00CC6553" w:rsidRPr="00CC6553" w14:paraId="553DF789" w14:textId="77777777" w:rsidTr="00CC6553">
        <w:tc>
          <w:tcPr>
            <w:tcW w:w="2460" w:type="dxa"/>
            <w:shd w:val="clear" w:color="auto" w:fill="808080" w:themeFill="background1" w:themeFillShade="80"/>
          </w:tcPr>
          <w:p w14:paraId="2E26A8EC" w14:textId="77777777" w:rsidR="00151732" w:rsidRPr="00CC6553" w:rsidRDefault="00151732" w:rsidP="004D32F5">
            <w:pPr>
              <w:pStyle w:val="Paragraph"/>
              <w:numPr>
                <w:ilvl w:val="0"/>
                <w:numId w:val="0"/>
              </w:numPr>
              <w:spacing w:before="0" w:after="0" w:line="240" w:lineRule="auto"/>
              <w:jc w:val="center"/>
              <w:rPr>
                <w:b/>
                <w:color w:val="000000" w:themeColor="text1"/>
                <w:sz w:val="16"/>
                <w:szCs w:val="16"/>
              </w:rPr>
            </w:pPr>
            <w:r w:rsidRPr="00CC6553">
              <w:rPr>
                <w:b/>
                <w:color w:val="000000" w:themeColor="text1"/>
                <w:sz w:val="16"/>
                <w:szCs w:val="16"/>
              </w:rPr>
              <w:t xml:space="preserve">Organisation name – </w:t>
            </w:r>
          </w:p>
          <w:p w14:paraId="1C2B3BE8" w14:textId="77777777" w:rsidR="00151732" w:rsidRPr="00CC6553" w:rsidRDefault="00151732" w:rsidP="004D32F5">
            <w:pPr>
              <w:pStyle w:val="Paragraph"/>
              <w:numPr>
                <w:ilvl w:val="0"/>
                <w:numId w:val="0"/>
              </w:numPr>
              <w:spacing w:before="0" w:after="0" w:line="240" w:lineRule="auto"/>
              <w:jc w:val="center"/>
              <w:rPr>
                <w:b/>
                <w:color w:val="000000" w:themeColor="text1"/>
                <w:sz w:val="16"/>
                <w:szCs w:val="16"/>
              </w:rPr>
            </w:pPr>
            <w:r w:rsidRPr="00CC6553">
              <w:rPr>
                <w:b/>
                <w:color w:val="000000" w:themeColor="text1"/>
                <w:sz w:val="16"/>
                <w:szCs w:val="16"/>
              </w:rPr>
              <w:t>Stakeholder or respondent</w:t>
            </w:r>
          </w:p>
        </w:tc>
        <w:tc>
          <w:tcPr>
            <w:tcW w:w="9023" w:type="dxa"/>
            <w:shd w:val="clear" w:color="auto" w:fill="808080" w:themeFill="background1" w:themeFillShade="80"/>
          </w:tcPr>
          <w:p w14:paraId="41A5E269" w14:textId="77777777" w:rsidR="00151732" w:rsidRPr="00CC6553" w:rsidRDefault="00151732" w:rsidP="004D32F5">
            <w:pPr>
              <w:pStyle w:val="Paragraph"/>
              <w:numPr>
                <w:ilvl w:val="0"/>
                <w:numId w:val="0"/>
              </w:numPr>
              <w:spacing w:before="0" w:after="0" w:line="240" w:lineRule="auto"/>
              <w:jc w:val="center"/>
              <w:rPr>
                <w:b/>
                <w:color w:val="000000" w:themeColor="text1"/>
                <w:sz w:val="16"/>
                <w:szCs w:val="16"/>
              </w:rPr>
            </w:pPr>
            <w:r w:rsidRPr="00CC6553">
              <w:rPr>
                <w:b/>
                <w:color w:val="000000" w:themeColor="text1"/>
                <w:sz w:val="16"/>
                <w:szCs w:val="16"/>
              </w:rPr>
              <w:t>Disclosure on tobacco funding / links</w:t>
            </w:r>
          </w:p>
        </w:tc>
        <w:tc>
          <w:tcPr>
            <w:tcW w:w="3572" w:type="dxa"/>
            <w:shd w:val="clear" w:color="auto" w:fill="808080" w:themeFill="background1" w:themeFillShade="80"/>
          </w:tcPr>
          <w:p w14:paraId="13EBB9A7" w14:textId="77777777" w:rsidR="00151732" w:rsidRPr="00CC6553" w:rsidRDefault="00151732" w:rsidP="004D32F5">
            <w:pPr>
              <w:pStyle w:val="Paragraph"/>
              <w:numPr>
                <w:ilvl w:val="0"/>
                <w:numId w:val="0"/>
              </w:numPr>
              <w:spacing w:before="0" w:after="0" w:line="240" w:lineRule="auto"/>
              <w:jc w:val="center"/>
              <w:rPr>
                <w:b/>
                <w:color w:val="000000" w:themeColor="text1"/>
                <w:sz w:val="16"/>
                <w:szCs w:val="16"/>
              </w:rPr>
            </w:pPr>
            <w:r w:rsidRPr="00CC6553">
              <w:rPr>
                <w:b/>
                <w:color w:val="000000" w:themeColor="text1"/>
                <w:sz w:val="16"/>
                <w:szCs w:val="16"/>
              </w:rPr>
              <w:t>Comments/Action</w:t>
            </w:r>
          </w:p>
        </w:tc>
      </w:tr>
      <w:tr w:rsidR="00CC6553" w:rsidRPr="00CC6553" w14:paraId="789AA83B" w14:textId="77777777" w:rsidTr="00CC6553">
        <w:tc>
          <w:tcPr>
            <w:tcW w:w="2460" w:type="dxa"/>
          </w:tcPr>
          <w:p w14:paraId="454E21A1" w14:textId="5D35110E" w:rsidR="00151732" w:rsidRPr="00CC6553" w:rsidRDefault="00DB1744" w:rsidP="004D32F5">
            <w:pPr>
              <w:pStyle w:val="Paragraph"/>
              <w:numPr>
                <w:ilvl w:val="0"/>
                <w:numId w:val="0"/>
              </w:numPr>
              <w:spacing w:before="0" w:after="0" w:line="240" w:lineRule="auto"/>
              <w:rPr>
                <w:color w:val="000000" w:themeColor="text1"/>
                <w:sz w:val="16"/>
                <w:szCs w:val="16"/>
              </w:rPr>
            </w:pPr>
            <w:r w:rsidRPr="00CC6553">
              <w:rPr>
                <w:rFonts w:cs="Arial"/>
                <w:color w:val="000000" w:themeColor="text1"/>
                <w:szCs w:val="22"/>
              </w:rPr>
              <w:t>Bayer plc</w:t>
            </w:r>
          </w:p>
        </w:tc>
        <w:tc>
          <w:tcPr>
            <w:tcW w:w="9023" w:type="dxa"/>
          </w:tcPr>
          <w:p w14:paraId="52AF66D6" w14:textId="77777777" w:rsidR="003D66E9" w:rsidRPr="00CC6553" w:rsidRDefault="003D66E9" w:rsidP="003D66E9">
            <w:pPr>
              <w:spacing w:before="40" w:after="40"/>
              <w:ind w:left="720"/>
              <w:rPr>
                <w:rFonts w:eastAsia="Calibri" w:cs="Arial"/>
                <w:b/>
                <w:bCs/>
                <w:color w:val="000000" w:themeColor="text1"/>
                <w:szCs w:val="22"/>
                <w:lang w:eastAsia="en-GB"/>
              </w:rPr>
            </w:pPr>
            <w:r w:rsidRPr="00CC6553">
              <w:rPr>
                <w:rFonts w:eastAsia="Calibri" w:cs="Arial"/>
                <w:b/>
                <w:bCs/>
                <w:color w:val="000000" w:themeColor="text1"/>
                <w:szCs w:val="22"/>
                <w:lang w:eastAsia="en-GB"/>
              </w:rPr>
              <w:t>Current Situation</w:t>
            </w:r>
          </w:p>
          <w:p w14:paraId="2E0904E6" w14:textId="77777777" w:rsidR="003D66E9" w:rsidRPr="00CC6553" w:rsidRDefault="003D66E9" w:rsidP="003D66E9">
            <w:pPr>
              <w:numPr>
                <w:ilvl w:val="0"/>
                <w:numId w:val="19"/>
              </w:numPr>
              <w:spacing w:before="40" w:after="40"/>
              <w:rPr>
                <w:rFonts w:eastAsia="Calibri" w:cs="Arial"/>
                <w:color w:val="000000" w:themeColor="text1"/>
                <w:szCs w:val="22"/>
                <w:lang w:eastAsia="en-GB"/>
              </w:rPr>
            </w:pPr>
            <w:r w:rsidRPr="00CC6553">
              <w:rPr>
                <w:rFonts w:eastAsia="Calibri" w:cs="Arial"/>
                <w:color w:val="000000" w:themeColor="text1"/>
                <w:szCs w:val="22"/>
                <w:lang w:eastAsia="en-GB"/>
              </w:rPr>
              <w:t>Bayer does not have direct or indirect links with, or funding from, manufacturers, distributors or sellers of smoking products but Bayer provides pesticides for crops, which would therefore include tobacco crops.  </w:t>
            </w:r>
          </w:p>
          <w:p w14:paraId="2B0DA746" w14:textId="77777777" w:rsidR="003D66E9" w:rsidRPr="00CC6553" w:rsidRDefault="003D66E9" w:rsidP="003D66E9">
            <w:pPr>
              <w:numPr>
                <w:ilvl w:val="0"/>
                <w:numId w:val="19"/>
              </w:numPr>
              <w:spacing w:before="40" w:after="40"/>
              <w:rPr>
                <w:rFonts w:eastAsia="Calibri" w:cs="Arial"/>
                <w:color w:val="000000" w:themeColor="text1"/>
                <w:szCs w:val="22"/>
                <w:lang w:val="en-US" w:eastAsia="en-GB"/>
              </w:rPr>
            </w:pPr>
            <w:r w:rsidRPr="00CC6553">
              <w:rPr>
                <w:rFonts w:eastAsia="Calibri" w:cs="Arial"/>
                <w:color w:val="000000" w:themeColor="text1"/>
                <w:szCs w:val="22"/>
                <w:lang w:eastAsia="en-GB"/>
              </w:rPr>
              <w:t xml:space="preserve">Bayer is a member of </w:t>
            </w:r>
            <w:r w:rsidRPr="00CC6553">
              <w:rPr>
                <w:rFonts w:eastAsia="Calibri" w:cs="Arial"/>
                <w:color w:val="000000" w:themeColor="text1"/>
                <w:szCs w:val="22"/>
                <w:lang w:val="en-US" w:eastAsia="en-GB"/>
              </w:rPr>
              <w:t>the Cooperation Centre for Scientific Research Relative to Tobacco (CORESTA) (</w:t>
            </w:r>
            <w:hyperlink r:id="rId66" w:history="1">
              <w:r w:rsidRPr="00CC6553">
                <w:rPr>
                  <w:rFonts w:eastAsia="Calibri" w:cs="Arial"/>
                  <w:color w:val="000000" w:themeColor="text1"/>
                  <w:szCs w:val="22"/>
                  <w:u w:val="single"/>
                  <w:lang w:val="en-US" w:eastAsia="en-GB"/>
                </w:rPr>
                <w:t>http://www.coresta.org/</w:t>
              </w:r>
            </w:hyperlink>
            <w:r w:rsidRPr="00CC6553">
              <w:rPr>
                <w:rFonts w:eastAsia="Calibri" w:cs="Arial"/>
                <w:color w:val="000000" w:themeColor="text1"/>
                <w:szCs w:val="22"/>
                <w:lang w:val="en-US" w:eastAsia="en-GB"/>
              </w:rPr>
              <w:t xml:space="preserve">) within the scope of recommendations of pesticides used for protection of tobacco plants. </w:t>
            </w:r>
          </w:p>
          <w:p w14:paraId="45D6F95A" w14:textId="77777777" w:rsidR="003D66E9" w:rsidRPr="00CC6553" w:rsidRDefault="003D66E9" w:rsidP="003D66E9">
            <w:pPr>
              <w:numPr>
                <w:ilvl w:val="0"/>
                <w:numId w:val="20"/>
              </w:numPr>
              <w:spacing w:before="40" w:after="40"/>
              <w:rPr>
                <w:rFonts w:eastAsia="Calibri" w:cs="Arial"/>
                <w:color w:val="000000" w:themeColor="text1"/>
                <w:szCs w:val="22"/>
                <w:lang w:val="en-US" w:eastAsia="en-GB"/>
              </w:rPr>
            </w:pPr>
            <w:r w:rsidRPr="00CC6553">
              <w:rPr>
                <w:rFonts w:eastAsia="Calibri" w:cs="Arial"/>
                <w:color w:val="000000" w:themeColor="text1"/>
                <w:szCs w:val="22"/>
                <w:lang w:val="en-US" w:eastAsia="en-GB"/>
              </w:rPr>
              <w:t>It is also a member of country and EU business federations such as the Confederation of British Industry (CBI) and </w:t>
            </w:r>
            <w:r w:rsidRPr="00CC6553">
              <w:rPr>
                <w:rFonts w:eastAsia="Calibri" w:cs="Arial"/>
                <w:color w:val="000000" w:themeColor="text1"/>
                <w:szCs w:val="22"/>
                <w:lang w:val="en" w:eastAsia="en-GB"/>
              </w:rPr>
              <w:t xml:space="preserve">‘Business Europe’, which include tobacco companies. </w:t>
            </w:r>
          </w:p>
          <w:p w14:paraId="6328D220" w14:textId="77777777" w:rsidR="003D66E9" w:rsidRPr="00CC6553" w:rsidRDefault="003D66E9" w:rsidP="003D66E9">
            <w:pPr>
              <w:spacing w:before="40" w:after="40"/>
              <w:rPr>
                <w:rFonts w:cs="Arial"/>
                <w:color w:val="000000" w:themeColor="text1"/>
                <w:szCs w:val="22"/>
                <w:lang w:val="en-US"/>
              </w:rPr>
            </w:pPr>
          </w:p>
          <w:p w14:paraId="30120D10" w14:textId="77777777" w:rsidR="003D66E9" w:rsidRPr="00CC6553" w:rsidRDefault="003D66E9" w:rsidP="003D66E9">
            <w:pPr>
              <w:spacing w:before="40" w:after="40"/>
              <w:ind w:firstLine="720"/>
              <w:rPr>
                <w:rFonts w:cs="Arial"/>
                <w:b/>
                <w:bCs/>
                <w:color w:val="000000" w:themeColor="text1"/>
                <w:szCs w:val="22"/>
              </w:rPr>
            </w:pPr>
            <w:r w:rsidRPr="00CC6553">
              <w:rPr>
                <w:rFonts w:cs="Arial"/>
                <w:b/>
                <w:bCs/>
                <w:color w:val="000000" w:themeColor="text1"/>
                <w:szCs w:val="22"/>
              </w:rPr>
              <w:t>Past Situation</w:t>
            </w:r>
          </w:p>
          <w:p w14:paraId="616CF5AD" w14:textId="3F8BE6D2" w:rsidR="00151732" w:rsidRPr="00CC6553" w:rsidRDefault="003D66E9" w:rsidP="003D66E9">
            <w:pPr>
              <w:pStyle w:val="Paragraph"/>
              <w:numPr>
                <w:ilvl w:val="0"/>
                <w:numId w:val="0"/>
              </w:numPr>
              <w:spacing w:before="0" w:after="0" w:line="240" w:lineRule="auto"/>
              <w:rPr>
                <w:color w:val="000000" w:themeColor="text1"/>
                <w:sz w:val="16"/>
                <w:szCs w:val="16"/>
              </w:rPr>
            </w:pPr>
            <w:r w:rsidRPr="00CC6553">
              <w:rPr>
                <w:rFonts w:cs="Arial"/>
                <w:color w:val="000000" w:themeColor="text1"/>
                <w:lang w:val="en-US"/>
              </w:rPr>
              <w:t>In 2006, Bayer and its subsidiary Icon Genetics piloted a new process for producing biotech drugs in tobacco plants. Icon Genetics was acquired by Nomad Bioscience GmbH from Bayer in 2012</w:t>
            </w:r>
          </w:p>
        </w:tc>
        <w:tc>
          <w:tcPr>
            <w:tcW w:w="3572" w:type="dxa"/>
          </w:tcPr>
          <w:p w14:paraId="2C19E609" w14:textId="77777777" w:rsidR="00151732" w:rsidRPr="00CC6553" w:rsidRDefault="00151732" w:rsidP="004D32F5">
            <w:pPr>
              <w:pStyle w:val="Paragraph"/>
              <w:numPr>
                <w:ilvl w:val="0"/>
                <w:numId w:val="0"/>
              </w:numPr>
              <w:spacing w:before="0" w:after="0" w:line="240" w:lineRule="auto"/>
              <w:rPr>
                <w:b/>
                <w:color w:val="000000" w:themeColor="text1"/>
                <w:sz w:val="16"/>
                <w:szCs w:val="16"/>
              </w:rPr>
            </w:pPr>
          </w:p>
        </w:tc>
      </w:tr>
    </w:tbl>
    <w:p w14:paraId="3014D3BE" w14:textId="77777777" w:rsidR="00704BA4" w:rsidRPr="00CC6553" w:rsidRDefault="00704BA4" w:rsidP="00704BA4">
      <w:pPr>
        <w:pStyle w:val="Heading1"/>
        <w:rPr>
          <w:color w:val="000000" w:themeColor="text1"/>
        </w:rPr>
      </w:pPr>
    </w:p>
    <w:p w14:paraId="2A0BF777" w14:textId="77777777" w:rsidR="006D512C" w:rsidRPr="00CC6553" w:rsidRDefault="006D512C" w:rsidP="006D512C">
      <w:pPr>
        <w:rPr>
          <w:i/>
          <w:color w:val="000000" w:themeColor="text1"/>
        </w:rPr>
      </w:pPr>
      <w:r w:rsidRPr="00CC6553">
        <w:rPr>
          <w:i/>
          <w:color w:val="000000" w:themeColor="text1"/>
        </w:rPr>
        <w:t>*None of the stakeholders who comments on this clinical guideline have declared any links to the tobacco industry.</w:t>
      </w:r>
    </w:p>
    <w:p w14:paraId="6654BB6B" w14:textId="77777777" w:rsidR="00202907" w:rsidRPr="00CC6553" w:rsidRDefault="00202907" w:rsidP="006D512C">
      <w:pPr>
        <w:rPr>
          <w:i/>
          <w:color w:val="000000" w:themeColor="text1"/>
        </w:rPr>
      </w:pPr>
    </w:p>
    <w:p w14:paraId="2039B902" w14:textId="77777777" w:rsidR="00704BA4" w:rsidRPr="00CC6553" w:rsidRDefault="00704BA4" w:rsidP="008715DF">
      <w:pPr>
        <w:rPr>
          <w:color w:val="000000" w:themeColor="text1"/>
          <w:sz w:val="20"/>
        </w:rPr>
      </w:pPr>
    </w:p>
    <w:p w14:paraId="617B3DBE" w14:textId="77777777" w:rsidR="00B961D3" w:rsidRPr="00CC6553" w:rsidRDefault="00B961D3" w:rsidP="00B961D3">
      <w:pPr>
        <w:ind w:left="1440"/>
        <w:rPr>
          <w:color w:val="000000" w:themeColor="text1"/>
          <w:lang w:eastAsia="en-GB"/>
        </w:rPr>
      </w:pPr>
    </w:p>
    <w:p w14:paraId="4FFC8ED2" w14:textId="77777777" w:rsidR="00704BA4" w:rsidRPr="00CC6553" w:rsidRDefault="00704BA4" w:rsidP="008715DF">
      <w:pPr>
        <w:rPr>
          <w:color w:val="000000" w:themeColor="text1"/>
          <w:sz w:val="20"/>
        </w:rPr>
      </w:pPr>
    </w:p>
    <w:p w14:paraId="3260317B" w14:textId="0D985F6F" w:rsidR="008715DF" w:rsidRPr="00CC6553" w:rsidRDefault="008715DF" w:rsidP="7620EDBB">
      <w:pPr>
        <w:rPr>
          <w:color w:val="000000" w:themeColor="text1"/>
          <w:sz w:val="20"/>
        </w:rPr>
      </w:pPr>
    </w:p>
    <w:sectPr w:rsidR="008715DF" w:rsidRPr="00CC6553">
      <w:headerReference w:type="default" r:id="rId67"/>
      <w:footerReference w:type="default" r:id="rId68"/>
      <w:pgSz w:w="16838" w:h="11906" w:orient="landscape" w:code="9"/>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8BE76" w14:textId="77777777" w:rsidR="00377EE0" w:rsidRDefault="00377EE0">
      <w:r>
        <w:separator/>
      </w:r>
    </w:p>
  </w:endnote>
  <w:endnote w:type="continuationSeparator" w:id="0">
    <w:p w14:paraId="2E1BE3BC" w14:textId="77777777" w:rsidR="00377EE0" w:rsidRDefault="00377EE0">
      <w:r>
        <w:continuationSeparator/>
      </w:r>
    </w:p>
  </w:endnote>
  <w:endnote w:type="continuationNotice" w:id="1">
    <w:p w14:paraId="338DE51A" w14:textId="77777777" w:rsidR="00377EE0" w:rsidRDefault="00377E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8416" w14:textId="77777777" w:rsidR="004D32F5" w:rsidRDefault="004D32F5" w:rsidP="00EA4F3B">
    <w:pPr>
      <w:rPr>
        <w:b/>
        <w:color w:val="99CCFF"/>
        <w:sz w:val="20"/>
      </w:rPr>
    </w:pPr>
  </w:p>
  <w:p w14:paraId="2DADFF02" w14:textId="77777777" w:rsidR="004D32F5" w:rsidRPr="00697619" w:rsidRDefault="004D32F5" w:rsidP="00DE0DA2">
    <w:pPr>
      <w:pStyle w:val="Footer"/>
      <w:jc w:val="center"/>
      <w:rPr>
        <w:i/>
        <w:iCs/>
        <w:sz w:val="20"/>
      </w:rPr>
    </w:pPr>
    <w:r w:rsidRPr="00697619">
      <w:rPr>
        <w:i/>
        <w:iCs/>
        <w:sz w:val="20"/>
      </w:rPr>
      <w:t>Comments received in the course of consultations carried out by NICE are published in the interests of openness and transparency, and to promote understanding of how recommendations are developed.  The comments are published as a record of the submissions that NICE has received, and are not endorsed by NICE, its officers or advisory committees</w:t>
    </w:r>
  </w:p>
  <w:p w14:paraId="071CC05A" w14:textId="77777777" w:rsidR="004D32F5" w:rsidRPr="008E5F47" w:rsidRDefault="004D32F5" w:rsidP="00EA4F3B">
    <w:pPr>
      <w:pStyle w:val="Footer"/>
      <w:jc w:val="right"/>
      <w:rPr>
        <w:sz w:val="20"/>
      </w:rPr>
    </w:pPr>
    <w:r>
      <w:rPr>
        <w:rStyle w:val="PageNumber"/>
      </w:rPr>
      <w:fldChar w:fldCharType="begin"/>
    </w:r>
    <w:r>
      <w:rPr>
        <w:rStyle w:val="PageNumber"/>
      </w:rPr>
      <w:instrText xml:space="preserve"> PAGE </w:instrText>
    </w:r>
    <w:r>
      <w:rPr>
        <w:rStyle w:val="PageNumber"/>
      </w:rPr>
      <w:fldChar w:fldCharType="separate"/>
    </w:r>
    <w:r w:rsidR="00D1303A">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1303A">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27FF0" w14:textId="77777777" w:rsidR="00377EE0" w:rsidRDefault="00377EE0">
      <w:r>
        <w:separator/>
      </w:r>
    </w:p>
  </w:footnote>
  <w:footnote w:type="continuationSeparator" w:id="0">
    <w:p w14:paraId="16C075B0" w14:textId="77777777" w:rsidR="00377EE0" w:rsidRDefault="00377EE0">
      <w:r>
        <w:continuationSeparator/>
      </w:r>
    </w:p>
  </w:footnote>
  <w:footnote w:type="continuationNotice" w:id="1">
    <w:p w14:paraId="07E1C70A" w14:textId="77777777" w:rsidR="00377EE0" w:rsidRDefault="00377E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AE99" w14:textId="74AC57D4" w:rsidR="004D32F5" w:rsidRDefault="004D32F5" w:rsidP="00DE0DA2">
    <w:pPr>
      <w:pStyle w:val="Header"/>
      <w:jc w:val="center"/>
      <w:rPr>
        <w:rFonts w:cs="Arial"/>
        <w:b/>
        <w:bCs/>
        <w:sz w:val="28"/>
        <w:szCs w:val="28"/>
      </w:rPr>
    </w:pPr>
    <w:r>
      <w:rPr>
        <w:rFonts w:cs="Arial"/>
        <w:b/>
        <w:bCs/>
        <w:noProof/>
        <w:sz w:val="22"/>
        <w:szCs w:val="28"/>
        <w:lang w:eastAsia="en-GB"/>
      </w:rPr>
      <w:drawing>
        <wp:anchor distT="0" distB="0" distL="114300" distR="114300" simplePos="0" relativeHeight="251657216" behindDoc="1" locked="0" layoutInCell="1" allowOverlap="1" wp14:anchorId="500EEAA4" wp14:editId="674C7A6E">
          <wp:simplePos x="0" y="0"/>
          <wp:positionH relativeFrom="margin">
            <wp:posOffset>6918960</wp:posOffset>
          </wp:positionH>
          <wp:positionV relativeFrom="margin">
            <wp:posOffset>-1607185</wp:posOffset>
          </wp:positionV>
          <wp:extent cx="2715260" cy="269240"/>
          <wp:effectExtent l="0" t="0" r="8890" b="0"/>
          <wp:wrapTight wrapText="bothSides">
            <wp:wrapPolygon edited="0">
              <wp:start x="0" y="0"/>
              <wp:lineTo x="0" y="19868"/>
              <wp:lineTo x="21519" y="19868"/>
              <wp:lineTo x="21519" y="12226"/>
              <wp:lineTo x="16821" y="0"/>
              <wp:lineTo x="0" y="0"/>
            </wp:wrapPolygon>
          </wp:wrapTight>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5260" cy="269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A481E4" w14:textId="77777777" w:rsidR="001A1984" w:rsidRPr="00C952EB" w:rsidRDefault="001A1984" w:rsidP="001A1984">
    <w:pPr>
      <w:pStyle w:val="Header"/>
      <w:jc w:val="center"/>
      <w:rPr>
        <w:rFonts w:cs="Arial"/>
        <w:b/>
        <w:bCs/>
      </w:rPr>
    </w:pPr>
    <w:r w:rsidRPr="00C952EB">
      <w:rPr>
        <w:rFonts w:cs="Arial"/>
        <w:b/>
        <w:bCs/>
      </w:rPr>
      <w:t>Chronic heart failure in adults: diagnosis and management</w:t>
    </w:r>
  </w:p>
  <w:p w14:paraId="113B995A" w14:textId="77777777" w:rsidR="00855E35" w:rsidRPr="00C952EB" w:rsidRDefault="00855E35" w:rsidP="00DE0DA2">
    <w:pPr>
      <w:pStyle w:val="Header"/>
      <w:jc w:val="center"/>
      <w:rPr>
        <w:rFonts w:cs="Arial"/>
        <w:b/>
        <w:bCs/>
      </w:rPr>
    </w:pPr>
  </w:p>
  <w:p w14:paraId="5A365E8D" w14:textId="77777777" w:rsidR="004D32F5" w:rsidRPr="00C952EB" w:rsidRDefault="004D32F5" w:rsidP="00DE0DA2">
    <w:pPr>
      <w:pStyle w:val="Header"/>
      <w:jc w:val="center"/>
      <w:rPr>
        <w:rFonts w:cs="Arial"/>
        <w:b/>
        <w:bCs/>
      </w:rPr>
    </w:pPr>
    <w:r w:rsidRPr="00C952EB">
      <w:rPr>
        <w:rFonts w:cs="Arial"/>
        <w:b/>
        <w:bCs/>
      </w:rPr>
      <w:t>Consultation on draft guideline - Stakeholder comments table</w:t>
    </w:r>
  </w:p>
  <w:p w14:paraId="61891B6A" w14:textId="77777777" w:rsidR="00C952EB" w:rsidRPr="00C952EB" w:rsidRDefault="00C952EB" w:rsidP="00C952EB">
    <w:pPr>
      <w:pStyle w:val="Header"/>
      <w:jc w:val="center"/>
      <w:rPr>
        <w:rFonts w:cs="Arial"/>
        <w:b/>
        <w:bCs/>
      </w:rPr>
    </w:pPr>
    <w:r w:rsidRPr="00C952EB">
      <w:rPr>
        <w:rFonts w:cs="Arial"/>
        <w:b/>
        <w:bCs/>
      </w:rPr>
      <w:t>10/06/2025 to 08/07/2025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BC5C68"/>
    <w:multiLevelType w:val="hybridMultilevel"/>
    <w:tmpl w:val="BF7554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FCB0DA4"/>
    <w:multiLevelType w:val="hybridMultilevel"/>
    <w:tmpl w:val="117C2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D31C34"/>
    <w:multiLevelType w:val="hybridMultilevel"/>
    <w:tmpl w:val="F43672A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5" w15:restartNumberingAfterBreak="0">
    <w:nsid w:val="1C3C565D"/>
    <w:multiLevelType w:val="hybridMultilevel"/>
    <w:tmpl w:val="D0E096FE"/>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975C34"/>
    <w:multiLevelType w:val="hybridMultilevel"/>
    <w:tmpl w:val="6144D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ED173E"/>
    <w:multiLevelType w:val="hybridMultilevel"/>
    <w:tmpl w:val="8FB44F5C"/>
    <w:lvl w:ilvl="0" w:tplc="08090001">
      <w:start w:val="1"/>
      <w:numFmt w:val="bullet"/>
      <w:lvlText w:val=""/>
      <w:lvlJc w:val="left"/>
      <w:pPr>
        <w:ind w:left="1890" w:hanging="360"/>
      </w:pPr>
      <w:rPr>
        <w:rFonts w:ascii="Symbol" w:hAnsi="Symbol" w:hint="default"/>
      </w:rPr>
    </w:lvl>
    <w:lvl w:ilvl="1" w:tplc="08090003" w:tentative="1">
      <w:start w:val="1"/>
      <w:numFmt w:val="bullet"/>
      <w:lvlText w:val="o"/>
      <w:lvlJc w:val="left"/>
      <w:pPr>
        <w:ind w:left="2610" w:hanging="360"/>
      </w:pPr>
      <w:rPr>
        <w:rFonts w:ascii="Courier New" w:hAnsi="Courier New" w:cs="Courier New" w:hint="default"/>
      </w:rPr>
    </w:lvl>
    <w:lvl w:ilvl="2" w:tplc="08090005" w:tentative="1">
      <w:start w:val="1"/>
      <w:numFmt w:val="bullet"/>
      <w:lvlText w:val=""/>
      <w:lvlJc w:val="left"/>
      <w:pPr>
        <w:ind w:left="3330" w:hanging="360"/>
      </w:pPr>
      <w:rPr>
        <w:rFonts w:ascii="Wingdings" w:hAnsi="Wingdings" w:hint="default"/>
      </w:rPr>
    </w:lvl>
    <w:lvl w:ilvl="3" w:tplc="08090001" w:tentative="1">
      <w:start w:val="1"/>
      <w:numFmt w:val="bullet"/>
      <w:lvlText w:val=""/>
      <w:lvlJc w:val="left"/>
      <w:pPr>
        <w:ind w:left="4050" w:hanging="360"/>
      </w:pPr>
      <w:rPr>
        <w:rFonts w:ascii="Symbol" w:hAnsi="Symbol" w:hint="default"/>
      </w:rPr>
    </w:lvl>
    <w:lvl w:ilvl="4" w:tplc="08090003" w:tentative="1">
      <w:start w:val="1"/>
      <w:numFmt w:val="bullet"/>
      <w:lvlText w:val="o"/>
      <w:lvlJc w:val="left"/>
      <w:pPr>
        <w:ind w:left="4770" w:hanging="360"/>
      </w:pPr>
      <w:rPr>
        <w:rFonts w:ascii="Courier New" w:hAnsi="Courier New" w:cs="Courier New" w:hint="default"/>
      </w:rPr>
    </w:lvl>
    <w:lvl w:ilvl="5" w:tplc="08090005" w:tentative="1">
      <w:start w:val="1"/>
      <w:numFmt w:val="bullet"/>
      <w:lvlText w:val=""/>
      <w:lvlJc w:val="left"/>
      <w:pPr>
        <w:ind w:left="5490" w:hanging="360"/>
      </w:pPr>
      <w:rPr>
        <w:rFonts w:ascii="Wingdings" w:hAnsi="Wingdings" w:hint="default"/>
      </w:rPr>
    </w:lvl>
    <w:lvl w:ilvl="6" w:tplc="08090001" w:tentative="1">
      <w:start w:val="1"/>
      <w:numFmt w:val="bullet"/>
      <w:lvlText w:val=""/>
      <w:lvlJc w:val="left"/>
      <w:pPr>
        <w:ind w:left="6210" w:hanging="360"/>
      </w:pPr>
      <w:rPr>
        <w:rFonts w:ascii="Symbol" w:hAnsi="Symbol" w:hint="default"/>
      </w:rPr>
    </w:lvl>
    <w:lvl w:ilvl="7" w:tplc="08090003" w:tentative="1">
      <w:start w:val="1"/>
      <w:numFmt w:val="bullet"/>
      <w:lvlText w:val="o"/>
      <w:lvlJc w:val="left"/>
      <w:pPr>
        <w:ind w:left="6930" w:hanging="360"/>
      </w:pPr>
      <w:rPr>
        <w:rFonts w:ascii="Courier New" w:hAnsi="Courier New" w:cs="Courier New" w:hint="default"/>
      </w:rPr>
    </w:lvl>
    <w:lvl w:ilvl="8" w:tplc="08090005" w:tentative="1">
      <w:start w:val="1"/>
      <w:numFmt w:val="bullet"/>
      <w:lvlText w:val=""/>
      <w:lvlJc w:val="left"/>
      <w:pPr>
        <w:ind w:left="7650" w:hanging="360"/>
      </w:pPr>
      <w:rPr>
        <w:rFonts w:ascii="Wingdings" w:hAnsi="Wingdings" w:hint="default"/>
      </w:rPr>
    </w:lvl>
  </w:abstractNum>
  <w:abstractNum w:abstractNumId="8"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1659CB"/>
    <w:multiLevelType w:val="hybridMultilevel"/>
    <w:tmpl w:val="CEB2253C"/>
    <w:lvl w:ilvl="0" w:tplc="08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AD45F32"/>
    <w:multiLevelType w:val="hybridMultilevel"/>
    <w:tmpl w:val="DD3AA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50E3A70"/>
    <w:multiLevelType w:val="hybridMultilevel"/>
    <w:tmpl w:val="43020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4E11CB"/>
    <w:multiLevelType w:val="hybridMultilevel"/>
    <w:tmpl w:val="85C42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F60083"/>
    <w:multiLevelType w:val="hybridMultilevel"/>
    <w:tmpl w:val="C59A3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BC424D"/>
    <w:multiLevelType w:val="hybridMultilevel"/>
    <w:tmpl w:val="9650E65C"/>
    <w:lvl w:ilvl="0" w:tplc="08090001">
      <w:start w:val="1"/>
      <w:numFmt w:val="bullet"/>
      <w:lvlText w:val=""/>
      <w:lvlJc w:val="left"/>
      <w:pPr>
        <w:ind w:left="766" w:hanging="360"/>
      </w:pPr>
      <w:rPr>
        <w:rFonts w:ascii="Symbol" w:hAnsi="Symbol" w:hint="default"/>
      </w:rPr>
    </w:lvl>
    <w:lvl w:ilvl="1" w:tplc="08090003">
      <w:start w:val="1"/>
      <w:numFmt w:val="bullet"/>
      <w:lvlText w:val="o"/>
      <w:lvlJc w:val="left"/>
      <w:pPr>
        <w:ind w:left="1486" w:hanging="360"/>
      </w:pPr>
      <w:rPr>
        <w:rFonts w:ascii="Courier New" w:hAnsi="Courier New" w:cs="Courier New" w:hint="default"/>
      </w:rPr>
    </w:lvl>
    <w:lvl w:ilvl="2" w:tplc="08090005">
      <w:start w:val="1"/>
      <w:numFmt w:val="bullet"/>
      <w:lvlText w:val=""/>
      <w:lvlJc w:val="left"/>
      <w:pPr>
        <w:ind w:left="2206" w:hanging="360"/>
      </w:pPr>
      <w:rPr>
        <w:rFonts w:ascii="Wingdings" w:hAnsi="Wingdings" w:hint="default"/>
      </w:rPr>
    </w:lvl>
    <w:lvl w:ilvl="3" w:tplc="08090001">
      <w:start w:val="1"/>
      <w:numFmt w:val="bullet"/>
      <w:lvlText w:val=""/>
      <w:lvlJc w:val="left"/>
      <w:pPr>
        <w:ind w:left="2926" w:hanging="360"/>
      </w:pPr>
      <w:rPr>
        <w:rFonts w:ascii="Symbol" w:hAnsi="Symbol" w:hint="default"/>
      </w:rPr>
    </w:lvl>
    <w:lvl w:ilvl="4" w:tplc="08090003">
      <w:start w:val="1"/>
      <w:numFmt w:val="bullet"/>
      <w:lvlText w:val="o"/>
      <w:lvlJc w:val="left"/>
      <w:pPr>
        <w:ind w:left="3646" w:hanging="360"/>
      </w:pPr>
      <w:rPr>
        <w:rFonts w:ascii="Courier New" w:hAnsi="Courier New" w:cs="Courier New" w:hint="default"/>
      </w:rPr>
    </w:lvl>
    <w:lvl w:ilvl="5" w:tplc="08090005">
      <w:start w:val="1"/>
      <w:numFmt w:val="bullet"/>
      <w:lvlText w:val=""/>
      <w:lvlJc w:val="left"/>
      <w:pPr>
        <w:ind w:left="4366" w:hanging="360"/>
      </w:pPr>
      <w:rPr>
        <w:rFonts w:ascii="Wingdings" w:hAnsi="Wingdings" w:hint="default"/>
      </w:rPr>
    </w:lvl>
    <w:lvl w:ilvl="6" w:tplc="08090001">
      <w:start w:val="1"/>
      <w:numFmt w:val="bullet"/>
      <w:lvlText w:val=""/>
      <w:lvlJc w:val="left"/>
      <w:pPr>
        <w:ind w:left="5086" w:hanging="360"/>
      </w:pPr>
      <w:rPr>
        <w:rFonts w:ascii="Symbol" w:hAnsi="Symbol" w:hint="default"/>
      </w:rPr>
    </w:lvl>
    <w:lvl w:ilvl="7" w:tplc="08090003">
      <w:start w:val="1"/>
      <w:numFmt w:val="bullet"/>
      <w:lvlText w:val="o"/>
      <w:lvlJc w:val="left"/>
      <w:pPr>
        <w:ind w:left="5806" w:hanging="360"/>
      </w:pPr>
      <w:rPr>
        <w:rFonts w:ascii="Courier New" w:hAnsi="Courier New" w:cs="Courier New" w:hint="default"/>
      </w:rPr>
    </w:lvl>
    <w:lvl w:ilvl="8" w:tplc="08090005">
      <w:start w:val="1"/>
      <w:numFmt w:val="bullet"/>
      <w:lvlText w:val=""/>
      <w:lvlJc w:val="left"/>
      <w:pPr>
        <w:ind w:left="6526" w:hanging="360"/>
      </w:pPr>
      <w:rPr>
        <w:rFonts w:ascii="Wingdings" w:hAnsi="Wingdings" w:hint="default"/>
      </w:rPr>
    </w:lvl>
  </w:abstractNum>
  <w:num w:numId="1" w16cid:durableId="44067181">
    <w:abstractNumId w:val="1"/>
  </w:num>
  <w:num w:numId="2" w16cid:durableId="1901162756">
    <w:abstractNumId w:val="14"/>
  </w:num>
  <w:num w:numId="3" w16cid:durableId="1687707668">
    <w:abstractNumId w:val="8"/>
  </w:num>
  <w:num w:numId="4" w16cid:durableId="989943133">
    <w:abstractNumId w:val="2"/>
  </w:num>
  <w:num w:numId="5" w16cid:durableId="1551113798">
    <w:abstractNumId w:val="9"/>
  </w:num>
  <w:num w:numId="6" w16cid:durableId="2013407070">
    <w:abstractNumId w:val="5"/>
  </w:num>
  <w:num w:numId="7" w16cid:durableId="1343896650">
    <w:abstractNumId w:val="0"/>
  </w:num>
  <w:num w:numId="8" w16cid:durableId="2077509802">
    <w:abstractNumId w:val="13"/>
  </w:num>
  <w:num w:numId="9" w16cid:durableId="1702626801">
    <w:abstractNumId w:val="12"/>
  </w:num>
  <w:num w:numId="10" w16cid:durableId="742798314">
    <w:abstractNumId w:val="4"/>
  </w:num>
  <w:num w:numId="11" w16cid:durableId="420685350">
    <w:abstractNumId w:val="4"/>
  </w:num>
  <w:num w:numId="12" w16cid:durableId="1238591401">
    <w:abstractNumId w:val="10"/>
  </w:num>
  <w:num w:numId="13" w16cid:durableId="1268663192">
    <w:abstractNumId w:val="4"/>
  </w:num>
  <w:num w:numId="14" w16cid:durableId="545066745">
    <w:abstractNumId w:val="10"/>
  </w:num>
  <w:num w:numId="15" w16cid:durableId="127598752">
    <w:abstractNumId w:val="15"/>
  </w:num>
  <w:num w:numId="16" w16cid:durableId="756369519">
    <w:abstractNumId w:val="7"/>
  </w:num>
  <w:num w:numId="17" w16cid:durableId="2020696520">
    <w:abstractNumId w:val="11"/>
  </w:num>
  <w:num w:numId="18" w16cid:durableId="242303087">
    <w:abstractNumId w:val="6"/>
  </w:num>
  <w:num w:numId="19" w16cid:durableId="2132748995">
    <w:abstractNumId w:val="3"/>
  </w:num>
  <w:num w:numId="20" w16cid:durableId="1401055061">
    <w:abstractNumId w:val="16"/>
  </w:num>
  <w:num w:numId="21" w16cid:durableId="1998722844">
    <w:abstractNumId w:val="12"/>
  </w:num>
  <w:num w:numId="22" w16cid:durableId="2119830761">
    <w:abstractNumId w:val="12"/>
  </w:num>
  <w:num w:numId="23" w16cid:durableId="1158759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191"/>
    <w:rsid w:val="00000039"/>
    <w:rsid w:val="000004B2"/>
    <w:rsid w:val="000006C6"/>
    <w:rsid w:val="00000B37"/>
    <w:rsid w:val="00000F94"/>
    <w:rsid w:val="00001096"/>
    <w:rsid w:val="00001701"/>
    <w:rsid w:val="00001876"/>
    <w:rsid w:val="000019AB"/>
    <w:rsid w:val="00001B06"/>
    <w:rsid w:val="00001CC9"/>
    <w:rsid w:val="00002055"/>
    <w:rsid w:val="000024BA"/>
    <w:rsid w:val="00002B4A"/>
    <w:rsid w:val="00002D71"/>
    <w:rsid w:val="00002DEC"/>
    <w:rsid w:val="00003F14"/>
    <w:rsid w:val="000040D2"/>
    <w:rsid w:val="000044F8"/>
    <w:rsid w:val="00004533"/>
    <w:rsid w:val="000045DA"/>
    <w:rsid w:val="000045EC"/>
    <w:rsid w:val="000052D7"/>
    <w:rsid w:val="000059DA"/>
    <w:rsid w:val="00005C93"/>
    <w:rsid w:val="000069FA"/>
    <w:rsid w:val="00006A0D"/>
    <w:rsid w:val="00007F8F"/>
    <w:rsid w:val="0001002C"/>
    <w:rsid w:val="00010CE1"/>
    <w:rsid w:val="00011B22"/>
    <w:rsid w:val="00011BC8"/>
    <w:rsid w:val="00012D6E"/>
    <w:rsid w:val="0001330C"/>
    <w:rsid w:val="0001382C"/>
    <w:rsid w:val="00013B77"/>
    <w:rsid w:val="000143C0"/>
    <w:rsid w:val="000148D2"/>
    <w:rsid w:val="00014A45"/>
    <w:rsid w:val="00014B0A"/>
    <w:rsid w:val="00014E00"/>
    <w:rsid w:val="00015014"/>
    <w:rsid w:val="00015EC2"/>
    <w:rsid w:val="00016424"/>
    <w:rsid w:val="000170F3"/>
    <w:rsid w:val="00017B05"/>
    <w:rsid w:val="00020474"/>
    <w:rsid w:val="000211FD"/>
    <w:rsid w:val="00021362"/>
    <w:rsid w:val="00021921"/>
    <w:rsid w:val="000220BB"/>
    <w:rsid w:val="00022277"/>
    <w:rsid w:val="0002234A"/>
    <w:rsid w:val="000228AB"/>
    <w:rsid w:val="00022A0C"/>
    <w:rsid w:val="00022C05"/>
    <w:rsid w:val="000233FD"/>
    <w:rsid w:val="00024455"/>
    <w:rsid w:val="00024690"/>
    <w:rsid w:val="000250F6"/>
    <w:rsid w:val="0002523C"/>
    <w:rsid w:val="00025962"/>
    <w:rsid w:val="000268D7"/>
    <w:rsid w:val="000301E3"/>
    <w:rsid w:val="00030504"/>
    <w:rsid w:val="0003061C"/>
    <w:rsid w:val="00031133"/>
    <w:rsid w:val="00031534"/>
    <w:rsid w:val="00031B20"/>
    <w:rsid w:val="00031F2C"/>
    <w:rsid w:val="0003243C"/>
    <w:rsid w:val="000327FC"/>
    <w:rsid w:val="00032C28"/>
    <w:rsid w:val="000335E0"/>
    <w:rsid w:val="000338E2"/>
    <w:rsid w:val="00034583"/>
    <w:rsid w:val="000348D0"/>
    <w:rsid w:val="00034DCD"/>
    <w:rsid w:val="0003525E"/>
    <w:rsid w:val="00035278"/>
    <w:rsid w:val="000354D9"/>
    <w:rsid w:val="00035701"/>
    <w:rsid w:val="00035891"/>
    <w:rsid w:val="00035FE2"/>
    <w:rsid w:val="000360FC"/>
    <w:rsid w:val="000361E9"/>
    <w:rsid w:val="000366A6"/>
    <w:rsid w:val="00036C4A"/>
    <w:rsid w:val="00036E4B"/>
    <w:rsid w:val="00036ED7"/>
    <w:rsid w:val="000371BF"/>
    <w:rsid w:val="0003769D"/>
    <w:rsid w:val="0003787B"/>
    <w:rsid w:val="00040010"/>
    <w:rsid w:val="00040541"/>
    <w:rsid w:val="00040617"/>
    <w:rsid w:val="00040634"/>
    <w:rsid w:val="000412C9"/>
    <w:rsid w:val="00041925"/>
    <w:rsid w:val="000423D0"/>
    <w:rsid w:val="00042A89"/>
    <w:rsid w:val="00042C12"/>
    <w:rsid w:val="00042D5B"/>
    <w:rsid w:val="0004347C"/>
    <w:rsid w:val="00043B3F"/>
    <w:rsid w:val="0004425B"/>
    <w:rsid w:val="00044D78"/>
    <w:rsid w:val="00044F83"/>
    <w:rsid w:val="000451E6"/>
    <w:rsid w:val="00045C73"/>
    <w:rsid w:val="00045F5C"/>
    <w:rsid w:val="00046318"/>
    <w:rsid w:val="0004635F"/>
    <w:rsid w:val="00046743"/>
    <w:rsid w:val="00046C2A"/>
    <w:rsid w:val="00047C10"/>
    <w:rsid w:val="00047C67"/>
    <w:rsid w:val="000500AD"/>
    <w:rsid w:val="000506FD"/>
    <w:rsid w:val="00050D09"/>
    <w:rsid w:val="00051005"/>
    <w:rsid w:val="000513C7"/>
    <w:rsid w:val="000519AC"/>
    <w:rsid w:val="00051AFF"/>
    <w:rsid w:val="00051DC8"/>
    <w:rsid w:val="00051E23"/>
    <w:rsid w:val="00052365"/>
    <w:rsid w:val="00052893"/>
    <w:rsid w:val="00052936"/>
    <w:rsid w:val="00052CC8"/>
    <w:rsid w:val="000541EB"/>
    <w:rsid w:val="00054C11"/>
    <w:rsid w:val="00054CE5"/>
    <w:rsid w:val="000551B0"/>
    <w:rsid w:val="00055435"/>
    <w:rsid w:val="000555AF"/>
    <w:rsid w:val="0005597B"/>
    <w:rsid w:val="00055B73"/>
    <w:rsid w:val="00056011"/>
    <w:rsid w:val="000561B7"/>
    <w:rsid w:val="0005621E"/>
    <w:rsid w:val="00056A31"/>
    <w:rsid w:val="000575EA"/>
    <w:rsid w:val="00060230"/>
    <w:rsid w:val="00061350"/>
    <w:rsid w:val="00061355"/>
    <w:rsid w:val="00061E3A"/>
    <w:rsid w:val="000628FA"/>
    <w:rsid w:val="000635D9"/>
    <w:rsid w:val="00063722"/>
    <w:rsid w:val="00063913"/>
    <w:rsid w:val="00064304"/>
    <w:rsid w:val="00064395"/>
    <w:rsid w:val="00065347"/>
    <w:rsid w:val="00065500"/>
    <w:rsid w:val="000655E6"/>
    <w:rsid w:val="00065F48"/>
    <w:rsid w:val="00066336"/>
    <w:rsid w:val="000666FE"/>
    <w:rsid w:val="0006729D"/>
    <w:rsid w:val="00067CF7"/>
    <w:rsid w:val="00070481"/>
    <w:rsid w:val="000707CA"/>
    <w:rsid w:val="00070E20"/>
    <w:rsid w:val="00071063"/>
    <w:rsid w:val="00072422"/>
    <w:rsid w:val="00072E60"/>
    <w:rsid w:val="0007354A"/>
    <w:rsid w:val="00073630"/>
    <w:rsid w:val="0007375C"/>
    <w:rsid w:val="00073F1F"/>
    <w:rsid w:val="00073FD1"/>
    <w:rsid w:val="00074173"/>
    <w:rsid w:val="000742DB"/>
    <w:rsid w:val="000749D9"/>
    <w:rsid w:val="00075359"/>
    <w:rsid w:val="000753D7"/>
    <w:rsid w:val="00075EE0"/>
    <w:rsid w:val="0007609E"/>
    <w:rsid w:val="0007667D"/>
    <w:rsid w:val="000776D1"/>
    <w:rsid w:val="000807F9"/>
    <w:rsid w:val="0008096C"/>
    <w:rsid w:val="00080FEF"/>
    <w:rsid w:val="0008130E"/>
    <w:rsid w:val="000820CB"/>
    <w:rsid w:val="000822B6"/>
    <w:rsid w:val="0008234C"/>
    <w:rsid w:val="0008270C"/>
    <w:rsid w:val="00082A3A"/>
    <w:rsid w:val="00082A88"/>
    <w:rsid w:val="0008316F"/>
    <w:rsid w:val="00083214"/>
    <w:rsid w:val="000836C5"/>
    <w:rsid w:val="00083BD2"/>
    <w:rsid w:val="00083CDC"/>
    <w:rsid w:val="000840A1"/>
    <w:rsid w:val="00084D35"/>
    <w:rsid w:val="00084D76"/>
    <w:rsid w:val="00084FAC"/>
    <w:rsid w:val="00084FCC"/>
    <w:rsid w:val="00085541"/>
    <w:rsid w:val="000857B0"/>
    <w:rsid w:val="00085D08"/>
    <w:rsid w:val="00085D0F"/>
    <w:rsid w:val="000869CB"/>
    <w:rsid w:val="00087093"/>
    <w:rsid w:val="00087F5E"/>
    <w:rsid w:val="00090107"/>
    <w:rsid w:val="0009034E"/>
    <w:rsid w:val="0009053C"/>
    <w:rsid w:val="00090A3E"/>
    <w:rsid w:val="00091083"/>
    <w:rsid w:val="00091895"/>
    <w:rsid w:val="00091C82"/>
    <w:rsid w:val="00091FC5"/>
    <w:rsid w:val="00091FFA"/>
    <w:rsid w:val="000925D0"/>
    <w:rsid w:val="000926FF"/>
    <w:rsid w:val="00092C2F"/>
    <w:rsid w:val="00092C74"/>
    <w:rsid w:val="00092C82"/>
    <w:rsid w:val="00092D9D"/>
    <w:rsid w:val="00093267"/>
    <w:rsid w:val="00093E39"/>
    <w:rsid w:val="00093FEA"/>
    <w:rsid w:val="000956CE"/>
    <w:rsid w:val="00095725"/>
    <w:rsid w:val="000957AC"/>
    <w:rsid w:val="000957E5"/>
    <w:rsid w:val="00096504"/>
    <w:rsid w:val="00096612"/>
    <w:rsid w:val="000969E7"/>
    <w:rsid w:val="000A02E9"/>
    <w:rsid w:val="000A0D91"/>
    <w:rsid w:val="000A0E23"/>
    <w:rsid w:val="000A1148"/>
    <w:rsid w:val="000A127E"/>
    <w:rsid w:val="000A16A9"/>
    <w:rsid w:val="000A1C9B"/>
    <w:rsid w:val="000A242E"/>
    <w:rsid w:val="000A2486"/>
    <w:rsid w:val="000A27E1"/>
    <w:rsid w:val="000A3390"/>
    <w:rsid w:val="000A35B7"/>
    <w:rsid w:val="000A4635"/>
    <w:rsid w:val="000A4814"/>
    <w:rsid w:val="000A4936"/>
    <w:rsid w:val="000A59D9"/>
    <w:rsid w:val="000A6B83"/>
    <w:rsid w:val="000A6E0C"/>
    <w:rsid w:val="000A6F02"/>
    <w:rsid w:val="000A72F7"/>
    <w:rsid w:val="000A7CD6"/>
    <w:rsid w:val="000A7DA7"/>
    <w:rsid w:val="000A7F22"/>
    <w:rsid w:val="000B01A7"/>
    <w:rsid w:val="000B028E"/>
    <w:rsid w:val="000B02EE"/>
    <w:rsid w:val="000B038E"/>
    <w:rsid w:val="000B0393"/>
    <w:rsid w:val="000B0830"/>
    <w:rsid w:val="000B1297"/>
    <w:rsid w:val="000B1D95"/>
    <w:rsid w:val="000B1DC2"/>
    <w:rsid w:val="000B21A0"/>
    <w:rsid w:val="000B22A7"/>
    <w:rsid w:val="000B22DB"/>
    <w:rsid w:val="000B2687"/>
    <w:rsid w:val="000B2915"/>
    <w:rsid w:val="000B2D21"/>
    <w:rsid w:val="000B3057"/>
    <w:rsid w:val="000B3B6E"/>
    <w:rsid w:val="000B46D9"/>
    <w:rsid w:val="000B4E0A"/>
    <w:rsid w:val="000B4E59"/>
    <w:rsid w:val="000B4FE3"/>
    <w:rsid w:val="000B5EA3"/>
    <w:rsid w:val="000B603B"/>
    <w:rsid w:val="000B65D9"/>
    <w:rsid w:val="000B7695"/>
    <w:rsid w:val="000C0347"/>
    <w:rsid w:val="000C0688"/>
    <w:rsid w:val="000C0CD5"/>
    <w:rsid w:val="000C0E8A"/>
    <w:rsid w:val="000C0EB7"/>
    <w:rsid w:val="000C0FA6"/>
    <w:rsid w:val="000C1130"/>
    <w:rsid w:val="000C125B"/>
    <w:rsid w:val="000C13FA"/>
    <w:rsid w:val="000C1694"/>
    <w:rsid w:val="000C172A"/>
    <w:rsid w:val="000C1915"/>
    <w:rsid w:val="000C1E4D"/>
    <w:rsid w:val="000C2545"/>
    <w:rsid w:val="000C266E"/>
    <w:rsid w:val="000C2F34"/>
    <w:rsid w:val="000C3DE5"/>
    <w:rsid w:val="000C3EFE"/>
    <w:rsid w:val="000C595B"/>
    <w:rsid w:val="000C5BBD"/>
    <w:rsid w:val="000C5F64"/>
    <w:rsid w:val="000C6AC1"/>
    <w:rsid w:val="000C7F9D"/>
    <w:rsid w:val="000D09C4"/>
    <w:rsid w:val="000D16D9"/>
    <w:rsid w:val="000D16E4"/>
    <w:rsid w:val="000D18D7"/>
    <w:rsid w:val="000D18F5"/>
    <w:rsid w:val="000D27E7"/>
    <w:rsid w:val="000D2853"/>
    <w:rsid w:val="000D2CC7"/>
    <w:rsid w:val="000D2FE3"/>
    <w:rsid w:val="000D3238"/>
    <w:rsid w:val="000D360A"/>
    <w:rsid w:val="000D3796"/>
    <w:rsid w:val="000D37B9"/>
    <w:rsid w:val="000D400D"/>
    <w:rsid w:val="000D49CE"/>
    <w:rsid w:val="000D4C2B"/>
    <w:rsid w:val="000D51FE"/>
    <w:rsid w:val="000D5F24"/>
    <w:rsid w:val="000D6E15"/>
    <w:rsid w:val="000D7031"/>
    <w:rsid w:val="000D711F"/>
    <w:rsid w:val="000D7AD0"/>
    <w:rsid w:val="000D7FA9"/>
    <w:rsid w:val="000E0121"/>
    <w:rsid w:val="000E05FA"/>
    <w:rsid w:val="000E0C29"/>
    <w:rsid w:val="000E0D3C"/>
    <w:rsid w:val="000E0E22"/>
    <w:rsid w:val="000E0FD9"/>
    <w:rsid w:val="000E1500"/>
    <w:rsid w:val="000E19E7"/>
    <w:rsid w:val="000E2B81"/>
    <w:rsid w:val="000E2F1D"/>
    <w:rsid w:val="000E317A"/>
    <w:rsid w:val="000E348C"/>
    <w:rsid w:val="000E3532"/>
    <w:rsid w:val="000E3B64"/>
    <w:rsid w:val="000E3C3E"/>
    <w:rsid w:val="000E495A"/>
    <w:rsid w:val="000E4FCD"/>
    <w:rsid w:val="000E58A2"/>
    <w:rsid w:val="000E58C0"/>
    <w:rsid w:val="000E5F93"/>
    <w:rsid w:val="000E5F99"/>
    <w:rsid w:val="000E61A1"/>
    <w:rsid w:val="000E6DC7"/>
    <w:rsid w:val="000E7979"/>
    <w:rsid w:val="000F00F8"/>
    <w:rsid w:val="000F072B"/>
    <w:rsid w:val="000F0B43"/>
    <w:rsid w:val="000F1446"/>
    <w:rsid w:val="000F14E1"/>
    <w:rsid w:val="000F190A"/>
    <w:rsid w:val="000F1D04"/>
    <w:rsid w:val="000F1D66"/>
    <w:rsid w:val="000F1F5B"/>
    <w:rsid w:val="000F22B6"/>
    <w:rsid w:val="000F298C"/>
    <w:rsid w:val="000F2A05"/>
    <w:rsid w:val="000F2A31"/>
    <w:rsid w:val="000F3223"/>
    <w:rsid w:val="000F39C1"/>
    <w:rsid w:val="000F3ABA"/>
    <w:rsid w:val="000F4097"/>
    <w:rsid w:val="000F4268"/>
    <w:rsid w:val="000F45AD"/>
    <w:rsid w:val="000F47AE"/>
    <w:rsid w:val="000F495F"/>
    <w:rsid w:val="000F5006"/>
    <w:rsid w:val="000F53A7"/>
    <w:rsid w:val="000F5604"/>
    <w:rsid w:val="000F598B"/>
    <w:rsid w:val="000F59BD"/>
    <w:rsid w:val="000F5BA4"/>
    <w:rsid w:val="000F5C3F"/>
    <w:rsid w:val="000F77FA"/>
    <w:rsid w:val="000F7E5C"/>
    <w:rsid w:val="001005C8"/>
    <w:rsid w:val="00101177"/>
    <w:rsid w:val="00101248"/>
    <w:rsid w:val="001017EE"/>
    <w:rsid w:val="00101E00"/>
    <w:rsid w:val="00101EAA"/>
    <w:rsid w:val="0010200C"/>
    <w:rsid w:val="001021F8"/>
    <w:rsid w:val="00102961"/>
    <w:rsid w:val="00102F2A"/>
    <w:rsid w:val="00102FE0"/>
    <w:rsid w:val="001030A1"/>
    <w:rsid w:val="001035E7"/>
    <w:rsid w:val="00103885"/>
    <w:rsid w:val="0010428F"/>
    <w:rsid w:val="00104526"/>
    <w:rsid w:val="001046DB"/>
    <w:rsid w:val="001051A5"/>
    <w:rsid w:val="00105224"/>
    <w:rsid w:val="00105562"/>
    <w:rsid w:val="001055BE"/>
    <w:rsid w:val="0010593C"/>
    <w:rsid w:val="00105AA7"/>
    <w:rsid w:val="00105B19"/>
    <w:rsid w:val="00105CFE"/>
    <w:rsid w:val="00105E34"/>
    <w:rsid w:val="00106021"/>
    <w:rsid w:val="001067B3"/>
    <w:rsid w:val="00106B70"/>
    <w:rsid w:val="00106F72"/>
    <w:rsid w:val="0010751E"/>
    <w:rsid w:val="001076F1"/>
    <w:rsid w:val="00107A04"/>
    <w:rsid w:val="00110045"/>
    <w:rsid w:val="00110986"/>
    <w:rsid w:val="001118BA"/>
    <w:rsid w:val="00111CE5"/>
    <w:rsid w:val="00111F25"/>
    <w:rsid w:val="00112C83"/>
    <w:rsid w:val="0011329D"/>
    <w:rsid w:val="00113483"/>
    <w:rsid w:val="00113DEB"/>
    <w:rsid w:val="001142BF"/>
    <w:rsid w:val="001148DF"/>
    <w:rsid w:val="00114D11"/>
    <w:rsid w:val="00114E06"/>
    <w:rsid w:val="0011519E"/>
    <w:rsid w:val="001154B3"/>
    <w:rsid w:val="0011564B"/>
    <w:rsid w:val="00115942"/>
    <w:rsid w:val="00115B1F"/>
    <w:rsid w:val="00115D5B"/>
    <w:rsid w:val="001162A4"/>
    <w:rsid w:val="001164AE"/>
    <w:rsid w:val="00116679"/>
    <w:rsid w:val="00116F3E"/>
    <w:rsid w:val="00116FFB"/>
    <w:rsid w:val="00117210"/>
    <w:rsid w:val="00117C1D"/>
    <w:rsid w:val="001200ED"/>
    <w:rsid w:val="001201C1"/>
    <w:rsid w:val="0012046F"/>
    <w:rsid w:val="00120AAE"/>
    <w:rsid w:val="0012207C"/>
    <w:rsid w:val="00122203"/>
    <w:rsid w:val="00122B35"/>
    <w:rsid w:val="00123228"/>
    <w:rsid w:val="001236E2"/>
    <w:rsid w:val="00123E34"/>
    <w:rsid w:val="001240B3"/>
    <w:rsid w:val="00124248"/>
    <w:rsid w:val="00124D1D"/>
    <w:rsid w:val="00124DE8"/>
    <w:rsid w:val="00124E4E"/>
    <w:rsid w:val="001254F9"/>
    <w:rsid w:val="0012567C"/>
    <w:rsid w:val="00125DDD"/>
    <w:rsid w:val="00125F70"/>
    <w:rsid w:val="001266E6"/>
    <w:rsid w:val="00127324"/>
    <w:rsid w:val="001276F1"/>
    <w:rsid w:val="0012791F"/>
    <w:rsid w:val="001279D6"/>
    <w:rsid w:val="00127F3B"/>
    <w:rsid w:val="00130355"/>
    <w:rsid w:val="0013057E"/>
    <w:rsid w:val="0013074D"/>
    <w:rsid w:val="00130C01"/>
    <w:rsid w:val="00130E26"/>
    <w:rsid w:val="001318A8"/>
    <w:rsid w:val="00131EA7"/>
    <w:rsid w:val="00132190"/>
    <w:rsid w:val="001321F3"/>
    <w:rsid w:val="0013256D"/>
    <w:rsid w:val="00132C52"/>
    <w:rsid w:val="001331ED"/>
    <w:rsid w:val="00133223"/>
    <w:rsid w:val="00133350"/>
    <w:rsid w:val="001333C3"/>
    <w:rsid w:val="00134585"/>
    <w:rsid w:val="0013462C"/>
    <w:rsid w:val="001348C3"/>
    <w:rsid w:val="00134BF2"/>
    <w:rsid w:val="00135000"/>
    <w:rsid w:val="0013521B"/>
    <w:rsid w:val="001353BF"/>
    <w:rsid w:val="001361EE"/>
    <w:rsid w:val="00136264"/>
    <w:rsid w:val="00136DDA"/>
    <w:rsid w:val="00136F69"/>
    <w:rsid w:val="00137E62"/>
    <w:rsid w:val="001408A2"/>
    <w:rsid w:val="00140B95"/>
    <w:rsid w:val="00141096"/>
    <w:rsid w:val="001411FD"/>
    <w:rsid w:val="0014173F"/>
    <w:rsid w:val="00141985"/>
    <w:rsid w:val="0014244B"/>
    <w:rsid w:val="001429E6"/>
    <w:rsid w:val="00142A2E"/>
    <w:rsid w:val="00142FB2"/>
    <w:rsid w:val="00143648"/>
    <w:rsid w:val="00143B39"/>
    <w:rsid w:val="00144005"/>
    <w:rsid w:val="00144781"/>
    <w:rsid w:val="0014479B"/>
    <w:rsid w:val="00144C6E"/>
    <w:rsid w:val="001452A1"/>
    <w:rsid w:val="00145317"/>
    <w:rsid w:val="001454AB"/>
    <w:rsid w:val="00145B9C"/>
    <w:rsid w:val="00145E6E"/>
    <w:rsid w:val="00145F63"/>
    <w:rsid w:val="00145F7F"/>
    <w:rsid w:val="001460F4"/>
    <w:rsid w:val="00146D6A"/>
    <w:rsid w:val="00146DEF"/>
    <w:rsid w:val="0014734C"/>
    <w:rsid w:val="00147798"/>
    <w:rsid w:val="001477E7"/>
    <w:rsid w:val="00147C42"/>
    <w:rsid w:val="00150765"/>
    <w:rsid w:val="001507A2"/>
    <w:rsid w:val="00150C97"/>
    <w:rsid w:val="00151732"/>
    <w:rsid w:val="00151E6F"/>
    <w:rsid w:val="00152812"/>
    <w:rsid w:val="00152861"/>
    <w:rsid w:val="00152CA0"/>
    <w:rsid w:val="00152F0B"/>
    <w:rsid w:val="001531A1"/>
    <w:rsid w:val="00154AF6"/>
    <w:rsid w:val="0015554D"/>
    <w:rsid w:val="0015577C"/>
    <w:rsid w:val="001559C8"/>
    <w:rsid w:val="001570DB"/>
    <w:rsid w:val="00157148"/>
    <w:rsid w:val="0015738B"/>
    <w:rsid w:val="001577E8"/>
    <w:rsid w:val="00157D9F"/>
    <w:rsid w:val="00160133"/>
    <w:rsid w:val="00161768"/>
    <w:rsid w:val="0016182C"/>
    <w:rsid w:val="00161E7E"/>
    <w:rsid w:val="00163374"/>
    <w:rsid w:val="001635AD"/>
    <w:rsid w:val="0016415E"/>
    <w:rsid w:val="00164303"/>
    <w:rsid w:val="0016439F"/>
    <w:rsid w:val="001659C4"/>
    <w:rsid w:val="00165B6E"/>
    <w:rsid w:val="00165D9C"/>
    <w:rsid w:val="001660FB"/>
    <w:rsid w:val="00166539"/>
    <w:rsid w:val="00166FC2"/>
    <w:rsid w:val="001711C8"/>
    <w:rsid w:val="00171243"/>
    <w:rsid w:val="0017165E"/>
    <w:rsid w:val="001716D5"/>
    <w:rsid w:val="001719C8"/>
    <w:rsid w:val="001727F0"/>
    <w:rsid w:val="00173F1D"/>
    <w:rsid w:val="00173F41"/>
    <w:rsid w:val="0017445D"/>
    <w:rsid w:val="00174DEF"/>
    <w:rsid w:val="001757AF"/>
    <w:rsid w:val="00175BA9"/>
    <w:rsid w:val="001762F6"/>
    <w:rsid w:val="0017648C"/>
    <w:rsid w:val="00176E81"/>
    <w:rsid w:val="00177435"/>
    <w:rsid w:val="00177742"/>
    <w:rsid w:val="0017785F"/>
    <w:rsid w:val="00177CA4"/>
    <w:rsid w:val="00177ED1"/>
    <w:rsid w:val="00180371"/>
    <w:rsid w:val="0018047E"/>
    <w:rsid w:val="0018051A"/>
    <w:rsid w:val="0018135E"/>
    <w:rsid w:val="00181675"/>
    <w:rsid w:val="001821DF"/>
    <w:rsid w:val="001824E7"/>
    <w:rsid w:val="00182B10"/>
    <w:rsid w:val="00182E9D"/>
    <w:rsid w:val="0018305D"/>
    <w:rsid w:val="00183929"/>
    <w:rsid w:val="00183F91"/>
    <w:rsid w:val="001840BE"/>
    <w:rsid w:val="001840F1"/>
    <w:rsid w:val="001845C7"/>
    <w:rsid w:val="00184AAB"/>
    <w:rsid w:val="0018508F"/>
    <w:rsid w:val="001851CC"/>
    <w:rsid w:val="00185569"/>
    <w:rsid w:val="00185715"/>
    <w:rsid w:val="00185720"/>
    <w:rsid w:val="001859FF"/>
    <w:rsid w:val="00185CFF"/>
    <w:rsid w:val="00186145"/>
    <w:rsid w:val="00186357"/>
    <w:rsid w:val="001876C3"/>
    <w:rsid w:val="001878EE"/>
    <w:rsid w:val="00187C57"/>
    <w:rsid w:val="00187C91"/>
    <w:rsid w:val="001900E8"/>
    <w:rsid w:val="00190301"/>
    <w:rsid w:val="00190654"/>
    <w:rsid w:val="00190C98"/>
    <w:rsid w:val="00190D0F"/>
    <w:rsid w:val="00190DC1"/>
    <w:rsid w:val="001911A9"/>
    <w:rsid w:val="00191652"/>
    <w:rsid w:val="001920EC"/>
    <w:rsid w:val="001924EF"/>
    <w:rsid w:val="00192654"/>
    <w:rsid w:val="00192724"/>
    <w:rsid w:val="001928AF"/>
    <w:rsid w:val="00192C1D"/>
    <w:rsid w:val="0019327B"/>
    <w:rsid w:val="00194138"/>
    <w:rsid w:val="001945E2"/>
    <w:rsid w:val="0019462C"/>
    <w:rsid w:val="00194729"/>
    <w:rsid w:val="00194993"/>
    <w:rsid w:val="00194F93"/>
    <w:rsid w:val="0019535C"/>
    <w:rsid w:val="00195547"/>
    <w:rsid w:val="00196926"/>
    <w:rsid w:val="00196A02"/>
    <w:rsid w:val="001A08AF"/>
    <w:rsid w:val="001A0A39"/>
    <w:rsid w:val="001A0B6B"/>
    <w:rsid w:val="001A0EDA"/>
    <w:rsid w:val="001A133E"/>
    <w:rsid w:val="001A1984"/>
    <w:rsid w:val="001A1DB4"/>
    <w:rsid w:val="001A280E"/>
    <w:rsid w:val="001A2FC6"/>
    <w:rsid w:val="001A306C"/>
    <w:rsid w:val="001A37C4"/>
    <w:rsid w:val="001A3B6A"/>
    <w:rsid w:val="001A4166"/>
    <w:rsid w:val="001A49BC"/>
    <w:rsid w:val="001A4A5A"/>
    <w:rsid w:val="001A4EAB"/>
    <w:rsid w:val="001A551F"/>
    <w:rsid w:val="001A57E4"/>
    <w:rsid w:val="001A5BCB"/>
    <w:rsid w:val="001A70C6"/>
    <w:rsid w:val="001A7D42"/>
    <w:rsid w:val="001A7D9E"/>
    <w:rsid w:val="001A7E64"/>
    <w:rsid w:val="001A7F13"/>
    <w:rsid w:val="001B00E7"/>
    <w:rsid w:val="001B0110"/>
    <w:rsid w:val="001B01E0"/>
    <w:rsid w:val="001B0397"/>
    <w:rsid w:val="001B0D25"/>
    <w:rsid w:val="001B1801"/>
    <w:rsid w:val="001B1B8D"/>
    <w:rsid w:val="001B1EB0"/>
    <w:rsid w:val="001B3597"/>
    <w:rsid w:val="001B3831"/>
    <w:rsid w:val="001B3D40"/>
    <w:rsid w:val="001B3FFD"/>
    <w:rsid w:val="001B4DEF"/>
    <w:rsid w:val="001B4EAE"/>
    <w:rsid w:val="001B5639"/>
    <w:rsid w:val="001B56AB"/>
    <w:rsid w:val="001B5842"/>
    <w:rsid w:val="001B619D"/>
    <w:rsid w:val="001B7C31"/>
    <w:rsid w:val="001B7D0C"/>
    <w:rsid w:val="001C0050"/>
    <w:rsid w:val="001C04F4"/>
    <w:rsid w:val="001C0846"/>
    <w:rsid w:val="001C0A7C"/>
    <w:rsid w:val="001C0CA7"/>
    <w:rsid w:val="001C17B8"/>
    <w:rsid w:val="001C2818"/>
    <w:rsid w:val="001C2CEC"/>
    <w:rsid w:val="001C3226"/>
    <w:rsid w:val="001C3299"/>
    <w:rsid w:val="001C3678"/>
    <w:rsid w:val="001C3921"/>
    <w:rsid w:val="001C3AF0"/>
    <w:rsid w:val="001C3DF9"/>
    <w:rsid w:val="001C40E8"/>
    <w:rsid w:val="001C439A"/>
    <w:rsid w:val="001C4586"/>
    <w:rsid w:val="001C4CF3"/>
    <w:rsid w:val="001C4D12"/>
    <w:rsid w:val="001C4DA8"/>
    <w:rsid w:val="001C4F7B"/>
    <w:rsid w:val="001C5510"/>
    <w:rsid w:val="001C596C"/>
    <w:rsid w:val="001C5983"/>
    <w:rsid w:val="001C6B42"/>
    <w:rsid w:val="001C723A"/>
    <w:rsid w:val="001C7F49"/>
    <w:rsid w:val="001D0044"/>
    <w:rsid w:val="001D10F6"/>
    <w:rsid w:val="001D1752"/>
    <w:rsid w:val="001D2356"/>
    <w:rsid w:val="001D23BE"/>
    <w:rsid w:val="001D248E"/>
    <w:rsid w:val="001D2A04"/>
    <w:rsid w:val="001D3144"/>
    <w:rsid w:val="001D3639"/>
    <w:rsid w:val="001D4323"/>
    <w:rsid w:val="001D47EF"/>
    <w:rsid w:val="001D4DE1"/>
    <w:rsid w:val="001D53E3"/>
    <w:rsid w:val="001D5BF1"/>
    <w:rsid w:val="001D5EF6"/>
    <w:rsid w:val="001D6DDC"/>
    <w:rsid w:val="001D774D"/>
    <w:rsid w:val="001D79F7"/>
    <w:rsid w:val="001E0188"/>
    <w:rsid w:val="001E08E0"/>
    <w:rsid w:val="001E1102"/>
    <w:rsid w:val="001E1322"/>
    <w:rsid w:val="001E1A6C"/>
    <w:rsid w:val="001E1AEC"/>
    <w:rsid w:val="001E1CBA"/>
    <w:rsid w:val="001E1CE2"/>
    <w:rsid w:val="001E1E49"/>
    <w:rsid w:val="001E1F1D"/>
    <w:rsid w:val="001E28CB"/>
    <w:rsid w:val="001E3053"/>
    <w:rsid w:val="001E3A71"/>
    <w:rsid w:val="001E40CC"/>
    <w:rsid w:val="001E44E4"/>
    <w:rsid w:val="001E4BC9"/>
    <w:rsid w:val="001E4C37"/>
    <w:rsid w:val="001E4EF4"/>
    <w:rsid w:val="001E505E"/>
    <w:rsid w:val="001E5248"/>
    <w:rsid w:val="001E6F3E"/>
    <w:rsid w:val="001E7931"/>
    <w:rsid w:val="001E7B00"/>
    <w:rsid w:val="001F0406"/>
    <w:rsid w:val="001F050A"/>
    <w:rsid w:val="001F0F09"/>
    <w:rsid w:val="001F1475"/>
    <w:rsid w:val="001F15D5"/>
    <w:rsid w:val="001F1DC9"/>
    <w:rsid w:val="001F2331"/>
    <w:rsid w:val="001F2445"/>
    <w:rsid w:val="001F265E"/>
    <w:rsid w:val="001F271B"/>
    <w:rsid w:val="001F37C8"/>
    <w:rsid w:val="001F4A39"/>
    <w:rsid w:val="001F4A96"/>
    <w:rsid w:val="001F5591"/>
    <w:rsid w:val="001F572B"/>
    <w:rsid w:val="001F5FBA"/>
    <w:rsid w:val="001F6682"/>
    <w:rsid w:val="001F6816"/>
    <w:rsid w:val="001F6A4F"/>
    <w:rsid w:val="001F6A77"/>
    <w:rsid w:val="001F6E5E"/>
    <w:rsid w:val="001F6EF9"/>
    <w:rsid w:val="001F71BB"/>
    <w:rsid w:val="0020045C"/>
    <w:rsid w:val="00200859"/>
    <w:rsid w:val="0020151D"/>
    <w:rsid w:val="00201CA4"/>
    <w:rsid w:val="00201ED1"/>
    <w:rsid w:val="002020E0"/>
    <w:rsid w:val="00202591"/>
    <w:rsid w:val="002025E6"/>
    <w:rsid w:val="002026B4"/>
    <w:rsid w:val="00202907"/>
    <w:rsid w:val="0020314E"/>
    <w:rsid w:val="00203193"/>
    <w:rsid w:val="00203F2A"/>
    <w:rsid w:val="002046CA"/>
    <w:rsid w:val="0020504D"/>
    <w:rsid w:val="00205060"/>
    <w:rsid w:val="0020514F"/>
    <w:rsid w:val="00205306"/>
    <w:rsid w:val="002058F9"/>
    <w:rsid w:val="00205C6D"/>
    <w:rsid w:val="00205F5B"/>
    <w:rsid w:val="002060A3"/>
    <w:rsid w:val="002061FD"/>
    <w:rsid w:val="0020674D"/>
    <w:rsid w:val="00206ECA"/>
    <w:rsid w:val="00206F52"/>
    <w:rsid w:val="002078D1"/>
    <w:rsid w:val="00207AE0"/>
    <w:rsid w:val="00207CF0"/>
    <w:rsid w:val="00207F53"/>
    <w:rsid w:val="0021085A"/>
    <w:rsid w:val="00210AFD"/>
    <w:rsid w:val="0021149B"/>
    <w:rsid w:val="00212B1F"/>
    <w:rsid w:val="00212E6A"/>
    <w:rsid w:val="00213297"/>
    <w:rsid w:val="002132D8"/>
    <w:rsid w:val="00213579"/>
    <w:rsid w:val="002135BA"/>
    <w:rsid w:val="0021407B"/>
    <w:rsid w:val="0021421D"/>
    <w:rsid w:val="002144DD"/>
    <w:rsid w:val="00214F75"/>
    <w:rsid w:val="00215A38"/>
    <w:rsid w:val="002160DD"/>
    <w:rsid w:val="002171DB"/>
    <w:rsid w:val="00217687"/>
    <w:rsid w:val="00217A96"/>
    <w:rsid w:val="0022003E"/>
    <w:rsid w:val="002205D1"/>
    <w:rsid w:val="002206BD"/>
    <w:rsid w:val="00220953"/>
    <w:rsid w:val="00221339"/>
    <w:rsid w:val="002215F2"/>
    <w:rsid w:val="00221605"/>
    <w:rsid w:val="002216B4"/>
    <w:rsid w:val="0022171E"/>
    <w:rsid w:val="00221AFB"/>
    <w:rsid w:val="00221E7D"/>
    <w:rsid w:val="002225D6"/>
    <w:rsid w:val="00222AEB"/>
    <w:rsid w:val="0022388D"/>
    <w:rsid w:val="00223F80"/>
    <w:rsid w:val="0022428E"/>
    <w:rsid w:val="00224309"/>
    <w:rsid w:val="002247BE"/>
    <w:rsid w:val="00224C89"/>
    <w:rsid w:val="00224F07"/>
    <w:rsid w:val="00224FCC"/>
    <w:rsid w:val="00225273"/>
    <w:rsid w:val="0022535E"/>
    <w:rsid w:val="00225717"/>
    <w:rsid w:val="002259C8"/>
    <w:rsid w:val="0022602D"/>
    <w:rsid w:val="0022638C"/>
    <w:rsid w:val="002269D8"/>
    <w:rsid w:val="00226C37"/>
    <w:rsid w:val="00226DA3"/>
    <w:rsid w:val="00227193"/>
    <w:rsid w:val="00227964"/>
    <w:rsid w:val="00227A38"/>
    <w:rsid w:val="00227EDD"/>
    <w:rsid w:val="002322CA"/>
    <w:rsid w:val="00232367"/>
    <w:rsid w:val="00232646"/>
    <w:rsid w:val="00232C21"/>
    <w:rsid w:val="00232C31"/>
    <w:rsid w:val="00232DDC"/>
    <w:rsid w:val="00233028"/>
    <w:rsid w:val="0023305D"/>
    <w:rsid w:val="002330B9"/>
    <w:rsid w:val="002330F3"/>
    <w:rsid w:val="00233197"/>
    <w:rsid w:val="002334BF"/>
    <w:rsid w:val="00233625"/>
    <w:rsid w:val="002339AF"/>
    <w:rsid w:val="00233E58"/>
    <w:rsid w:val="002342DC"/>
    <w:rsid w:val="00234997"/>
    <w:rsid w:val="00234E58"/>
    <w:rsid w:val="002359DA"/>
    <w:rsid w:val="00235D0C"/>
    <w:rsid w:val="00235EEB"/>
    <w:rsid w:val="002366A3"/>
    <w:rsid w:val="00236883"/>
    <w:rsid w:val="002371BF"/>
    <w:rsid w:val="00237249"/>
    <w:rsid w:val="00237A5B"/>
    <w:rsid w:val="00237B47"/>
    <w:rsid w:val="00237BB0"/>
    <w:rsid w:val="00237C92"/>
    <w:rsid w:val="00237D81"/>
    <w:rsid w:val="002403F1"/>
    <w:rsid w:val="0024040B"/>
    <w:rsid w:val="0024054D"/>
    <w:rsid w:val="00240AA5"/>
    <w:rsid w:val="00240FFA"/>
    <w:rsid w:val="0024118C"/>
    <w:rsid w:val="002416DB"/>
    <w:rsid w:val="00241B6B"/>
    <w:rsid w:val="00241B89"/>
    <w:rsid w:val="00241BDC"/>
    <w:rsid w:val="002422DB"/>
    <w:rsid w:val="002425D9"/>
    <w:rsid w:val="00242750"/>
    <w:rsid w:val="002435CF"/>
    <w:rsid w:val="00243D7D"/>
    <w:rsid w:val="00243FD2"/>
    <w:rsid w:val="00243FF1"/>
    <w:rsid w:val="00244420"/>
    <w:rsid w:val="002448B7"/>
    <w:rsid w:val="00244CBC"/>
    <w:rsid w:val="0024576F"/>
    <w:rsid w:val="00245B7F"/>
    <w:rsid w:val="002469A8"/>
    <w:rsid w:val="00247AEB"/>
    <w:rsid w:val="00247EDE"/>
    <w:rsid w:val="00250449"/>
    <w:rsid w:val="002508F3"/>
    <w:rsid w:val="00250E54"/>
    <w:rsid w:val="0025174C"/>
    <w:rsid w:val="00251888"/>
    <w:rsid w:val="00251AEA"/>
    <w:rsid w:val="00251EED"/>
    <w:rsid w:val="00252F66"/>
    <w:rsid w:val="002530AF"/>
    <w:rsid w:val="00253704"/>
    <w:rsid w:val="00254141"/>
    <w:rsid w:val="0025444E"/>
    <w:rsid w:val="00254727"/>
    <w:rsid w:val="00255D24"/>
    <w:rsid w:val="00255DB2"/>
    <w:rsid w:val="00256196"/>
    <w:rsid w:val="00256562"/>
    <w:rsid w:val="00257594"/>
    <w:rsid w:val="00257C8C"/>
    <w:rsid w:val="00257F16"/>
    <w:rsid w:val="00257F57"/>
    <w:rsid w:val="00260109"/>
    <w:rsid w:val="00260405"/>
    <w:rsid w:val="00260548"/>
    <w:rsid w:val="002605EC"/>
    <w:rsid w:val="0026088A"/>
    <w:rsid w:val="00260F10"/>
    <w:rsid w:val="0026109E"/>
    <w:rsid w:val="002611A3"/>
    <w:rsid w:val="00262216"/>
    <w:rsid w:val="0026274E"/>
    <w:rsid w:val="0026381A"/>
    <w:rsid w:val="00263C08"/>
    <w:rsid w:val="00263E9E"/>
    <w:rsid w:val="00263FD8"/>
    <w:rsid w:val="002641C2"/>
    <w:rsid w:val="00264209"/>
    <w:rsid w:val="00264763"/>
    <w:rsid w:val="00264779"/>
    <w:rsid w:val="00264FBF"/>
    <w:rsid w:val="002658C9"/>
    <w:rsid w:val="002659CE"/>
    <w:rsid w:val="00265A45"/>
    <w:rsid w:val="00266214"/>
    <w:rsid w:val="002676B6"/>
    <w:rsid w:val="00267823"/>
    <w:rsid w:val="00267955"/>
    <w:rsid w:val="00267DF2"/>
    <w:rsid w:val="00270450"/>
    <w:rsid w:val="002707B9"/>
    <w:rsid w:val="00270935"/>
    <w:rsid w:val="0027100F"/>
    <w:rsid w:val="002710F9"/>
    <w:rsid w:val="00271D1A"/>
    <w:rsid w:val="00271F2F"/>
    <w:rsid w:val="00272455"/>
    <w:rsid w:val="002724E8"/>
    <w:rsid w:val="00272971"/>
    <w:rsid w:val="00273556"/>
    <w:rsid w:val="0027360C"/>
    <w:rsid w:val="00274372"/>
    <w:rsid w:val="0027484A"/>
    <w:rsid w:val="002751F0"/>
    <w:rsid w:val="00275448"/>
    <w:rsid w:val="00275C84"/>
    <w:rsid w:val="00276B76"/>
    <w:rsid w:val="00276D19"/>
    <w:rsid w:val="00277B08"/>
    <w:rsid w:val="00277B47"/>
    <w:rsid w:val="00281044"/>
    <w:rsid w:val="002811C5"/>
    <w:rsid w:val="002815F3"/>
    <w:rsid w:val="0028162A"/>
    <w:rsid w:val="00281C43"/>
    <w:rsid w:val="00281ED9"/>
    <w:rsid w:val="00281F55"/>
    <w:rsid w:val="00281F5B"/>
    <w:rsid w:val="0028207E"/>
    <w:rsid w:val="002825EA"/>
    <w:rsid w:val="0028275A"/>
    <w:rsid w:val="00282D1F"/>
    <w:rsid w:val="00283298"/>
    <w:rsid w:val="00283743"/>
    <w:rsid w:val="00283A52"/>
    <w:rsid w:val="00283BF6"/>
    <w:rsid w:val="0028431E"/>
    <w:rsid w:val="002843F9"/>
    <w:rsid w:val="0028474D"/>
    <w:rsid w:val="00284C68"/>
    <w:rsid w:val="00284FF6"/>
    <w:rsid w:val="0028548B"/>
    <w:rsid w:val="002859BD"/>
    <w:rsid w:val="00285C31"/>
    <w:rsid w:val="00285DC2"/>
    <w:rsid w:val="002860B2"/>
    <w:rsid w:val="0028611F"/>
    <w:rsid w:val="00286F05"/>
    <w:rsid w:val="00286F48"/>
    <w:rsid w:val="002872E9"/>
    <w:rsid w:val="00287365"/>
    <w:rsid w:val="00287744"/>
    <w:rsid w:val="0029017D"/>
    <w:rsid w:val="002902BD"/>
    <w:rsid w:val="00290B7B"/>
    <w:rsid w:val="0029117D"/>
    <w:rsid w:val="002911E6"/>
    <w:rsid w:val="00291537"/>
    <w:rsid w:val="00291ABB"/>
    <w:rsid w:val="00291C33"/>
    <w:rsid w:val="00291CB3"/>
    <w:rsid w:val="002928BA"/>
    <w:rsid w:val="00292BDC"/>
    <w:rsid w:val="002933D5"/>
    <w:rsid w:val="002935F5"/>
    <w:rsid w:val="002937AA"/>
    <w:rsid w:val="00293A0F"/>
    <w:rsid w:val="00294136"/>
    <w:rsid w:val="00294168"/>
    <w:rsid w:val="00294C32"/>
    <w:rsid w:val="00294EB7"/>
    <w:rsid w:val="0029568B"/>
    <w:rsid w:val="00295874"/>
    <w:rsid w:val="00296263"/>
    <w:rsid w:val="00296556"/>
    <w:rsid w:val="00297BEE"/>
    <w:rsid w:val="002A17A7"/>
    <w:rsid w:val="002A1EBE"/>
    <w:rsid w:val="002A2913"/>
    <w:rsid w:val="002A336F"/>
    <w:rsid w:val="002A39A3"/>
    <w:rsid w:val="002A433D"/>
    <w:rsid w:val="002A43C8"/>
    <w:rsid w:val="002A55C9"/>
    <w:rsid w:val="002A5AFD"/>
    <w:rsid w:val="002A608D"/>
    <w:rsid w:val="002A6656"/>
    <w:rsid w:val="002A66AE"/>
    <w:rsid w:val="002A66C6"/>
    <w:rsid w:val="002A67E3"/>
    <w:rsid w:val="002A710C"/>
    <w:rsid w:val="002A7333"/>
    <w:rsid w:val="002A742B"/>
    <w:rsid w:val="002A7EAE"/>
    <w:rsid w:val="002B02C8"/>
    <w:rsid w:val="002B033C"/>
    <w:rsid w:val="002B0AF1"/>
    <w:rsid w:val="002B1053"/>
    <w:rsid w:val="002B1A54"/>
    <w:rsid w:val="002B1BB2"/>
    <w:rsid w:val="002B30E2"/>
    <w:rsid w:val="002B3196"/>
    <w:rsid w:val="002B3459"/>
    <w:rsid w:val="002B3708"/>
    <w:rsid w:val="002B3A85"/>
    <w:rsid w:val="002B3DF7"/>
    <w:rsid w:val="002B3F21"/>
    <w:rsid w:val="002B4033"/>
    <w:rsid w:val="002B4778"/>
    <w:rsid w:val="002B4A48"/>
    <w:rsid w:val="002B4D5F"/>
    <w:rsid w:val="002B5A30"/>
    <w:rsid w:val="002B5D1E"/>
    <w:rsid w:val="002B5E97"/>
    <w:rsid w:val="002B5EDC"/>
    <w:rsid w:val="002B5FC5"/>
    <w:rsid w:val="002B5FE8"/>
    <w:rsid w:val="002B6804"/>
    <w:rsid w:val="002B69A5"/>
    <w:rsid w:val="002B6ADE"/>
    <w:rsid w:val="002B725A"/>
    <w:rsid w:val="002B7928"/>
    <w:rsid w:val="002B7F8C"/>
    <w:rsid w:val="002C05E5"/>
    <w:rsid w:val="002C08A1"/>
    <w:rsid w:val="002C14DC"/>
    <w:rsid w:val="002C1627"/>
    <w:rsid w:val="002C1D1A"/>
    <w:rsid w:val="002C1DFB"/>
    <w:rsid w:val="002C1F47"/>
    <w:rsid w:val="002C2167"/>
    <w:rsid w:val="002C281A"/>
    <w:rsid w:val="002C2909"/>
    <w:rsid w:val="002C3201"/>
    <w:rsid w:val="002C3675"/>
    <w:rsid w:val="002C36F9"/>
    <w:rsid w:val="002C4072"/>
    <w:rsid w:val="002C471B"/>
    <w:rsid w:val="002C484A"/>
    <w:rsid w:val="002C50EE"/>
    <w:rsid w:val="002C5694"/>
    <w:rsid w:val="002C599D"/>
    <w:rsid w:val="002C62FC"/>
    <w:rsid w:val="002C678A"/>
    <w:rsid w:val="002C6DB7"/>
    <w:rsid w:val="002C6F45"/>
    <w:rsid w:val="002C7184"/>
    <w:rsid w:val="002C7390"/>
    <w:rsid w:val="002C7683"/>
    <w:rsid w:val="002C7C2F"/>
    <w:rsid w:val="002D00B5"/>
    <w:rsid w:val="002D00D0"/>
    <w:rsid w:val="002D0C17"/>
    <w:rsid w:val="002D1398"/>
    <w:rsid w:val="002D19F9"/>
    <w:rsid w:val="002D1D49"/>
    <w:rsid w:val="002D2BE4"/>
    <w:rsid w:val="002D34E6"/>
    <w:rsid w:val="002D39F7"/>
    <w:rsid w:val="002D3A49"/>
    <w:rsid w:val="002D3FF2"/>
    <w:rsid w:val="002D485E"/>
    <w:rsid w:val="002D499B"/>
    <w:rsid w:val="002D5481"/>
    <w:rsid w:val="002D6173"/>
    <w:rsid w:val="002D66C8"/>
    <w:rsid w:val="002D68E7"/>
    <w:rsid w:val="002D6ADB"/>
    <w:rsid w:val="002D7D51"/>
    <w:rsid w:val="002E01ED"/>
    <w:rsid w:val="002E020C"/>
    <w:rsid w:val="002E0DAA"/>
    <w:rsid w:val="002E0FF3"/>
    <w:rsid w:val="002E16D1"/>
    <w:rsid w:val="002E16FE"/>
    <w:rsid w:val="002E17D5"/>
    <w:rsid w:val="002E1A1C"/>
    <w:rsid w:val="002E21D3"/>
    <w:rsid w:val="002E2CBC"/>
    <w:rsid w:val="002E2E4B"/>
    <w:rsid w:val="002E37E3"/>
    <w:rsid w:val="002E392E"/>
    <w:rsid w:val="002E3E62"/>
    <w:rsid w:val="002E5260"/>
    <w:rsid w:val="002E7AF8"/>
    <w:rsid w:val="002E7D43"/>
    <w:rsid w:val="002E7EF8"/>
    <w:rsid w:val="002F029A"/>
    <w:rsid w:val="002F0A8E"/>
    <w:rsid w:val="002F1383"/>
    <w:rsid w:val="002F1454"/>
    <w:rsid w:val="002F16E2"/>
    <w:rsid w:val="002F178F"/>
    <w:rsid w:val="002F1864"/>
    <w:rsid w:val="002F19B8"/>
    <w:rsid w:val="002F1B4F"/>
    <w:rsid w:val="002F1E7E"/>
    <w:rsid w:val="002F2628"/>
    <w:rsid w:val="002F2B8F"/>
    <w:rsid w:val="002F2D10"/>
    <w:rsid w:val="002F305B"/>
    <w:rsid w:val="002F3157"/>
    <w:rsid w:val="002F3B8B"/>
    <w:rsid w:val="002F41C4"/>
    <w:rsid w:val="002F4B5B"/>
    <w:rsid w:val="002F4C78"/>
    <w:rsid w:val="002F4F3E"/>
    <w:rsid w:val="002F58A2"/>
    <w:rsid w:val="002F5ABD"/>
    <w:rsid w:val="002F5DF6"/>
    <w:rsid w:val="002F5F5F"/>
    <w:rsid w:val="002F63D2"/>
    <w:rsid w:val="002F7144"/>
    <w:rsid w:val="002F787E"/>
    <w:rsid w:val="0030021B"/>
    <w:rsid w:val="0030023A"/>
    <w:rsid w:val="00300818"/>
    <w:rsid w:val="00300A59"/>
    <w:rsid w:val="00301088"/>
    <w:rsid w:val="00301639"/>
    <w:rsid w:val="00301A03"/>
    <w:rsid w:val="00301B36"/>
    <w:rsid w:val="00301EF7"/>
    <w:rsid w:val="00302B17"/>
    <w:rsid w:val="00303255"/>
    <w:rsid w:val="003034D5"/>
    <w:rsid w:val="00303CD7"/>
    <w:rsid w:val="003042FD"/>
    <w:rsid w:val="00304806"/>
    <w:rsid w:val="003056D1"/>
    <w:rsid w:val="00305CC2"/>
    <w:rsid w:val="00305F3B"/>
    <w:rsid w:val="003069A2"/>
    <w:rsid w:val="00306B43"/>
    <w:rsid w:val="003071F5"/>
    <w:rsid w:val="00310169"/>
    <w:rsid w:val="00310180"/>
    <w:rsid w:val="00310471"/>
    <w:rsid w:val="003105D5"/>
    <w:rsid w:val="003109B3"/>
    <w:rsid w:val="0031104C"/>
    <w:rsid w:val="00311466"/>
    <w:rsid w:val="003116CC"/>
    <w:rsid w:val="0031171D"/>
    <w:rsid w:val="003120B3"/>
    <w:rsid w:val="00312811"/>
    <w:rsid w:val="00312930"/>
    <w:rsid w:val="003131A7"/>
    <w:rsid w:val="0031471F"/>
    <w:rsid w:val="00314789"/>
    <w:rsid w:val="00316EF2"/>
    <w:rsid w:val="00317264"/>
    <w:rsid w:val="0032003D"/>
    <w:rsid w:val="0032093C"/>
    <w:rsid w:val="0032107F"/>
    <w:rsid w:val="003214A9"/>
    <w:rsid w:val="00321610"/>
    <w:rsid w:val="0032195F"/>
    <w:rsid w:val="00321E7E"/>
    <w:rsid w:val="003222BA"/>
    <w:rsid w:val="003223B8"/>
    <w:rsid w:val="00322735"/>
    <w:rsid w:val="003227B1"/>
    <w:rsid w:val="00322E6E"/>
    <w:rsid w:val="003236E3"/>
    <w:rsid w:val="00323A8D"/>
    <w:rsid w:val="00323BC1"/>
    <w:rsid w:val="00323D2B"/>
    <w:rsid w:val="00323E38"/>
    <w:rsid w:val="00324B99"/>
    <w:rsid w:val="00324F34"/>
    <w:rsid w:val="0032522C"/>
    <w:rsid w:val="003263D1"/>
    <w:rsid w:val="00326A99"/>
    <w:rsid w:val="00326D14"/>
    <w:rsid w:val="00326ED8"/>
    <w:rsid w:val="003271A8"/>
    <w:rsid w:val="0032754F"/>
    <w:rsid w:val="00327771"/>
    <w:rsid w:val="00330468"/>
    <w:rsid w:val="00330A5D"/>
    <w:rsid w:val="003322E0"/>
    <w:rsid w:val="00332DA2"/>
    <w:rsid w:val="00333229"/>
    <w:rsid w:val="003335FD"/>
    <w:rsid w:val="00333E44"/>
    <w:rsid w:val="003343AC"/>
    <w:rsid w:val="00335788"/>
    <w:rsid w:val="0033590C"/>
    <w:rsid w:val="00335D33"/>
    <w:rsid w:val="00336355"/>
    <w:rsid w:val="00336904"/>
    <w:rsid w:val="00337323"/>
    <w:rsid w:val="00337346"/>
    <w:rsid w:val="003374B9"/>
    <w:rsid w:val="00337909"/>
    <w:rsid w:val="00337DC2"/>
    <w:rsid w:val="00341791"/>
    <w:rsid w:val="0034228E"/>
    <w:rsid w:val="003423B5"/>
    <w:rsid w:val="00342BB1"/>
    <w:rsid w:val="00342F6D"/>
    <w:rsid w:val="00342FE9"/>
    <w:rsid w:val="0034327F"/>
    <w:rsid w:val="0034382B"/>
    <w:rsid w:val="00343CBE"/>
    <w:rsid w:val="00343E37"/>
    <w:rsid w:val="00344E5C"/>
    <w:rsid w:val="00345071"/>
    <w:rsid w:val="00345102"/>
    <w:rsid w:val="0034576C"/>
    <w:rsid w:val="00345B7B"/>
    <w:rsid w:val="003461E9"/>
    <w:rsid w:val="00346B99"/>
    <w:rsid w:val="00346E79"/>
    <w:rsid w:val="00346EE4"/>
    <w:rsid w:val="00346F72"/>
    <w:rsid w:val="00347605"/>
    <w:rsid w:val="00347960"/>
    <w:rsid w:val="00347A14"/>
    <w:rsid w:val="00347B9A"/>
    <w:rsid w:val="00347BCC"/>
    <w:rsid w:val="00350715"/>
    <w:rsid w:val="003507E0"/>
    <w:rsid w:val="003509F4"/>
    <w:rsid w:val="00350BCD"/>
    <w:rsid w:val="00351202"/>
    <w:rsid w:val="00351689"/>
    <w:rsid w:val="00351FF7"/>
    <w:rsid w:val="00352006"/>
    <w:rsid w:val="00352159"/>
    <w:rsid w:val="003528A7"/>
    <w:rsid w:val="003529FB"/>
    <w:rsid w:val="00353116"/>
    <w:rsid w:val="0035316B"/>
    <w:rsid w:val="003532E5"/>
    <w:rsid w:val="00353464"/>
    <w:rsid w:val="00353B92"/>
    <w:rsid w:val="00353CED"/>
    <w:rsid w:val="00353D1B"/>
    <w:rsid w:val="0035515B"/>
    <w:rsid w:val="003558B8"/>
    <w:rsid w:val="00355AB8"/>
    <w:rsid w:val="00356495"/>
    <w:rsid w:val="00356726"/>
    <w:rsid w:val="00356A78"/>
    <w:rsid w:val="00356C15"/>
    <w:rsid w:val="00356C37"/>
    <w:rsid w:val="00356CAA"/>
    <w:rsid w:val="00357295"/>
    <w:rsid w:val="00357376"/>
    <w:rsid w:val="0035759B"/>
    <w:rsid w:val="00357B60"/>
    <w:rsid w:val="003607A2"/>
    <w:rsid w:val="00360A32"/>
    <w:rsid w:val="00360DE6"/>
    <w:rsid w:val="00361036"/>
    <w:rsid w:val="00361486"/>
    <w:rsid w:val="003618A6"/>
    <w:rsid w:val="00361915"/>
    <w:rsid w:val="003631EC"/>
    <w:rsid w:val="00363AD5"/>
    <w:rsid w:val="00363B7E"/>
    <w:rsid w:val="00364398"/>
    <w:rsid w:val="0036495F"/>
    <w:rsid w:val="003650AD"/>
    <w:rsid w:val="003651FE"/>
    <w:rsid w:val="00365229"/>
    <w:rsid w:val="00365812"/>
    <w:rsid w:val="0036590F"/>
    <w:rsid w:val="00366F43"/>
    <w:rsid w:val="0036738F"/>
    <w:rsid w:val="00367494"/>
    <w:rsid w:val="0036767D"/>
    <w:rsid w:val="0036775E"/>
    <w:rsid w:val="00367924"/>
    <w:rsid w:val="00370289"/>
    <w:rsid w:val="00370809"/>
    <w:rsid w:val="00370A85"/>
    <w:rsid w:val="00370DDB"/>
    <w:rsid w:val="00371124"/>
    <w:rsid w:val="003718C0"/>
    <w:rsid w:val="00371D16"/>
    <w:rsid w:val="00372C59"/>
    <w:rsid w:val="00372CD3"/>
    <w:rsid w:val="00372E74"/>
    <w:rsid w:val="003735BE"/>
    <w:rsid w:val="00373E2D"/>
    <w:rsid w:val="00374140"/>
    <w:rsid w:val="003743C8"/>
    <w:rsid w:val="00375346"/>
    <w:rsid w:val="0037595C"/>
    <w:rsid w:val="00375B80"/>
    <w:rsid w:val="003768E2"/>
    <w:rsid w:val="00376992"/>
    <w:rsid w:val="00376A1E"/>
    <w:rsid w:val="00376A3C"/>
    <w:rsid w:val="00377631"/>
    <w:rsid w:val="00377EE0"/>
    <w:rsid w:val="00380172"/>
    <w:rsid w:val="0038069E"/>
    <w:rsid w:val="0038082F"/>
    <w:rsid w:val="00381274"/>
    <w:rsid w:val="0038129E"/>
    <w:rsid w:val="00381B0D"/>
    <w:rsid w:val="00381E3E"/>
    <w:rsid w:val="00381FFA"/>
    <w:rsid w:val="00382409"/>
    <w:rsid w:val="00382DD1"/>
    <w:rsid w:val="00383226"/>
    <w:rsid w:val="00383D9B"/>
    <w:rsid w:val="00383FBE"/>
    <w:rsid w:val="003842CE"/>
    <w:rsid w:val="003844C9"/>
    <w:rsid w:val="00384E54"/>
    <w:rsid w:val="00385439"/>
    <w:rsid w:val="0038551D"/>
    <w:rsid w:val="00385569"/>
    <w:rsid w:val="00385C47"/>
    <w:rsid w:val="00386359"/>
    <w:rsid w:val="0038651A"/>
    <w:rsid w:val="00386876"/>
    <w:rsid w:val="003872A0"/>
    <w:rsid w:val="0038784D"/>
    <w:rsid w:val="0038B228"/>
    <w:rsid w:val="003905DF"/>
    <w:rsid w:val="003906F5"/>
    <w:rsid w:val="00390A23"/>
    <w:rsid w:val="00390AD2"/>
    <w:rsid w:val="00390CE5"/>
    <w:rsid w:val="00390EAC"/>
    <w:rsid w:val="00391163"/>
    <w:rsid w:val="00391334"/>
    <w:rsid w:val="003913E5"/>
    <w:rsid w:val="00391B12"/>
    <w:rsid w:val="003927CF"/>
    <w:rsid w:val="00392FAD"/>
    <w:rsid w:val="00393053"/>
    <w:rsid w:val="00393801"/>
    <w:rsid w:val="00393C71"/>
    <w:rsid w:val="003946A3"/>
    <w:rsid w:val="00394A49"/>
    <w:rsid w:val="00395655"/>
    <w:rsid w:val="00395A57"/>
    <w:rsid w:val="00395AA8"/>
    <w:rsid w:val="00395B5F"/>
    <w:rsid w:val="00395E5C"/>
    <w:rsid w:val="00396103"/>
    <w:rsid w:val="00396A22"/>
    <w:rsid w:val="00396E9E"/>
    <w:rsid w:val="0039735A"/>
    <w:rsid w:val="003977D7"/>
    <w:rsid w:val="00397E82"/>
    <w:rsid w:val="003A0128"/>
    <w:rsid w:val="003A051A"/>
    <w:rsid w:val="003A1596"/>
    <w:rsid w:val="003A15ED"/>
    <w:rsid w:val="003A161F"/>
    <w:rsid w:val="003A1EF6"/>
    <w:rsid w:val="003A2527"/>
    <w:rsid w:val="003A2948"/>
    <w:rsid w:val="003A3256"/>
    <w:rsid w:val="003A34A1"/>
    <w:rsid w:val="003A3CE4"/>
    <w:rsid w:val="003A3DD6"/>
    <w:rsid w:val="003A3E87"/>
    <w:rsid w:val="003A4064"/>
    <w:rsid w:val="003A4832"/>
    <w:rsid w:val="003A4BB5"/>
    <w:rsid w:val="003A4C11"/>
    <w:rsid w:val="003A4DCA"/>
    <w:rsid w:val="003A6191"/>
    <w:rsid w:val="003A670C"/>
    <w:rsid w:val="003A6725"/>
    <w:rsid w:val="003A6886"/>
    <w:rsid w:val="003A6F2B"/>
    <w:rsid w:val="003A773E"/>
    <w:rsid w:val="003A782E"/>
    <w:rsid w:val="003A7A7E"/>
    <w:rsid w:val="003A7E1D"/>
    <w:rsid w:val="003B004B"/>
    <w:rsid w:val="003B02FB"/>
    <w:rsid w:val="003B0BB3"/>
    <w:rsid w:val="003B0C24"/>
    <w:rsid w:val="003B1277"/>
    <w:rsid w:val="003B22E6"/>
    <w:rsid w:val="003B23BB"/>
    <w:rsid w:val="003B3708"/>
    <w:rsid w:val="003B3DB0"/>
    <w:rsid w:val="003B42DA"/>
    <w:rsid w:val="003B4508"/>
    <w:rsid w:val="003B4B05"/>
    <w:rsid w:val="003B66E6"/>
    <w:rsid w:val="003B6CE2"/>
    <w:rsid w:val="003B745F"/>
    <w:rsid w:val="003B7A8A"/>
    <w:rsid w:val="003B7C9A"/>
    <w:rsid w:val="003C034A"/>
    <w:rsid w:val="003C0AB2"/>
    <w:rsid w:val="003C0AF2"/>
    <w:rsid w:val="003C1143"/>
    <w:rsid w:val="003C1B7A"/>
    <w:rsid w:val="003C1DAE"/>
    <w:rsid w:val="003C1FF7"/>
    <w:rsid w:val="003C249A"/>
    <w:rsid w:val="003C25A8"/>
    <w:rsid w:val="003C28D9"/>
    <w:rsid w:val="003C2DB8"/>
    <w:rsid w:val="003C2FB3"/>
    <w:rsid w:val="003C368A"/>
    <w:rsid w:val="003C3933"/>
    <w:rsid w:val="003C3E19"/>
    <w:rsid w:val="003C4464"/>
    <w:rsid w:val="003C45DC"/>
    <w:rsid w:val="003C4D17"/>
    <w:rsid w:val="003C535D"/>
    <w:rsid w:val="003C59C7"/>
    <w:rsid w:val="003C5BB4"/>
    <w:rsid w:val="003C5F48"/>
    <w:rsid w:val="003C6711"/>
    <w:rsid w:val="003C6959"/>
    <w:rsid w:val="003C6B1B"/>
    <w:rsid w:val="003D0957"/>
    <w:rsid w:val="003D1696"/>
    <w:rsid w:val="003D2BE7"/>
    <w:rsid w:val="003D2E5B"/>
    <w:rsid w:val="003D2ED9"/>
    <w:rsid w:val="003D4463"/>
    <w:rsid w:val="003D4D08"/>
    <w:rsid w:val="003D5686"/>
    <w:rsid w:val="003D568F"/>
    <w:rsid w:val="003D5792"/>
    <w:rsid w:val="003D5A10"/>
    <w:rsid w:val="003D5C7B"/>
    <w:rsid w:val="003D60F0"/>
    <w:rsid w:val="003D66E9"/>
    <w:rsid w:val="003D6ADB"/>
    <w:rsid w:val="003D6DA5"/>
    <w:rsid w:val="003D7CAD"/>
    <w:rsid w:val="003D7ED7"/>
    <w:rsid w:val="003E05B9"/>
    <w:rsid w:val="003E0DB2"/>
    <w:rsid w:val="003E1447"/>
    <w:rsid w:val="003E16B3"/>
    <w:rsid w:val="003E1D08"/>
    <w:rsid w:val="003E2BBD"/>
    <w:rsid w:val="003E2D05"/>
    <w:rsid w:val="003E2E2C"/>
    <w:rsid w:val="003E2FD3"/>
    <w:rsid w:val="003E31C9"/>
    <w:rsid w:val="003E32FA"/>
    <w:rsid w:val="003E33D9"/>
    <w:rsid w:val="003E3537"/>
    <w:rsid w:val="003E397A"/>
    <w:rsid w:val="003E3AA9"/>
    <w:rsid w:val="003E3EF6"/>
    <w:rsid w:val="003E4387"/>
    <w:rsid w:val="003E45BD"/>
    <w:rsid w:val="003E47FA"/>
    <w:rsid w:val="003E4ED2"/>
    <w:rsid w:val="003E56A4"/>
    <w:rsid w:val="003E5A7B"/>
    <w:rsid w:val="003E5AFE"/>
    <w:rsid w:val="003E5EF8"/>
    <w:rsid w:val="003E664B"/>
    <w:rsid w:val="003E66C0"/>
    <w:rsid w:val="003E6925"/>
    <w:rsid w:val="003E6A4F"/>
    <w:rsid w:val="003E6F64"/>
    <w:rsid w:val="003E7481"/>
    <w:rsid w:val="003E79CB"/>
    <w:rsid w:val="003E7FAD"/>
    <w:rsid w:val="003F0360"/>
    <w:rsid w:val="003F03D0"/>
    <w:rsid w:val="003F2004"/>
    <w:rsid w:val="003F28D2"/>
    <w:rsid w:val="003F2BE2"/>
    <w:rsid w:val="003F2D38"/>
    <w:rsid w:val="003F39C9"/>
    <w:rsid w:val="003F3DE7"/>
    <w:rsid w:val="003F5202"/>
    <w:rsid w:val="003F5D7F"/>
    <w:rsid w:val="003F5FBE"/>
    <w:rsid w:val="003F6001"/>
    <w:rsid w:val="003F64AF"/>
    <w:rsid w:val="003F64EC"/>
    <w:rsid w:val="003F6E8E"/>
    <w:rsid w:val="003F6FFD"/>
    <w:rsid w:val="003F702D"/>
    <w:rsid w:val="003F7E8B"/>
    <w:rsid w:val="0040017F"/>
    <w:rsid w:val="004002B3"/>
    <w:rsid w:val="004017F6"/>
    <w:rsid w:val="0040227A"/>
    <w:rsid w:val="00402D1A"/>
    <w:rsid w:val="00402D67"/>
    <w:rsid w:val="00403782"/>
    <w:rsid w:val="00403A82"/>
    <w:rsid w:val="00403E48"/>
    <w:rsid w:val="0040409C"/>
    <w:rsid w:val="0040439E"/>
    <w:rsid w:val="00404652"/>
    <w:rsid w:val="0040483B"/>
    <w:rsid w:val="00404E37"/>
    <w:rsid w:val="004050C9"/>
    <w:rsid w:val="00405172"/>
    <w:rsid w:val="00405551"/>
    <w:rsid w:val="00405C7B"/>
    <w:rsid w:val="00405F0C"/>
    <w:rsid w:val="00406416"/>
    <w:rsid w:val="00406911"/>
    <w:rsid w:val="00406A06"/>
    <w:rsid w:val="004074E1"/>
    <w:rsid w:val="004076B0"/>
    <w:rsid w:val="00407F74"/>
    <w:rsid w:val="0041104C"/>
    <w:rsid w:val="00413AB9"/>
    <w:rsid w:val="00413DE0"/>
    <w:rsid w:val="0041481B"/>
    <w:rsid w:val="00414B10"/>
    <w:rsid w:val="004155DF"/>
    <w:rsid w:val="0041561E"/>
    <w:rsid w:val="00415624"/>
    <w:rsid w:val="00415DFE"/>
    <w:rsid w:val="00417CD1"/>
    <w:rsid w:val="00421A07"/>
    <w:rsid w:val="00421EFA"/>
    <w:rsid w:val="0042204C"/>
    <w:rsid w:val="004226B4"/>
    <w:rsid w:val="004228FD"/>
    <w:rsid w:val="00422AC9"/>
    <w:rsid w:val="00422EB0"/>
    <w:rsid w:val="004232BD"/>
    <w:rsid w:val="004236ED"/>
    <w:rsid w:val="00424728"/>
    <w:rsid w:val="00424A40"/>
    <w:rsid w:val="00424DDB"/>
    <w:rsid w:val="00426344"/>
    <w:rsid w:val="00426661"/>
    <w:rsid w:val="00426833"/>
    <w:rsid w:val="0042726A"/>
    <w:rsid w:val="00430053"/>
    <w:rsid w:val="00430529"/>
    <w:rsid w:val="004316E0"/>
    <w:rsid w:val="0043180B"/>
    <w:rsid w:val="00432B5E"/>
    <w:rsid w:val="00432C4B"/>
    <w:rsid w:val="0043317C"/>
    <w:rsid w:val="004334B0"/>
    <w:rsid w:val="004335C8"/>
    <w:rsid w:val="00433FD7"/>
    <w:rsid w:val="00434B70"/>
    <w:rsid w:val="00435A9E"/>
    <w:rsid w:val="00435FAE"/>
    <w:rsid w:val="00437043"/>
    <w:rsid w:val="00437361"/>
    <w:rsid w:val="00437449"/>
    <w:rsid w:val="004376E0"/>
    <w:rsid w:val="00437EDC"/>
    <w:rsid w:val="00440B7D"/>
    <w:rsid w:val="00442736"/>
    <w:rsid w:val="00442D92"/>
    <w:rsid w:val="00442EEF"/>
    <w:rsid w:val="00443037"/>
    <w:rsid w:val="0044342E"/>
    <w:rsid w:val="00443838"/>
    <w:rsid w:val="00444094"/>
    <w:rsid w:val="00444269"/>
    <w:rsid w:val="004446D0"/>
    <w:rsid w:val="00444BF1"/>
    <w:rsid w:val="00445051"/>
    <w:rsid w:val="00445671"/>
    <w:rsid w:val="00445909"/>
    <w:rsid w:val="00445C44"/>
    <w:rsid w:val="00445C65"/>
    <w:rsid w:val="0044603F"/>
    <w:rsid w:val="00447579"/>
    <w:rsid w:val="00447D87"/>
    <w:rsid w:val="00447F5A"/>
    <w:rsid w:val="00447FAA"/>
    <w:rsid w:val="004507A4"/>
    <w:rsid w:val="0045099F"/>
    <w:rsid w:val="00450B07"/>
    <w:rsid w:val="00450D68"/>
    <w:rsid w:val="00450EE0"/>
    <w:rsid w:val="00451046"/>
    <w:rsid w:val="004511A9"/>
    <w:rsid w:val="00451257"/>
    <w:rsid w:val="0045169F"/>
    <w:rsid w:val="004516CC"/>
    <w:rsid w:val="00452BC2"/>
    <w:rsid w:val="00452D67"/>
    <w:rsid w:val="0045302A"/>
    <w:rsid w:val="004534E3"/>
    <w:rsid w:val="00453647"/>
    <w:rsid w:val="0045385D"/>
    <w:rsid w:val="00453C81"/>
    <w:rsid w:val="00454614"/>
    <w:rsid w:val="004546BC"/>
    <w:rsid w:val="0045520D"/>
    <w:rsid w:val="0045543F"/>
    <w:rsid w:val="00455907"/>
    <w:rsid w:val="00456305"/>
    <w:rsid w:val="00456660"/>
    <w:rsid w:val="0045667A"/>
    <w:rsid w:val="00456BE3"/>
    <w:rsid w:val="00457AB6"/>
    <w:rsid w:val="00460F5F"/>
    <w:rsid w:val="00461047"/>
    <w:rsid w:val="004611C2"/>
    <w:rsid w:val="0046182E"/>
    <w:rsid w:val="00461B12"/>
    <w:rsid w:val="00461B41"/>
    <w:rsid w:val="00462163"/>
    <w:rsid w:val="004622F8"/>
    <w:rsid w:val="00462622"/>
    <w:rsid w:val="0046283B"/>
    <w:rsid w:val="004629EB"/>
    <w:rsid w:val="00462FA1"/>
    <w:rsid w:val="00462FD6"/>
    <w:rsid w:val="00463520"/>
    <w:rsid w:val="0046459D"/>
    <w:rsid w:val="00464784"/>
    <w:rsid w:val="00464E8C"/>
    <w:rsid w:val="00465086"/>
    <w:rsid w:val="004660BD"/>
    <w:rsid w:val="004666C1"/>
    <w:rsid w:val="00466D20"/>
    <w:rsid w:val="00466F7E"/>
    <w:rsid w:val="00467E70"/>
    <w:rsid w:val="0047013C"/>
    <w:rsid w:val="00471605"/>
    <w:rsid w:val="004724C7"/>
    <w:rsid w:val="00472596"/>
    <w:rsid w:val="0047259B"/>
    <w:rsid w:val="004726E4"/>
    <w:rsid w:val="0047283E"/>
    <w:rsid w:val="0047291E"/>
    <w:rsid w:val="00473082"/>
    <w:rsid w:val="0047314A"/>
    <w:rsid w:val="00473346"/>
    <w:rsid w:val="00473B63"/>
    <w:rsid w:val="0047455C"/>
    <w:rsid w:val="00474D01"/>
    <w:rsid w:val="00475944"/>
    <w:rsid w:val="00475BAD"/>
    <w:rsid w:val="00475D64"/>
    <w:rsid w:val="00476851"/>
    <w:rsid w:val="00477052"/>
    <w:rsid w:val="004775D4"/>
    <w:rsid w:val="0047789B"/>
    <w:rsid w:val="004778B1"/>
    <w:rsid w:val="00477CBC"/>
    <w:rsid w:val="004805C3"/>
    <w:rsid w:val="00480FDE"/>
    <w:rsid w:val="004819C5"/>
    <w:rsid w:val="00481BB0"/>
    <w:rsid w:val="00481CE1"/>
    <w:rsid w:val="00482ECB"/>
    <w:rsid w:val="0048335E"/>
    <w:rsid w:val="0048361E"/>
    <w:rsid w:val="00483E4B"/>
    <w:rsid w:val="0048445D"/>
    <w:rsid w:val="004848F1"/>
    <w:rsid w:val="00484956"/>
    <w:rsid w:val="00484D6B"/>
    <w:rsid w:val="00484D7B"/>
    <w:rsid w:val="004850CF"/>
    <w:rsid w:val="00486ACA"/>
    <w:rsid w:val="00486FB4"/>
    <w:rsid w:val="0048702E"/>
    <w:rsid w:val="004872A9"/>
    <w:rsid w:val="0048742E"/>
    <w:rsid w:val="00487E17"/>
    <w:rsid w:val="00490AFF"/>
    <w:rsid w:val="00490BDA"/>
    <w:rsid w:val="00490EB6"/>
    <w:rsid w:val="00490EE8"/>
    <w:rsid w:val="004911B6"/>
    <w:rsid w:val="004913DA"/>
    <w:rsid w:val="00491422"/>
    <w:rsid w:val="004915BA"/>
    <w:rsid w:val="004915FF"/>
    <w:rsid w:val="0049174E"/>
    <w:rsid w:val="00491DFF"/>
    <w:rsid w:val="00492976"/>
    <w:rsid w:val="0049327B"/>
    <w:rsid w:val="004938EA"/>
    <w:rsid w:val="00493E5A"/>
    <w:rsid w:val="0049432D"/>
    <w:rsid w:val="00495348"/>
    <w:rsid w:val="00495477"/>
    <w:rsid w:val="0049555E"/>
    <w:rsid w:val="004960E8"/>
    <w:rsid w:val="004963F4"/>
    <w:rsid w:val="00496476"/>
    <w:rsid w:val="00496B82"/>
    <w:rsid w:val="00496CE4"/>
    <w:rsid w:val="004970F4"/>
    <w:rsid w:val="00497DC0"/>
    <w:rsid w:val="00499E0C"/>
    <w:rsid w:val="004A000E"/>
    <w:rsid w:val="004A01FB"/>
    <w:rsid w:val="004A0AEE"/>
    <w:rsid w:val="004A0EF5"/>
    <w:rsid w:val="004A1353"/>
    <w:rsid w:val="004A1417"/>
    <w:rsid w:val="004A1660"/>
    <w:rsid w:val="004A1F71"/>
    <w:rsid w:val="004A2066"/>
    <w:rsid w:val="004A26A9"/>
    <w:rsid w:val="004A2B9D"/>
    <w:rsid w:val="004A3437"/>
    <w:rsid w:val="004A4B7E"/>
    <w:rsid w:val="004A4D79"/>
    <w:rsid w:val="004A4F02"/>
    <w:rsid w:val="004A52BC"/>
    <w:rsid w:val="004A55CE"/>
    <w:rsid w:val="004A570A"/>
    <w:rsid w:val="004A6AE8"/>
    <w:rsid w:val="004A7A19"/>
    <w:rsid w:val="004B073F"/>
    <w:rsid w:val="004B11C9"/>
    <w:rsid w:val="004B184B"/>
    <w:rsid w:val="004B1CAB"/>
    <w:rsid w:val="004B1EF2"/>
    <w:rsid w:val="004B28EF"/>
    <w:rsid w:val="004B296B"/>
    <w:rsid w:val="004B2C9F"/>
    <w:rsid w:val="004B2E15"/>
    <w:rsid w:val="004B2FCA"/>
    <w:rsid w:val="004B377C"/>
    <w:rsid w:val="004B3CE9"/>
    <w:rsid w:val="004B3FB3"/>
    <w:rsid w:val="004B44F6"/>
    <w:rsid w:val="004B5711"/>
    <w:rsid w:val="004B5F58"/>
    <w:rsid w:val="004B60B7"/>
    <w:rsid w:val="004B68EC"/>
    <w:rsid w:val="004B6D52"/>
    <w:rsid w:val="004B71D3"/>
    <w:rsid w:val="004B768B"/>
    <w:rsid w:val="004B7BB6"/>
    <w:rsid w:val="004C01CD"/>
    <w:rsid w:val="004C0764"/>
    <w:rsid w:val="004C0A4D"/>
    <w:rsid w:val="004C0C19"/>
    <w:rsid w:val="004C1053"/>
    <w:rsid w:val="004C1E59"/>
    <w:rsid w:val="004C1FCF"/>
    <w:rsid w:val="004C20ED"/>
    <w:rsid w:val="004C2117"/>
    <w:rsid w:val="004C2AD4"/>
    <w:rsid w:val="004C37D0"/>
    <w:rsid w:val="004C3CBD"/>
    <w:rsid w:val="004C417A"/>
    <w:rsid w:val="004C4D4C"/>
    <w:rsid w:val="004C5528"/>
    <w:rsid w:val="004C6861"/>
    <w:rsid w:val="004C6AB4"/>
    <w:rsid w:val="004C6EAD"/>
    <w:rsid w:val="004C7DEA"/>
    <w:rsid w:val="004D0040"/>
    <w:rsid w:val="004D0678"/>
    <w:rsid w:val="004D0733"/>
    <w:rsid w:val="004D085B"/>
    <w:rsid w:val="004D0D05"/>
    <w:rsid w:val="004D10B8"/>
    <w:rsid w:val="004D133C"/>
    <w:rsid w:val="004D2C54"/>
    <w:rsid w:val="004D2DC3"/>
    <w:rsid w:val="004D2DC4"/>
    <w:rsid w:val="004D32F5"/>
    <w:rsid w:val="004D3D81"/>
    <w:rsid w:val="004D4172"/>
    <w:rsid w:val="004D4907"/>
    <w:rsid w:val="004D58F6"/>
    <w:rsid w:val="004D5DDF"/>
    <w:rsid w:val="004D670B"/>
    <w:rsid w:val="004D6B00"/>
    <w:rsid w:val="004D7105"/>
    <w:rsid w:val="004D732A"/>
    <w:rsid w:val="004D7C9F"/>
    <w:rsid w:val="004D7E83"/>
    <w:rsid w:val="004E05FD"/>
    <w:rsid w:val="004E0D41"/>
    <w:rsid w:val="004E16E6"/>
    <w:rsid w:val="004E1F72"/>
    <w:rsid w:val="004E24D8"/>
    <w:rsid w:val="004E2A43"/>
    <w:rsid w:val="004E2A4B"/>
    <w:rsid w:val="004E311A"/>
    <w:rsid w:val="004E343B"/>
    <w:rsid w:val="004E44E1"/>
    <w:rsid w:val="004E458B"/>
    <w:rsid w:val="004E4905"/>
    <w:rsid w:val="004E4BB4"/>
    <w:rsid w:val="004E50D1"/>
    <w:rsid w:val="004E5602"/>
    <w:rsid w:val="004E573E"/>
    <w:rsid w:val="004E5E4B"/>
    <w:rsid w:val="004E628A"/>
    <w:rsid w:val="004E6316"/>
    <w:rsid w:val="004E6BFA"/>
    <w:rsid w:val="004E6D69"/>
    <w:rsid w:val="004E6EEC"/>
    <w:rsid w:val="004E720B"/>
    <w:rsid w:val="004E765B"/>
    <w:rsid w:val="004E7665"/>
    <w:rsid w:val="004E7D36"/>
    <w:rsid w:val="004F0F30"/>
    <w:rsid w:val="004F1308"/>
    <w:rsid w:val="004F15E6"/>
    <w:rsid w:val="004F16E5"/>
    <w:rsid w:val="004F1A11"/>
    <w:rsid w:val="004F2781"/>
    <w:rsid w:val="004F2CC8"/>
    <w:rsid w:val="004F38D8"/>
    <w:rsid w:val="004F479C"/>
    <w:rsid w:val="004F4EBE"/>
    <w:rsid w:val="004F531F"/>
    <w:rsid w:val="004F53B8"/>
    <w:rsid w:val="004F5CB0"/>
    <w:rsid w:val="004F61E2"/>
    <w:rsid w:val="004F6349"/>
    <w:rsid w:val="004F6E41"/>
    <w:rsid w:val="004F7204"/>
    <w:rsid w:val="004F79C0"/>
    <w:rsid w:val="004F79D2"/>
    <w:rsid w:val="004F7CD5"/>
    <w:rsid w:val="00500256"/>
    <w:rsid w:val="00500647"/>
    <w:rsid w:val="005008B1"/>
    <w:rsid w:val="0050150D"/>
    <w:rsid w:val="00501665"/>
    <w:rsid w:val="00501EBF"/>
    <w:rsid w:val="005022D6"/>
    <w:rsid w:val="005027D0"/>
    <w:rsid w:val="0050282B"/>
    <w:rsid w:val="00502A1A"/>
    <w:rsid w:val="005036D0"/>
    <w:rsid w:val="005037C5"/>
    <w:rsid w:val="0050380C"/>
    <w:rsid w:val="005038A9"/>
    <w:rsid w:val="00503D34"/>
    <w:rsid w:val="005044B3"/>
    <w:rsid w:val="0050459C"/>
    <w:rsid w:val="00504700"/>
    <w:rsid w:val="00504854"/>
    <w:rsid w:val="00504D3F"/>
    <w:rsid w:val="00504EFD"/>
    <w:rsid w:val="00504FBC"/>
    <w:rsid w:val="00505148"/>
    <w:rsid w:val="005064A8"/>
    <w:rsid w:val="00507044"/>
    <w:rsid w:val="005071F2"/>
    <w:rsid w:val="005073A6"/>
    <w:rsid w:val="00507C2E"/>
    <w:rsid w:val="00507F42"/>
    <w:rsid w:val="005101A3"/>
    <w:rsid w:val="005101CA"/>
    <w:rsid w:val="0051024C"/>
    <w:rsid w:val="00510407"/>
    <w:rsid w:val="00510465"/>
    <w:rsid w:val="0051047A"/>
    <w:rsid w:val="00510BE3"/>
    <w:rsid w:val="00510C25"/>
    <w:rsid w:val="00510CAB"/>
    <w:rsid w:val="00510E9F"/>
    <w:rsid w:val="0051121F"/>
    <w:rsid w:val="005113EF"/>
    <w:rsid w:val="00511C5F"/>
    <w:rsid w:val="00511C75"/>
    <w:rsid w:val="00512DEC"/>
    <w:rsid w:val="00513004"/>
    <w:rsid w:val="00513E33"/>
    <w:rsid w:val="00514DF3"/>
    <w:rsid w:val="00515A66"/>
    <w:rsid w:val="005167E0"/>
    <w:rsid w:val="0051697F"/>
    <w:rsid w:val="005169EE"/>
    <w:rsid w:val="00516B05"/>
    <w:rsid w:val="005206D7"/>
    <w:rsid w:val="00520C61"/>
    <w:rsid w:val="00520EFA"/>
    <w:rsid w:val="005215DC"/>
    <w:rsid w:val="005215F4"/>
    <w:rsid w:val="00522434"/>
    <w:rsid w:val="00524120"/>
    <w:rsid w:val="00524561"/>
    <w:rsid w:val="00524A9E"/>
    <w:rsid w:val="00525EB6"/>
    <w:rsid w:val="00526353"/>
    <w:rsid w:val="005269E0"/>
    <w:rsid w:val="005271BB"/>
    <w:rsid w:val="0052745C"/>
    <w:rsid w:val="005278C0"/>
    <w:rsid w:val="0053004E"/>
    <w:rsid w:val="005305DD"/>
    <w:rsid w:val="005306E2"/>
    <w:rsid w:val="0053083A"/>
    <w:rsid w:val="00530A10"/>
    <w:rsid w:val="00530E47"/>
    <w:rsid w:val="005313A7"/>
    <w:rsid w:val="00531BCC"/>
    <w:rsid w:val="00531D13"/>
    <w:rsid w:val="00531F5F"/>
    <w:rsid w:val="00532B43"/>
    <w:rsid w:val="00532F1E"/>
    <w:rsid w:val="00533266"/>
    <w:rsid w:val="00533C2C"/>
    <w:rsid w:val="00533C6D"/>
    <w:rsid w:val="00533C73"/>
    <w:rsid w:val="00533F63"/>
    <w:rsid w:val="00534A2B"/>
    <w:rsid w:val="00534CC1"/>
    <w:rsid w:val="00535463"/>
    <w:rsid w:val="0053580D"/>
    <w:rsid w:val="00535A3E"/>
    <w:rsid w:val="00535B89"/>
    <w:rsid w:val="00535E70"/>
    <w:rsid w:val="00535EAC"/>
    <w:rsid w:val="00535F58"/>
    <w:rsid w:val="0053632D"/>
    <w:rsid w:val="00536365"/>
    <w:rsid w:val="005368A1"/>
    <w:rsid w:val="00537007"/>
    <w:rsid w:val="005373D6"/>
    <w:rsid w:val="00537BF8"/>
    <w:rsid w:val="00540A48"/>
    <w:rsid w:val="00540BCD"/>
    <w:rsid w:val="00541083"/>
    <w:rsid w:val="0054142F"/>
    <w:rsid w:val="00541EF7"/>
    <w:rsid w:val="0054238F"/>
    <w:rsid w:val="00542A2F"/>
    <w:rsid w:val="00542A95"/>
    <w:rsid w:val="005430E8"/>
    <w:rsid w:val="005431C1"/>
    <w:rsid w:val="0054416A"/>
    <w:rsid w:val="0054424C"/>
    <w:rsid w:val="00544CFA"/>
    <w:rsid w:val="005456BF"/>
    <w:rsid w:val="00545C37"/>
    <w:rsid w:val="00545C6F"/>
    <w:rsid w:val="0054612C"/>
    <w:rsid w:val="0054646F"/>
    <w:rsid w:val="005468A0"/>
    <w:rsid w:val="00546E0C"/>
    <w:rsid w:val="0054724F"/>
    <w:rsid w:val="00547453"/>
    <w:rsid w:val="00547744"/>
    <w:rsid w:val="005478E0"/>
    <w:rsid w:val="00547FDF"/>
    <w:rsid w:val="0055078C"/>
    <w:rsid w:val="00550922"/>
    <w:rsid w:val="00550D15"/>
    <w:rsid w:val="00550D37"/>
    <w:rsid w:val="005515C5"/>
    <w:rsid w:val="005519A5"/>
    <w:rsid w:val="00551B04"/>
    <w:rsid w:val="00551C84"/>
    <w:rsid w:val="0055272C"/>
    <w:rsid w:val="00552CB9"/>
    <w:rsid w:val="005533A9"/>
    <w:rsid w:val="005533B8"/>
    <w:rsid w:val="00553481"/>
    <w:rsid w:val="0055378A"/>
    <w:rsid w:val="005539D1"/>
    <w:rsid w:val="00553A17"/>
    <w:rsid w:val="00553AC3"/>
    <w:rsid w:val="00553B9D"/>
    <w:rsid w:val="00554D03"/>
    <w:rsid w:val="005552B2"/>
    <w:rsid w:val="005556E0"/>
    <w:rsid w:val="00555735"/>
    <w:rsid w:val="00555E8F"/>
    <w:rsid w:val="00556F18"/>
    <w:rsid w:val="00557349"/>
    <w:rsid w:val="00557803"/>
    <w:rsid w:val="00557BB1"/>
    <w:rsid w:val="00557C1B"/>
    <w:rsid w:val="00557C77"/>
    <w:rsid w:val="00557F7D"/>
    <w:rsid w:val="0056043C"/>
    <w:rsid w:val="0056068D"/>
    <w:rsid w:val="00560CE9"/>
    <w:rsid w:val="00560DD8"/>
    <w:rsid w:val="005617C3"/>
    <w:rsid w:val="005617D4"/>
    <w:rsid w:val="00561E85"/>
    <w:rsid w:val="005622FF"/>
    <w:rsid w:val="00562525"/>
    <w:rsid w:val="0056253E"/>
    <w:rsid w:val="00562ADC"/>
    <w:rsid w:val="00562E6D"/>
    <w:rsid w:val="00563322"/>
    <w:rsid w:val="005639CC"/>
    <w:rsid w:val="00564021"/>
    <w:rsid w:val="0056457C"/>
    <w:rsid w:val="00564A43"/>
    <w:rsid w:val="00564E57"/>
    <w:rsid w:val="005650A4"/>
    <w:rsid w:val="005650C2"/>
    <w:rsid w:val="00565B02"/>
    <w:rsid w:val="00565B95"/>
    <w:rsid w:val="00566361"/>
    <w:rsid w:val="005668A0"/>
    <w:rsid w:val="00566E6E"/>
    <w:rsid w:val="00566FF8"/>
    <w:rsid w:val="00567575"/>
    <w:rsid w:val="0056764E"/>
    <w:rsid w:val="00567A38"/>
    <w:rsid w:val="00567B40"/>
    <w:rsid w:val="00567E81"/>
    <w:rsid w:val="005702C1"/>
    <w:rsid w:val="00570DF4"/>
    <w:rsid w:val="005710A9"/>
    <w:rsid w:val="00571763"/>
    <w:rsid w:val="00571BAE"/>
    <w:rsid w:val="00571BF8"/>
    <w:rsid w:val="0057203A"/>
    <w:rsid w:val="0057297F"/>
    <w:rsid w:val="00572E41"/>
    <w:rsid w:val="00573797"/>
    <w:rsid w:val="00573F15"/>
    <w:rsid w:val="005746EA"/>
    <w:rsid w:val="00574BD0"/>
    <w:rsid w:val="00574CA3"/>
    <w:rsid w:val="00574FA2"/>
    <w:rsid w:val="00575920"/>
    <w:rsid w:val="00575B9B"/>
    <w:rsid w:val="005777C8"/>
    <w:rsid w:val="0057789E"/>
    <w:rsid w:val="00577EEF"/>
    <w:rsid w:val="005800EE"/>
    <w:rsid w:val="005801AB"/>
    <w:rsid w:val="005803AA"/>
    <w:rsid w:val="005811D2"/>
    <w:rsid w:val="00581791"/>
    <w:rsid w:val="00581B66"/>
    <w:rsid w:val="00581D0D"/>
    <w:rsid w:val="00581E42"/>
    <w:rsid w:val="005824CD"/>
    <w:rsid w:val="005825A9"/>
    <w:rsid w:val="005825B8"/>
    <w:rsid w:val="00582781"/>
    <w:rsid w:val="00583823"/>
    <w:rsid w:val="005842CA"/>
    <w:rsid w:val="00584AA1"/>
    <w:rsid w:val="00584BEC"/>
    <w:rsid w:val="0058528A"/>
    <w:rsid w:val="005858A0"/>
    <w:rsid w:val="005858FF"/>
    <w:rsid w:val="005859C4"/>
    <w:rsid w:val="00585E32"/>
    <w:rsid w:val="00585EFF"/>
    <w:rsid w:val="00585FBF"/>
    <w:rsid w:val="00586617"/>
    <w:rsid w:val="00586BC3"/>
    <w:rsid w:val="00587539"/>
    <w:rsid w:val="00590196"/>
    <w:rsid w:val="00591416"/>
    <w:rsid w:val="005916CA"/>
    <w:rsid w:val="00591A0D"/>
    <w:rsid w:val="00591B98"/>
    <w:rsid w:val="00591E8E"/>
    <w:rsid w:val="00591F65"/>
    <w:rsid w:val="00592039"/>
    <w:rsid w:val="00592380"/>
    <w:rsid w:val="005929FE"/>
    <w:rsid w:val="00592AC0"/>
    <w:rsid w:val="00592B79"/>
    <w:rsid w:val="00592FED"/>
    <w:rsid w:val="00593473"/>
    <w:rsid w:val="00593B74"/>
    <w:rsid w:val="00593D40"/>
    <w:rsid w:val="0059465F"/>
    <w:rsid w:val="00594780"/>
    <w:rsid w:val="00594B79"/>
    <w:rsid w:val="00594CDF"/>
    <w:rsid w:val="005957B6"/>
    <w:rsid w:val="0059622C"/>
    <w:rsid w:val="00596BC1"/>
    <w:rsid w:val="00597776"/>
    <w:rsid w:val="005979E2"/>
    <w:rsid w:val="005A102D"/>
    <w:rsid w:val="005A18AB"/>
    <w:rsid w:val="005A1CDC"/>
    <w:rsid w:val="005A2262"/>
    <w:rsid w:val="005A236B"/>
    <w:rsid w:val="005A27B8"/>
    <w:rsid w:val="005A313B"/>
    <w:rsid w:val="005A31D7"/>
    <w:rsid w:val="005A329E"/>
    <w:rsid w:val="005A3CA0"/>
    <w:rsid w:val="005A44F8"/>
    <w:rsid w:val="005A52E9"/>
    <w:rsid w:val="005A6345"/>
    <w:rsid w:val="005A6AB7"/>
    <w:rsid w:val="005A6DF4"/>
    <w:rsid w:val="005A7480"/>
    <w:rsid w:val="005A7DA2"/>
    <w:rsid w:val="005B0837"/>
    <w:rsid w:val="005B0CB2"/>
    <w:rsid w:val="005B155D"/>
    <w:rsid w:val="005B15FD"/>
    <w:rsid w:val="005B1EE5"/>
    <w:rsid w:val="005B2136"/>
    <w:rsid w:val="005B2212"/>
    <w:rsid w:val="005B233F"/>
    <w:rsid w:val="005B32F3"/>
    <w:rsid w:val="005B39CB"/>
    <w:rsid w:val="005B3E14"/>
    <w:rsid w:val="005B3F38"/>
    <w:rsid w:val="005B42A0"/>
    <w:rsid w:val="005B5364"/>
    <w:rsid w:val="005B5870"/>
    <w:rsid w:val="005B5C1D"/>
    <w:rsid w:val="005B6A0D"/>
    <w:rsid w:val="005B6C2F"/>
    <w:rsid w:val="005B736E"/>
    <w:rsid w:val="005B7C2B"/>
    <w:rsid w:val="005C07B0"/>
    <w:rsid w:val="005C0C30"/>
    <w:rsid w:val="005C0D2C"/>
    <w:rsid w:val="005C120C"/>
    <w:rsid w:val="005C18BF"/>
    <w:rsid w:val="005C1EF1"/>
    <w:rsid w:val="005C2841"/>
    <w:rsid w:val="005C2BFC"/>
    <w:rsid w:val="005C3613"/>
    <w:rsid w:val="005C4A84"/>
    <w:rsid w:val="005C4B8A"/>
    <w:rsid w:val="005C4DD0"/>
    <w:rsid w:val="005C636A"/>
    <w:rsid w:val="005C65E8"/>
    <w:rsid w:val="005C70B4"/>
    <w:rsid w:val="005C798E"/>
    <w:rsid w:val="005C7D75"/>
    <w:rsid w:val="005D0206"/>
    <w:rsid w:val="005D07D1"/>
    <w:rsid w:val="005D15F2"/>
    <w:rsid w:val="005D179B"/>
    <w:rsid w:val="005D1B1A"/>
    <w:rsid w:val="005D1C31"/>
    <w:rsid w:val="005D1D6F"/>
    <w:rsid w:val="005D2ABB"/>
    <w:rsid w:val="005D3DC6"/>
    <w:rsid w:val="005D44CC"/>
    <w:rsid w:val="005D52D8"/>
    <w:rsid w:val="005D54ED"/>
    <w:rsid w:val="005D5632"/>
    <w:rsid w:val="005D6150"/>
    <w:rsid w:val="005D66F3"/>
    <w:rsid w:val="005D6C80"/>
    <w:rsid w:val="005D76EB"/>
    <w:rsid w:val="005E0686"/>
    <w:rsid w:val="005E0D5B"/>
    <w:rsid w:val="005E1A3B"/>
    <w:rsid w:val="005E1BA6"/>
    <w:rsid w:val="005E20A1"/>
    <w:rsid w:val="005E2167"/>
    <w:rsid w:val="005E226E"/>
    <w:rsid w:val="005E23BD"/>
    <w:rsid w:val="005E27D7"/>
    <w:rsid w:val="005E2904"/>
    <w:rsid w:val="005E3E18"/>
    <w:rsid w:val="005E3EFE"/>
    <w:rsid w:val="005E3FC8"/>
    <w:rsid w:val="005E41C5"/>
    <w:rsid w:val="005E4440"/>
    <w:rsid w:val="005E4885"/>
    <w:rsid w:val="005E4A2D"/>
    <w:rsid w:val="005E4BBF"/>
    <w:rsid w:val="005E574A"/>
    <w:rsid w:val="005E5914"/>
    <w:rsid w:val="005E6487"/>
    <w:rsid w:val="005E6EF1"/>
    <w:rsid w:val="005E7360"/>
    <w:rsid w:val="005E7CC6"/>
    <w:rsid w:val="005E7DAA"/>
    <w:rsid w:val="005F0A42"/>
    <w:rsid w:val="005F278B"/>
    <w:rsid w:val="005F2975"/>
    <w:rsid w:val="005F299E"/>
    <w:rsid w:val="005F2B1E"/>
    <w:rsid w:val="005F2DF1"/>
    <w:rsid w:val="005F37EF"/>
    <w:rsid w:val="005F3875"/>
    <w:rsid w:val="005F4797"/>
    <w:rsid w:val="005F4B18"/>
    <w:rsid w:val="005F4D7E"/>
    <w:rsid w:val="005F4DEB"/>
    <w:rsid w:val="005F4EDC"/>
    <w:rsid w:val="005F568A"/>
    <w:rsid w:val="005F591D"/>
    <w:rsid w:val="005F6159"/>
    <w:rsid w:val="005F6167"/>
    <w:rsid w:val="005F6315"/>
    <w:rsid w:val="005F6885"/>
    <w:rsid w:val="005F71D6"/>
    <w:rsid w:val="005F7359"/>
    <w:rsid w:val="005F7726"/>
    <w:rsid w:val="006003D7"/>
    <w:rsid w:val="00600732"/>
    <w:rsid w:val="00600858"/>
    <w:rsid w:val="00600959"/>
    <w:rsid w:val="00601269"/>
    <w:rsid w:val="006013F4"/>
    <w:rsid w:val="00601462"/>
    <w:rsid w:val="006016E3"/>
    <w:rsid w:val="0060380E"/>
    <w:rsid w:val="00603B3E"/>
    <w:rsid w:val="006043B1"/>
    <w:rsid w:val="00604DDA"/>
    <w:rsid w:val="006051B1"/>
    <w:rsid w:val="0060576E"/>
    <w:rsid w:val="00605B96"/>
    <w:rsid w:val="00605C6E"/>
    <w:rsid w:val="00605DFE"/>
    <w:rsid w:val="00605F7D"/>
    <w:rsid w:val="00606CBC"/>
    <w:rsid w:val="00606FDC"/>
    <w:rsid w:val="00607118"/>
    <w:rsid w:val="006074C9"/>
    <w:rsid w:val="00607768"/>
    <w:rsid w:val="00607979"/>
    <w:rsid w:val="00607B17"/>
    <w:rsid w:val="00607B67"/>
    <w:rsid w:val="00607E29"/>
    <w:rsid w:val="00611156"/>
    <w:rsid w:val="006112D7"/>
    <w:rsid w:val="006126C5"/>
    <w:rsid w:val="00612963"/>
    <w:rsid w:val="006136FD"/>
    <w:rsid w:val="00613D2E"/>
    <w:rsid w:val="00614327"/>
    <w:rsid w:val="00614787"/>
    <w:rsid w:val="006152D2"/>
    <w:rsid w:val="0061548E"/>
    <w:rsid w:val="0061647F"/>
    <w:rsid w:val="0061685B"/>
    <w:rsid w:val="00616EF4"/>
    <w:rsid w:val="006174E1"/>
    <w:rsid w:val="00617894"/>
    <w:rsid w:val="0062072B"/>
    <w:rsid w:val="006219DD"/>
    <w:rsid w:val="00621A1D"/>
    <w:rsid w:val="00621E9A"/>
    <w:rsid w:val="0062269F"/>
    <w:rsid w:val="006228E1"/>
    <w:rsid w:val="0062315D"/>
    <w:rsid w:val="00624BDC"/>
    <w:rsid w:val="0062515E"/>
    <w:rsid w:val="006254B6"/>
    <w:rsid w:val="00625862"/>
    <w:rsid w:val="00625863"/>
    <w:rsid w:val="006259A6"/>
    <w:rsid w:val="006266A1"/>
    <w:rsid w:val="00626E23"/>
    <w:rsid w:val="00626FD9"/>
    <w:rsid w:val="00627430"/>
    <w:rsid w:val="0062768A"/>
    <w:rsid w:val="0062789E"/>
    <w:rsid w:val="00627BF5"/>
    <w:rsid w:val="00627C41"/>
    <w:rsid w:val="00627DB3"/>
    <w:rsid w:val="00630075"/>
    <w:rsid w:val="0063019C"/>
    <w:rsid w:val="006302AB"/>
    <w:rsid w:val="006305E9"/>
    <w:rsid w:val="00630DE2"/>
    <w:rsid w:val="006313C4"/>
    <w:rsid w:val="0063165E"/>
    <w:rsid w:val="00632171"/>
    <w:rsid w:val="006333D9"/>
    <w:rsid w:val="006339FB"/>
    <w:rsid w:val="006342C5"/>
    <w:rsid w:val="0063507C"/>
    <w:rsid w:val="00635190"/>
    <w:rsid w:val="00635589"/>
    <w:rsid w:val="00635A45"/>
    <w:rsid w:val="0063611F"/>
    <w:rsid w:val="0063705B"/>
    <w:rsid w:val="0063787D"/>
    <w:rsid w:val="00640204"/>
    <w:rsid w:val="00640831"/>
    <w:rsid w:val="006408AF"/>
    <w:rsid w:val="0064103E"/>
    <w:rsid w:val="006413DC"/>
    <w:rsid w:val="00641934"/>
    <w:rsid w:val="006421C8"/>
    <w:rsid w:val="00642876"/>
    <w:rsid w:val="00642F50"/>
    <w:rsid w:val="00643749"/>
    <w:rsid w:val="006438A7"/>
    <w:rsid w:val="006438B3"/>
    <w:rsid w:val="00643C35"/>
    <w:rsid w:val="00643FEC"/>
    <w:rsid w:val="0064479B"/>
    <w:rsid w:val="00644D42"/>
    <w:rsid w:val="00645360"/>
    <w:rsid w:val="0064575C"/>
    <w:rsid w:val="00645E14"/>
    <w:rsid w:val="00645F83"/>
    <w:rsid w:val="006464E2"/>
    <w:rsid w:val="00647108"/>
    <w:rsid w:val="006472D9"/>
    <w:rsid w:val="006477D6"/>
    <w:rsid w:val="006501A5"/>
    <w:rsid w:val="00650712"/>
    <w:rsid w:val="00650B88"/>
    <w:rsid w:val="00650BBC"/>
    <w:rsid w:val="00650CD7"/>
    <w:rsid w:val="00650DDA"/>
    <w:rsid w:val="00651AD9"/>
    <w:rsid w:val="00651BA6"/>
    <w:rsid w:val="00652454"/>
    <w:rsid w:val="006524B7"/>
    <w:rsid w:val="00652786"/>
    <w:rsid w:val="006529E8"/>
    <w:rsid w:val="00652B7C"/>
    <w:rsid w:val="00652BFF"/>
    <w:rsid w:val="00652D4C"/>
    <w:rsid w:val="00654592"/>
    <w:rsid w:val="00654BD0"/>
    <w:rsid w:val="006550CE"/>
    <w:rsid w:val="00655430"/>
    <w:rsid w:val="00655915"/>
    <w:rsid w:val="00655C3C"/>
    <w:rsid w:val="0065652E"/>
    <w:rsid w:val="00656E89"/>
    <w:rsid w:val="00656FDC"/>
    <w:rsid w:val="006574EC"/>
    <w:rsid w:val="00657789"/>
    <w:rsid w:val="00660096"/>
    <w:rsid w:val="00660727"/>
    <w:rsid w:val="00660F6D"/>
    <w:rsid w:val="006612C1"/>
    <w:rsid w:val="0066144C"/>
    <w:rsid w:val="00662840"/>
    <w:rsid w:val="00662954"/>
    <w:rsid w:val="006630A6"/>
    <w:rsid w:val="00663A7B"/>
    <w:rsid w:val="006642FF"/>
    <w:rsid w:val="0066595F"/>
    <w:rsid w:val="00665C38"/>
    <w:rsid w:val="00665DB5"/>
    <w:rsid w:val="006669EE"/>
    <w:rsid w:val="00667B7D"/>
    <w:rsid w:val="00667C5A"/>
    <w:rsid w:val="006712C7"/>
    <w:rsid w:val="006715F2"/>
    <w:rsid w:val="00671AA1"/>
    <w:rsid w:val="00671BFF"/>
    <w:rsid w:val="00671C9C"/>
    <w:rsid w:val="00672B37"/>
    <w:rsid w:val="00672F20"/>
    <w:rsid w:val="00673498"/>
    <w:rsid w:val="00674346"/>
    <w:rsid w:val="006747DD"/>
    <w:rsid w:val="006748BF"/>
    <w:rsid w:val="00674924"/>
    <w:rsid w:val="00674FCC"/>
    <w:rsid w:val="0067501E"/>
    <w:rsid w:val="00675118"/>
    <w:rsid w:val="00675C79"/>
    <w:rsid w:val="00676058"/>
    <w:rsid w:val="0067688F"/>
    <w:rsid w:val="00676C18"/>
    <w:rsid w:val="0067711B"/>
    <w:rsid w:val="00677258"/>
    <w:rsid w:val="00677415"/>
    <w:rsid w:val="00677642"/>
    <w:rsid w:val="0068000D"/>
    <w:rsid w:val="00680227"/>
    <w:rsid w:val="00680B71"/>
    <w:rsid w:val="00680CA4"/>
    <w:rsid w:val="006811F7"/>
    <w:rsid w:val="0068176B"/>
    <w:rsid w:val="00682819"/>
    <w:rsid w:val="00682C05"/>
    <w:rsid w:val="00682EC1"/>
    <w:rsid w:val="006831F8"/>
    <w:rsid w:val="00684B13"/>
    <w:rsid w:val="00686600"/>
    <w:rsid w:val="0068699C"/>
    <w:rsid w:val="006872AD"/>
    <w:rsid w:val="00687616"/>
    <w:rsid w:val="006879AD"/>
    <w:rsid w:val="00687A7A"/>
    <w:rsid w:val="00687B37"/>
    <w:rsid w:val="00687F0E"/>
    <w:rsid w:val="00690194"/>
    <w:rsid w:val="00690565"/>
    <w:rsid w:val="00690C1C"/>
    <w:rsid w:val="00690FE3"/>
    <w:rsid w:val="0069144B"/>
    <w:rsid w:val="00691BF0"/>
    <w:rsid w:val="0069268A"/>
    <w:rsid w:val="00692A7A"/>
    <w:rsid w:val="00692AFE"/>
    <w:rsid w:val="006931EA"/>
    <w:rsid w:val="0069362B"/>
    <w:rsid w:val="006939EC"/>
    <w:rsid w:val="00694A6D"/>
    <w:rsid w:val="00695921"/>
    <w:rsid w:val="00695E97"/>
    <w:rsid w:val="006962E6"/>
    <w:rsid w:val="006977F7"/>
    <w:rsid w:val="006A13D5"/>
    <w:rsid w:val="006A314C"/>
    <w:rsid w:val="006A32F5"/>
    <w:rsid w:val="006A3ED5"/>
    <w:rsid w:val="006A4178"/>
    <w:rsid w:val="006A606F"/>
    <w:rsid w:val="006A6C71"/>
    <w:rsid w:val="006A700C"/>
    <w:rsid w:val="006A7E81"/>
    <w:rsid w:val="006B0188"/>
    <w:rsid w:val="006B043F"/>
    <w:rsid w:val="006B0A42"/>
    <w:rsid w:val="006B1694"/>
    <w:rsid w:val="006B1B74"/>
    <w:rsid w:val="006B1C0B"/>
    <w:rsid w:val="006B1C8F"/>
    <w:rsid w:val="006B2B0A"/>
    <w:rsid w:val="006B2C06"/>
    <w:rsid w:val="006B31D2"/>
    <w:rsid w:val="006B34FF"/>
    <w:rsid w:val="006B4289"/>
    <w:rsid w:val="006B443F"/>
    <w:rsid w:val="006B4881"/>
    <w:rsid w:val="006B4B88"/>
    <w:rsid w:val="006B4BBB"/>
    <w:rsid w:val="006B4D4C"/>
    <w:rsid w:val="006B5121"/>
    <w:rsid w:val="006B6C7B"/>
    <w:rsid w:val="006B7152"/>
    <w:rsid w:val="006B7BCF"/>
    <w:rsid w:val="006C00E2"/>
    <w:rsid w:val="006C0184"/>
    <w:rsid w:val="006C06E9"/>
    <w:rsid w:val="006C0907"/>
    <w:rsid w:val="006C09C8"/>
    <w:rsid w:val="006C0F64"/>
    <w:rsid w:val="006C1D11"/>
    <w:rsid w:val="006C2877"/>
    <w:rsid w:val="006C371A"/>
    <w:rsid w:val="006C3BB3"/>
    <w:rsid w:val="006C3CC6"/>
    <w:rsid w:val="006C3E46"/>
    <w:rsid w:val="006C40D8"/>
    <w:rsid w:val="006C490D"/>
    <w:rsid w:val="006C4986"/>
    <w:rsid w:val="006C53ED"/>
    <w:rsid w:val="006C5C6C"/>
    <w:rsid w:val="006C620C"/>
    <w:rsid w:val="006C6301"/>
    <w:rsid w:val="006C670F"/>
    <w:rsid w:val="006C67EF"/>
    <w:rsid w:val="006C6853"/>
    <w:rsid w:val="006C7081"/>
    <w:rsid w:val="006C7914"/>
    <w:rsid w:val="006C7EE2"/>
    <w:rsid w:val="006D009D"/>
    <w:rsid w:val="006D0B2F"/>
    <w:rsid w:val="006D0DC9"/>
    <w:rsid w:val="006D0FB1"/>
    <w:rsid w:val="006D18DC"/>
    <w:rsid w:val="006D1D32"/>
    <w:rsid w:val="006D217E"/>
    <w:rsid w:val="006D2811"/>
    <w:rsid w:val="006D2DDD"/>
    <w:rsid w:val="006D32F7"/>
    <w:rsid w:val="006D36A2"/>
    <w:rsid w:val="006D3812"/>
    <w:rsid w:val="006D512C"/>
    <w:rsid w:val="006D5436"/>
    <w:rsid w:val="006D5974"/>
    <w:rsid w:val="006D5ACA"/>
    <w:rsid w:val="006D664C"/>
    <w:rsid w:val="006D6F28"/>
    <w:rsid w:val="006D7039"/>
    <w:rsid w:val="006D7509"/>
    <w:rsid w:val="006D75DC"/>
    <w:rsid w:val="006D77F8"/>
    <w:rsid w:val="006D78EE"/>
    <w:rsid w:val="006E0874"/>
    <w:rsid w:val="006E0F03"/>
    <w:rsid w:val="006E16D4"/>
    <w:rsid w:val="006E18CC"/>
    <w:rsid w:val="006E1D40"/>
    <w:rsid w:val="006E21A5"/>
    <w:rsid w:val="006E2530"/>
    <w:rsid w:val="006E3161"/>
    <w:rsid w:val="006E32C8"/>
    <w:rsid w:val="006E333B"/>
    <w:rsid w:val="006E345C"/>
    <w:rsid w:val="006E350C"/>
    <w:rsid w:val="006E3703"/>
    <w:rsid w:val="006E388D"/>
    <w:rsid w:val="006E39FD"/>
    <w:rsid w:val="006E4850"/>
    <w:rsid w:val="006E48C4"/>
    <w:rsid w:val="006E48C9"/>
    <w:rsid w:val="006E49DE"/>
    <w:rsid w:val="006E4C60"/>
    <w:rsid w:val="006E5CC1"/>
    <w:rsid w:val="006E6479"/>
    <w:rsid w:val="006E6BD3"/>
    <w:rsid w:val="006E6FFE"/>
    <w:rsid w:val="006E7A46"/>
    <w:rsid w:val="006E7B32"/>
    <w:rsid w:val="006F0B5D"/>
    <w:rsid w:val="006F0C42"/>
    <w:rsid w:val="006F0ECE"/>
    <w:rsid w:val="006F1057"/>
    <w:rsid w:val="006F1435"/>
    <w:rsid w:val="006F164D"/>
    <w:rsid w:val="006F1830"/>
    <w:rsid w:val="006F2682"/>
    <w:rsid w:val="006F2F3C"/>
    <w:rsid w:val="006F35A7"/>
    <w:rsid w:val="006F3667"/>
    <w:rsid w:val="006F4342"/>
    <w:rsid w:val="006F49BF"/>
    <w:rsid w:val="006F5137"/>
    <w:rsid w:val="006F5506"/>
    <w:rsid w:val="006F561B"/>
    <w:rsid w:val="006F572D"/>
    <w:rsid w:val="006F57B8"/>
    <w:rsid w:val="006F5EEE"/>
    <w:rsid w:val="006F60B2"/>
    <w:rsid w:val="006F63FB"/>
    <w:rsid w:val="006F6762"/>
    <w:rsid w:val="006F6B1E"/>
    <w:rsid w:val="006F70E0"/>
    <w:rsid w:val="006F735E"/>
    <w:rsid w:val="006F770E"/>
    <w:rsid w:val="006F7720"/>
    <w:rsid w:val="0070003D"/>
    <w:rsid w:val="007001AA"/>
    <w:rsid w:val="00701092"/>
    <w:rsid w:val="00701366"/>
    <w:rsid w:val="007021EA"/>
    <w:rsid w:val="007030C1"/>
    <w:rsid w:val="0070386F"/>
    <w:rsid w:val="00703E06"/>
    <w:rsid w:val="007043B1"/>
    <w:rsid w:val="007043E5"/>
    <w:rsid w:val="00704477"/>
    <w:rsid w:val="00704983"/>
    <w:rsid w:val="0070499B"/>
    <w:rsid w:val="00704BA4"/>
    <w:rsid w:val="00704D45"/>
    <w:rsid w:val="007053EF"/>
    <w:rsid w:val="00705419"/>
    <w:rsid w:val="00706601"/>
    <w:rsid w:val="007066ED"/>
    <w:rsid w:val="00706CB3"/>
    <w:rsid w:val="00706CB8"/>
    <w:rsid w:val="00707454"/>
    <w:rsid w:val="00711987"/>
    <w:rsid w:val="00711D2E"/>
    <w:rsid w:val="00711F1C"/>
    <w:rsid w:val="007120C6"/>
    <w:rsid w:val="007123DB"/>
    <w:rsid w:val="0071241A"/>
    <w:rsid w:val="007129C2"/>
    <w:rsid w:val="00712A2A"/>
    <w:rsid w:val="00713310"/>
    <w:rsid w:val="00713FDF"/>
    <w:rsid w:val="0071494D"/>
    <w:rsid w:val="00714DFC"/>
    <w:rsid w:val="00716623"/>
    <w:rsid w:val="0071671C"/>
    <w:rsid w:val="007171C7"/>
    <w:rsid w:val="00717720"/>
    <w:rsid w:val="0071778A"/>
    <w:rsid w:val="00717792"/>
    <w:rsid w:val="0072042A"/>
    <w:rsid w:val="00720605"/>
    <w:rsid w:val="00720661"/>
    <w:rsid w:val="007213DA"/>
    <w:rsid w:val="00721E52"/>
    <w:rsid w:val="007221C1"/>
    <w:rsid w:val="00722313"/>
    <w:rsid w:val="00722E06"/>
    <w:rsid w:val="007230DC"/>
    <w:rsid w:val="0072519E"/>
    <w:rsid w:val="007253BF"/>
    <w:rsid w:val="0072572F"/>
    <w:rsid w:val="0072586C"/>
    <w:rsid w:val="00726179"/>
    <w:rsid w:val="0072650A"/>
    <w:rsid w:val="0072662A"/>
    <w:rsid w:val="007268D3"/>
    <w:rsid w:val="00726CD1"/>
    <w:rsid w:val="00726E48"/>
    <w:rsid w:val="00727106"/>
    <w:rsid w:val="007275C6"/>
    <w:rsid w:val="00727B3B"/>
    <w:rsid w:val="007301D7"/>
    <w:rsid w:val="0073039E"/>
    <w:rsid w:val="007303FB"/>
    <w:rsid w:val="00730661"/>
    <w:rsid w:val="007306DE"/>
    <w:rsid w:val="00730B5A"/>
    <w:rsid w:val="007316A7"/>
    <w:rsid w:val="0073293B"/>
    <w:rsid w:val="00732C67"/>
    <w:rsid w:val="00733B8D"/>
    <w:rsid w:val="00734D47"/>
    <w:rsid w:val="0073501E"/>
    <w:rsid w:val="007350A1"/>
    <w:rsid w:val="00735939"/>
    <w:rsid w:val="00736448"/>
    <w:rsid w:val="0073669F"/>
    <w:rsid w:val="00736A48"/>
    <w:rsid w:val="00737062"/>
    <w:rsid w:val="00737178"/>
    <w:rsid w:val="007402C0"/>
    <w:rsid w:val="0074059F"/>
    <w:rsid w:val="00740F68"/>
    <w:rsid w:val="00741753"/>
    <w:rsid w:val="007418A5"/>
    <w:rsid w:val="00741DEF"/>
    <w:rsid w:val="00742392"/>
    <w:rsid w:val="00742564"/>
    <w:rsid w:val="007438C7"/>
    <w:rsid w:val="00744101"/>
    <w:rsid w:val="0074490B"/>
    <w:rsid w:val="00745978"/>
    <w:rsid w:val="007459CE"/>
    <w:rsid w:val="007461E4"/>
    <w:rsid w:val="00746AD3"/>
    <w:rsid w:val="00746D03"/>
    <w:rsid w:val="00746E0E"/>
    <w:rsid w:val="007476AD"/>
    <w:rsid w:val="00747AF3"/>
    <w:rsid w:val="007507A5"/>
    <w:rsid w:val="0075093B"/>
    <w:rsid w:val="0075105D"/>
    <w:rsid w:val="00751874"/>
    <w:rsid w:val="00751BA8"/>
    <w:rsid w:val="007526EF"/>
    <w:rsid w:val="00752D2C"/>
    <w:rsid w:val="00752F1C"/>
    <w:rsid w:val="007533B5"/>
    <w:rsid w:val="007539C6"/>
    <w:rsid w:val="00753C99"/>
    <w:rsid w:val="0075498E"/>
    <w:rsid w:val="0075513B"/>
    <w:rsid w:val="00755217"/>
    <w:rsid w:val="0075566D"/>
    <w:rsid w:val="0075576F"/>
    <w:rsid w:val="007564FA"/>
    <w:rsid w:val="007575CA"/>
    <w:rsid w:val="00757951"/>
    <w:rsid w:val="00757D49"/>
    <w:rsid w:val="00757E3F"/>
    <w:rsid w:val="007605D4"/>
    <w:rsid w:val="00760EA8"/>
    <w:rsid w:val="00760F37"/>
    <w:rsid w:val="0076113F"/>
    <w:rsid w:val="0076188C"/>
    <w:rsid w:val="007619FB"/>
    <w:rsid w:val="00761A2C"/>
    <w:rsid w:val="00762054"/>
    <w:rsid w:val="007621F5"/>
    <w:rsid w:val="0076276B"/>
    <w:rsid w:val="00762D26"/>
    <w:rsid w:val="00762D76"/>
    <w:rsid w:val="007630A3"/>
    <w:rsid w:val="00763394"/>
    <w:rsid w:val="00763B20"/>
    <w:rsid w:val="00763E0F"/>
    <w:rsid w:val="00764231"/>
    <w:rsid w:val="0076432B"/>
    <w:rsid w:val="00764C88"/>
    <w:rsid w:val="0076502B"/>
    <w:rsid w:val="00765264"/>
    <w:rsid w:val="00765387"/>
    <w:rsid w:val="007654F6"/>
    <w:rsid w:val="00765840"/>
    <w:rsid w:val="00766251"/>
    <w:rsid w:val="007665C2"/>
    <w:rsid w:val="00767B27"/>
    <w:rsid w:val="007703D5"/>
    <w:rsid w:val="0077058A"/>
    <w:rsid w:val="0077084A"/>
    <w:rsid w:val="00771FE5"/>
    <w:rsid w:val="0077204C"/>
    <w:rsid w:val="00772A14"/>
    <w:rsid w:val="00773267"/>
    <w:rsid w:val="0077330E"/>
    <w:rsid w:val="007739FA"/>
    <w:rsid w:val="00774206"/>
    <w:rsid w:val="00774570"/>
    <w:rsid w:val="0077466D"/>
    <w:rsid w:val="00774E00"/>
    <w:rsid w:val="00776037"/>
    <w:rsid w:val="00776C52"/>
    <w:rsid w:val="00776D0F"/>
    <w:rsid w:val="00776D30"/>
    <w:rsid w:val="007772C5"/>
    <w:rsid w:val="00777402"/>
    <w:rsid w:val="00777EEB"/>
    <w:rsid w:val="007804AB"/>
    <w:rsid w:val="007807C3"/>
    <w:rsid w:val="00780C6E"/>
    <w:rsid w:val="00781098"/>
    <w:rsid w:val="0078173A"/>
    <w:rsid w:val="00781AB1"/>
    <w:rsid w:val="007822E8"/>
    <w:rsid w:val="00783355"/>
    <w:rsid w:val="007838ED"/>
    <w:rsid w:val="00783E9C"/>
    <w:rsid w:val="007849C9"/>
    <w:rsid w:val="00784E67"/>
    <w:rsid w:val="00784E8E"/>
    <w:rsid w:val="00785985"/>
    <w:rsid w:val="00785B25"/>
    <w:rsid w:val="0078610B"/>
    <w:rsid w:val="00786C18"/>
    <w:rsid w:val="007872CF"/>
    <w:rsid w:val="007876D0"/>
    <w:rsid w:val="00787A33"/>
    <w:rsid w:val="00790540"/>
    <w:rsid w:val="007905D3"/>
    <w:rsid w:val="00791091"/>
    <w:rsid w:val="00791936"/>
    <w:rsid w:val="00791F7B"/>
    <w:rsid w:val="007925EE"/>
    <w:rsid w:val="00792FF3"/>
    <w:rsid w:val="00795882"/>
    <w:rsid w:val="007959E8"/>
    <w:rsid w:val="00795BDC"/>
    <w:rsid w:val="00796272"/>
    <w:rsid w:val="007969DB"/>
    <w:rsid w:val="00796BFC"/>
    <w:rsid w:val="00796C7D"/>
    <w:rsid w:val="0079701D"/>
    <w:rsid w:val="007973B7"/>
    <w:rsid w:val="00797520"/>
    <w:rsid w:val="00797D8E"/>
    <w:rsid w:val="007A2CA0"/>
    <w:rsid w:val="007A303A"/>
    <w:rsid w:val="007A3242"/>
    <w:rsid w:val="007A3D9F"/>
    <w:rsid w:val="007A448B"/>
    <w:rsid w:val="007A4845"/>
    <w:rsid w:val="007A542E"/>
    <w:rsid w:val="007A58D8"/>
    <w:rsid w:val="007A5E80"/>
    <w:rsid w:val="007A68D1"/>
    <w:rsid w:val="007A751E"/>
    <w:rsid w:val="007A796B"/>
    <w:rsid w:val="007A7FF1"/>
    <w:rsid w:val="007B06F0"/>
    <w:rsid w:val="007B0B49"/>
    <w:rsid w:val="007B1105"/>
    <w:rsid w:val="007B170F"/>
    <w:rsid w:val="007B1715"/>
    <w:rsid w:val="007B18B7"/>
    <w:rsid w:val="007B1BAB"/>
    <w:rsid w:val="007B2210"/>
    <w:rsid w:val="007B29F7"/>
    <w:rsid w:val="007B2DF9"/>
    <w:rsid w:val="007B2FEE"/>
    <w:rsid w:val="007B3140"/>
    <w:rsid w:val="007B3D73"/>
    <w:rsid w:val="007B447C"/>
    <w:rsid w:val="007B4B63"/>
    <w:rsid w:val="007B58AF"/>
    <w:rsid w:val="007B59A6"/>
    <w:rsid w:val="007B5B06"/>
    <w:rsid w:val="007B5BD9"/>
    <w:rsid w:val="007B5C3D"/>
    <w:rsid w:val="007B5E12"/>
    <w:rsid w:val="007B6EB8"/>
    <w:rsid w:val="007B6EC7"/>
    <w:rsid w:val="007B706F"/>
    <w:rsid w:val="007B714A"/>
    <w:rsid w:val="007B776C"/>
    <w:rsid w:val="007B7B83"/>
    <w:rsid w:val="007C026F"/>
    <w:rsid w:val="007C0340"/>
    <w:rsid w:val="007C05D4"/>
    <w:rsid w:val="007C13BA"/>
    <w:rsid w:val="007C1F1F"/>
    <w:rsid w:val="007C2585"/>
    <w:rsid w:val="007C262A"/>
    <w:rsid w:val="007C2CF9"/>
    <w:rsid w:val="007C3F55"/>
    <w:rsid w:val="007C4736"/>
    <w:rsid w:val="007C4CD5"/>
    <w:rsid w:val="007C5287"/>
    <w:rsid w:val="007C590B"/>
    <w:rsid w:val="007C5C1E"/>
    <w:rsid w:val="007C5EDE"/>
    <w:rsid w:val="007C6518"/>
    <w:rsid w:val="007C6702"/>
    <w:rsid w:val="007C6E20"/>
    <w:rsid w:val="007C7081"/>
    <w:rsid w:val="007C7142"/>
    <w:rsid w:val="007C781F"/>
    <w:rsid w:val="007C7E90"/>
    <w:rsid w:val="007D0AF2"/>
    <w:rsid w:val="007D0CED"/>
    <w:rsid w:val="007D141E"/>
    <w:rsid w:val="007D159C"/>
    <w:rsid w:val="007D1A1F"/>
    <w:rsid w:val="007D265E"/>
    <w:rsid w:val="007D2808"/>
    <w:rsid w:val="007D283B"/>
    <w:rsid w:val="007D35F0"/>
    <w:rsid w:val="007D383E"/>
    <w:rsid w:val="007D3884"/>
    <w:rsid w:val="007D3975"/>
    <w:rsid w:val="007D5358"/>
    <w:rsid w:val="007D5AB3"/>
    <w:rsid w:val="007D5D18"/>
    <w:rsid w:val="007D668B"/>
    <w:rsid w:val="007D6B79"/>
    <w:rsid w:val="007D6B87"/>
    <w:rsid w:val="007D6DEA"/>
    <w:rsid w:val="007D74D1"/>
    <w:rsid w:val="007E0199"/>
    <w:rsid w:val="007E0529"/>
    <w:rsid w:val="007E0EBF"/>
    <w:rsid w:val="007E1604"/>
    <w:rsid w:val="007E1AB2"/>
    <w:rsid w:val="007E1F23"/>
    <w:rsid w:val="007E2DF6"/>
    <w:rsid w:val="007E325C"/>
    <w:rsid w:val="007E3E77"/>
    <w:rsid w:val="007E3F03"/>
    <w:rsid w:val="007E3F42"/>
    <w:rsid w:val="007E3FD7"/>
    <w:rsid w:val="007E4306"/>
    <w:rsid w:val="007E4381"/>
    <w:rsid w:val="007E43F9"/>
    <w:rsid w:val="007E48F1"/>
    <w:rsid w:val="007E49A4"/>
    <w:rsid w:val="007E4F67"/>
    <w:rsid w:val="007E5105"/>
    <w:rsid w:val="007E5449"/>
    <w:rsid w:val="007E547A"/>
    <w:rsid w:val="007E554E"/>
    <w:rsid w:val="007E5FE6"/>
    <w:rsid w:val="007E6821"/>
    <w:rsid w:val="007E6D10"/>
    <w:rsid w:val="007E6D16"/>
    <w:rsid w:val="007E6FB5"/>
    <w:rsid w:val="007E709E"/>
    <w:rsid w:val="007E7958"/>
    <w:rsid w:val="007E7C8A"/>
    <w:rsid w:val="007E7CF1"/>
    <w:rsid w:val="007E7DDD"/>
    <w:rsid w:val="007F03CF"/>
    <w:rsid w:val="007F07BF"/>
    <w:rsid w:val="007F1D7B"/>
    <w:rsid w:val="007F21A0"/>
    <w:rsid w:val="007F2944"/>
    <w:rsid w:val="007F2F54"/>
    <w:rsid w:val="007F341D"/>
    <w:rsid w:val="007F3B44"/>
    <w:rsid w:val="007F3EB0"/>
    <w:rsid w:val="007F3FDA"/>
    <w:rsid w:val="007F4B13"/>
    <w:rsid w:val="007F4D0F"/>
    <w:rsid w:val="007F5412"/>
    <w:rsid w:val="007F55E7"/>
    <w:rsid w:val="007F57EC"/>
    <w:rsid w:val="007F5FA2"/>
    <w:rsid w:val="007F6801"/>
    <w:rsid w:val="007F6F1C"/>
    <w:rsid w:val="007F7B3E"/>
    <w:rsid w:val="008002D9"/>
    <w:rsid w:val="008011F2"/>
    <w:rsid w:val="00801404"/>
    <w:rsid w:val="008016C1"/>
    <w:rsid w:val="00801D6F"/>
    <w:rsid w:val="00801F7B"/>
    <w:rsid w:val="00802315"/>
    <w:rsid w:val="00802E2C"/>
    <w:rsid w:val="008033FA"/>
    <w:rsid w:val="00803613"/>
    <w:rsid w:val="0080374D"/>
    <w:rsid w:val="00803C4F"/>
    <w:rsid w:val="0080430D"/>
    <w:rsid w:val="008048D5"/>
    <w:rsid w:val="00804D88"/>
    <w:rsid w:val="00805526"/>
    <w:rsid w:val="0080581E"/>
    <w:rsid w:val="00805C34"/>
    <w:rsid w:val="00805E41"/>
    <w:rsid w:val="008061B2"/>
    <w:rsid w:val="00806B97"/>
    <w:rsid w:val="008071FA"/>
    <w:rsid w:val="008075EF"/>
    <w:rsid w:val="00807AF9"/>
    <w:rsid w:val="00810477"/>
    <w:rsid w:val="0081055D"/>
    <w:rsid w:val="008108FD"/>
    <w:rsid w:val="00810A62"/>
    <w:rsid w:val="00810BE5"/>
    <w:rsid w:val="008110C1"/>
    <w:rsid w:val="00811111"/>
    <w:rsid w:val="008114E0"/>
    <w:rsid w:val="00811CD5"/>
    <w:rsid w:val="00812499"/>
    <w:rsid w:val="00813F60"/>
    <w:rsid w:val="0081474C"/>
    <w:rsid w:val="008147E5"/>
    <w:rsid w:val="008148D0"/>
    <w:rsid w:val="00814E0E"/>
    <w:rsid w:val="008158D6"/>
    <w:rsid w:val="0081592B"/>
    <w:rsid w:val="00815B48"/>
    <w:rsid w:val="00816743"/>
    <w:rsid w:val="00816BCD"/>
    <w:rsid w:val="00816C8F"/>
    <w:rsid w:val="00817477"/>
    <w:rsid w:val="008176F6"/>
    <w:rsid w:val="00817C8E"/>
    <w:rsid w:val="00820567"/>
    <w:rsid w:val="0082065A"/>
    <w:rsid w:val="00820A4A"/>
    <w:rsid w:val="00820B8D"/>
    <w:rsid w:val="00821BF6"/>
    <w:rsid w:val="00821C45"/>
    <w:rsid w:val="00821D97"/>
    <w:rsid w:val="00822164"/>
    <w:rsid w:val="008221E4"/>
    <w:rsid w:val="008229B6"/>
    <w:rsid w:val="00823595"/>
    <w:rsid w:val="008235D6"/>
    <w:rsid w:val="00823AD0"/>
    <w:rsid w:val="0082402F"/>
    <w:rsid w:val="00825429"/>
    <w:rsid w:val="00826172"/>
    <w:rsid w:val="0082636E"/>
    <w:rsid w:val="00826AB5"/>
    <w:rsid w:val="0083010B"/>
    <w:rsid w:val="008309FD"/>
    <w:rsid w:val="00831A22"/>
    <w:rsid w:val="00831CD3"/>
    <w:rsid w:val="00832136"/>
    <w:rsid w:val="0083226A"/>
    <w:rsid w:val="0083247C"/>
    <w:rsid w:val="00832F6F"/>
    <w:rsid w:val="00833388"/>
    <w:rsid w:val="00833F9A"/>
    <w:rsid w:val="0083401B"/>
    <w:rsid w:val="00834381"/>
    <w:rsid w:val="00834881"/>
    <w:rsid w:val="00834A71"/>
    <w:rsid w:val="00834B7E"/>
    <w:rsid w:val="008354AC"/>
    <w:rsid w:val="008360CD"/>
    <w:rsid w:val="00836191"/>
    <w:rsid w:val="00836B86"/>
    <w:rsid w:val="00836D11"/>
    <w:rsid w:val="00836EBA"/>
    <w:rsid w:val="00836FFE"/>
    <w:rsid w:val="00837083"/>
    <w:rsid w:val="008374ED"/>
    <w:rsid w:val="008379B1"/>
    <w:rsid w:val="00837A2E"/>
    <w:rsid w:val="00840078"/>
    <w:rsid w:val="00840208"/>
    <w:rsid w:val="0084075B"/>
    <w:rsid w:val="00840ADA"/>
    <w:rsid w:val="00841218"/>
    <w:rsid w:val="008412A4"/>
    <w:rsid w:val="008412F2"/>
    <w:rsid w:val="008419BB"/>
    <w:rsid w:val="00841ACD"/>
    <w:rsid w:val="00841C68"/>
    <w:rsid w:val="00841E0B"/>
    <w:rsid w:val="00841EBF"/>
    <w:rsid w:val="00842332"/>
    <w:rsid w:val="0084257C"/>
    <w:rsid w:val="00842B3F"/>
    <w:rsid w:val="0084329C"/>
    <w:rsid w:val="00843332"/>
    <w:rsid w:val="008434F2"/>
    <w:rsid w:val="0084357C"/>
    <w:rsid w:val="00843755"/>
    <w:rsid w:val="0084387B"/>
    <w:rsid w:val="008438DA"/>
    <w:rsid w:val="00843E23"/>
    <w:rsid w:val="008445F1"/>
    <w:rsid w:val="00844806"/>
    <w:rsid w:val="00845721"/>
    <w:rsid w:val="00845ACD"/>
    <w:rsid w:val="00845E52"/>
    <w:rsid w:val="00845E96"/>
    <w:rsid w:val="00845FDE"/>
    <w:rsid w:val="00846585"/>
    <w:rsid w:val="00846843"/>
    <w:rsid w:val="00846912"/>
    <w:rsid w:val="00846954"/>
    <w:rsid w:val="00846A59"/>
    <w:rsid w:val="00847DF1"/>
    <w:rsid w:val="00850C52"/>
    <w:rsid w:val="008512B6"/>
    <w:rsid w:val="008522E6"/>
    <w:rsid w:val="008522FB"/>
    <w:rsid w:val="008523B3"/>
    <w:rsid w:val="008527C7"/>
    <w:rsid w:val="00852EBE"/>
    <w:rsid w:val="0085338B"/>
    <w:rsid w:val="008539B8"/>
    <w:rsid w:val="00853E7F"/>
    <w:rsid w:val="0085408B"/>
    <w:rsid w:val="008544B6"/>
    <w:rsid w:val="008546A9"/>
    <w:rsid w:val="00854A9D"/>
    <w:rsid w:val="008555D8"/>
    <w:rsid w:val="00855628"/>
    <w:rsid w:val="00855686"/>
    <w:rsid w:val="00855779"/>
    <w:rsid w:val="00855E35"/>
    <w:rsid w:val="008563B9"/>
    <w:rsid w:val="00856438"/>
    <w:rsid w:val="008564AC"/>
    <w:rsid w:val="00857138"/>
    <w:rsid w:val="008576BC"/>
    <w:rsid w:val="008576D6"/>
    <w:rsid w:val="00857B4B"/>
    <w:rsid w:val="00857BC3"/>
    <w:rsid w:val="00857D09"/>
    <w:rsid w:val="00860032"/>
    <w:rsid w:val="008602FE"/>
    <w:rsid w:val="00860E11"/>
    <w:rsid w:val="0086115B"/>
    <w:rsid w:val="00861665"/>
    <w:rsid w:val="008636C3"/>
    <w:rsid w:val="00863B42"/>
    <w:rsid w:val="00863D60"/>
    <w:rsid w:val="00863EF8"/>
    <w:rsid w:val="00864853"/>
    <w:rsid w:val="00864B38"/>
    <w:rsid w:val="00865015"/>
    <w:rsid w:val="0086534E"/>
    <w:rsid w:val="008654B9"/>
    <w:rsid w:val="00865660"/>
    <w:rsid w:val="008658F2"/>
    <w:rsid w:val="00865B52"/>
    <w:rsid w:val="00865E62"/>
    <w:rsid w:val="00866051"/>
    <w:rsid w:val="00866B44"/>
    <w:rsid w:val="00867399"/>
    <w:rsid w:val="008674BC"/>
    <w:rsid w:val="00867FDC"/>
    <w:rsid w:val="00870099"/>
    <w:rsid w:val="00870230"/>
    <w:rsid w:val="00870367"/>
    <w:rsid w:val="00870980"/>
    <w:rsid w:val="008709D7"/>
    <w:rsid w:val="00870CD4"/>
    <w:rsid w:val="00870F42"/>
    <w:rsid w:val="00870F5E"/>
    <w:rsid w:val="0087146E"/>
    <w:rsid w:val="008715DF"/>
    <w:rsid w:val="008718ED"/>
    <w:rsid w:val="008719E1"/>
    <w:rsid w:val="00872859"/>
    <w:rsid w:val="00872DB7"/>
    <w:rsid w:val="00873081"/>
    <w:rsid w:val="008747EA"/>
    <w:rsid w:val="00874F22"/>
    <w:rsid w:val="00875991"/>
    <w:rsid w:val="0087622F"/>
    <w:rsid w:val="008769DF"/>
    <w:rsid w:val="0087714E"/>
    <w:rsid w:val="00877395"/>
    <w:rsid w:val="008774BE"/>
    <w:rsid w:val="00877737"/>
    <w:rsid w:val="00877F80"/>
    <w:rsid w:val="008803BA"/>
    <w:rsid w:val="00880F7D"/>
    <w:rsid w:val="0088143F"/>
    <w:rsid w:val="00881984"/>
    <w:rsid w:val="00881B2C"/>
    <w:rsid w:val="00881B60"/>
    <w:rsid w:val="00881E9A"/>
    <w:rsid w:val="00882189"/>
    <w:rsid w:val="00882AD9"/>
    <w:rsid w:val="00882CF0"/>
    <w:rsid w:val="00883DD4"/>
    <w:rsid w:val="00883E9E"/>
    <w:rsid w:val="00883EA3"/>
    <w:rsid w:val="008842CC"/>
    <w:rsid w:val="00884744"/>
    <w:rsid w:val="008848D8"/>
    <w:rsid w:val="00884D72"/>
    <w:rsid w:val="00884D7A"/>
    <w:rsid w:val="00884E75"/>
    <w:rsid w:val="0088590E"/>
    <w:rsid w:val="00885AF4"/>
    <w:rsid w:val="00885B4A"/>
    <w:rsid w:val="00886398"/>
    <w:rsid w:val="008867FB"/>
    <w:rsid w:val="008868C6"/>
    <w:rsid w:val="0088690D"/>
    <w:rsid w:val="00886C9D"/>
    <w:rsid w:val="008870E1"/>
    <w:rsid w:val="00887ED6"/>
    <w:rsid w:val="0089006F"/>
    <w:rsid w:val="008900BD"/>
    <w:rsid w:val="00890139"/>
    <w:rsid w:val="00891744"/>
    <w:rsid w:val="00891C65"/>
    <w:rsid w:val="008921E5"/>
    <w:rsid w:val="00892961"/>
    <w:rsid w:val="00893B00"/>
    <w:rsid w:val="00893E10"/>
    <w:rsid w:val="008948D3"/>
    <w:rsid w:val="00894900"/>
    <w:rsid w:val="00894E25"/>
    <w:rsid w:val="00895643"/>
    <w:rsid w:val="00895678"/>
    <w:rsid w:val="00895A7A"/>
    <w:rsid w:val="00897045"/>
    <w:rsid w:val="00897109"/>
    <w:rsid w:val="00897293"/>
    <w:rsid w:val="008A05DB"/>
    <w:rsid w:val="008A0BE4"/>
    <w:rsid w:val="008A0FCE"/>
    <w:rsid w:val="008A1493"/>
    <w:rsid w:val="008A2138"/>
    <w:rsid w:val="008A2320"/>
    <w:rsid w:val="008A2AA5"/>
    <w:rsid w:val="008A2B17"/>
    <w:rsid w:val="008A2C1A"/>
    <w:rsid w:val="008A39AD"/>
    <w:rsid w:val="008A4554"/>
    <w:rsid w:val="008A4961"/>
    <w:rsid w:val="008A49FE"/>
    <w:rsid w:val="008A56A2"/>
    <w:rsid w:val="008A5BCA"/>
    <w:rsid w:val="008A5DBF"/>
    <w:rsid w:val="008A64D4"/>
    <w:rsid w:val="008A65E8"/>
    <w:rsid w:val="008A6822"/>
    <w:rsid w:val="008A6BC4"/>
    <w:rsid w:val="008A79E8"/>
    <w:rsid w:val="008A7C88"/>
    <w:rsid w:val="008B1A7A"/>
    <w:rsid w:val="008B1D49"/>
    <w:rsid w:val="008B20F9"/>
    <w:rsid w:val="008B26FC"/>
    <w:rsid w:val="008B2786"/>
    <w:rsid w:val="008B3282"/>
    <w:rsid w:val="008B3300"/>
    <w:rsid w:val="008B344A"/>
    <w:rsid w:val="008B3728"/>
    <w:rsid w:val="008B38B0"/>
    <w:rsid w:val="008B3F92"/>
    <w:rsid w:val="008B4DAE"/>
    <w:rsid w:val="008B5152"/>
    <w:rsid w:val="008B5344"/>
    <w:rsid w:val="008B57C4"/>
    <w:rsid w:val="008B5812"/>
    <w:rsid w:val="008B6324"/>
    <w:rsid w:val="008B6A5E"/>
    <w:rsid w:val="008B6E99"/>
    <w:rsid w:val="008B7837"/>
    <w:rsid w:val="008C01EC"/>
    <w:rsid w:val="008C03EE"/>
    <w:rsid w:val="008C0D43"/>
    <w:rsid w:val="008C1A38"/>
    <w:rsid w:val="008C23C4"/>
    <w:rsid w:val="008C320C"/>
    <w:rsid w:val="008C3709"/>
    <w:rsid w:val="008C3D8C"/>
    <w:rsid w:val="008C3F04"/>
    <w:rsid w:val="008C42AA"/>
    <w:rsid w:val="008C44BA"/>
    <w:rsid w:val="008C45D7"/>
    <w:rsid w:val="008C4C1A"/>
    <w:rsid w:val="008C4CF5"/>
    <w:rsid w:val="008C5401"/>
    <w:rsid w:val="008C5544"/>
    <w:rsid w:val="008C56BB"/>
    <w:rsid w:val="008C591A"/>
    <w:rsid w:val="008C6044"/>
    <w:rsid w:val="008C78EC"/>
    <w:rsid w:val="008C7B0A"/>
    <w:rsid w:val="008C7C4A"/>
    <w:rsid w:val="008C7F2F"/>
    <w:rsid w:val="008C892B"/>
    <w:rsid w:val="008D07AC"/>
    <w:rsid w:val="008D0961"/>
    <w:rsid w:val="008D0BE3"/>
    <w:rsid w:val="008D0CF2"/>
    <w:rsid w:val="008D102F"/>
    <w:rsid w:val="008D10F0"/>
    <w:rsid w:val="008D113F"/>
    <w:rsid w:val="008D11CC"/>
    <w:rsid w:val="008D1321"/>
    <w:rsid w:val="008D15A5"/>
    <w:rsid w:val="008D20AE"/>
    <w:rsid w:val="008D292C"/>
    <w:rsid w:val="008D311A"/>
    <w:rsid w:val="008D3330"/>
    <w:rsid w:val="008D3560"/>
    <w:rsid w:val="008D3A50"/>
    <w:rsid w:val="008D3D15"/>
    <w:rsid w:val="008D4041"/>
    <w:rsid w:val="008D4A5A"/>
    <w:rsid w:val="008D4CD3"/>
    <w:rsid w:val="008D7F95"/>
    <w:rsid w:val="008E0348"/>
    <w:rsid w:val="008E081E"/>
    <w:rsid w:val="008E0A34"/>
    <w:rsid w:val="008E13DA"/>
    <w:rsid w:val="008E14BE"/>
    <w:rsid w:val="008E1F39"/>
    <w:rsid w:val="008E38CF"/>
    <w:rsid w:val="008E3C50"/>
    <w:rsid w:val="008E4208"/>
    <w:rsid w:val="008E4293"/>
    <w:rsid w:val="008E4AA2"/>
    <w:rsid w:val="008E5A3F"/>
    <w:rsid w:val="008E5CAE"/>
    <w:rsid w:val="008E5CBB"/>
    <w:rsid w:val="008E5F47"/>
    <w:rsid w:val="008E681C"/>
    <w:rsid w:val="008E6D4F"/>
    <w:rsid w:val="008E75EA"/>
    <w:rsid w:val="008E7749"/>
    <w:rsid w:val="008E78D5"/>
    <w:rsid w:val="008E7960"/>
    <w:rsid w:val="008E7A03"/>
    <w:rsid w:val="008E7D8F"/>
    <w:rsid w:val="008F07C2"/>
    <w:rsid w:val="008F133B"/>
    <w:rsid w:val="008F15D1"/>
    <w:rsid w:val="008F1CB4"/>
    <w:rsid w:val="008F2150"/>
    <w:rsid w:val="008F4B0E"/>
    <w:rsid w:val="008F4ED6"/>
    <w:rsid w:val="008F543C"/>
    <w:rsid w:val="008F5B46"/>
    <w:rsid w:val="008F5D50"/>
    <w:rsid w:val="008F6011"/>
    <w:rsid w:val="008F668E"/>
    <w:rsid w:val="008F69E7"/>
    <w:rsid w:val="008F6AC1"/>
    <w:rsid w:val="008F6B83"/>
    <w:rsid w:val="008F716B"/>
    <w:rsid w:val="008F72A8"/>
    <w:rsid w:val="008F7A3C"/>
    <w:rsid w:val="008F7D84"/>
    <w:rsid w:val="00900293"/>
    <w:rsid w:val="009003D6"/>
    <w:rsid w:val="009004BE"/>
    <w:rsid w:val="00900BF0"/>
    <w:rsid w:val="00901A40"/>
    <w:rsid w:val="009025F0"/>
    <w:rsid w:val="00902EFA"/>
    <w:rsid w:val="00902FFD"/>
    <w:rsid w:val="00904396"/>
    <w:rsid w:val="00904577"/>
    <w:rsid w:val="009045B7"/>
    <w:rsid w:val="009048F5"/>
    <w:rsid w:val="0090492A"/>
    <w:rsid w:val="00904C8B"/>
    <w:rsid w:val="00905344"/>
    <w:rsid w:val="00905381"/>
    <w:rsid w:val="00905703"/>
    <w:rsid w:val="00905AB2"/>
    <w:rsid w:val="00905AE5"/>
    <w:rsid w:val="00905DA0"/>
    <w:rsid w:val="00906730"/>
    <w:rsid w:val="00906EDC"/>
    <w:rsid w:val="009071E5"/>
    <w:rsid w:val="00907E56"/>
    <w:rsid w:val="00907E5F"/>
    <w:rsid w:val="009104EE"/>
    <w:rsid w:val="00910718"/>
    <w:rsid w:val="009109A0"/>
    <w:rsid w:val="00910D73"/>
    <w:rsid w:val="0091133B"/>
    <w:rsid w:val="009115FA"/>
    <w:rsid w:val="00911AAB"/>
    <w:rsid w:val="009120F1"/>
    <w:rsid w:val="0091254A"/>
    <w:rsid w:val="0091296B"/>
    <w:rsid w:val="00912BC4"/>
    <w:rsid w:val="0091354D"/>
    <w:rsid w:val="00914338"/>
    <w:rsid w:val="00914741"/>
    <w:rsid w:val="009147CC"/>
    <w:rsid w:val="009149AD"/>
    <w:rsid w:val="009149DF"/>
    <w:rsid w:val="009155CE"/>
    <w:rsid w:val="009158CB"/>
    <w:rsid w:val="00915A88"/>
    <w:rsid w:val="00915B9C"/>
    <w:rsid w:val="009160D6"/>
    <w:rsid w:val="0091674D"/>
    <w:rsid w:val="00916C90"/>
    <w:rsid w:val="0091707D"/>
    <w:rsid w:val="0091796C"/>
    <w:rsid w:val="00917AC2"/>
    <w:rsid w:val="00917AF8"/>
    <w:rsid w:val="00917B03"/>
    <w:rsid w:val="00920059"/>
    <w:rsid w:val="009203DF"/>
    <w:rsid w:val="00920554"/>
    <w:rsid w:val="009205AE"/>
    <w:rsid w:val="00920828"/>
    <w:rsid w:val="00920959"/>
    <w:rsid w:val="00920AD3"/>
    <w:rsid w:val="00920CDB"/>
    <w:rsid w:val="00921A0E"/>
    <w:rsid w:val="00922D1E"/>
    <w:rsid w:val="009236D1"/>
    <w:rsid w:val="0092398A"/>
    <w:rsid w:val="00924488"/>
    <w:rsid w:val="00924AB7"/>
    <w:rsid w:val="00925C9C"/>
    <w:rsid w:val="009269C7"/>
    <w:rsid w:val="00926CFA"/>
    <w:rsid w:val="009274F4"/>
    <w:rsid w:val="00927A08"/>
    <w:rsid w:val="00930793"/>
    <w:rsid w:val="009313ED"/>
    <w:rsid w:val="00932403"/>
    <w:rsid w:val="009326C1"/>
    <w:rsid w:val="009339B4"/>
    <w:rsid w:val="0093479B"/>
    <w:rsid w:val="00934831"/>
    <w:rsid w:val="00934834"/>
    <w:rsid w:val="00934B6C"/>
    <w:rsid w:val="00934D8A"/>
    <w:rsid w:val="009355DE"/>
    <w:rsid w:val="009366E3"/>
    <w:rsid w:val="0093670B"/>
    <w:rsid w:val="0093672B"/>
    <w:rsid w:val="00936C6C"/>
    <w:rsid w:val="009371E7"/>
    <w:rsid w:val="009375D3"/>
    <w:rsid w:val="0093796B"/>
    <w:rsid w:val="00937AF2"/>
    <w:rsid w:val="0093E558"/>
    <w:rsid w:val="00940575"/>
    <w:rsid w:val="00940918"/>
    <w:rsid w:val="009429B2"/>
    <w:rsid w:val="00942FA3"/>
    <w:rsid w:val="009448BB"/>
    <w:rsid w:val="00944F3B"/>
    <w:rsid w:val="00945565"/>
    <w:rsid w:val="00945D14"/>
    <w:rsid w:val="00946D7C"/>
    <w:rsid w:val="009503A4"/>
    <w:rsid w:val="00951421"/>
    <w:rsid w:val="0095147C"/>
    <w:rsid w:val="009518F9"/>
    <w:rsid w:val="0095232D"/>
    <w:rsid w:val="009525E7"/>
    <w:rsid w:val="00952605"/>
    <w:rsid w:val="00952B7D"/>
    <w:rsid w:val="00952CB3"/>
    <w:rsid w:val="00953303"/>
    <w:rsid w:val="009536B3"/>
    <w:rsid w:val="009536EC"/>
    <w:rsid w:val="00953B81"/>
    <w:rsid w:val="00953E54"/>
    <w:rsid w:val="00954526"/>
    <w:rsid w:val="00954687"/>
    <w:rsid w:val="00954DA6"/>
    <w:rsid w:val="00955C18"/>
    <w:rsid w:val="00956406"/>
    <w:rsid w:val="009575EB"/>
    <w:rsid w:val="009579FC"/>
    <w:rsid w:val="00960509"/>
    <w:rsid w:val="00960AFA"/>
    <w:rsid w:val="00960D7B"/>
    <w:rsid w:val="009617ED"/>
    <w:rsid w:val="00962714"/>
    <w:rsid w:val="00962D81"/>
    <w:rsid w:val="009633CF"/>
    <w:rsid w:val="009634B8"/>
    <w:rsid w:val="00963DD5"/>
    <w:rsid w:val="00963E85"/>
    <w:rsid w:val="00963E94"/>
    <w:rsid w:val="00963EE7"/>
    <w:rsid w:val="00964ECA"/>
    <w:rsid w:val="009652CC"/>
    <w:rsid w:val="009652E6"/>
    <w:rsid w:val="009655A4"/>
    <w:rsid w:val="0096583D"/>
    <w:rsid w:val="00966D1A"/>
    <w:rsid w:val="00966E4B"/>
    <w:rsid w:val="0096723E"/>
    <w:rsid w:val="00967C9F"/>
    <w:rsid w:val="00967E42"/>
    <w:rsid w:val="00970019"/>
    <w:rsid w:val="0097124C"/>
    <w:rsid w:val="0097159B"/>
    <w:rsid w:val="00971936"/>
    <w:rsid w:val="009719F3"/>
    <w:rsid w:val="00971CC2"/>
    <w:rsid w:val="00971F89"/>
    <w:rsid w:val="0097253F"/>
    <w:rsid w:val="00972836"/>
    <w:rsid w:val="00972854"/>
    <w:rsid w:val="009728AC"/>
    <w:rsid w:val="00972905"/>
    <w:rsid w:val="00972C20"/>
    <w:rsid w:val="0097312A"/>
    <w:rsid w:val="009734F3"/>
    <w:rsid w:val="0097403D"/>
    <w:rsid w:val="0097471D"/>
    <w:rsid w:val="00974738"/>
    <w:rsid w:val="00974B3B"/>
    <w:rsid w:val="00974DE0"/>
    <w:rsid w:val="00975E98"/>
    <w:rsid w:val="00976439"/>
    <w:rsid w:val="00976B33"/>
    <w:rsid w:val="00976FA4"/>
    <w:rsid w:val="00980831"/>
    <w:rsid w:val="009809C7"/>
    <w:rsid w:val="0098172A"/>
    <w:rsid w:val="00981B4D"/>
    <w:rsid w:val="00981E25"/>
    <w:rsid w:val="00981F97"/>
    <w:rsid w:val="00982377"/>
    <w:rsid w:val="009828D6"/>
    <w:rsid w:val="00983259"/>
    <w:rsid w:val="0098345A"/>
    <w:rsid w:val="0098390B"/>
    <w:rsid w:val="009844DD"/>
    <w:rsid w:val="00984583"/>
    <w:rsid w:val="00984E24"/>
    <w:rsid w:val="00984E34"/>
    <w:rsid w:val="009850B5"/>
    <w:rsid w:val="009854E9"/>
    <w:rsid w:val="00985584"/>
    <w:rsid w:val="00986278"/>
    <w:rsid w:val="00987598"/>
    <w:rsid w:val="00990A10"/>
    <w:rsid w:val="00991DFE"/>
    <w:rsid w:val="009924D0"/>
    <w:rsid w:val="00992727"/>
    <w:rsid w:val="00992F20"/>
    <w:rsid w:val="00993C9B"/>
    <w:rsid w:val="00994124"/>
    <w:rsid w:val="009948EC"/>
    <w:rsid w:val="009949E8"/>
    <w:rsid w:val="00995564"/>
    <w:rsid w:val="0099573E"/>
    <w:rsid w:val="00995D54"/>
    <w:rsid w:val="009960A6"/>
    <w:rsid w:val="00996776"/>
    <w:rsid w:val="00996ABF"/>
    <w:rsid w:val="00996DF7"/>
    <w:rsid w:val="0099709C"/>
    <w:rsid w:val="00997D5E"/>
    <w:rsid w:val="00997EEC"/>
    <w:rsid w:val="009A066F"/>
    <w:rsid w:val="009A0CAF"/>
    <w:rsid w:val="009A105E"/>
    <w:rsid w:val="009A114E"/>
    <w:rsid w:val="009A12B0"/>
    <w:rsid w:val="009A17F1"/>
    <w:rsid w:val="009A1F38"/>
    <w:rsid w:val="009A2CA8"/>
    <w:rsid w:val="009A39EA"/>
    <w:rsid w:val="009A3D8F"/>
    <w:rsid w:val="009A4096"/>
    <w:rsid w:val="009A487F"/>
    <w:rsid w:val="009A5B3F"/>
    <w:rsid w:val="009A5FC8"/>
    <w:rsid w:val="009A6A39"/>
    <w:rsid w:val="009A6E8C"/>
    <w:rsid w:val="009A71A8"/>
    <w:rsid w:val="009A75E2"/>
    <w:rsid w:val="009A78A8"/>
    <w:rsid w:val="009A7E03"/>
    <w:rsid w:val="009A7F13"/>
    <w:rsid w:val="009B0014"/>
    <w:rsid w:val="009B0811"/>
    <w:rsid w:val="009B14D8"/>
    <w:rsid w:val="009B1CC2"/>
    <w:rsid w:val="009B1F86"/>
    <w:rsid w:val="009B20F6"/>
    <w:rsid w:val="009B2746"/>
    <w:rsid w:val="009B2FDD"/>
    <w:rsid w:val="009B31DF"/>
    <w:rsid w:val="009B326B"/>
    <w:rsid w:val="009B37CD"/>
    <w:rsid w:val="009B39DD"/>
    <w:rsid w:val="009B3C47"/>
    <w:rsid w:val="009B3D42"/>
    <w:rsid w:val="009B3E13"/>
    <w:rsid w:val="009B42DC"/>
    <w:rsid w:val="009B4588"/>
    <w:rsid w:val="009B46EE"/>
    <w:rsid w:val="009B4968"/>
    <w:rsid w:val="009B4C13"/>
    <w:rsid w:val="009B5108"/>
    <w:rsid w:val="009B54BE"/>
    <w:rsid w:val="009B5BA4"/>
    <w:rsid w:val="009B5CD2"/>
    <w:rsid w:val="009B5ECE"/>
    <w:rsid w:val="009B6637"/>
    <w:rsid w:val="009B6728"/>
    <w:rsid w:val="009C0CAF"/>
    <w:rsid w:val="009C12B7"/>
    <w:rsid w:val="009C18AF"/>
    <w:rsid w:val="009C191B"/>
    <w:rsid w:val="009C1D05"/>
    <w:rsid w:val="009C22ED"/>
    <w:rsid w:val="009C271A"/>
    <w:rsid w:val="009C28FB"/>
    <w:rsid w:val="009C2D5D"/>
    <w:rsid w:val="009C2F7A"/>
    <w:rsid w:val="009C31BC"/>
    <w:rsid w:val="009C32E2"/>
    <w:rsid w:val="009C3615"/>
    <w:rsid w:val="009C395E"/>
    <w:rsid w:val="009C3A8D"/>
    <w:rsid w:val="009C3ED5"/>
    <w:rsid w:val="009C4071"/>
    <w:rsid w:val="009C4776"/>
    <w:rsid w:val="009C4793"/>
    <w:rsid w:val="009C47BD"/>
    <w:rsid w:val="009C4C41"/>
    <w:rsid w:val="009C5401"/>
    <w:rsid w:val="009C54AA"/>
    <w:rsid w:val="009C5F67"/>
    <w:rsid w:val="009C61BF"/>
    <w:rsid w:val="009C62CD"/>
    <w:rsid w:val="009C68DA"/>
    <w:rsid w:val="009C76AF"/>
    <w:rsid w:val="009D0049"/>
    <w:rsid w:val="009D1156"/>
    <w:rsid w:val="009D12E0"/>
    <w:rsid w:val="009D134F"/>
    <w:rsid w:val="009D1873"/>
    <w:rsid w:val="009D1F41"/>
    <w:rsid w:val="009D21EA"/>
    <w:rsid w:val="009D241D"/>
    <w:rsid w:val="009D366B"/>
    <w:rsid w:val="009D3747"/>
    <w:rsid w:val="009D38D6"/>
    <w:rsid w:val="009D3CB4"/>
    <w:rsid w:val="009D429F"/>
    <w:rsid w:val="009D48C4"/>
    <w:rsid w:val="009D56FA"/>
    <w:rsid w:val="009D590B"/>
    <w:rsid w:val="009D66EF"/>
    <w:rsid w:val="009D6795"/>
    <w:rsid w:val="009D70BC"/>
    <w:rsid w:val="009D7847"/>
    <w:rsid w:val="009E0487"/>
    <w:rsid w:val="009E0982"/>
    <w:rsid w:val="009E0AD6"/>
    <w:rsid w:val="009E0BFA"/>
    <w:rsid w:val="009E0C49"/>
    <w:rsid w:val="009E0D9D"/>
    <w:rsid w:val="009E1861"/>
    <w:rsid w:val="009E205A"/>
    <w:rsid w:val="009E2361"/>
    <w:rsid w:val="009E30A7"/>
    <w:rsid w:val="009E3C99"/>
    <w:rsid w:val="009E3D60"/>
    <w:rsid w:val="009E56F5"/>
    <w:rsid w:val="009E5889"/>
    <w:rsid w:val="009E5AD3"/>
    <w:rsid w:val="009E5FD1"/>
    <w:rsid w:val="009E5FDD"/>
    <w:rsid w:val="009E609B"/>
    <w:rsid w:val="009E60AC"/>
    <w:rsid w:val="009E6A19"/>
    <w:rsid w:val="009E6AB7"/>
    <w:rsid w:val="009E6EAE"/>
    <w:rsid w:val="009E6F19"/>
    <w:rsid w:val="009E701A"/>
    <w:rsid w:val="009E703E"/>
    <w:rsid w:val="009E725B"/>
    <w:rsid w:val="009E78A4"/>
    <w:rsid w:val="009E78B9"/>
    <w:rsid w:val="009E7FBB"/>
    <w:rsid w:val="009F021C"/>
    <w:rsid w:val="009F02D5"/>
    <w:rsid w:val="009F04B2"/>
    <w:rsid w:val="009F0F66"/>
    <w:rsid w:val="009F1E7A"/>
    <w:rsid w:val="009F23CD"/>
    <w:rsid w:val="009F2688"/>
    <w:rsid w:val="009F2A4D"/>
    <w:rsid w:val="009F3227"/>
    <w:rsid w:val="009F361B"/>
    <w:rsid w:val="009F36BA"/>
    <w:rsid w:val="009F3DC5"/>
    <w:rsid w:val="009F48EE"/>
    <w:rsid w:val="009F4D0F"/>
    <w:rsid w:val="009F590F"/>
    <w:rsid w:val="009F5E25"/>
    <w:rsid w:val="009F61C0"/>
    <w:rsid w:val="009F6A1D"/>
    <w:rsid w:val="009F6A81"/>
    <w:rsid w:val="009F7298"/>
    <w:rsid w:val="009F7951"/>
    <w:rsid w:val="009F7E5C"/>
    <w:rsid w:val="00A005C5"/>
    <w:rsid w:val="00A00838"/>
    <w:rsid w:val="00A0093C"/>
    <w:rsid w:val="00A00D47"/>
    <w:rsid w:val="00A01001"/>
    <w:rsid w:val="00A01158"/>
    <w:rsid w:val="00A01F19"/>
    <w:rsid w:val="00A021BA"/>
    <w:rsid w:val="00A0233A"/>
    <w:rsid w:val="00A03056"/>
    <w:rsid w:val="00A0365C"/>
    <w:rsid w:val="00A038F5"/>
    <w:rsid w:val="00A04630"/>
    <w:rsid w:val="00A04D1D"/>
    <w:rsid w:val="00A05834"/>
    <w:rsid w:val="00A05B68"/>
    <w:rsid w:val="00A0603A"/>
    <w:rsid w:val="00A0688E"/>
    <w:rsid w:val="00A06ABD"/>
    <w:rsid w:val="00A07799"/>
    <w:rsid w:val="00A10B0C"/>
    <w:rsid w:val="00A111D6"/>
    <w:rsid w:val="00A11200"/>
    <w:rsid w:val="00A11962"/>
    <w:rsid w:val="00A11A8D"/>
    <w:rsid w:val="00A12397"/>
    <w:rsid w:val="00A124D4"/>
    <w:rsid w:val="00A129A3"/>
    <w:rsid w:val="00A12F54"/>
    <w:rsid w:val="00A13318"/>
    <w:rsid w:val="00A13FF9"/>
    <w:rsid w:val="00A1417F"/>
    <w:rsid w:val="00A14CD9"/>
    <w:rsid w:val="00A15280"/>
    <w:rsid w:val="00A15670"/>
    <w:rsid w:val="00A15788"/>
    <w:rsid w:val="00A15B8D"/>
    <w:rsid w:val="00A15DC8"/>
    <w:rsid w:val="00A16042"/>
    <w:rsid w:val="00A161B7"/>
    <w:rsid w:val="00A162F5"/>
    <w:rsid w:val="00A16423"/>
    <w:rsid w:val="00A165BB"/>
    <w:rsid w:val="00A168E9"/>
    <w:rsid w:val="00A169B6"/>
    <w:rsid w:val="00A1710E"/>
    <w:rsid w:val="00A17381"/>
    <w:rsid w:val="00A17A3E"/>
    <w:rsid w:val="00A2019E"/>
    <w:rsid w:val="00A2151D"/>
    <w:rsid w:val="00A21E6B"/>
    <w:rsid w:val="00A225EE"/>
    <w:rsid w:val="00A22968"/>
    <w:rsid w:val="00A2296E"/>
    <w:rsid w:val="00A22FBD"/>
    <w:rsid w:val="00A23448"/>
    <w:rsid w:val="00A23596"/>
    <w:rsid w:val="00A237DC"/>
    <w:rsid w:val="00A23BCC"/>
    <w:rsid w:val="00A241FB"/>
    <w:rsid w:val="00A2441C"/>
    <w:rsid w:val="00A24D7D"/>
    <w:rsid w:val="00A24EAC"/>
    <w:rsid w:val="00A25B88"/>
    <w:rsid w:val="00A25C29"/>
    <w:rsid w:val="00A25C53"/>
    <w:rsid w:val="00A2623E"/>
    <w:rsid w:val="00A2633C"/>
    <w:rsid w:val="00A26690"/>
    <w:rsid w:val="00A2694B"/>
    <w:rsid w:val="00A26BED"/>
    <w:rsid w:val="00A26D5D"/>
    <w:rsid w:val="00A27317"/>
    <w:rsid w:val="00A27686"/>
    <w:rsid w:val="00A27803"/>
    <w:rsid w:val="00A27B91"/>
    <w:rsid w:val="00A27E03"/>
    <w:rsid w:val="00A30119"/>
    <w:rsid w:val="00A302F7"/>
    <w:rsid w:val="00A30705"/>
    <w:rsid w:val="00A307E2"/>
    <w:rsid w:val="00A30C9F"/>
    <w:rsid w:val="00A314B1"/>
    <w:rsid w:val="00A31637"/>
    <w:rsid w:val="00A316DF"/>
    <w:rsid w:val="00A316F8"/>
    <w:rsid w:val="00A31BE5"/>
    <w:rsid w:val="00A31FF9"/>
    <w:rsid w:val="00A33CA3"/>
    <w:rsid w:val="00A33E9E"/>
    <w:rsid w:val="00A341E9"/>
    <w:rsid w:val="00A34200"/>
    <w:rsid w:val="00A34660"/>
    <w:rsid w:val="00A3495D"/>
    <w:rsid w:val="00A354C8"/>
    <w:rsid w:val="00A3648B"/>
    <w:rsid w:val="00A36788"/>
    <w:rsid w:val="00A367BE"/>
    <w:rsid w:val="00A36A6E"/>
    <w:rsid w:val="00A36AC1"/>
    <w:rsid w:val="00A37A99"/>
    <w:rsid w:val="00A37AB8"/>
    <w:rsid w:val="00A402C6"/>
    <w:rsid w:val="00A407BF"/>
    <w:rsid w:val="00A40AF5"/>
    <w:rsid w:val="00A40EDB"/>
    <w:rsid w:val="00A41197"/>
    <w:rsid w:val="00A4209A"/>
    <w:rsid w:val="00A42326"/>
    <w:rsid w:val="00A42AFD"/>
    <w:rsid w:val="00A430F6"/>
    <w:rsid w:val="00A43232"/>
    <w:rsid w:val="00A437B5"/>
    <w:rsid w:val="00A4386A"/>
    <w:rsid w:val="00A446EF"/>
    <w:rsid w:val="00A4471E"/>
    <w:rsid w:val="00A44818"/>
    <w:rsid w:val="00A456D3"/>
    <w:rsid w:val="00A45A50"/>
    <w:rsid w:val="00A45B9C"/>
    <w:rsid w:val="00A45E0B"/>
    <w:rsid w:val="00A46510"/>
    <w:rsid w:val="00A46E16"/>
    <w:rsid w:val="00A474C8"/>
    <w:rsid w:val="00A50B07"/>
    <w:rsid w:val="00A50FFE"/>
    <w:rsid w:val="00A516D6"/>
    <w:rsid w:val="00A5216A"/>
    <w:rsid w:val="00A5292C"/>
    <w:rsid w:val="00A529FC"/>
    <w:rsid w:val="00A52FB2"/>
    <w:rsid w:val="00A53600"/>
    <w:rsid w:val="00A5407A"/>
    <w:rsid w:val="00A549AF"/>
    <w:rsid w:val="00A54A2F"/>
    <w:rsid w:val="00A54F15"/>
    <w:rsid w:val="00A55A55"/>
    <w:rsid w:val="00A56B46"/>
    <w:rsid w:val="00A56E6E"/>
    <w:rsid w:val="00A573A6"/>
    <w:rsid w:val="00A5768B"/>
    <w:rsid w:val="00A5771A"/>
    <w:rsid w:val="00A57BF9"/>
    <w:rsid w:val="00A57CDA"/>
    <w:rsid w:val="00A60026"/>
    <w:rsid w:val="00A60D09"/>
    <w:rsid w:val="00A612D7"/>
    <w:rsid w:val="00A619AC"/>
    <w:rsid w:val="00A61C43"/>
    <w:rsid w:val="00A621E3"/>
    <w:rsid w:val="00A62765"/>
    <w:rsid w:val="00A62A06"/>
    <w:rsid w:val="00A62A43"/>
    <w:rsid w:val="00A62B33"/>
    <w:rsid w:val="00A62D01"/>
    <w:rsid w:val="00A6349B"/>
    <w:rsid w:val="00A635D9"/>
    <w:rsid w:val="00A63BB2"/>
    <w:rsid w:val="00A65065"/>
    <w:rsid w:val="00A65772"/>
    <w:rsid w:val="00A65782"/>
    <w:rsid w:val="00A65CCB"/>
    <w:rsid w:val="00A66C6E"/>
    <w:rsid w:val="00A66C89"/>
    <w:rsid w:val="00A67EDF"/>
    <w:rsid w:val="00A67FD9"/>
    <w:rsid w:val="00A70231"/>
    <w:rsid w:val="00A70294"/>
    <w:rsid w:val="00A703F7"/>
    <w:rsid w:val="00A704C2"/>
    <w:rsid w:val="00A70776"/>
    <w:rsid w:val="00A7118B"/>
    <w:rsid w:val="00A71B22"/>
    <w:rsid w:val="00A7204B"/>
    <w:rsid w:val="00A72707"/>
    <w:rsid w:val="00A72732"/>
    <w:rsid w:val="00A7389A"/>
    <w:rsid w:val="00A73D61"/>
    <w:rsid w:val="00A73FD8"/>
    <w:rsid w:val="00A74072"/>
    <w:rsid w:val="00A74434"/>
    <w:rsid w:val="00A746C3"/>
    <w:rsid w:val="00A74A19"/>
    <w:rsid w:val="00A75005"/>
    <w:rsid w:val="00A7501A"/>
    <w:rsid w:val="00A759D7"/>
    <w:rsid w:val="00A767A8"/>
    <w:rsid w:val="00A76AEA"/>
    <w:rsid w:val="00A76E4C"/>
    <w:rsid w:val="00A76EF2"/>
    <w:rsid w:val="00A76F27"/>
    <w:rsid w:val="00A770DA"/>
    <w:rsid w:val="00A7715D"/>
    <w:rsid w:val="00A77B5C"/>
    <w:rsid w:val="00A77DB8"/>
    <w:rsid w:val="00A77E91"/>
    <w:rsid w:val="00A8033E"/>
    <w:rsid w:val="00A80384"/>
    <w:rsid w:val="00A82006"/>
    <w:rsid w:val="00A8220F"/>
    <w:rsid w:val="00A8239D"/>
    <w:rsid w:val="00A823E6"/>
    <w:rsid w:val="00A829EB"/>
    <w:rsid w:val="00A82C01"/>
    <w:rsid w:val="00A82FD9"/>
    <w:rsid w:val="00A83A40"/>
    <w:rsid w:val="00A84342"/>
    <w:rsid w:val="00A843FD"/>
    <w:rsid w:val="00A8461E"/>
    <w:rsid w:val="00A8479F"/>
    <w:rsid w:val="00A84E38"/>
    <w:rsid w:val="00A84F19"/>
    <w:rsid w:val="00A85419"/>
    <w:rsid w:val="00A8556F"/>
    <w:rsid w:val="00A85C8C"/>
    <w:rsid w:val="00A85D3B"/>
    <w:rsid w:val="00A86816"/>
    <w:rsid w:val="00A868A2"/>
    <w:rsid w:val="00A86D15"/>
    <w:rsid w:val="00A90E2B"/>
    <w:rsid w:val="00A9117E"/>
    <w:rsid w:val="00A915A3"/>
    <w:rsid w:val="00A92730"/>
    <w:rsid w:val="00A927FA"/>
    <w:rsid w:val="00A93AB8"/>
    <w:rsid w:val="00A93B75"/>
    <w:rsid w:val="00A93D3C"/>
    <w:rsid w:val="00A946EA"/>
    <w:rsid w:val="00A9491E"/>
    <w:rsid w:val="00A968C3"/>
    <w:rsid w:val="00A969B3"/>
    <w:rsid w:val="00A96E4A"/>
    <w:rsid w:val="00A96FE2"/>
    <w:rsid w:val="00AA00EB"/>
    <w:rsid w:val="00AA08C6"/>
    <w:rsid w:val="00AA13DE"/>
    <w:rsid w:val="00AA1708"/>
    <w:rsid w:val="00AA1ADE"/>
    <w:rsid w:val="00AA2083"/>
    <w:rsid w:val="00AA232A"/>
    <w:rsid w:val="00AA23BC"/>
    <w:rsid w:val="00AA2ABF"/>
    <w:rsid w:val="00AA2AD1"/>
    <w:rsid w:val="00AA3824"/>
    <w:rsid w:val="00AA4A4D"/>
    <w:rsid w:val="00AA4F92"/>
    <w:rsid w:val="00AA5E88"/>
    <w:rsid w:val="00AA6309"/>
    <w:rsid w:val="00AA6586"/>
    <w:rsid w:val="00AA67F6"/>
    <w:rsid w:val="00AA6D24"/>
    <w:rsid w:val="00AA6E3F"/>
    <w:rsid w:val="00AA6F05"/>
    <w:rsid w:val="00AA7317"/>
    <w:rsid w:val="00AA743A"/>
    <w:rsid w:val="00AA777E"/>
    <w:rsid w:val="00AA780B"/>
    <w:rsid w:val="00AA7928"/>
    <w:rsid w:val="00AB0309"/>
    <w:rsid w:val="00AB060C"/>
    <w:rsid w:val="00AB07D7"/>
    <w:rsid w:val="00AB0CFB"/>
    <w:rsid w:val="00AB1054"/>
    <w:rsid w:val="00AB1DF8"/>
    <w:rsid w:val="00AB3968"/>
    <w:rsid w:val="00AB39EA"/>
    <w:rsid w:val="00AB412A"/>
    <w:rsid w:val="00AB4E20"/>
    <w:rsid w:val="00AB4E42"/>
    <w:rsid w:val="00AB4FFE"/>
    <w:rsid w:val="00AB525F"/>
    <w:rsid w:val="00AB53ED"/>
    <w:rsid w:val="00AB589C"/>
    <w:rsid w:val="00AB5942"/>
    <w:rsid w:val="00AB627F"/>
    <w:rsid w:val="00AB647E"/>
    <w:rsid w:val="00AB6615"/>
    <w:rsid w:val="00AB6A99"/>
    <w:rsid w:val="00AB78E3"/>
    <w:rsid w:val="00AB7A30"/>
    <w:rsid w:val="00AC050A"/>
    <w:rsid w:val="00AC0658"/>
    <w:rsid w:val="00AC1110"/>
    <w:rsid w:val="00AC2545"/>
    <w:rsid w:val="00AC26EB"/>
    <w:rsid w:val="00AC2B00"/>
    <w:rsid w:val="00AC30B4"/>
    <w:rsid w:val="00AC315F"/>
    <w:rsid w:val="00AC3256"/>
    <w:rsid w:val="00AC44CF"/>
    <w:rsid w:val="00AC4E6B"/>
    <w:rsid w:val="00AC5E31"/>
    <w:rsid w:val="00AC6571"/>
    <w:rsid w:val="00AC6BA8"/>
    <w:rsid w:val="00AC6CFE"/>
    <w:rsid w:val="00AC749F"/>
    <w:rsid w:val="00AC7823"/>
    <w:rsid w:val="00AC7CA2"/>
    <w:rsid w:val="00AC7E7A"/>
    <w:rsid w:val="00AC7EB3"/>
    <w:rsid w:val="00AD0156"/>
    <w:rsid w:val="00AD054A"/>
    <w:rsid w:val="00AD0B2B"/>
    <w:rsid w:val="00AD0B69"/>
    <w:rsid w:val="00AD0E92"/>
    <w:rsid w:val="00AD0E97"/>
    <w:rsid w:val="00AD1C25"/>
    <w:rsid w:val="00AD1DC8"/>
    <w:rsid w:val="00AD21A0"/>
    <w:rsid w:val="00AD2C7C"/>
    <w:rsid w:val="00AD2EE5"/>
    <w:rsid w:val="00AD3349"/>
    <w:rsid w:val="00AD39A7"/>
    <w:rsid w:val="00AD39D8"/>
    <w:rsid w:val="00AD42E4"/>
    <w:rsid w:val="00AD47B5"/>
    <w:rsid w:val="00AD5B8C"/>
    <w:rsid w:val="00AD5CAE"/>
    <w:rsid w:val="00AD5DAF"/>
    <w:rsid w:val="00AD6167"/>
    <w:rsid w:val="00AD61C0"/>
    <w:rsid w:val="00AD62E5"/>
    <w:rsid w:val="00AD63D9"/>
    <w:rsid w:val="00AD6851"/>
    <w:rsid w:val="00AD68A3"/>
    <w:rsid w:val="00AD6B1D"/>
    <w:rsid w:val="00AD6BE3"/>
    <w:rsid w:val="00AD6D6D"/>
    <w:rsid w:val="00AD7439"/>
    <w:rsid w:val="00AD7622"/>
    <w:rsid w:val="00AD7D65"/>
    <w:rsid w:val="00AE01BC"/>
    <w:rsid w:val="00AE0B0D"/>
    <w:rsid w:val="00AE1C6B"/>
    <w:rsid w:val="00AE244B"/>
    <w:rsid w:val="00AE32AD"/>
    <w:rsid w:val="00AE3BF3"/>
    <w:rsid w:val="00AE411C"/>
    <w:rsid w:val="00AE44DE"/>
    <w:rsid w:val="00AE45A5"/>
    <w:rsid w:val="00AE4901"/>
    <w:rsid w:val="00AE51F7"/>
    <w:rsid w:val="00AE547C"/>
    <w:rsid w:val="00AE5617"/>
    <w:rsid w:val="00AE5A0A"/>
    <w:rsid w:val="00AE6296"/>
    <w:rsid w:val="00AE6858"/>
    <w:rsid w:val="00AE70B0"/>
    <w:rsid w:val="00AE767F"/>
    <w:rsid w:val="00AF0754"/>
    <w:rsid w:val="00AF0A55"/>
    <w:rsid w:val="00AF165C"/>
    <w:rsid w:val="00AF24E7"/>
    <w:rsid w:val="00AF2519"/>
    <w:rsid w:val="00AF3421"/>
    <w:rsid w:val="00AF3B09"/>
    <w:rsid w:val="00AF40A4"/>
    <w:rsid w:val="00AF47EF"/>
    <w:rsid w:val="00AF4B47"/>
    <w:rsid w:val="00AF5F4C"/>
    <w:rsid w:val="00AF6C23"/>
    <w:rsid w:val="00AF6FAE"/>
    <w:rsid w:val="00AF7143"/>
    <w:rsid w:val="00AF7A23"/>
    <w:rsid w:val="00AF7E42"/>
    <w:rsid w:val="00B0053C"/>
    <w:rsid w:val="00B00816"/>
    <w:rsid w:val="00B00884"/>
    <w:rsid w:val="00B00C4A"/>
    <w:rsid w:val="00B00FA5"/>
    <w:rsid w:val="00B0210E"/>
    <w:rsid w:val="00B026BF"/>
    <w:rsid w:val="00B02FC8"/>
    <w:rsid w:val="00B0331B"/>
    <w:rsid w:val="00B035B3"/>
    <w:rsid w:val="00B0361A"/>
    <w:rsid w:val="00B0366B"/>
    <w:rsid w:val="00B039D9"/>
    <w:rsid w:val="00B03AB7"/>
    <w:rsid w:val="00B03F0B"/>
    <w:rsid w:val="00B0449C"/>
    <w:rsid w:val="00B04CCC"/>
    <w:rsid w:val="00B05776"/>
    <w:rsid w:val="00B058CC"/>
    <w:rsid w:val="00B05A10"/>
    <w:rsid w:val="00B05C27"/>
    <w:rsid w:val="00B05E2F"/>
    <w:rsid w:val="00B06820"/>
    <w:rsid w:val="00B068D6"/>
    <w:rsid w:val="00B069E9"/>
    <w:rsid w:val="00B073F5"/>
    <w:rsid w:val="00B07DE9"/>
    <w:rsid w:val="00B07E79"/>
    <w:rsid w:val="00B10251"/>
    <w:rsid w:val="00B111AA"/>
    <w:rsid w:val="00B1144E"/>
    <w:rsid w:val="00B115AE"/>
    <w:rsid w:val="00B115CC"/>
    <w:rsid w:val="00B11948"/>
    <w:rsid w:val="00B12665"/>
    <w:rsid w:val="00B12BCD"/>
    <w:rsid w:val="00B12C45"/>
    <w:rsid w:val="00B12E80"/>
    <w:rsid w:val="00B1335B"/>
    <w:rsid w:val="00B135DE"/>
    <w:rsid w:val="00B1432B"/>
    <w:rsid w:val="00B14412"/>
    <w:rsid w:val="00B144B4"/>
    <w:rsid w:val="00B146CC"/>
    <w:rsid w:val="00B1473A"/>
    <w:rsid w:val="00B1496E"/>
    <w:rsid w:val="00B14EDA"/>
    <w:rsid w:val="00B1501A"/>
    <w:rsid w:val="00B15525"/>
    <w:rsid w:val="00B15A70"/>
    <w:rsid w:val="00B15C27"/>
    <w:rsid w:val="00B17029"/>
    <w:rsid w:val="00B17278"/>
    <w:rsid w:val="00B173DC"/>
    <w:rsid w:val="00B20BF2"/>
    <w:rsid w:val="00B2118C"/>
    <w:rsid w:val="00B21E75"/>
    <w:rsid w:val="00B22316"/>
    <w:rsid w:val="00B22473"/>
    <w:rsid w:val="00B2249B"/>
    <w:rsid w:val="00B22540"/>
    <w:rsid w:val="00B22A36"/>
    <w:rsid w:val="00B23293"/>
    <w:rsid w:val="00B234F1"/>
    <w:rsid w:val="00B234F7"/>
    <w:rsid w:val="00B23D2B"/>
    <w:rsid w:val="00B23D8F"/>
    <w:rsid w:val="00B24273"/>
    <w:rsid w:val="00B24328"/>
    <w:rsid w:val="00B246D5"/>
    <w:rsid w:val="00B24A58"/>
    <w:rsid w:val="00B2510F"/>
    <w:rsid w:val="00B2536B"/>
    <w:rsid w:val="00B254FC"/>
    <w:rsid w:val="00B25F48"/>
    <w:rsid w:val="00B26751"/>
    <w:rsid w:val="00B26B71"/>
    <w:rsid w:val="00B26CF1"/>
    <w:rsid w:val="00B276E4"/>
    <w:rsid w:val="00B279E3"/>
    <w:rsid w:val="00B324DB"/>
    <w:rsid w:val="00B32551"/>
    <w:rsid w:val="00B326C3"/>
    <w:rsid w:val="00B328EE"/>
    <w:rsid w:val="00B32909"/>
    <w:rsid w:val="00B32986"/>
    <w:rsid w:val="00B32D80"/>
    <w:rsid w:val="00B339E2"/>
    <w:rsid w:val="00B33D36"/>
    <w:rsid w:val="00B33D3A"/>
    <w:rsid w:val="00B342E4"/>
    <w:rsid w:val="00B34466"/>
    <w:rsid w:val="00B35E12"/>
    <w:rsid w:val="00B35E37"/>
    <w:rsid w:val="00B361B8"/>
    <w:rsid w:val="00B3637D"/>
    <w:rsid w:val="00B363AA"/>
    <w:rsid w:val="00B367B9"/>
    <w:rsid w:val="00B37264"/>
    <w:rsid w:val="00B37642"/>
    <w:rsid w:val="00B37787"/>
    <w:rsid w:val="00B37A02"/>
    <w:rsid w:val="00B40973"/>
    <w:rsid w:val="00B40A57"/>
    <w:rsid w:val="00B40B74"/>
    <w:rsid w:val="00B40DDD"/>
    <w:rsid w:val="00B4105D"/>
    <w:rsid w:val="00B41613"/>
    <w:rsid w:val="00B4161D"/>
    <w:rsid w:val="00B419D9"/>
    <w:rsid w:val="00B41B2B"/>
    <w:rsid w:val="00B41ED4"/>
    <w:rsid w:val="00B42347"/>
    <w:rsid w:val="00B42AED"/>
    <w:rsid w:val="00B42B01"/>
    <w:rsid w:val="00B42CC7"/>
    <w:rsid w:val="00B448D5"/>
    <w:rsid w:val="00B4493E"/>
    <w:rsid w:val="00B44A5E"/>
    <w:rsid w:val="00B44C35"/>
    <w:rsid w:val="00B4520F"/>
    <w:rsid w:val="00B45410"/>
    <w:rsid w:val="00B455C3"/>
    <w:rsid w:val="00B45706"/>
    <w:rsid w:val="00B4581E"/>
    <w:rsid w:val="00B45BD3"/>
    <w:rsid w:val="00B45F0F"/>
    <w:rsid w:val="00B464A5"/>
    <w:rsid w:val="00B4681D"/>
    <w:rsid w:val="00B46D01"/>
    <w:rsid w:val="00B47273"/>
    <w:rsid w:val="00B501FE"/>
    <w:rsid w:val="00B50D90"/>
    <w:rsid w:val="00B50E8B"/>
    <w:rsid w:val="00B513B5"/>
    <w:rsid w:val="00B514CD"/>
    <w:rsid w:val="00B51DCB"/>
    <w:rsid w:val="00B52A56"/>
    <w:rsid w:val="00B52A66"/>
    <w:rsid w:val="00B53C91"/>
    <w:rsid w:val="00B53DD1"/>
    <w:rsid w:val="00B540AC"/>
    <w:rsid w:val="00B545EE"/>
    <w:rsid w:val="00B54B6A"/>
    <w:rsid w:val="00B54C7C"/>
    <w:rsid w:val="00B556A0"/>
    <w:rsid w:val="00B560A4"/>
    <w:rsid w:val="00B56A2B"/>
    <w:rsid w:val="00B57820"/>
    <w:rsid w:val="00B57BBF"/>
    <w:rsid w:val="00B57E86"/>
    <w:rsid w:val="00B60046"/>
    <w:rsid w:val="00B60929"/>
    <w:rsid w:val="00B60AD6"/>
    <w:rsid w:val="00B60B79"/>
    <w:rsid w:val="00B60C1E"/>
    <w:rsid w:val="00B61113"/>
    <w:rsid w:val="00B6125B"/>
    <w:rsid w:val="00B613A2"/>
    <w:rsid w:val="00B62535"/>
    <w:rsid w:val="00B634AB"/>
    <w:rsid w:val="00B635E0"/>
    <w:rsid w:val="00B63671"/>
    <w:rsid w:val="00B6387C"/>
    <w:rsid w:val="00B649BF"/>
    <w:rsid w:val="00B64A50"/>
    <w:rsid w:val="00B64B30"/>
    <w:rsid w:val="00B6553B"/>
    <w:rsid w:val="00B65558"/>
    <w:rsid w:val="00B6563D"/>
    <w:rsid w:val="00B65760"/>
    <w:rsid w:val="00B65795"/>
    <w:rsid w:val="00B65E36"/>
    <w:rsid w:val="00B65E79"/>
    <w:rsid w:val="00B6794C"/>
    <w:rsid w:val="00B67C3C"/>
    <w:rsid w:val="00B70C16"/>
    <w:rsid w:val="00B70DCD"/>
    <w:rsid w:val="00B712E3"/>
    <w:rsid w:val="00B7178E"/>
    <w:rsid w:val="00B719A7"/>
    <w:rsid w:val="00B71A3C"/>
    <w:rsid w:val="00B72E5C"/>
    <w:rsid w:val="00B73492"/>
    <w:rsid w:val="00B735A1"/>
    <w:rsid w:val="00B73650"/>
    <w:rsid w:val="00B742EE"/>
    <w:rsid w:val="00B755E9"/>
    <w:rsid w:val="00B75662"/>
    <w:rsid w:val="00B760A5"/>
    <w:rsid w:val="00B763E6"/>
    <w:rsid w:val="00B76875"/>
    <w:rsid w:val="00B76F47"/>
    <w:rsid w:val="00B770A7"/>
    <w:rsid w:val="00B7718B"/>
    <w:rsid w:val="00B77BC2"/>
    <w:rsid w:val="00B77DFB"/>
    <w:rsid w:val="00B77EDC"/>
    <w:rsid w:val="00B77F07"/>
    <w:rsid w:val="00B801A4"/>
    <w:rsid w:val="00B8058B"/>
    <w:rsid w:val="00B806CB"/>
    <w:rsid w:val="00B806F1"/>
    <w:rsid w:val="00B80A49"/>
    <w:rsid w:val="00B80EED"/>
    <w:rsid w:val="00B8125C"/>
    <w:rsid w:val="00B81693"/>
    <w:rsid w:val="00B81F38"/>
    <w:rsid w:val="00B8218A"/>
    <w:rsid w:val="00B827B7"/>
    <w:rsid w:val="00B827F6"/>
    <w:rsid w:val="00B82A9C"/>
    <w:rsid w:val="00B83542"/>
    <w:rsid w:val="00B842B6"/>
    <w:rsid w:val="00B84754"/>
    <w:rsid w:val="00B84CD1"/>
    <w:rsid w:val="00B84EB2"/>
    <w:rsid w:val="00B852C4"/>
    <w:rsid w:val="00B859F7"/>
    <w:rsid w:val="00B85FA9"/>
    <w:rsid w:val="00B8652C"/>
    <w:rsid w:val="00B876D1"/>
    <w:rsid w:val="00B90438"/>
    <w:rsid w:val="00B90494"/>
    <w:rsid w:val="00B90772"/>
    <w:rsid w:val="00B908A1"/>
    <w:rsid w:val="00B91236"/>
    <w:rsid w:val="00B9195B"/>
    <w:rsid w:val="00B91B86"/>
    <w:rsid w:val="00B9379D"/>
    <w:rsid w:val="00B94A07"/>
    <w:rsid w:val="00B94DD3"/>
    <w:rsid w:val="00B950E1"/>
    <w:rsid w:val="00B95FC6"/>
    <w:rsid w:val="00B961D3"/>
    <w:rsid w:val="00B9644D"/>
    <w:rsid w:val="00B96480"/>
    <w:rsid w:val="00B96A7A"/>
    <w:rsid w:val="00B96C18"/>
    <w:rsid w:val="00B9718A"/>
    <w:rsid w:val="00B97880"/>
    <w:rsid w:val="00B97CC9"/>
    <w:rsid w:val="00BA04E3"/>
    <w:rsid w:val="00BA0BCA"/>
    <w:rsid w:val="00BA1550"/>
    <w:rsid w:val="00BA1675"/>
    <w:rsid w:val="00BA16A5"/>
    <w:rsid w:val="00BA18E0"/>
    <w:rsid w:val="00BA22FC"/>
    <w:rsid w:val="00BA24EE"/>
    <w:rsid w:val="00BA294B"/>
    <w:rsid w:val="00BA3E10"/>
    <w:rsid w:val="00BA5198"/>
    <w:rsid w:val="00BA54DC"/>
    <w:rsid w:val="00BA653D"/>
    <w:rsid w:val="00BA6687"/>
    <w:rsid w:val="00BA690F"/>
    <w:rsid w:val="00BA6B99"/>
    <w:rsid w:val="00BA7750"/>
    <w:rsid w:val="00BB0349"/>
    <w:rsid w:val="00BB0582"/>
    <w:rsid w:val="00BB0A11"/>
    <w:rsid w:val="00BB0D51"/>
    <w:rsid w:val="00BB10D7"/>
    <w:rsid w:val="00BB1172"/>
    <w:rsid w:val="00BB14EA"/>
    <w:rsid w:val="00BB150E"/>
    <w:rsid w:val="00BB15BC"/>
    <w:rsid w:val="00BB19AD"/>
    <w:rsid w:val="00BB1FF3"/>
    <w:rsid w:val="00BB2874"/>
    <w:rsid w:val="00BB2ABF"/>
    <w:rsid w:val="00BB3049"/>
    <w:rsid w:val="00BB37C4"/>
    <w:rsid w:val="00BB3E9A"/>
    <w:rsid w:val="00BB4002"/>
    <w:rsid w:val="00BB449A"/>
    <w:rsid w:val="00BB66EB"/>
    <w:rsid w:val="00BB66F3"/>
    <w:rsid w:val="00BB698E"/>
    <w:rsid w:val="00BB6C6E"/>
    <w:rsid w:val="00BB7932"/>
    <w:rsid w:val="00BB7A51"/>
    <w:rsid w:val="00BC02C6"/>
    <w:rsid w:val="00BC02EA"/>
    <w:rsid w:val="00BC031C"/>
    <w:rsid w:val="00BC040E"/>
    <w:rsid w:val="00BC087C"/>
    <w:rsid w:val="00BC0958"/>
    <w:rsid w:val="00BC0D2B"/>
    <w:rsid w:val="00BC0E97"/>
    <w:rsid w:val="00BC1A4E"/>
    <w:rsid w:val="00BC1BAE"/>
    <w:rsid w:val="00BC2FEC"/>
    <w:rsid w:val="00BC3101"/>
    <w:rsid w:val="00BC3369"/>
    <w:rsid w:val="00BC3801"/>
    <w:rsid w:val="00BC3822"/>
    <w:rsid w:val="00BC39C4"/>
    <w:rsid w:val="00BC440F"/>
    <w:rsid w:val="00BC480F"/>
    <w:rsid w:val="00BC4970"/>
    <w:rsid w:val="00BC51DC"/>
    <w:rsid w:val="00BC5637"/>
    <w:rsid w:val="00BC5CB6"/>
    <w:rsid w:val="00BC61AE"/>
    <w:rsid w:val="00BC644E"/>
    <w:rsid w:val="00BC655A"/>
    <w:rsid w:val="00BC6956"/>
    <w:rsid w:val="00BC724A"/>
    <w:rsid w:val="00BC7CB2"/>
    <w:rsid w:val="00BD080E"/>
    <w:rsid w:val="00BD0CAD"/>
    <w:rsid w:val="00BD0DC4"/>
    <w:rsid w:val="00BD0E7B"/>
    <w:rsid w:val="00BD1201"/>
    <w:rsid w:val="00BD2B46"/>
    <w:rsid w:val="00BD30C9"/>
    <w:rsid w:val="00BD36A7"/>
    <w:rsid w:val="00BD39BC"/>
    <w:rsid w:val="00BD3ACB"/>
    <w:rsid w:val="00BD3E1D"/>
    <w:rsid w:val="00BD430A"/>
    <w:rsid w:val="00BD4E0D"/>
    <w:rsid w:val="00BD4FF4"/>
    <w:rsid w:val="00BD50DC"/>
    <w:rsid w:val="00BD5450"/>
    <w:rsid w:val="00BD577A"/>
    <w:rsid w:val="00BD5A01"/>
    <w:rsid w:val="00BD6EFC"/>
    <w:rsid w:val="00BD7812"/>
    <w:rsid w:val="00BD7985"/>
    <w:rsid w:val="00BD7E53"/>
    <w:rsid w:val="00BD7EF3"/>
    <w:rsid w:val="00BE0B4B"/>
    <w:rsid w:val="00BE1534"/>
    <w:rsid w:val="00BE15D5"/>
    <w:rsid w:val="00BE1B6E"/>
    <w:rsid w:val="00BE1C8A"/>
    <w:rsid w:val="00BE22E5"/>
    <w:rsid w:val="00BE27AA"/>
    <w:rsid w:val="00BE2E92"/>
    <w:rsid w:val="00BE2ECB"/>
    <w:rsid w:val="00BE326C"/>
    <w:rsid w:val="00BE345B"/>
    <w:rsid w:val="00BE3825"/>
    <w:rsid w:val="00BE4063"/>
    <w:rsid w:val="00BE4503"/>
    <w:rsid w:val="00BE455E"/>
    <w:rsid w:val="00BE488D"/>
    <w:rsid w:val="00BE531E"/>
    <w:rsid w:val="00BE54CE"/>
    <w:rsid w:val="00BE64E6"/>
    <w:rsid w:val="00BE67A1"/>
    <w:rsid w:val="00BE67E2"/>
    <w:rsid w:val="00BE6B83"/>
    <w:rsid w:val="00BE6D0F"/>
    <w:rsid w:val="00BE6D25"/>
    <w:rsid w:val="00BE6EAA"/>
    <w:rsid w:val="00BE7353"/>
    <w:rsid w:val="00BE77A2"/>
    <w:rsid w:val="00BE7FC7"/>
    <w:rsid w:val="00BF08D2"/>
    <w:rsid w:val="00BF1097"/>
    <w:rsid w:val="00BF11DD"/>
    <w:rsid w:val="00BF1CB1"/>
    <w:rsid w:val="00BF1DEE"/>
    <w:rsid w:val="00BF34B7"/>
    <w:rsid w:val="00BF3B93"/>
    <w:rsid w:val="00BF3CA4"/>
    <w:rsid w:val="00BF4176"/>
    <w:rsid w:val="00BF497D"/>
    <w:rsid w:val="00BF5E2E"/>
    <w:rsid w:val="00BF6630"/>
    <w:rsid w:val="00BF781E"/>
    <w:rsid w:val="00BF7BE2"/>
    <w:rsid w:val="00C0039F"/>
    <w:rsid w:val="00C00767"/>
    <w:rsid w:val="00C00829"/>
    <w:rsid w:val="00C0092F"/>
    <w:rsid w:val="00C00C51"/>
    <w:rsid w:val="00C011AF"/>
    <w:rsid w:val="00C01372"/>
    <w:rsid w:val="00C01C4B"/>
    <w:rsid w:val="00C01FFF"/>
    <w:rsid w:val="00C02075"/>
    <w:rsid w:val="00C02346"/>
    <w:rsid w:val="00C02423"/>
    <w:rsid w:val="00C025FD"/>
    <w:rsid w:val="00C02E0C"/>
    <w:rsid w:val="00C02F7E"/>
    <w:rsid w:val="00C0345D"/>
    <w:rsid w:val="00C0351F"/>
    <w:rsid w:val="00C035A7"/>
    <w:rsid w:val="00C03667"/>
    <w:rsid w:val="00C0372A"/>
    <w:rsid w:val="00C04293"/>
    <w:rsid w:val="00C042A9"/>
    <w:rsid w:val="00C04C21"/>
    <w:rsid w:val="00C0561F"/>
    <w:rsid w:val="00C05718"/>
    <w:rsid w:val="00C0590F"/>
    <w:rsid w:val="00C05AA8"/>
    <w:rsid w:val="00C069BB"/>
    <w:rsid w:val="00C07657"/>
    <w:rsid w:val="00C07B55"/>
    <w:rsid w:val="00C07D32"/>
    <w:rsid w:val="00C07DC8"/>
    <w:rsid w:val="00C1000B"/>
    <w:rsid w:val="00C10621"/>
    <w:rsid w:val="00C11494"/>
    <w:rsid w:val="00C114A9"/>
    <w:rsid w:val="00C1217A"/>
    <w:rsid w:val="00C1231B"/>
    <w:rsid w:val="00C1236F"/>
    <w:rsid w:val="00C13149"/>
    <w:rsid w:val="00C13234"/>
    <w:rsid w:val="00C133EC"/>
    <w:rsid w:val="00C13545"/>
    <w:rsid w:val="00C13CB6"/>
    <w:rsid w:val="00C1415C"/>
    <w:rsid w:val="00C141D9"/>
    <w:rsid w:val="00C14233"/>
    <w:rsid w:val="00C144F0"/>
    <w:rsid w:val="00C1450D"/>
    <w:rsid w:val="00C1462D"/>
    <w:rsid w:val="00C149B3"/>
    <w:rsid w:val="00C14FF0"/>
    <w:rsid w:val="00C1545D"/>
    <w:rsid w:val="00C15750"/>
    <w:rsid w:val="00C1584F"/>
    <w:rsid w:val="00C15C07"/>
    <w:rsid w:val="00C15C14"/>
    <w:rsid w:val="00C15D15"/>
    <w:rsid w:val="00C16906"/>
    <w:rsid w:val="00C16CA5"/>
    <w:rsid w:val="00C16E85"/>
    <w:rsid w:val="00C16F76"/>
    <w:rsid w:val="00C179BF"/>
    <w:rsid w:val="00C202D2"/>
    <w:rsid w:val="00C202D4"/>
    <w:rsid w:val="00C2035C"/>
    <w:rsid w:val="00C208D7"/>
    <w:rsid w:val="00C20EA7"/>
    <w:rsid w:val="00C21659"/>
    <w:rsid w:val="00C21B7E"/>
    <w:rsid w:val="00C21F6F"/>
    <w:rsid w:val="00C222FB"/>
    <w:rsid w:val="00C223F1"/>
    <w:rsid w:val="00C225B8"/>
    <w:rsid w:val="00C22DBF"/>
    <w:rsid w:val="00C23185"/>
    <w:rsid w:val="00C23352"/>
    <w:rsid w:val="00C23620"/>
    <w:rsid w:val="00C23E3C"/>
    <w:rsid w:val="00C241CD"/>
    <w:rsid w:val="00C244DE"/>
    <w:rsid w:val="00C2467E"/>
    <w:rsid w:val="00C248ED"/>
    <w:rsid w:val="00C254C7"/>
    <w:rsid w:val="00C26078"/>
    <w:rsid w:val="00C26874"/>
    <w:rsid w:val="00C26A1F"/>
    <w:rsid w:val="00C26A5D"/>
    <w:rsid w:val="00C26A5E"/>
    <w:rsid w:val="00C27135"/>
    <w:rsid w:val="00C27F5C"/>
    <w:rsid w:val="00C30129"/>
    <w:rsid w:val="00C3018B"/>
    <w:rsid w:val="00C30CFE"/>
    <w:rsid w:val="00C319E3"/>
    <w:rsid w:val="00C31AA8"/>
    <w:rsid w:val="00C31AC8"/>
    <w:rsid w:val="00C31C57"/>
    <w:rsid w:val="00C31CF3"/>
    <w:rsid w:val="00C31D97"/>
    <w:rsid w:val="00C32505"/>
    <w:rsid w:val="00C327E2"/>
    <w:rsid w:val="00C32916"/>
    <w:rsid w:val="00C329F2"/>
    <w:rsid w:val="00C32A15"/>
    <w:rsid w:val="00C32B23"/>
    <w:rsid w:val="00C32B87"/>
    <w:rsid w:val="00C33089"/>
    <w:rsid w:val="00C33485"/>
    <w:rsid w:val="00C335EA"/>
    <w:rsid w:val="00C33FFE"/>
    <w:rsid w:val="00C34AD6"/>
    <w:rsid w:val="00C34BEE"/>
    <w:rsid w:val="00C34F08"/>
    <w:rsid w:val="00C3514D"/>
    <w:rsid w:val="00C35193"/>
    <w:rsid w:val="00C35AE7"/>
    <w:rsid w:val="00C35D6A"/>
    <w:rsid w:val="00C365EF"/>
    <w:rsid w:val="00C3663C"/>
    <w:rsid w:val="00C36BF5"/>
    <w:rsid w:val="00C36EA9"/>
    <w:rsid w:val="00C37397"/>
    <w:rsid w:val="00C37473"/>
    <w:rsid w:val="00C377B6"/>
    <w:rsid w:val="00C37B47"/>
    <w:rsid w:val="00C37C80"/>
    <w:rsid w:val="00C37F4C"/>
    <w:rsid w:val="00C405C3"/>
    <w:rsid w:val="00C405DF"/>
    <w:rsid w:val="00C4060F"/>
    <w:rsid w:val="00C40618"/>
    <w:rsid w:val="00C412CA"/>
    <w:rsid w:val="00C4159D"/>
    <w:rsid w:val="00C41847"/>
    <w:rsid w:val="00C41CFC"/>
    <w:rsid w:val="00C42448"/>
    <w:rsid w:val="00C424B5"/>
    <w:rsid w:val="00C4254A"/>
    <w:rsid w:val="00C42898"/>
    <w:rsid w:val="00C43417"/>
    <w:rsid w:val="00C434CF"/>
    <w:rsid w:val="00C43699"/>
    <w:rsid w:val="00C440FF"/>
    <w:rsid w:val="00C44BF8"/>
    <w:rsid w:val="00C44D83"/>
    <w:rsid w:val="00C4504F"/>
    <w:rsid w:val="00C4523B"/>
    <w:rsid w:val="00C45301"/>
    <w:rsid w:val="00C45C75"/>
    <w:rsid w:val="00C46541"/>
    <w:rsid w:val="00C46A76"/>
    <w:rsid w:val="00C47432"/>
    <w:rsid w:val="00C477FD"/>
    <w:rsid w:val="00C47DA4"/>
    <w:rsid w:val="00C47FCE"/>
    <w:rsid w:val="00C5015B"/>
    <w:rsid w:val="00C507E2"/>
    <w:rsid w:val="00C50E4B"/>
    <w:rsid w:val="00C515DA"/>
    <w:rsid w:val="00C51965"/>
    <w:rsid w:val="00C520EE"/>
    <w:rsid w:val="00C52950"/>
    <w:rsid w:val="00C52BA4"/>
    <w:rsid w:val="00C52DB4"/>
    <w:rsid w:val="00C52EF9"/>
    <w:rsid w:val="00C5345D"/>
    <w:rsid w:val="00C53C89"/>
    <w:rsid w:val="00C54116"/>
    <w:rsid w:val="00C54B52"/>
    <w:rsid w:val="00C55004"/>
    <w:rsid w:val="00C551A6"/>
    <w:rsid w:val="00C552EF"/>
    <w:rsid w:val="00C55914"/>
    <w:rsid w:val="00C55D9B"/>
    <w:rsid w:val="00C56249"/>
    <w:rsid w:val="00C56513"/>
    <w:rsid w:val="00C57163"/>
    <w:rsid w:val="00C57320"/>
    <w:rsid w:val="00C57350"/>
    <w:rsid w:val="00C575F9"/>
    <w:rsid w:val="00C57665"/>
    <w:rsid w:val="00C57A93"/>
    <w:rsid w:val="00C60710"/>
    <w:rsid w:val="00C6108D"/>
    <w:rsid w:val="00C61CD1"/>
    <w:rsid w:val="00C623E2"/>
    <w:rsid w:val="00C62BF2"/>
    <w:rsid w:val="00C62DB1"/>
    <w:rsid w:val="00C62EBB"/>
    <w:rsid w:val="00C62FDE"/>
    <w:rsid w:val="00C63220"/>
    <w:rsid w:val="00C633E9"/>
    <w:rsid w:val="00C63481"/>
    <w:rsid w:val="00C63535"/>
    <w:rsid w:val="00C63A24"/>
    <w:rsid w:val="00C63A51"/>
    <w:rsid w:val="00C63BA1"/>
    <w:rsid w:val="00C63CD5"/>
    <w:rsid w:val="00C63D4B"/>
    <w:rsid w:val="00C641F4"/>
    <w:rsid w:val="00C643B0"/>
    <w:rsid w:val="00C64513"/>
    <w:rsid w:val="00C647D5"/>
    <w:rsid w:val="00C64F27"/>
    <w:rsid w:val="00C650EA"/>
    <w:rsid w:val="00C6591F"/>
    <w:rsid w:val="00C6662E"/>
    <w:rsid w:val="00C666FA"/>
    <w:rsid w:val="00C66F0F"/>
    <w:rsid w:val="00C67119"/>
    <w:rsid w:val="00C673CC"/>
    <w:rsid w:val="00C676B9"/>
    <w:rsid w:val="00C67D85"/>
    <w:rsid w:val="00C70061"/>
    <w:rsid w:val="00C7047E"/>
    <w:rsid w:val="00C70775"/>
    <w:rsid w:val="00C707EE"/>
    <w:rsid w:val="00C70D20"/>
    <w:rsid w:val="00C70E46"/>
    <w:rsid w:val="00C710FB"/>
    <w:rsid w:val="00C71AA1"/>
    <w:rsid w:val="00C72453"/>
    <w:rsid w:val="00C72460"/>
    <w:rsid w:val="00C72980"/>
    <w:rsid w:val="00C72E59"/>
    <w:rsid w:val="00C730E3"/>
    <w:rsid w:val="00C73733"/>
    <w:rsid w:val="00C738D8"/>
    <w:rsid w:val="00C739AA"/>
    <w:rsid w:val="00C7400B"/>
    <w:rsid w:val="00C74249"/>
    <w:rsid w:val="00C7436C"/>
    <w:rsid w:val="00C748AC"/>
    <w:rsid w:val="00C75A68"/>
    <w:rsid w:val="00C75A6B"/>
    <w:rsid w:val="00C75C17"/>
    <w:rsid w:val="00C7685E"/>
    <w:rsid w:val="00C7702C"/>
    <w:rsid w:val="00C770EC"/>
    <w:rsid w:val="00C77316"/>
    <w:rsid w:val="00C77B11"/>
    <w:rsid w:val="00C8018A"/>
    <w:rsid w:val="00C808A4"/>
    <w:rsid w:val="00C80CF2"/>
    <w:rsid w:val="00C81661"/>
    <w:rsid w:val="00C819FB"/>
    <w:rsid w:val="00C81D76"/>
    <w:rsid w:val="00C82326"/>
    <w:rsid w:val="00C827F9"/>
    <w:rsid w:val="00C828DE"/>
    <w:rsid w:val="00C82902"/>
    <w:rsid w:val="00C832B8"/>
    <w:rsid w:val="00C83331"/>
    <w:rsid w:val="00C835DC"/>
    <w:rsid w:val="00C83B41"/>
    <w:rsid w:val="00C83CCE"/>
    <w:rsid w:val="00C83E88"/>
    <w:rsid w:val="00C841C4"/>
    <w:rsid w:val="00C84428"/>
    <w:rsid w:val="00C84C18"/>
    <w:rsid w:val="00C84C67"/>
    <w:rsid w:val="00C84D0F"/>
    <w:rsid w:val="00C84F6D"/>
    <w:rsid w:val="00C85374"/>
    <w:rsid w:val="00C85867"/>
    <w:rsid w:val="00C8594D"/>
    <w:rsid w:val="00C85DCB"/>
    <w:rsid w:val="00C86810"/>
    <w:rsid w:val="00C86DC9"/>
    <w:rsid w:val="00C86E98"/>
    <w:rsid w:val="00C86EA8"/>
    <w:rsid w:val="00C8718D"/>
    <w:rsid w:val="00C876EE"/>
    <w:rsid w:val="00C878B1"/>
    <w:rsid w:val="00C87EC2"/>
    <w:rsid w:val="00C901F1"/>
    <w:rsid w:val="00C90808"/>
    <w:rsid w:val="00C909DF"/>
    <w:rsid w:val="00C90F56"/>
    <w:rsid w:val="00C9108B"/>
    <w:rsid w:val="00C91CE6"/>
    <w:rsid w:val="00C9256A"/>
    <w:rsid w:val="00C926A6"/>
    <w:rsid w:val="00C92866"/>
    <w:rsid w:val="00C92F27"/>
    <w:rsid w:val="00C9379E"/>
    <w:rsid w:val="00C93BE1"/>
    <w:rsid w:val="00C94293"/>
    <w:rsid w:val="00C946F1"/>
    <w:rsid w:val="00C948D0"/>
    <w:rsid w:val="00C94FAA"/>
    <w:rsid w:val="00C950A5"/>
    <w:rsid w:val="00C950E6"/>
    <w:rsid w:val="00C952EB"/>
    <w:rsid w:val="00C9543C"/>
    <w:rsid w:val="00C956FE"/>
    <w:rsid w:val="00C95B0A"/>
    <w:rsid w:val="00C95CC1"/>
    <w:rsid w:val="00C95E4D"/>
    <w:rsid w:val="00C95E4E"/>
    <w:rsid w:val="00C968E6"/>
    <w:rsid w:val="00C97011"/>
    <w:rsid w:val="00C970A6"/>
    <w:rsid w:val="00C9739B"/>
    <w:rsid w:val="00C97695"/>
    <w:rsid w:val="00C979E8"/>
    <w:rsid w:val="00C97FCF"/>
    <w:rsid w:val="00CA1298"/>
    <w:rsid w:val="00CA1410"/>
    <w:rsid w:val="00CA1526"/>
    <w:rsid w:val="00CA1530"/>
    <w:rsid w:val="00CA187F"/>
    <w:rsid w:val="00CA2A50"/>
    <w:rsid w:val="00CA2FF9"/>
    <w:rsid w:val="00CA34FA"/>
    <w:rsid w:val="00CA388C"/>
    <w:rsid w:val="00CA3F64"/>
    <w:rsid w:val="00CA421D"/>
    <w:rsid w:val="00CA4680"/>
    <w:rsid w:val="00CA4845"/>
    <w:rsid w:val="00CA4CAC"/>
    <w:rsid w:val="00CA57A4"/>
    <w:rsid w:val="00CA6234"/>
    <w:rsid w:val="00CA6506"/>
    <w:rsid w:val="00CA69E4"/>
    <w:rsid w:val="00CA6C62"/>
    <w:rsid w:val="00CA6CA5"/>
    <w:rsid w:val="00CA6FEA"/>
    <w:rsid w:val="00CA75A0"/>
    <w:rsid w:val="00CA7C57"/>
    <w:rsid w:val="00CA7F99"/>
    <w:rsid w:val="00CB004C"/>
    <w:rsid w:val="00CB09FA"/>
    <w:rsid w:val="00CB0A4A"/>
    <w:rsid w:val="00CB0E58"/>
    <w:rsid w:val="00CB1BD9"/>
    <w:rsid w:val="00CB1F2F"/>
    <w:rsid w:val="00CB24AD"/>
    <w:rsid w:val="00CB2BB7"/>
    <w:rsid w:val="00CB2E0E"/>
    <w:rsid w:val="00CB3A24"/>
    <w:rsid w:val="00CB3A48"/>
    <w:rsid w:val="00CB3C2D"/>
    <w:rsid w:val="00CB3F57"/>
    <w:rsid w:val="00CB569D"/>
    <w:rsid w:val="00CB64B8"/>
    <w:rsid w:val="00CB6FDB"/>
    <w:rsid w:val="00CB71C9"/>
    <w:rsid w:val="00CB76F2"/>
    <w:rsid w:val="00CC070B"/>
    <w:rsid w:val="00CC07CF"/>
    <w:rsid w:val="00CC087A"/>
    <w:rsid w:val="00CC0A7C"/>
    <w:rsid w:val="00CC0C14"/>
    <w:rsid w:val="00CC113F"/>
    <w:rsid w:val="00CC131C"/>
    <w:rsid w:val="00CC16FA"/>
    <w:rsid w:val="00CC1B44"/>
    <w:rsid w:val="00CC1B79"/>
    <w:rsid w:val="00CC1C73"/>
    <w:rsid w:val="00CC1D3D"/>
    <w:rsid w:val="00CC20B8"/>
    <w:rsid w:val="00CC2722"/>
    <w:rsid w:val="00CC3253"/>
    <w:rsid w:val="00CC32F6"/>
    <w:rsid w:val="00CC3B1C"/>
    <w:rsid w:val="00CC3BFB"/>
    <w:rsid w:val="00CC3DA1"/>
    <w:rsid w:val="00CC3FFA"/>
    <w:rsid w:val="00CC4A74"/>
    <w:rsid w:val="00CC4B73"/>
    <w:rsid w:val="00CC5009"/>
    <w:rsid w:val="00CC520C"/>
    <w:rsid w:val="00CC5540"/>
    <w:rsid w:val="00CC5C8F"/>
    <w:rsid w:val="00CC5D7B"/>
    <w:rsid w:val="00CC6553"/>
    <w:rsid w:val="00CC6C70"/>
    <w:rsid w:val="00CC6E90"/>
    <w:rsid w:val="00CC7AFC"/>
    <w:rsid w:val="00CD0101"/>
    <w:rsid w:val="00CD057F"/>
    <w:rsid w:val="00CD0F27"/>
    <w:rsid w:val="00CD10D6"/>
    <w:rsid w:val="00CD1499"/>
    <w:rsid w:val="00CD1FAE"/>
    <w:rsid w:val="00CD2070"/>
    <w:rsid w:val="00CD2456"/>
    <w:rsid w:val="00CD25ED"/>
    <w:rsid w:val="00CD3FD3"/>
    <w:rsid w:val="00CD52E8"/>
    <w:rsid w:val="00CD5EFF"/>
    <w:rsid w:val="00CD5FC8"/>
    <w:rsid w:val="00CD62FF"/>
    <w:rsid w:val="00CD7B3E"/>
    <w:rsid w:val="00CD7B42"/>
    <w:rsid w:val="00CD7B82"/>
    <w:rsid w:val="00CD7DCC"/>
    <w:rsid w:val="00CE0E6F"/>
    <w:rsid w:val="00CE2071"/>
    <w:rsid w:val="00CE281D"/>
    <w:rsid w:val="00CE2B58"/>
    <w:rsid w:val="00CE2DF0"/>
    <w:rsid w:val="00CE34D1"/>
    <w:rsid w:val="00CE35DA"/>
    <w:rsid w:val="00CE38C0"/>
    <w:rsid w:val="00CE3B7C"/>
    <w:rsid w:val="00CE41E0"/>
    <w:rsid w:val="00CE41E3"/>
    <w:rsid w:val="00CE42B2"/>
    <w:rsid w:val="00CE48A3"/>
    <w:rsid w:val="00CE4B61"/>
    <w:rsid w:val="00CE5682"/>
    <w:rsid w:val="00CE57C0"/>
    <w:rsid w:val="00CE5C8F"/>
    <w:rsid w:val="00CE5E17"/>
    <w:rsid w:val="00CE663E"/>
    <w:rsid w:val="00CE6715"/>
    <w:rsid w:val="00CE6D24"/>
    <w:rsid w:val="00CE70E5"/>
    <w:rsid w:val="00CE7BD3"/>
    <w:rsid w:val="00CF059E"/>
    <w:rsid w:val="00CF0A38"/>
    <w:rsid w:val="00CF0B6C"/>
    <w:rsid w:val="00CF119E"/>
    <w:rsid w:val="00CF1260"/>
    <w:rsid w:val="00CF1A3B"/>
    <w:rsid w:val="00CF2215"/>
    <w:rsid w:val="00CF2266"/>
    <w:rsid w:val="00CF2D79"/>
    <w:rsid w:val="00CF2EAC"/>
    <w:rsid w:val="00CF359C"/>
    <w:rsid w:val="00CF38BC"/>
    <w:rsid w:val="00CF3E1D"/>
    <w:rsid w:val="00CF4653"/>
    <w:rsid w:val="00CF480D"/>
    <w:rsid w:val="00CF48FE"/>
    <w:rsid w:val="00CF4974"/>
    <w:rsid w:val="00CF57B5"/>
    <w:rsid w:val="00CF65EC"/>
    <w:rsid w:val="00CF6841"/>
    <w:rsid w:val="00CF727F"/>
    <w:rsid w:val="00CF74E1"/>
    <w:rsid w:val="00CF76CD"/>
    <w:rsid w:val="00CF785F"/>
    <w:rsid w:val="00CF797C"/>
    <w:rsid w:val="00CF7D25"/>
    <w:rsid w:val="00CF7F54"/>
    <w:rsid w:val="00D004C4"/>
    <w:rsid w:val="00D00528"/>
    <w:rsid w:val="00D006A0"/>
    <w:rsid w:val="00D01B37"/>
    <w:rsid w:val="00D01C94"/>
    <w:rsid w:val="00D021E7"/>
    <w:rsid w:val="00D0259F"/>
    <w:rsid w:val="00D0260C"/>
    <w:rsid w:val="00D027E5"/>
    <w:rsid w:val="00D03ED1"/>
    <w:rsid w:val="00D0473F"/>
    <w:rsid w:val="00D048E3"/>
    <w:rsid w:val="00D04D18"/>
    <w:rsid w:val="00D0565D"/>
    <w:rsid w:val="00D0567E"/>
    <w:rsid w:val="00D05844"/>
    <w:rsid w:val="00D06F7C"/>
    <w:rsid w:val="00D0731E"/>
    <w:rsid w:val="00D07493"/>
    <w:rsid w:val="00D074C7"/>
    <w:rsid w:val="00D07564"/>
    <w:rsid w:val="00D105C0"/>
    <w:rsid w:val="00D10F31"/>
    <w:rsid w:val="00D118B0"/>
    <w:rsid w:val="00D1196C"/>
    <w:rsid w:val="00D11AF4"/>
    <w:rsid w:val="00D123A4"/>
    <w:rsid w:val="00D1303A"/>
    <w:rsid w:val="00D1363F"/>
    <w:rsid w:val="00D13B4E"/>
    <w:rsid w:val="00D1438F"/>
    <w:rsid w:val="00D149FD"/>
    <w:rsid w:val="00D14E73"/>
    <w:rsid w:val="00D154FE"/>
    <w:rsid w:val="00D158A8"/>
    <w:rsid w:val="00D161BC"/>
    <w:rsid w:val="00D16C2D"/>
    <w:rsid w:val="00D17042"/>
    <w:rsid w:val="00D177FB"/>
    <w:rsid w:val="00D17CBF"/>
    <w:rsid w:val="00D20014"/>
    <w:rsid w:val="00D204B2"/>
    <w:rsid w:val="00D2178B"/>
    <w:rsid w:val="00D2194C"/>
    <w:rsid w:val="00D22080"/>
    <w:rsid w:val="00D22128"/>
    <w:rsid w:val="00D222ED"/>
    <w:rsid w:val="00D223CC"/>
    <w:rsid w:val="00D225A1"/>
    <w:rsid w:val="00D229AA"/>
    <w:rsid w:val="00D234A6"/>
    <w:rsid w:val="00D23C25"/>
    <w:rsid w:val="00D23EA3"/>
    <w:rsid w:val="00D23EFF"/>
    <w:rsid w:val="00D240AE"/>
    <w:rsid w:val="00D2458F"/>
    <w:rsid w:val="00D245C1"/>
    <w:rsid w:val="00D248CE"/>
    <w:rsid w:val="00D24CD2"/>
    <w:rsid w:val="00D25423"/>
    <w:rsid w:val="00D258D7"/>
    <w:rsid w:val="00D25FD2"/>
    <w:rsid w:val="00D2611A"/>
    <w:rsid w:val="00D267A5"/>
    <w:rsid w:val="00D26879"/>
    <w:rsid w:val="00D26DAB"/>
    <w:rsid w:val="00D27290"/>
    <w:rsid w:val="00D276CC"/>
    <w:rsid w:val="00D2775D"/>
    <w:rsid w:val="00D27B6F"/>
    <w:rsid w:val="00D308B1"/>
    <w:rsid w:val="00D309EC"/>
    <w:rsid w:val="00D30A8E"/>
    <w:rsid w:val="00D30C09"/>
    <w:rsid w:val="00D30C32"/>
    <w:rsid w:val="00D31408"/>
    <w:rsid w:val="00D31574"/>
    <w:rsid w:val="00D31FB5"/>
    <w:rsid w:val="00D32063"/>
    <w:rsid w:val="00D32985"/>
    <w:rsid w:val="00D32988"/>
    <w:rsid w:val="00D343B3"/>
    <w:rsid w:val="00D35114"/>
    <w:rsid w:val="00D36A46"/>
    <w:rsid w:val="00D36D51"/>
    <w:rsid w:val="00D372B8"/>
    <w:rsid w:val="00D374FC"/>
    <w:rsid w:val="00D37EE6"/>
    <w:rsid w:val="00D40102"/>
    <w:rsid w:val="00D40641"/>
    <w:rsid w:val="00D40657"/>
    <w:rsid w:val="00D40B8F"/>
    <w:rsid w:val="00D40D30"/>
    <w:rsid w:val="00D41955"/>
    <w:rsid w:val="00D41C0B"/>
    <w:rsid w:val="00D42205"/>
    <w:rsid w:val="00D42586"/>
    <w:rsid w:val="00D43038"/>
    <w:rsid w:val="00D43067"/>
    <w:rsid w:val="00D4450B"/>
    <w:rsid w:val="00D44776"/>
    <w:rsid w:val="00D44BC2"/>
    <w:rsid w:val="00D44E58"/>
    <w:rsid w:val="00D44FF5"/>
    <w:rsid w:val="00D46523"/>
    <w:rsid w:val="00D46A29"/>
    <w:rsid w:val="00D46BAA"/>
    <w:rsid w:val="00D47453"/>
    <w:rsid w:val="00D47B21"/>
    <w:rsid w:val="00D501EC"/>
    <w:rsid w:val="00D50AF1"/>
    <w:rsid w:val="00D51094"/>
    <w:rsid w:val="00D51528"/>
    <w:rsid w:val="00D51985"/>
    <w:rsid w:val="00D51A80"/>
    <w:rsid w:val="00D51F04"/>
    <w:rsid w:val="00D5344A"/>
    <w:rsid w:val="00D53A02"/>
    <w:rsid w:val="00D53BA4"/>
    <w:rsid w:val="00D53D14"/>
    <w:rsid w:val="00D53DEF"/>
    <w:rsid w:val="00D53EB3"/>
    <w:rsid w:val="00D55761"/>
    <w:rsid w:val="00D55FBB"/>
    <w:rsid w:val="00D56C47"/>
    <w:rsid w:val="00D57748"/>
    <w:rsid w:val="00D602F7"/>
    <w:rsid w:val="00D60519"/>
    <w:rsid w:val="00D607F7"/>
    <w:rsid w:val="00D60E8D"/>
    <w:rsid w:val="00D610C7"/>
    <w:rsid w:val="00D611B4"/>
    <w:rsid w:val="00D61868"/>
    <w:rsid w:val="00D61C10"/>
    <w:rsid w:val="00D62052"/>
    <w:rsid w:val="00D62737"/>
    <w:rsid w:val="00D62935"/>
    <w:rsid w:val="00D62DA2"/>
    <w:rsid w:val="00D6371C"/>
    <w:rsid w:val="00D63F34"/>
    <w:rsid w:val="00D640CB"/>
    <w:rsid w:val="00D6412E"/>
    <w:rsid w:val="00D64242"/>
    <w:rsid w:val="00D64529"/>
    <w:rsid w:val="00D645F5"/>
    <w:rsid w:val="00D653A0"/>
    <w:rsid w:val="00D66129"/>
    <w:rsid w:val="00D6613E"/>
    <w:rsid w:val="00D66B44"/>
    <w:rsid w:val="00D67121"/>
    <w:rsid w:val="00D6713E"/>
    <w:rsid w:val="00D672E1"/>
    <w:rsid w:val="00D67317"/>
    <w:rsid w:val="00D677F1"/>
    <w:rsid w:val="00D67AFF"/>
    <w:rsid w:val="00D707AE"/>
    <w:rsid w:val="00D70D61"/>
    <w:rsid w:val="00D71F53"/>
    <w:rsid w:val="00D7258E"/>
    <w:rsid w:val="00D729A8"/>
    <w:rsid w:val="00D72AA9"/>
    <w:rsid w:val="00D72F11"/>
    <w:rsid w:val="00D73075"/>
    <w:rsid w:val="00D73385"/>
    <w:rsid w:val="00D736EC"/>
    <w:rsid w:val="00D737BD"/>
    <w:rsid w:val="00D739B6"/>
    <w:rsid w:val="00D759D7"/>
    <w:rsid w:val="00D75FD3"/>
    <w:rsid w:val="00D773AC"/>
    <w:rsid w:val="00D77E5D"/>
    <w:rsid w:val="00D8056B"/>
    <w:rsid w:val="00D809D8"/>
    <w:rsid w:val="00D80CEB"/>
    <w:rsid w:val="00D8132A"/>
    <w:rsid w:val="00D81A20"/>
    <w:rsid w:val="00D81A96"/>
    <w:rsid w:val="00D81D2B"/>
    <w:rsid w:val="00D82111"/>
    <w:rsid w:val="00D82344"/>
    <w:rsid w:val="00D82898"/>
    <w:rsid w:val="00D8298D"/>
    <w:rsid w:val="00D82E7B"/>
    <w:rsid w:val="00D83C68"/>
    <w:rsid w:val="00D83CC2"/>
    <w:rsid w:val="00D83E2E"/>
    <w:rsid w:val="00D843C7"/>
    <w:rsid w:val="00D84966"/>
    <w:rsid w:val="00D84E89"/>
    <w:rsid w:val="00D84F51"/>
    <w:rsid w:val="00D85156"/>
    <w:rsid w:val="00D861C4"/>
    <w:rsid w:val="00D8621F"/>
    <w:rsid w:val="00D87535"/>
    <w:rsid w:val="00D87924"/>
    <w:rsid w:val="00D87EC9"/>
    <w:rsid w:val="00D9054C"/>
    <w:rsid w:val="00D90926"/>
    <w:rsid w:val="00D912F0"/>
    <w:rsid w:val="00D91507"/>
    <w:rsid w:val="00D915FF"/>
    <w:rsid w:val="00D917BE"/>
    <w:rsid w:val="00D91F24"/>
    <w:rsid w:val="00D92731"/>
    <w:rsid w:val="00D92FC9"/>
    <w:rsid w:val="00D94224"/>
    <w:rsid w:val="00D945A9"/>
    <w:rsid w:val="00D9499D"/>
    <w:rsid w:val="00D94BD9"/>
    <w:rsid w:val="00D94E27"/>
    <w:rsid w:val="00D94F2F"/>
    <w:rsid w:val="00D95014"/>
    <w:rsid w:val="00D955ED"/>
    <w:rsid w:val="00D95784"/>
    <w:rsid w:val="00D9593C"/>
    <w:rsid w:val="00D95F21"/>
    <w:rsid w:val="00D96443"/>
    <w:rsid w:val="00D968EB"/>
    <w:rsid w:val="00D96C68"/>
    <w:rsid w:val="00D96C84"/>
    <w:rsid w:val="00DA0134"/>
    <w:rsid w:val="00DA03F0"/>
    <w:rsid w:val="00DA044E"/>
    <w:rsid w:val="00DA0769"/>
    <w:rsid w:val="00DA1ABD"/>
    <w:rsid w:val="00DA1DC8"/>
    <w:rsid w:val="00DA1F04"/>
    <w:rsid w:val="00DA1FFE"/>
    <w:rsid w:val="00DA2027"/>
    <w:rsid w:val="00DA2555"/>
    <w:rsid w:val="00DA2619"/>
    <w:rsid w:val="00DA281D"/>
    <w:rsid w:val="00DA2FD4"/>
    <w:rsid w:val="00DA2FE3"/>
    <w:rsid w:val="00DA353C"/>
    <w:rsid w:val="00DA3E5D"/>
    <w:rsid w:val="00DA3F2B"/>
    <w:rsid w:val="00DA3FE9"/>
    <w:rsid w:val="00DA4092"/>
    <w:rsid w:val="00DA45D2"/>
    <w:rsid w:val="00DA477A"/>
    <w:rsid w:val="00DA482B"/>
    <w:rsid w:val="00DA4AA3"/>
    <w:rsid w:val="00DA5319"/>
    <w:rsid w:val="00DA53BF"/>
    <w:rsid w:val="00DA5F3E"/>
    <w:rsid w:val="00DA679E"/>
    <w:rsid w:val="00DA6981"/>
    <w:rsid w:val="00DA6E2B"/>
    <w:rsid w:val="00DA700A"/>
    <w:rsid w:val="00DA7437"/>
    <w:rsid w:val="00DA7668"/>
    <w:rsid w:val="00DA780E"/>
    <w:rsid w:val="00DA78F6"/>
    <w:rsid w:val="00DA7A03"/>
    <w:rsid w:val="00DA7B74"/>
    <w:rsid w:val="00DB0428"/>
    <w:rsid w:val="00DB0BE5"/>
    <w:rsid w:val="00DB0DB5"/>
    <w:rsid w:val="00DB111D"/>
    <w:rsid w:val="00DB118D"/>
    <w:rsid w:val="00DB1410"/>
    <w:rsid w:val="00DB16C0"/>
    <w:rsid w:val="00DB1744"/>
    <w:rsid w:val="00DB1755"/>
    <w:rsid w:val="00DB234C"/>
    <w:rsid w:val="00DB24C1"/>
    <w:rsid w:val="00DB26BD"/>
    <w:rsid w:val="00DB3369"/>
    <w:rsid w:val="00DB4088"/>
    <w:rsid w:val="00DB49F1"/>
    <w:rsid w:val="00DB4CD0"/>
    <w:rsid w:val="00DB4CD2"/>
    <w:rsid w:val="00DB54C4"/>
    <w:rsid w:val="00DB5BDC"/>
    <w:rsid w:val="00DB650D"/>
    <w:rsid w:val="00DB730B"/>
    <w:rsid w:val="00DB794D"/>
    <w:rsid w:val="00DC00F4"/>
    <w:rsid w:val="00DC0322"/>
    <w:rsid w:val="00DC0458"/>
    <w:rsid w:val="00DC20C5"/>
    <w:rsid w:val="00DC2173"/>
    <w:rsid w:val="00DC263D"/>
    <w:rsid w:val="00DC2796"/>
    <w:rsid w:val="00DC2EA8"/>
    <w:rsid w:val="00DC2F63"/>
    <w:rsid w:val="00DC35EC"/>
    <w:rsid w:val="00DC371F"/>
    <w:rsid w:val="00DC3836"/>
    <w:rsid w:val="00DC3B3F"/>
    <w:rsid w:val="00DC42BA"/>
    <w:rsid w:val="00DC4A11"/>
    <w:rsid w:val="00DC4A58"/>
    <w:rsid w:val="00DC4CED"/>
    <w:rsid w:val="00DC556B"/>
    <w:rsid w:val="00DC57DE"/>
    <w:rsid w:val="00DC58E2"/>
    <w:rsid w:val="00DC5BEF"/>
    <w:rsid w:val="00DC6064"/>
    <w:rsid w:val="00DC6093"/>
    <w:rsid w:val="00DC60E1"/>
    <w:rsid w:val="00DC69C8"/>
    <w:rsid w:val="00DC6E8F"/>
    <w:rsid w:val="00DC6EC0"/>
    <w:rsid w:val="00DC76E9"/>
    <w:rsid w:val="00DC7BA5"/>
    <w:rsid w:val="00DC7C01"/>
    <w:rsid w:val="00DD0191"/>
    <w:rsid w:val="00DD02E5"/>
    <w:rsid w:val="00DD0344"/>
    <w:rsid w:val="00DD038C"/>
    <w:rsid w:val="00DD0D0F"/>
    <w:rsid w:val="00DD0D7C"/>
    <w:rsid w:val="00DD14D2"/>
    <w:rsid w:val="00DD163B"/>
    <w:rsid w:val="00DD2134"/>
    <w:rsid w:val="00DD25FD"/>
    <w:rsid w:val="00DD29E8"/>
    <w:rsid w:val="00DD2B6A"/>
    <w:rsid w:val="00DD39D9"/>
    <w:rsid w:val="00DD3DDF"/>
    <w:rsid w:val="00DD4A2F"/>
    <w:rsid w:val="00DD4A5A"/>
    <w:rsid w:val="00DD4EBF"/>
    <w:rsid w:val="00DD5CF0"/>
    <w:rsid w:val="00DD6054"/>
    <w:rsid w:val="00DD65F7"/>
    <w:rsid w:val="00DD68E7"/>
    <w:rsid w:val="00DD68F3"/>
    <w:rsid w:val="00DD6FDC"/>
    <w:rsid w:val="00DD78A7"/>
    <w:rsid w:val="00DE009E"/>
    <w:rsid w:val="00DE0513"/>
    <w:rsid w:val="00DE066F"/>
    <w:rsid w:val="00DE0DA2"/>
    <w:rsid w:val="00DE0FB0"/>
    <w:rsid w:val="00DE143B"/>
    <w:rsid w:val="00DE147A"/>
    <w:rsid w:val="00DE15F5"/>
    <w:rsid w:val="00DE2B9B"/>
    <w:rsid w:val="00DE2F23"/>
    <w:rsid w:val="00DE30C8"/>
    <w:rsid w:val="00DE339B"/>
    <w:rsid w:val="00DE37A4"/>
    <w:rsid w:val="00DE4E78"/>
    <w:rsid w:val="00DE4FF6"/>
    <w:rsid w:val="00DE5FC7"/>
    <w:rsid w:val="00DE6261"/>
    <w:rsid w:val="00DE6A1C"/>
    <w:rsid w:val="00DE6F4B"/>
    <w:rsid w:val="00DE7043"/>
    <w:rsid w:val="00DE7517"/>
    <w:rsid w:val="00DE7AE8"/>
    <w:rsid w:val="00DE7B4C"/>
    <w:rsid w:val="00DE7CE0"/>
    <w:rsid w:val="00DF084F"/>
    <w:rsid w:val="00DF08A0"/>
    <w:rsid w:val="00DF0997"/>
    <w:rsid w:val="00DF0ADD"/>
    <w:rsid w:val="00DF18D6"/>
    <w:rsid w:val="00DF1BED"/>
    <w:rsid w:val="00DF1EE5"/>
    <w:rsid w:val="00DF1F5E"/>
    <w:rsid w:val="00DF2970"/>
    <w:rsid w:val="00DF2AC9"/>
    <w:rsid w:val="00DF337D"/>
    <w:rsid w:val="00DF34BB"/>
    <w:rsid w:val="00DF36E0"/>
    <w:rsid w:val="00DF3A3D"/>
    <w:rsid w:val="00DF3F81"/>
    <w:rsid w:val="00DF436A"/>
    <w:rsid w:val="00DF4499"/>
    <w:rsid w:val="00DF462B"/>
    <w:rsid w:val="00DF477C"/>
    <w:rsid w:val="00DF5904"/>
    <w:rsid w:val="00DF5BFA"/>
    <w:rsid w:val="00DF606B"/>
    <w:rsid w:val="00DF61F6"/>
    <w:rsid w:val="00DF716F"/>
    <w:rsid w:val="00DF7ACE"/>
    <w:rsid w:val="00E00381"/>
    <w:rsid w:val="00E00C80"/>
    <w:rsid w:val="00E012F9"/>
    <w:rsid w:val="00E01EB6"/>
    <w:rsid w:val="00E021BB"/>
    <w:rsid w:val="00E0230B"/>
    <w:rsid w:val="00E02D05"/>
    <w:rsid w:val="00E0368E"/>
    <w:rsid w:val="00E04174"/>
    <w:rsid w:val="00E045B7"/>
    <w:rsid w:val="00E0482F"/>
    <w:rsid w:val="00E04ACD"/>
    <w:rsid w:val="00E04BF6"/>
    <w:rsid w:val="00E04D48"/>
    <w:rsid w:val="00E04E3E"/>
    <w:rsid w:val="00E04EAD"/>
    <w:rsid w:val="00E052A9"/>
    <w:rsid w:val="00E057F7"/>
    <w:rsid w:val="00E05C96"/>
    <w:rsid w:val="00E0771B"/>
    <w:rsid w:val="00E0778E"/>
    <w:rsid w:val="00E07C61"/>
    <w:rsid w:val="00E07E3A"/>
    <w:rsid w:val="00E1041E"/>
    <w:rsid w:val="00E104F7"/>
    <w:rsid w:val="00E1075E"/>
    <w:rsid w:val="00E10D3C"/>
    <w:rsid w:val="00E11285"/>
    <w:rsid w:val="00E11316"/>
    <w:rsid w:val="00E1144A"/>
    <w:rsid w:val="00E119AA"/>
    <w:rsid w:val="00E11A69"/>
    <w:rsid w:val="00E11E78"/>
    <w:rsid w:val="00E11EE3"/>
    <w:rsid w:val="00E122DC"/>
    <w:rsid w:val="00E12DBA"/>
    <w:rsid w:val="00E13471"/>
    <w:rsid w:val="00E14313"/>
    <w:rsid w:val="00E144C6"/>
    <w:rsid w:val="00E1475E"/>
    <w:rsid w:val="00E1497D"/>
    <w:rsid w:val="00E1702F"/>
    <w:rsid w:val="00E1E4D7"/>
    <w:rsid w:val="00E2092F"/>
    <w:rsid w:val="00E20A44"/>
    <w:rsid w:val="00E20F35"/>
    <w:rsid w:val="00E210C2"/>
    <w:rsid w:val="00E21E42"/>
    <w:rsid w:val="00E22055"/>
    <w:rsid w:val="00E22618"/>
    <w:rsid w:val="00E231F5"/>
    <w:rsid w:val="00E23910"/>
    <w:rsid w:val="00E240B1"/>
    <w:rsid w:val="00E2417B"/>
    <w:rsid w:val="00E245C2"/>
    <w:rsid w:val="00E2460A"/>
    <w:rsid w:val="00E24B18"/>
    <w:rsid w:val="00E24D09"/>
    <w:rsid w:val="00E25416"/>
    <w:rsid w:val="00E25554"/>
    <w:rsid w:val="00E262F2"/>
    <w:rsid w:val="00E26385"/>
    <w:rsid w:val="00E264ED"/>
    <w:rsid w:val="00E26BDF"/>
    <w:rsid w:val="00E27483"/>
    <w:rsid w:val="00E275ED"/>
    <w:rsid w:val="00E27AAC"/>
    <w:rsid w:val="00E30705"/>
    <w:rsid w:val="00E319A2"/>
    <w:rsid w:val="00E31A45"/>
    <w:rsid w:val="00E31B30"/>
    <w:rsid w:val="00E31CAA"/>
    <w:rsid w:val="00E3219B"/>
    <w:rsid w:val="00E3285A"/>
    <w:rsid w:val="00E330A7"/>
    <w:rsid w:val="00E334E5"/>
    <w:rsid w:val="00E33BBF"/>
    <w:rsid w:val="00E33E59"/>
    <w:rsid w:val="00E34D1F"/>
    <w:rsid w:val="00E34E2A"/>
    <w:rsid w:val="00E351F6"/>
    <w:rsid w:val="00E356D4"/>
    <w:rsid w:val="00E35B90"/>
    <w:rsid w:val="00E3614B"/>
    <w:rsid w:val="00E36184"/>
    <w:rsid w:val="00E36438"/>
    <w:rsid w:val="00E3721D"/>
    <w:rsid w:val="00E37C1B"/>
    <w:rsid w:val="00E37F79"/>
    <w:rsid w:val="00E4017F"/>
    <w:rsid w:val="00E406EF"/>
    <w:rsid w:val="00E4121B"/>
    <w:rsid w:val="00E41487"/>
    <w:rsid w:val="00E41EFE"/>
    <w:rsid w:val="00E42CD3"/>
    <w:rsid w:val="00E43405"/>
    <w:rsid w:val="00E43571"/>
    <w:rsid w:val="00E43BAA"/>
    <w:rsid w:val="00E45CE0"/>
    <w:rsid w:val="00E46649"/>
    <w:rsid w:val="00E46708"/>
    <w:rsid w:val="00E46799"/>
    <w:rsid w:val="00E46DB5"/>
    <w:rsid w:val="00E47021"/>
    <w:rsid w:val="00E4742F"/>
    <w:rsid w:val="00E5056B"/>
    <w:rsid w:val="00E505EE"/>
    <w:rsid w:val="00E5078E"/>
    <w:rsid w:val="00E50949"/>
    <w:rsid w:val="00E5173F"/>
    <w:rsid w:val="00E51996"/>
    <w:rsid w:val="00E51B04"/>
    <w:rsid w:val="00E51C01"/>
    <w:rsid w:val="00E51F69"/>
    <w:rsid w:val="00E52295"/>
    <w:rsid w:val="00E52DED"/>
    <w:rsid w:val="00E557AC"/>
    <w:rsid w:val="00E55F5D"/>
    <w:rsid w:val="00E56C29"/>
    <w:rsid w:val="00E56DE5"/>
    <w:rsid w:val="00E57099"/>
    <w:rsid w:val="00E570D3"/>
    <w:rsid w:val="00E5758D"/>
    <w:rsid w:val="00E57A15"/>
    <w:rsid w:val="00E57B0B"/>
    <w:rsid w:val="00E60358"/>
    <w:rsid w:val="00E6061F"/>
    <w:rsid w:val="00E6081D"/>
    <w:rsid w:val="00E60CF8"/>
    <w:rsid w:val="00E60D06"/>
    <w:rsid w:val="00E60E8D"/>
    <w:rsid w:val="00E61794"/>
    <w:rsid w:val="00E61C7A"/>
    <w:rsid w:val="00E622A5"/>
    <w:rsid w:val="00E62578"/>
    <w:rsid w:val="00E62756"/>
    <w:rsid w:val="00E6303D"/>
    <w:rsid w:val="00E63086"/>
    <w:rsid w:val="00E635F5"/>
    <w:rsid w:val="00E63969"/>
    <w:rsid w:val="00E639AE"/>
    <w:rsid w:val="00E6573B"/>
    <w:rsid w:val="00E65958"/>
    <w:rsid w:val="00E65F5B"/>
    <w:rsid w:val="00E66024"/>
    <w:rsid w:val="00E665E5"/>
    <w:rsid w:val="00E66A6F"/>
    <w:rsid w:val="00E66B66"/>
    <w:rsid w:val="00E673C1"/>
    <w:rsid w:val="00E677EA"/>
    <w:rsid w:val="00E70DCC"/>
    <w:rsid w:val="00E70DEA"/>
    <w:rsid w:val="00E71454"/>
    <w:rsid w:val="00E71C07"/>
    <w:rsid w:val="00E728A4"/>
    <w:rsid w:val="00E72F3A"/>
    <w:rsid w:val="00E73110"/>
    <w:rsid w:val="00E73899"/>
    <w:rsid w:val="00E73919"/>
    <w:rsid w:val="00E73FBF"/>
    <w:rsid w:val="00E741F1"/>
    <w:rsid w:val="00E74D1E"/>
    <w:rsid w:val="00E74F6D"/>
    <w:rsid w:val="00E7514F"/>
    <w:rsid w:val="00E7582B"/>
    <w:rsid w:val="00E75C04"/>
    <w:rsid w:val="00E75F65"/>
    <w:rsid w:val="00E761A1"/>
    <w:rsid w:val="00E76342"/>
    <w:rsid w:val="00E769A3"/>
    <w:rsid w:val="00E76E2E"/>
    <w:rsid w:val="00E773D9"/>
    <w:rsid w:val="00E7753D"/>
    <w:rsid w:val="00E77924"/>
    <w:rsid w:val="00E7795E"/>
    <w:rsid w:val="00E77AF1"/>
    <w:rsid w:val="00E77C55"/>
    <w:rsid w:val="00E77E18"/>
    <w:rsid w:val="00E800D6"/>
    <w:rsid w:val="00E804AC"/>
    <w:rsid w:val="00E80BD6"/>
    <w:rsid w:val="00E80DD8"/>
    <w:rsid w:val="00E80FEB"/>
    <w:rsid w:val="00E81068"/>
    <w:rsid w:val="00E81398"/>
    <w:rsid w:val="00E8151C"/>
    <w:rsid w:val="00E81611"/>
    <w:rsid w:val="00E82A95"/>
    <w:rsid w:val="00E82BC6"/>
    <w:rsid w:val="00E83588"/>
    <w:rsid w:val="00E8374F"/>
    <w:rsid w:val="00E83F58"/>
    <w:rsid w:val="00E8427D"/>
    <w:rsid w:val="00E85400"/>
    <w:rsid w:val="00E8577E"/>
    <w:rsid w:val="00E85FB5"/>
    <w:rsid w:val="00E869EC"/>
    <w:rsid w:val="00E873F5"/>
    <w:rsid w:val="00E876CA"/>
    <w:rsid w:val="00E87CBF"/>
    <w:rsid w:val="00E87D6F"/>
    <w:rsid w:val="00E9044C"/>
    <w:rsid w:val="00E91263"/>
    <w:rsid w:val="00E92096"/>
    <w:rsid w:val="00E922D8"/>
    <w:rsid w:val="00E927F5"/>
    <w:rsid w:val="00E92A61"/>
    <w:rsid w:val="00E92F40"/>
    <w:rsid w:val="00E930C6"/>
    <w:rsid w:val="00E936CA"/>
    <w:rsid w:val="00E93770"/>
    <w:rsid w:val="00E93AA3"/>
    <w:rsid w:val="00E94044"/>
    <w:rsid w:val="00E94655"/>
    <w:rsid w:val="00E946AC"/>
    <w:rsid w:val="00E94C8F"/>
    <w:rsid w:val="00E957F8"/>
    <w:rsid w:val="00E958CB"/>
    <w:rsid w:val="00E963A3"/>
    <w:rsid w:val="00E96926"/>
    <w:rsid w:val="00E96F79"/>
    <w:rsid w:val="00E9707F"/>
    <w:rsid w:val="00E97536"/>
    <w:rsid w:val="00EA035C"/>
    <w:rsid w:val="00EA043C"/>
    <w:rsid w:val="00EA08B5"/>
    <w:rsid w:val="00EA0F63"/>
    <w:rsid w:val="00EA1674"/>
    <w:rsid w:val="00EA1AA5"/>
    <w:rsid w:val="00EA1BD6"/>
    <w:rsid w:val="00EA1D56"/>
    <w:rsid w:val="00EA2445"/>
    <w:rsid w:val="00EA260A"/>
    <w:rsid w:val="00EA27BA"/>
    <w:rsid w:val="00EA27D1"/>
    <w:rsid w:val="00EA27F8"/>
    <w:rsid w:val="00EA2EBE"/>
    <w:rsid w:val="00EA3036"/>
    <w:rsid w:val="00EA333D"/>
    <w:rsid w:val="00EA33AB"/>
    <w:rsid w:val="00EA3439"/>
    <w:rsid w:val="00EA3836"/>
    <w:rsid w:val="00EA3F3E"/>
    <w:rsid w:val="00EA48C6"/>
    <w:rsid w:val="00EA4C27"/>
    <w:rsid w:val="00EA4F3B"/>
    <w:rsid w:val="00EA57B8"/>
    <w:rsid w:val="00EA582F"/>
    <w:rsid w:val="00EA5EDB"/>
    <w:rsid w:val="00EA5FB6"/>
    <w:rsid w:val="00EA674B"/>
    <w:rsid w:val="00EA67BD"/>
    <w:rsid w:val="00EA6C95"/>
    <w:rsid w:val="00EA73BF"/>
    <w:rsid w:val="00EA7BAA"/>
    <w:rsid w:val="00EB0149"/>
    <w:rsid w:val="00EB0293"/>
    <w:rsid w:val="00EB03A5"/>
    <w:rsid w:val="00EB0B23"/>
    <w:rsid w:val="00EB1283"/>
    <w:rsid w:val="00EB193D"/>
    <w:rsid w:val="00EB1E3F"/>
    <w:rsid w:val="00EB335C"/>
    <w:rsid w:val="00EB3955"/>
    <w:rsid w:val="00EB418B"/>
    <w:rsid w:val="00EB4267"/>
    <w:rsid w:val="00EB43B7"/>
    <w:rsid w:val="00EB44B6"/>
    <w:rsid w:val="00EB487B"/>
    <w:rsid w:val="00EB5370"/>
    <w:rsid w:val="00EB5891"/>
    <w:rsid w:val="00EB5CB2"/>
    <w:rsid w:val="00EB6F33"/>
    <w:rsid w:val="00EB7ADF"/>
    <w:rsid w:val="00EC0E44"/>
    <w:rsid w:val="00EC112F"/>
    <w:rsid w:val="00EC132C"/>
    <w:rsid w:val="00EC1DD0"/>
    <w:rsid w:val="00EC2721"/>
    <w:rsid w:val="00EC2789"/>
    <w:rsid w:val="00EC2F59"/>
    <w:rsid w:val="00EC373B"/>
    <w:rsid w:val="00EC37DC"/>
    <w:rsid w:val="00EC3C32"/>
    <w:rsid w:val="00EC4000"/>
    <w:rsid w:val="00EC4341"/>
    <w:rsid w:val="00EC4E70"/>
    <w:rsid w:val="00EC4FFB"/>
    <w:rsid w:val="00EC6109"/>
    <w:rsid w:val="00EC610C"/>
    <w:rsid w:val="00EC6CF7"/>
    <w:rsid w:val="00EC7BB8"/>
    <w:rsid w:val="00EC7D8C"/>
    <w:rsid w:val="00EC7F89"/>
    <w:rsid w:val="00ED0267"/>
    <w:rsid w:val="00ED0D40"/>
    <w:rsid w:val="00ED1164"/>
    <w:rsid w:val="00ED11C9"/>
    <w:rsid w:val="00ED14CA"/>
    <w:rsid w:val="00ED1624"/>
    <w:rsid w:val="00ED1B86"/>
    <w:rsid w:val="00ED2649"/>
    <w:rsid w:val="00ED26E7"/>
    <w:rsid w:val="00ED2702"/>
    <w:rsid w:val="00ED285D"/>
    <w:rsid w:val="00ED290F"/>
    <w:rsid w:val="00ED2C8A"/>
    <w:rsid w:val="00ED2E01"/>
    <w:rsid w:val="00ED2E87"/>
    <w:rsid w:val="00ED414B"/>
    <w:rsid w:val="00ED45C3"/>
    <w:rsid w:val="00ED4E9C"/>
    <w:rsid w:val="00ED5088"/>
    <w:rsid w:val="00ED5869"/>
    <w:rsid w:val="00ED62AB"/>
    <w:rsid w:val="00ED6650"/>
    <w:rsid w:val="00ED6A50"/>
    <w:rsid w:val="00ED6AC0"/>
    <w:rsid w:val="00ED6B0A"/>
    <w:rsid w:val="00ED732F"/>
    <w:rsid w:val="00EE005D"/>
    <w:rsid w:val="00EE068A"/>
    <w:rsid w:val="00EE0996"/>
    <w:rsid w:val="00EE17EA"/>
    <w:rsid w:val="00EE1DA2"/>
    <w:rsid w:val="00EE22AB"/>
    <w:rsid w:val="00EE2AD6"/>
    <w:rsid w:val="00EE324F"/>
    <w:rsid w:val="00EE326E"/>
    <w:rsid w:val="00EE4296"/>
    <w:rsid w:val="00EE48D5"/>
    <w:rsid w:val="00EE4F16"/>
    <w:rsid w:val="00EE52E5"/>
    <w:rsid w:val="00EE5429"/>
    <w:rsid w:val="00EE5C88"/>
    <w:rsid w:val="00EE5FB9"/>
    <w:rsid w:val="00EE64B7"/>
    <w:rsid w:val="00EE68F4"/>
    <w:rsid w:val="00EE715B"/>
    <w:rsid w:val="00EE7507"/>
    <w:rsid w:val="00EE7A09"/>
    <w:rsid w:val="00EE7B1B"/>
    <w:rsid w:val="00EE7D66"/>
    <w:rsid w:val="00EF01F9"/>
    <w:rsid w:val="00EF030A"/>
    <w:rsid w:val="00EF0684"/>
    <w:rsid w:val="00EF0BE6"/>
    <w:rsid w:val="00EF0D51"/>
    <w:rsid w:val="00EF11DB"/>
    <w:rsid w:val="00EF133D"/>
    <w:rsid w:val="00EF1CA7"/>
    <w:rsid w:val="00EF1D8A"/>
    <w:rsid w:val="00EF2D6D"/>
    <w:rsid w:val="00EF2FFE"/>
    <w:rsid w:val="00EF3046"/>
    <w:rsid w:val="00EF3B19"/>
    <w:rsid w:val="00EF3FBB"/>
    <w:rsid w:val="00EF3FBF"/>
    <w:rsid w:val="00EF450C"/>
    <w:rsid w:val="00EF458A"/>
    <w:rsid w:val="00EF47F4"/>
    <w:rsid w:val="00EF4DD5"/>
    <w:rsid w:val="00EF526C"/>
    <w:rsid w:val="00EF5512"/>
    <w:rsid w:val="00EF5B43"/>
    <w:rsid w:val="00EF5D02"/>
    <w:rsid w:val="00EF5EE0"/>
    <w:rsid w:val="00EF6C5A"/>
    <w:rsid w:val="00F00389"/>
    <w:rsid w:val="00F0067E"/>
    <w:rsid w:val="00F006BE"/>
    <w:rsid w:val="00F00E57"/>
    <w:rsid w:val="00F01474"/>
    <w:rsid w:val="00F01E87"/>
    <w:rsid w:val="00F0250F"/>
    <w:rsid w:val="00F02FCE"/>
    <w:rsid w:val="00F03166"/>
    <w:rsid w:val="00F034CD"/>
    <w:rsid w:val="00F03666"/>
    <w:rsid w:val="00F0371D"/>
    <w:rsid w:val="00F03BCF"/>
    <w:rsid w:val="00F03CD5"/>
    <w:rsid w:val="00F040A8"/>
    <w:rsid w:val="00F04388"/>
    <w:rsid w:val="00F04511"/>
    <w:rsid w:val="00F0451F"/>
    <w:rsid w:val="00F04AC2"/>
    <w:rsid w:val="00F04C7A"/>
    <w:rsid w:val="00F04F36"/>
    <w:rsid w:val="00F05025"/>
    <w:rsid w:val="00F05077"/>
    <w:rsid w:val="00F0561E"/>
    <w:rsid w:val="00F05706"/>
    <w:rsid w:val="00F05E8D"/>
    <w:rsid w:val="00F07229"/>
    <w:rsid w:val="00F07308"/>
    <w:rsid w:val="00F10345"/>
    <w:rsid w:val="00F10758"/>
    <w:rsid w:val="00F10D2E"/>
    <w:rsid w:val="00F110EB"/>
    <w:rsid w:val="00F11A33"/>
    <w:rsid w:val="00F11A8B"/>
    <w:rsid w:val="00F11FCC"/>
    <w:rsid w:val="00F124BB"/>
    <w:rsid w:val="00F12A0A"/>
    <w:rsid w:val="00F12C24"/>
    <w:rsid w:val="00F13062"/>
    <w:rsid w:val="00F1354D"/>
    <w:rsid w:val="00F13B50"/>
    <w:rsid w:val="00F142CC"/>
    <w:rsid w:val="00F14945"/>
    <w:rsid w:val="00F14A24"/>
    <w:rsid w:val="00F14C25"/>
    <w:rsid w:val="00F151DC"/>
    <w:rsid w:val="00F152CF"/>
    <w:rsid w:val="00F15576"/>
    <w:rsid w:val="00F155FE"/>
    <w:rsid w:val="00F157F1"/>
    <w:rsid w:val="00F162A4"/>
    <w:rsid w:val="00F1670B"/>
    <w:rsid w:val="00F167C6"/>
    <w:rsid w:val="00F168D4"/>
    <w:rsid w:val="00F16963"/>
    <w:rsid w:val="00F16EE3"/>
    <w:rsid w:val="00F17416"/>
    <w:rsid w:val="00F1746E"/>
    <w:rsid w:val="00F17A54"/>
    <w:rsid w:val="00F20054"/>
    <w:rsid w:val="00F20815"/>
    <w:rsid w:val="00F2094D"/>
    <w:rsid w:val="00F22AA2"/>
    <w:rsid w:val="00F22CDB"/>
    <w:rsid w:val="00F23695"/>
    <w:rsid w:val="00F23914"/>
    <w:rsid w:val="00F23CC1"/>
    <w:rsid w:val="00F23E54"/>
    <w:rsid w:val="00F2507F"/>
    <w:rsid w:val="00F2582B"/>
    <w:rsid w:val="00F25831"/>
    <w:rsid w:val="00F25DC5"/>
    <w:rsid w:val="00F264D6"/>
    <w:rsid w:val="00F267BE"/>
    <w:rsid w:val="00F2682E"/>
    <w:rsid w:val="00F26F2E"/>
    <w:rsid w:val="00F27F19"/>
    <w:rsid w:val="00F30AC1"/>
    <w:rsid w:val="00F33481"/>
    <w:rsid w:val="00F33899"/>
    <w:rsid w:val="00F3425B"/>
    <w:rsid w:val="00F34B17"/>
    <w:rsid w:val="00F353AD"/>
    <w:rsid w:val="00F35480"/>
    <w:rsid w:val="00F3549D"/>
    <w:rsid w:val="00F35B92"/>
    <w:rsid w:val="00F35C76"/>
    <w:rsid w:val="00F36506"/>
    <w:rsid w:val="00F36DCD"/>
    <w:rsid w:val="00F36DD3"/>
    <w:rsid w:val="00F370A9"/>
    <w:rsid w:val="00F37CC6"/>
    <w:rsid w:val="00F37E30"/>
    <w:rsid w:val="00F40151"/>
    <w:rsid w:val="00F40212"/>
    <w:rsid w:val="00F40444"/>
    <w:rsid w:val="00F40606"/>
    <w:rsid w:val="00F4165D"/>
    <w:rsid w:val="00F41B11"/>
    <w:rsid w:val="00F42704"/>
    <w:rsid w:val="00F43511"/>
    <w:rsid w:val="00F4394B"/>
    <w:rsid w:val="00F44C70"/>
    <w:rsid w:val="00F45842"/>
    <w:rsid w:val="00F45A07"/>
    <w:rsid w:val="00F45D44"/>
    <w:rsid w:val="00F45EBF"/>
    <w:rsid w:val="00F46A86"/>
    <w:rsid w:val="00F4709A"/>
    <w:rsid w:val="00F47837"/>
    <w:rsid w:val="00F50385"/>
    <w:rsid w:val="00F5087D"/>
    <w:rsid w:val="00F50A7D"/>
    <w:rsid w:val="00F50BC5"/>
    <w:rsid w:val="00F5100A"/>
    <w:rsid w:val="00F5103B"/>
    <w:rsid w:val="00F5105A"/>
    <w:rsid w:val="00F513E2"/>
    <w:rsid w:val="00F52525"/>
    <w:rsid w:val="00F526E6"/>
    <w:rsid w:val="00F52DB1"/>
    <w:rsid w:val="00F531CD"/>
    <w:rsid w:val="00F53383"/>
    <w:rsid w:val="00F53E2E"/>
    <w:rsid w:val="00F54BD3"/>
    <w:rsid w:val="00F54C03"/>
    <w:rsid w:val="00F54C22"/>
    <w:rsid w:val="00F56610"/>
    <w:rsid w:val="00F570AB"/>
    <w:rsid w:val="00F57972"/>
    <w:rsid w:val="00F57CEB"/>
    <w:rsid w:val="00F60D2A"/>
    <w:rsid w:val="00F61403"/>
    <w:rsid w:val="00F6190E"/>
    <w:rsid w:val="00F619E0"/>
    <w:rsid w:val="00F61A0D"/>
    <w:rsid w:val="00F61C23"/>
    <w:rsid w:val="00F61D76"/>
    <w:rsid w:val="00F61EDB"/>
    <w:rsid w:val="00F62536"/>
    <w:rsid w:val="00F63132"/>
    <w:rsid w:val="00F633AD"/>
    <w:rsid w:val="00F64093"/>
    <w:rsid w:val="00F644FB"/>
    <w:rsid w:val="00F65C0F"/>
    <w:rsid w:val="00F65D4A"/>
    <w:rsid w:val="00F66335"/>
    <w:rsid w:val="00F6652D"/>
    <w:rsid w:val="00F66FA0"/>
    <w:rsid w:val="00F67B98"/>
    <w:rsid w:val="00F67D1E"/>
    <w:rsid w:val="00F6EE66"/>
    <w:rsid w:val="00F70490"/>
    <w:rsid w:val="00F7086B"/>
    <w:rsid w:val="00F71FF0"/>
    <w:rsid w:val="00F720C8"/>
    <w:rsid w:val="00F72434"/>
    <w:rsid w:val="00F72866"/>
    <w:rsid w:val="00F7288C"/>
    <w:rsid w:val="00F72B9E"/>
    <w:rsid w:val="00F72D48"/>
    <w:rsid w:val="00F7326F"/>
    <w:rsid w:val="00F73505"/>
    <w:rsid w:val="00F73620"/>
    <w:rsid w:val="00F73E8D"/>
    <w:rsid w:val="00F75BEB"/>
    <w:rsid w:val="00F75D5E"/>
    <w:rsid w:val="00F76272"/>
    <w:rsid w:val="00F7707A"/>
    <w:rsid w:val="00F770F2"/>
    <w:rsid w:val="00F772B4"/>
    <w:rsid w:val="00F779C3"/>
    <w:rsid w:val="00F77C2F"/>
    <w:rsid w:val="00F80232"/>
    <w:rsid w:val="00F80B2E"/>
    <w:rsid w:val="00F80BA0"/>
    <w:rsid w:val="00F817A9"/>
    <w:rsid w:val="00F817B5"/>
    <w:rsid w:val="00F81810"/>
    <w:rsid w:val="00F81918"/>
    <w:rsid w:val="00F81AA4"/>
    <w:rsid w:val="00F81E9B"/>
    <w:rsid w:val="00F82728"/>
    <w:rsid w:val="00F82CD8"/>
    <w:rsid w:val="00F837CF"/>
    <w:rsid w:val="00F844B1"/>
    <w:rsid w:val="00F84649"/>
    <w:rsid w:val="00F85103"/>
    <w:rsid w:val="00F8539D"/>
    <w:rsid w:val="00F85DEB"/>
    <w:rsid w:val="00F863BB"/>
    <w:rsid w:val="00F86662"/>
    <w:rsid w:val="00F866DE"/>
    <w:rsid w:val="00F86A24"/>
    <w:rsid w:val="00F86A87"/>
    <w:rsid w:val="00F86DCE"/>
    <w:rsid w:val="00F87F3E"/>
    <w:rsid w:val="00F902CB"/>
    <w:rsid w:val="00F906F1"/>
    <w:rsid w:val="00F90958"/>
    <w:rsid w:val="00F90A60"/>
    <w:rsid w:val="00F91DF6"/>
    <w:rsid w:val="00F921BD"/>
    <w:rsid w:val="00F92A63"/>
    <w:rsid w:val="00F93347"/>
    <w:rsid w:val="00F93672"/>
    <w:rsid w:val="00F9395B"/>
    <w:rsid w:val="00F94087"/>
    <w:rsid w:val="00F94159"/>
    <w:rsid w:val="00F943EB"/>
    <w:rsid w:val="00F94D8F"/>
    <w:rsid w:val="00F94DC2"/>
    <w:rsid w:val="00F94FD1"/>
    <w:rsid w:val="00F95178"/>
    <w:rsid w:val="00F95B02"/>
    <w:rsid w:val="00F96081"/>
    <w:rsid w:val="00F9651C"/>
    <w:rsid w:val="00F971A5"/>
    <w:rsid w:val="00F974BF"/>
    <w:rsid w:val="00F977E7"/>
    <w:rsid w:val="00F97A7D"/>
    <w:rsid w:val="00FA12F4"/>
    <w:rsid w:val="00FA16C6"/>
    <w:rsid w:val="00FA17AC"/>
    <w:rsid w:val="00FA1AF6"/>
    <w:rsid w:val="00FA1BB7"/>
    <w:rsid w:val="00FA2F6F"/>
    <w:rsid w:val="00FA2FAB"/>
    <w:rsid w:val="00FA34EE"/>
    <w:rsid w:val="00FA37D7"/>
    <w:rsid w:val="00FA407D"/>
    <w:rsid w:val="00FA4A53"/>
    <w:rsid w:val="00FA584B"/>
    <w:rsid w:val="00FA5BC7"/>
    <w:rsid w:val="00FA62C3"/>
    <w:rsid w:val="00FA62F0"/>
    <w:rsid w:val="00FA769C"/>
    <w:rsid w:val="00FA7AF3"/>
    <w:rsid w:val="00FA7B58"/>
    <w:rsid w:val="00FA7DD9"/>
    <w:rsid w:val="00FB0BB3"/>
    <w:rsid w:val="00FB1058"/>
    <w:rsid w:val="00FB1DAE"/>
    <w:rsid w:val="00FB2C07"/>
    <w:rsid w:val="00FB2E2D"/>
    <w:rsid w:val="00FB3347"/>
    <w:rsid w:val="00FB366A"/>
    <w:rsid w:val="00FB4789"/>
    <w:rsid w:val="00FB4C8B"/>
    <w:rsid w:val="00FB544B"/>
    <w:rsid w:val="00FB608C"/>
    <w:rsid w:val="00FB6317"/>
    <w:rsid w:val="00FB71D8"/>
    <w:rsid w:val="00FC0039"/>
    <w:rsid w:val="00FC05EE"/>
    <w:rsid w:val="00FC0783"/>
    <w:rsid w:val="00FC0F7B"/>
    <w:rsid w:val="00FC1072"/>
    <w:rsid w:val="00FC192E"/>
    <w:rsid w:val="00FC2577"/>
    <w:rsid w:val="00FC2692"/>
    <w:rsid w:val="00FC2941"/>
    <w:rsid w:val="00FC3066"/>
    <w:rsid w:val="00FC31E8"/>
    <w:rsid w:val="00FC33D5"/>
    <w:rsid w:val="00FC361D"/>
    <w:rsid w:val="00FC39AF"/>
    <w:rsid w:val="00FC3C84"/>
    <w:rsid w:val="00FC3D85"/>
    <w:rsid w:val="00FC3DC5"/>
    <w:rsid w:val="00FC3E8B"/>
    <w:rsid w:val="00FC4067"/>
    <w:rsid w:val="00FC48AF"/>
    <w:rsid w:val="00FC4C98"/>
    <w:rsid w:val="00FC4D99"/>
    <w:rsid w:val="00FC4E98"/>
    <w:rsid w:val="00FC4F48"/>
    <w:rsid w:val="00FC5F4B"/>
    <w:rsid w:val="00FC6208"/>
    <w:rsid w:val="00FC646B"/>
    <w:rsid w:val="00FC6746"/>
    <w:rsid w:val="00FC69FD"/>
    <w:rsid w:val="00FC6AC5"/>
    <w:rsid w:val="00FC6D7D"/>
    <w:rsid w:val="00FC6FBE"/>
    <w:rsid w:val="00FC738C"/>
    <w:rsid w:val="00FD02A9"/>
    <w:rsid w:val="00FD14B4"/>
    <w:rsid w:val="00FD1EE4"/>
    <w:rsid w:val="00FD24E6"/>
    <w:rsid w:val="00FD2845"/>
    <w:rsid w:val="00FD2E99"/>
    <w:rsid w:val="00FD2FA0"/>
    <w:rsid w:val="00FD3699"/>
    <w:rsid w:val="00FD3CC2"/>
    <w:rsid w:val="00FD40E5"/>
    <w:rsid w:val="00FD49A8"/>
    <w:rsid w:val="00FD4D9B"/>
    <w:rsid w:val="00FD4E81"/>
    <w:rsid w:val="00FD53B4"/>
    <w:rsid w:val="00FD5567"/>
    <w:rsid w:val="00FD5936"/>
    <w:rsid w:val="00FD5C67"/>
    <w:rsid w:val="00FD5DE2"/>
    <w:rsid w:val="00FD618D"/>
    <w:rsid w:val="00FD69C1"/>
    <w:rsid w:val="00FD6D1A"/>
    <w:rsid w:val="00FD758C"/>
    <w:rsid w:val="00FE038A"/>
    <w:rsid w:val="00FE10E4"/>
    <w:rsid w:val="00FE1528"/>
    <w:rsid w:val="00FE2009"/>
    <w:rsid w:val="00FE2C74"/>
    <w:rsid w:val="00FE3221"/>
    <w:rsid w:val="00FE3A43"/>
    <w:rsid w:val="00FE3A8F"/>
    <w:rsid w:val="00FE3F70"/>
    <w:rsid w:val="00FE4918"/>
    <w:rsid w:val="00FE53C5"/>
    <w:rsid w:val="00FE57A1"/>
    <w:rsid w:val="00FE5F7E"/>
    <w:rsid w:val="00FE6052"/>
    <w:rsid w:val="00FE61C3"/>
    <w:rsid w:val="00FE62DB"/>
    <w:rsid w:val="00FE7540"/>
    <w:rsid w:val="00FE756C"/>
    <w:rsid w:val="00FE79AA"/>
    <w:rsid w:val="00FE7AA6"/>
    <w:rsid w:val="00FE7D48"/>
    <w:rsid w:val="00FF05F3"/>
    <w:rsid w:val="00FF083A"/>
    <w:rsid w:val="00FF086D"/>
    <w:rsid w:val="00FF1F3F"/>
    <w:rsid w:val="00FF21BB"/>
    <w:rsid w:val="00FF227D"/>
    <w:rsid w:val="00FF2CB6"/>
    <w:rsid w:val="00FF2E45"/>
    <w:rsid w:val="00FF3050"/>
    <w:rsid w:val="00FF359D"/>
    <w:rsid w:val="00FF3A31"/>
    <w:rsid w:val="00FF406E"/>
    <w:rsid w:val="00FF469A"/>
    <w:rsid w:val="00FF47D4"/>
    <w:rsid w:val="00FF500D"/>
    <w:rsid w:val="00FF572E"/>
    <w:rsid w:val="00FF5B08"/>
    <w:rsid w:val="00FF5D9C"/>
    <w:rsid w:val="00FF60BD"/>
    <w:rsid w:val="00FF6318"/>
    <w:rsid w:val="00FF6561"/>
    <w:rsid w:val="00FF7FE3"/>
    <w:rsid w:val="0105874F"/>
    <w:rsid w:val="0111F6CA"/>
    <w:rsid w:val="01189116"/>
    <w:rsid w:val="012BC6D0"/>
    <w:rsid w:val="012E4E7D"/>
    <w:rsid w:val="013C2185"/>
    <w:rsid w:val="015564A0"/>
    <w:rsid w:val="015898DD"/>
    <w:rsid w:val="0167F54A"/>
    <w:rsid w:val="017BFBCD"/>
    <w:rsid w:val="017E8551"/>
    <w:rsid w:val="019C5ED3"/>
    <w:rsid w:val="01A3F835"/>
    <w:rsid w:val="01A97E9E"/>
    <w:rsid w:val="01AB0993"/>
    <w:rsid w:val="01B1FDC5"/>
    <w:rsid w:val="01B7FA34"/>
    <w:rsid w:val="01C4CE4A"/>
    <w:rsid w:val="01D6D72D"/>
    <w:rsid w:val="01DB85A3"/>
    <w:rsid w:val="01F92236"/>
    <w:rsid w:val="020656B3"/>
    <w:rsid w:val="020C69AB"/>
    <w:rsid w:val="020F9D51"/>
    <w:rsid w:val="021C804E"/>
    <w:rsid w:val="0222ACDA"/>
    <w:rsid w:val="023E752A"/>
    <w:rsid w:val="024A9AA9"/>
    <w:rsid w:val="0272A7F2"/>
    <w:rsid w:val="0276BA09"/>
    <w:rsid w:val="0278D1F8"/>
    <w:rsid w:val="028086F6"/>
    <w:rsid w:val="0292791C"/>
    <w:rsid w:val="02E628DE"/>
    <w:rsid w:val="02E62FAD"/>
    <w:rsid w:val="02F924FA"/>
    <w:rsid w:val="02FC3FEA"/>
    <w:rsid w:val="031DE834"/>
    <w:rsid w:val="033B5BCC"/>
    <w:rsid w:val="034EC086"/>
    <w:rsid w:val="0356727C"/>
    <w:rsid w:val="0364F4BE"/>
    <w:rsid w:val="036CECA5"/>
    <w:rsid w:val="036EB14F"/>
    <w:rsid w:val="037B9D79"/>
    <w:rsid w:val="03892DAA"/>
    <w:rsid w:val="038F8132"/>
    <w:rsid w:val="039D875F"/>
    <w:rsid w:val="03AAE780"/>
    <w:rsid w:val="03BDE757"/>
    <w:rsid w:val="03F8BDCA"/>
    <w:rsid w:val="03FD5DD2"/>
    <w:rsid w:val="0401BDCA"/>
    <w:rsid w:val="040BE7C0"/>
    <w:rsid w:val="040EED03"/>
    <w:rsid w:val="0414F078"/>
    <w:rsid w:val="04321272"/>
    <w:rsid w:val="04580421"/>
    <w:rsid w:val="0464723F"/>
    <w:rsid w:val="0479F768"/>
    <w:rsid w:val="048936F6"/>
    <w:rsid w:val="04962757"/>
    <w:rsid w:val="04CCAACB"/>
    <w:rsid w:val="04E9BDD2"/>
    <w:rsid w:val="04EA4D36"/>
    <w:rsid w:val="04F625C8"/>
    <w:rsid w:val="050B477A"/>
    <w:rsid w:val="051660FF"/>
    <w:rsid w:val="051C7F9C"/>
    <w:rsid w:val="0530F976"/>
    <w:rsid w:val="053B6556"/>
    <w:rsid w:val="0549F00B"/>
    <w:rsid w:val="058BA2A8"/>
    <w:rsid w:val="05BC501B"/>
    <w:rsid w:val="05EA3265"/>
    <w:rsid w:val="05F876ED"/>
    <w:rsid w:val="060E698E"/>
    <w:rsid w:val="0629FCDF"/>
    <w:rsid w:val="0638ABD1"/>
    <w:rsid w:val="06560131"/>
    <w:rsid w:val="065FEDFC"/>
    <w:rsid w:val="068CBDC7"/>
    <w:rsid w:val="06ACEDF5"/>
    <w:rsid w:val="06D352F3"/>
    <w:rsid w:val="06F528A3"/>
    <w:rsid w:val="06F89DE8"/>
    <w:rsid w:val="06F92AE7"/>
    <w:rsid w:val="07043724"/>
    <w:rsid w:val="07288240"/>
    <w:rsid w:val="072B335B"/>
    <w:rsid w:val="0730EFAC"/>
    <w:rsid w:val="073FC416"/>
    <w:rsid w:val="0748045E"/>
    <w:rsid w:val="075ACBA1"/>
    <w:rsid w:val="07918FE1"/>
    <w:rsid w:val="07AECBFA"/>
    <w:rsid w:val="07B40128"/>
    <w:rsid w:val="07CA129A"/>
    <w:rsid w:val="07E2A9A7"/>
    <w:rsid w:val="080CC647"/>
    <w:rsid w:val="081B976A"/>
    <w:rsid w:val="081DAAF9"/>
    <w:rsid w:val="082B60C9"/>
    <w:rsid w:val="082F3168"/>
    <w:rsid w:val="08415C85"/>
    <w:rsid w:val="0852D479"/>
    <w:rsid w:val="085F2EAA"/>
    <w:rsid w:val="085F426E"/>
    <w:rsid w:val="08611C06"/>
    <w:rsid w:val="086646B3"/>
    <w:rsid w:val="0882807E"/>
    <w:rsid w:val="088920A5"/>
    <w:rsid w:val="088D26DC"/>
    <w:rsid w:val="089B149C"/>
    <w:rsid w:val="08BEC56D"/>
    <w:rsid w:val="08C53E56"/>
    <w:rsid w:val="08F59D82"/>
    <w:rsid w:val="08FCA6D1"/>
    <w:rsid w:val="090574E6"/>
    <w:rsid w:val="0914FD64"/>
    <w:rsid w:val="092A0DF4"/>
    <w:rsid w:val="0934F989"/>
    <w:rsid w:val="093C1844"/>
    <w:rsid w:val="094965C2"/>
    <w:rsid w:val="09637D12"/>
    <w:rsid w:val="096C75FF"/>
    <w:rsid w:val="097D9686"/>
    <w:rsid w:val="0994FFE8"/>
    <w:rsid w:val="09A3A76D"/>
    <w:rsid w:val="09D47C69"/>
    <w:rsid w:val="09F219FC"/>
    <w:rsid w:val="0A1B388E"/>
    <w:rsid w:val="0A351722"/>
    <w:rsid w:val="0A370596"/>
    <w:rsid w:val="0A380B94"/>
    <w:rsid w:val="0A522AC3"/>
    <w:rsid w:val="0A709246"/>
    <w:rsid w:val="0A72C069"/>
    <w:rsid w:val="0AB33082"/>
    <w:rsid w:val="0AC4423D"/>
    <w:rsid w:val="0AD318A4"/>
    <w:rsid w:val="0B2242C8"/>
    <w:rsid w:val="0B3B5E5F"/>
    <w:rsid w:val="0B7F1AE9"/>
    <w:rsid w:val="0B89DB35"/>
    <w:rsid w:val="0B9AF531"/>
    <w:rsid w:val="0B9F880F"/>
    <w:rsid w:val="0BBF2182"/>
    <w:rsid w:val="0BDBC759"/>
    <w:rsid w:val="0BE64D77"/>
    <w:rsid w:val="0C050DFF"/>
    <w:rsid w:val="0C3248C2"/>
    <w:rsid w:val="0C3494FA"/>
    <w:rsid w:val="0C357F05"/>
    <w:rsid w:val="0C35C7F2"/>
    <w:rsid w:val="0C48A4C9"/>
    <w:rsid w:val="0C7D751A"/>
    <w:rsid w:val="0C7EC0CD"/>
    <w:rsid w:val="0C862DF4"/>
    <w:rsid w:val="0CB02657"/>
    <w:rsid w:val="0CBD0F84"/>
    <w:rsid w:val="0CDF1D92"/>
    <w:rsid w:val="0CFA5D65"/>
    <w:rsid w:val="0D056CC4"/>
    <w:rsid w:val="0D2DB89D"/>
    <w:rsid w:val="0D3E9834"/>
    <w:rsid w:val="0D404105"/>
    <w:rsid w:val="0D4087A9"/>
    <w:rsid w:val="0D45C3BF"/>
    <w:rsid w:val="0D5BCA1E"/>
    <w:rsid w:val="0D6C7BA9"/>
    <w:rsid w:val="0D7C59C5"/>
    <w:rsid w:val="0D96F627"/>
    <w:rsid w:val="0DA0EB58"/>
    <w:rsid w:val="0DB4191C"/>
    <w:rsid w:val="0DE1F853"/>
    <w:rsid w:val="0DE4098F"/>
    <w:rsid w:val="0DE6B0BF"/>
    <w:rsid w:val="0DEEB3AA"/>
    <w:rsid w:val="0DF88FD0"/>
    <w:rsid w:val="0E1836B9"/>
    <w:rsid w:val="0E2682BB"/>
    <w:rsid w:val="0E2A6BA8"/>
    <w:rsid w:val="0E393B35"/>
    <w:rsid w:val="0E587089"/>
    <w:rsid w:val="0E5E4A35"/>
    <w:rsid w:val="0E918772"/>
    <w:rsid w:val="0EA596BD"/>
    <w:rsid w:val="0EA8F2E2"/>
    <w:rsid w:val="0EBF570E"/>
    <w:rsid w:val="0EC3BBBF"/>
    <w:rsid w:val="0EF5FF32"/>
    <w:rsid w:val="0F14527B"/>
    <w:rsid w:val="0F14FE41"/>
    <w:rsid w:val="0F150B6B"/>
    <w:rsid w:val="0F1A5628"/>
    <w:rsid w:val="0F2B4C8E"/>
    <w:rsid w:val="0F35990A"/>
    <w:rsid w:val="0F3C9620"/>
    <w:rsid w:val="0F578FF6"/>
    <w:rsid w:val="0F66D609"/>
    <w:rsid w:val="0F753994"/>
    <w:rsid w:val="0F83C91D"/>
    <w:rsid w:val="0F92D155"/>
    <w:rsid w:val="0FA06B20"/>
    <w:rsid w:val="0FB86B58"/>
    <w:rsid w:val="0FBFAD97"/>
    <w:rsid w:val="0FC14DD2"/>
    <w:rsid w:val="0FC674A9"/>
    <w:rsid w:val="0FCC3B6C"/>
    <w:rsid w:val="0FE9E5ED"/>
    <w:rsid w:val="0FF0AAA6"/>
    <w:rsid w:val="0FF3836E"/>
    <w:rsid w:val="0FF466BA"/>
    <w:rsid w:val="10083F8D"/>
    <w:rsid w:val="101F9061"/>
    <w:rsid w:val="10340ABB"/>
    <w:rsid w:val="105BBF81"/>
    <w:rsid w:val="10775DD8"/>
    <w:rsid w:val="1083D252"/>
    <w:rsid w:val="10D162B9"/>
    <w:rsid w:val="10E1F386"/>
    <w:rsid w:val="11028F12"/>
    <w:rsid w:val="115ABD59"/>
    <w:rsid w:val="11603873"/>
    <w:rsid w:val="11890CE9"/>
    <w:rsid w:val="119C9FF8"/>
    <w:rsid w:val="11A37767"/>
    <w:rsid w:val="11D3B03D"/>
    <w:rsid w:val="11D800FF"/>
    <w:rsid w:val="11DA88A2"/>
    <w:rsid w:val="11DDC45C"/>
    <w:rsid w:val="11E33C95"/>
    <w:rsid w:val="12059005"/>
    <w:rsid w:val="1226CEE6"/>
    <w:rsid w:val="1242A8A6"/>
    <w:rsid w:val="124F48D9"/>
    <w:rsid w:val="126D14EE"/>
    <w:rsid w:val="12722BBE"/>
    <w:rsid w:val="127699BF"/>
    <w:rsid w:val="1285E62F"/>
    <w:rsid w:val="12A24646"/>
    <w:rsid w:val="12A57AE6"/>
    <w:rsid w:val="12F4B6F8"/>
    <w:rsid w:val="135C4560"/>
    <w:rsid w:val="1364EA05"/>
    <w:rsid w:val="138DB815"/>
    <w:rsid w:val="1393BED7"/>
    <w:rsid w:val="1396006B"/>
    <w:rsid w:val="13968E55"/>
    <w:rsid w:val="13999F83"/>
    <w:rsid w:val="139C9994"/>
    <w:rsid w:val="13C00DF0"/>
    <w:rsid w:val="13E28F62"/>
    <w:rsid w:val="1418E831"/>
    <w:rsid w:val="144B0E84"/>
    <w:rsid w:val="14827135"/>
    <w:rsid w:val="14A2A88D"/>
    <w:rsid w:val="14A69F5E"/>
    <w:rsid w:val="14AB654E"/>
    <w:rsid w:val="14B46262"/>
    <w:rsid w:val="14CEA0CC"/>
    <w:rsid w:val="14DE5554"/>
    <w:rsid w:val="14FFE9FC"/>
    <w:rsid w:val="150158CE"/>
    <w:rsid w:val="15147B07"/>
    <w:rsid w:val="151FB1DF"/>
    <w:rsid w:val="1526DE55"/>
    <w:rsid w:val="15345C28"/>
    <w:rsid w:val="154CCE15"/>
    <w:rsid w:val="1552EB02"/>
    <w:rsid w:val="1560C11E"/>
    <w:rsid w:val="1568CF91"/>
    <w:rsid w:val="157E216E"/>
    <w:rsid w:val="15992E11"/>
    <w:rsid w:val="15C31573"/>
    <w:rsid w:val="15D8C191"/>
    <w:rsid w:val="15E5A444"/>
    <w:rsid w:val="15FBFFE7"/>
    <w:rsid w:val="16207C07"/>
    <w:rsid w:val="1623E18F"/>
    <w:rsid w:val="162E60A7"/>
    <w:rsid w:val="1634E4E9"/>
    <w:rsid w:val="163B7832"/>
    <w:rsid w:val="163BF66E"/>
    <w:rsid w:val="16585558"/>
    <w:rsid w:val="1670F40A"/>
    <w:rsid w:val="167896E6"/>
    <w:rsid w:val="16868A65"/>
    <w:rsid w:val="1699797B"/>
    <w:rsid w:val="16AD9129"/>
    <w:rsid w:val="170F217C"/>
    <w:rsid w:val="171A9C4F"/>
    <w:rsid w:val="17398E85"/>
    <w:rsid w:val="1743F579"/>
    <w:rsid w:val="174B4DD9"/>
    <w:rsid w:val="175C1641"/>
    <w:rsid w:val="1784C023"/>
    <w:rsid w:val="1795EE1F"/>
    <w:rsid w:val="179E4A60"/>
    <w:rsid w:val="17A4AD53"/>
    <w:rsid w:val="17C828C8"/>
    <w:rsid w:val="17D542EF"/>
    <w:rsid w:val="17D87D2F"/>
    <w:rsid w:val="17E38345"/>
    <w:rsid w:val="17EC53D2"/>
    <w:rsid w:val="181D78A8"/>
    <w:rsid w:val="18200B0B"/>
    <w:rsid w:val="18278480"/>
    <w:rsid w:val="182E30CE"/>
    <w:rsid w:val="1850FB92"/>
    <w:rsid w:val="18514785"/>
    <w:rsid w:val="186F1073"/>
    <w:rsid w:val="186F2CC2"/>
    <w:rsid w:val="187DEEB4"/>
    <w:rsid w:val="189951DB"/>
    <w:rsid w:val="189FBD06"/>
    <w:rsid w:val="18A87A22"/>
    <w:rsid w:val="18C9195B"/>
    <w:rsid w:val="18D956E1"/>
    <w:rsid w:val="18DEFAE4"/>
    <w:rsid w:val="18FEF006"/>
    <w:rsid w:val="1922D854"/>
    <w:rsid w:val="19336E44"/>
    <w:rsid w:val="1969E962"/>
    <w:rsid w:val="197977D1"/>
    <w:rsid w:val="199809DC"/>
    <w:rsid w:val="19AB589A"/>
    <w:rsid w:val="19B7154F"/>
    <w:rsid w:val="19BF2A3B"/>
    <w:rsid w:val="19C30B3E"/>
    <w:rsid w:val="19DC0EE1"/>
    <w:rsid w:val="19E2E949"/>
    <w:rsid w:val="19E59C8E"/>
    <w:rsid w:val="19E7B4E6"/>
    <w:rsid w:val="19F701AD"/>
    <w:rsid w:val="1A0AAB0A"/>
    <w:rsid w:val="1A101C79"/>
    <w:rsid w:val="1A190802"/>
    <w:rsid w:val="1A350CB0"/>
    <w:rsid w:val="1A482BF8"/>
    <w:rsid w:val="1A58C158"/>
    <w:rsid w:val="1A671BB5"/>
    <w:rsid w:val="1A7AF8AC"/>
    <w:rsid w:val="1A7E0630"/>
    <w:rsid w:val="1AA4D8A9"/>
    <w:rsid w:val="1AB3FF77"/>
    <w:rsid w:val="1ACADFC1"/>
    <w:rsid w:val="1AEA9C3D"/>
    <w:rsid w:val="1AEDA567"/>
    <w:rsid w:val="1AEEA36F"/>
    <w:rsid w:val="1AF457A6"/>
    <w:rsid w:val="1B0A7775"/>
    <w:rsid w:val="1B1DD80D"/>
    <w:rsid w:val="1B21647F"/>
    <w:rsid w:val="1B454714"/>
    <w:rsid w:val="1B45612F"/>
    <w:rsid w:val="1B45AE67"/>
    <w:rsid w:val="1B4865C5"/>
    <w:rsid w:val="1B6A4E6E"/>
    <w:rsid w:val="1BADB4AD"/>
    <w:rsid w:val="1BB8E474"/>
    <w:rsid w:val="1BBAE3F5"/>
    <w:rsid w:val="1BC189C2"/>
    <w:rsid w:val="1BC35782"/>
    <w:rsid w:val="1BC4A719"/>
    <w:rsid w:val="1BC7937C"/>
    <w:rsid w:val="1BCF7C2F"/>
    <w:rsid w:val="1BEF63DC"/>
    <w:rsid w:val="1C1BD7C0"/>
    <w:rsid w:val="1C264667"/>
    <w:rsid w:val="1C37F24F"/>
    <w:rsid w:val="1C4AAB42"/>
    <w:rsid w:val="1C78C5CF"/>
    <w:rsid w:val="1CB3A435"/>
    <w:rsid w:val="1CB46C68"/>
    <w:rsid w:val="1CBF025A"/>
    <w:rsid w:val="1CEA0792"/>
    <w:rsid w:val="1CF818AD"/>
    <w:rsid w:val="1D42C1E2"/>
    <w:rsid w:val="1D451E59"/>
    <w:rsid w:val="1D5235F5"/>
    <w:rsid w:val="1D580117"/>
    <w:rsid w:val="1D69703E"/>
    <w:rsid w:val="1D735947"/>
    <w:rsid w:val="1D737CA9"/>
    <w:rsid w:val="1D80191B"/>
    <w:rsid w:val="1D857040"/>
    <w:rsid w:val="1D897698"/>
    <w:rsid w:val="1D9B1F00"/>
    <w:rsid w:val="1DA88EDB"/>
    <w:rsid w:val="1DB5E8DE"/>
    <w:rsid w:val="1DD466F8"/>
    <w:rsid w:val="1DD5B955"/>
    <w:rsid w:val="1DF79F0D"/>
    <w:rsid w:val="1DFA6430"/>
    <w:rsid w:val="1E018DD0"/>
    <w:rsid w:val="1E0A297E"/>
    <w:rsid w:val="1E2F0FF1"/>
    <w:rsid w:val="1E31C4E1"/>
    <w:rsid w:val="1E3C923A"/>
    <w:rsid w:val="1E406F3D"/>
    <w:rsid w:val="1E66F67A"/>
    <w:rsid w:val="1E82A5B5"/>
    <w:rsid w:val="1E91A731"/>
    <w:rsid w:val="1E91FF80"/>
    <w:rsid w:val="1EAFC43E"/>
    <w:rsid w:val="1EB5BD0F"/>
    <w:rsid w:val="1EBE32EB"/>
    <w:rsid w:val="1EC04ABA"/>
    <w:rsid w:val="1ED4605F"/>
    <w:rsid w:val="1ED5C4A7"/>
    <w:rsid w:val="1EE2A52B"/>
    <w:rsid w:val="1EF63E37"/>
    <w:rsid w:val="1EFC9527"/>
    <w:rsid w:val="1F06F63C"/>
    <w:rsid w:val="1F0C259F"/>
    <w:rsid w:val="1F1D31A2"/>
    <w:rsid w:val="1F2B82EC"/>
    <w:rsid w:val="1F325511"/>
    <w:rsid w:val="1F394815"/>
    <w:rsid w:val="1F5BA4C9"/>
    <w:rsid w:val="1F8A2E84"/>
    <w:rsid w:val="1FD3C329"/>
    <w:rsid w:val="1FDA6D1F"/>
    <w:rsid w:val="1FEE0689"/>
    <w:rsid w:val="1FF9A8E1"/>
    <w:rsid w:val="20283D48"/>
    <w:rsid w:val="202A207A"/>
    <w:rsid w:val="2034F5EF"/>
    <w:rsid w:val="203FB9C2"/>
    <w:rsid w:val="20713751"/>
    <w:rsid w:val="208E0D8F"/>
    <w:rsid w:val="209C7DF0"/>
    <w:rsid w:val="20BA7ED9"/>
    <w:rsid w:val="20CEA0A9"/>
    <w:rsid w:val="20D3AD80"/>
    <w:rsid w:val="20E88DA6"/>
    <w:rsid w:val="20ECE6DC"/>
    <w:rsid w:val="211153C2"/>
    <w:rsid w:val="2126652F"/>
    <w:rsid w:val="213801DA"/>
    <w:rsid w:val="213C7427"/>
    <w:rsid w:val="21408DE5"/>
    <w:rsid w:val="21434BE0"/>
    <w:rsid w:val="215136B8"/>
    <w:rsid w:val="215DFFE2"/>
    <w:rsid w:val="216AAA8D"/>
    <w:rsid w:val="2179BB6B"/>
    <w:rsid w:val="218A6C1C"/>
    <w:rsid w:val="219B5085"/>
    <w:rsid w:val="21A5A068"/>
    <w:rsid w:val="21A6E0C1"/>
    <w:rsid w:val="21B6CE69"/>
    <w:rsid w:val="21CF617B"/>
    <w:rsid w:val="21DDE5C3"/>
    <w:rsid w:val="21E7BF05"/>
    <w:rsid w:val="21EFC734"/>
    <w:rsid w:val="220661C9"/>
    <w:rsid w:val="22105396"/>
    <w:rsid w:val="2216C56E"/>
    <w:rsid w:val="222C1B2E"/>
    <w:rsid w:val="222D648C"/>
    <w:rsid w:val="2256BE6F"/>
    <w:rsid w:val="22663F60"/>
    <w:rsid w:val="229AD5C4"/>
    <w:rsid w:val="22E731E2"/>
    <w:rsid w:val="22E7C204"/>
    <w:rsid w:val="2307D0F9"/>
    <w:rsid w:val="231913C1"/>
    <w:rsid w:val="232DF7D4"/>
    <w:rsid w:val="2341D3A7"/>
    <w:rsid w:val="235E1841"/>
    <w:rsid w:val="235E2509"/>
    <w:rsid w:val="23646C81"/>
    <w:rsid w:val="23689C19"/>
    <w:rsid w:val="2384700A"/>
    <w:rsid w:val="23987767"/>
    <w:rsid w:val="23A316DC"/>
    <w:rsid w:val="23B01F76"/>
    <w:rsid w:val="23C4EC9A"/>
    <w:rsid w:val="23CDCE42"/>
    <w:rsid w:val="23EBE51A"/>
    <w:rsid w:val="23F787B9"/>
    <w:rsid w:val="240A5320"/>
    <w:rsid w:val="24200217"/>
    <w:rsid w:val="2456D9D9"/>
    <w:rsid w:val="24575189"/>
    <w:rsid w:val="246F9891"/>
    <w:rsid w:val="24812C06"/>
    <w:rsid w:val="2493D1B0"/>
    <w:rsid w:val="24F92F95"/>
    <w:rsid w:val="24FF274A"/>
    <w:rsid w:val="252D8BAB"/>
    <w:rsid w:val="25318C0F"/>
    <w:rsid w:val="253F0F50"/>
    <w:rsid w:val="255A6D49"/>
    <w:rsid w:val="2561EC5F"/>
    <w:rsid w:val="2564E473"/>
    <w:rsid w:val="25650DA1"/>
    <w:rsid w:val="256BD95E"/>
    <w:rsid w:val="257792A5"/>
    <w:rsid w:val="2589C749"/>
    <w:rsid w:val="25A3846E"/>
    <w:rsid w:val="25C0FF64"/>
    <w:rsid w:val="25C4395C"/>
    <w:rsid w:val="25C71ECB"/>
    <w:rsid w:val="26335853"/>
    <w:rsid w:val="265CAFD9"/>
    <w:rsid w:val="266B4899"/>
    <w:rsid w:val="266CEE49"/>
    <w:rsid w:val="266DB82F"/>
    <w:rsid w:val="26785D24"/>
    <w:rsid w:val="268FAE4D"/>
    <w:rsid w:val="269C2EDA"/>
    <w:rsid w:val="26CAC260"/>
    <w:rsid w:val="26CFBB07"/>
    <w:rsid w:val="26D1454D"/>
    <w:rsid w:val="26F226AF"/>
    <w:rsid w:val="26FCC660"/>
    <w:rsid w:val="2703D287"/>
    <w:rsid w:val="2716AE7A"/>
    <w:rsid w:val="27408AFA"/>
    <w:rsid w:val="276E3BD5"/>
    <w:rsid w:val="27713673"/>
    <w:rsid w:val="278E151F"/>
    <w:rsid w:val="2792FB8E"/>
    <w:rsid w:val="27B2503E"/>
    <w:rsid w:val="27C23856"/>
    <w:rsid w:val="27C28C80"/>
    <w:rsid w:val="27CA35FF"/>
    <w:rsid w:val="27CAA0AB"/>
    <w:rsid w:val="27CC4235"/>
    <w:rsid w:val="2804CB9F"/>
    <w:rsid w:val="28091F12"/>
    <w:rsid w:val="2815CCB8"/>
    <w:rsid w:val="28490EEB"/>
    <w:rsid w:val="28561F0A"/>
    <w:rsid w:val="2860955A"/>
    <w:rsid w:val="287CE4C2"/>
    <w:rsid w:val="28F80C45"/>
    <w:rsid w:val="29369AC3"/>
    <w:rsid w:val="2941C906"/>
    <w:rsid w:val="2967145A"/>
    <w:rsid w:val="2969823C"/>
    <w:rsid w:val="29737EC5"/>
    <w:rsid w:val="297B63B2"/>
    <w:rsid w:val="29A5B333"/>
    <w:rsid w:val="29EF4F1B"/>
    <w:rsid w:val="2A0A625E"/>
    <w:rsid w:val="2A16425B"/>
    <w:rsid w:val="2A58550E"/>
    <w:rsid w:val="2A5D7E62"/>
    <w:rsid w:val="2A64CD92"/>
    <w:rsid w:val="2A67780B"/>
    <w:rsid w:val="2A6B7D85"/>
    <w:rsid w:val="2A8E57DE"/>
    <w:rsid w:val="2AC8A7D9"/>
    <w:rsid w:val="2AD364D3"/>
    <w:rsid w:val="2ADA20D2"/>
    <w:rsid w:val="2ADFD25C"/>
    <w:rsid w:val="2AE104E2"/>
    <w:rsid w:val="2AF8CAE1"/>
    <w:rsid w:val="2B01DD2E"/>
    <w:rsid w:val="2B1F80B5"/>
    <w:rsid w:val="2B631F8B"/>
    <w:rsid w:val="2B876E76"/>
    <w:rsid w:val="2BD93E54"/>
    <w:rsid w:val="2BE09E0F"/>
    <w:rsid w:val="2BFEBADC"/>
    <w:rsid w:val="2C0BF0D3"/>
    <w:rsid w:val="2C10C2C9"/>
    <w:rsid w:val="2C363CA3"/>
    <w:rsid w:val="2C51B8C6"/>
    <w:rsid w:val="2CB70D96"/>
    <w:rsid w:val="2CDD3283"/>
    <w:rsid w:val="2CF26EE6"/>
    <w:rsid w:val="2CF7FE99"/>
    <w:rsid w:val="2D0569DA"/>
    <w:rsid w:val="2D26DB35"/>
    <w:rsid w:val="2D2C4028"/>
    <w:rsid w:val="2DAA3D7B"/>
    <w:rsid w:val="2DB7DB46"/>
    <w:rsid w:val="2DBCD689"/>
    <w:rsid w:val="2DFD7403"/>
    <w:rsid w:val="2E1BF1A1"/>
    <w:rsid w:val="2E2CB9E2"/>
    <w:rsid w:val="2E32A41E"/>
    <w:rsid w:val="2E3A3C97"/>
    <w:rsid w:val="2E400B70"/>
    <w:rsid w:val="2E7E252B"/>
    <w:rsid w:val="2E7E3254"/>
    <w:rsid w:val="2EB384DD"/>
    <w:rsid w:val="2EC04B20"/>
    <w:rsid w:val="2EE8469B"/>
    <w:rsid w:val="2EEC63EC"/>
    <w:rsid w:val="2EF416B1"/>
    <w:rsid w:val="2F01459E"/>
    <w:rsid w:val="2F079A63"/>
    <w:rsid w:val="2F1E3675"/>
    <w:rsid w:val="2F2EED85"/>
    <w:rsid w:val="2F444F31"/>
    <w:rsid w:val="2F52ED49"/>
    <w:rsid w:val="2F589E32"/>
    <w:rsid w:val="2F59DBA0"/>
    <w:rsid w:val="2F5D7016"/>
    <w:rsid w:val="2F6B1D92"/>
    <w:rsid w:val="2F7404F9"/>
    <w:rsid w:val="2FA9FE49"/>
    <w:rsid w:val="2FBC35B1"/>
    <w:rsid w:val="2FD831F3"/>
    <w:rsid w:val="2FF18E35"/>
    <w:rsid w:val="3005F583"/>
    <w:rsid w:val="301018EE"/>
    <w:rsid w:val="30248606"/>
    <w:rsid w:val="303B6B35"/>
    <w:rsid w:val="30524660"/>
    <w:rsid w:val="305ABCC1"/>
    <w:rsid w:val="30739441"/>
    <w:rsid w:val="3079643A"/>
    <w:rsid w:val="30909245"/>
    <w:rsid w:val="3095E264"/>
    <w:rsid w:val="30AE7E14"/>
    <w:rsid w:val="30AFCF7F"/>
    <w:rsid w:val="30B3893B"/>
    <w:rsid w:val="30E73A32"/>
    <w:rsid w:val="30E94346"/>
    <w:rsid w:val="30EAA7E3"/>
    <w:rsid w:val="311B8496"/>
    <w:rsid w:val="317CB18F"/>
    <w:rsid w:val="31D891E7"/>
    <w:rsid w:val="3200A7A0"/>
    <w:rsid w:val="320AF8C2"/>
    <w:rsid w:val="3234EC24"/>
    <w:rsid w:val="323ABE2B"/>
    <w:rsid w:val="32428EA6"/>
    <w:rsid w:val="324508D7"/>
    <w:rsid w:val="3263CF72"/>
    <w:rsid w:val="328AA96E"/>
    <w:rsid w:val="329BFD46"/>
    <w:rsid w:val="32E02B83"/>
    <w:rsid w:val="32EB54B0"/>
    <w:rsid w:val="32ED27E3"/>
    <w:rsid w:val="32F3A259"/>
    <w:rsid w:val="3300134E"/>
    <w:rsid w:val="33007F84"/>
    <w:rsid w:val="3306242F"/>
    <w:rsid w:val="33164AFF"/>
    <w:rsid w:val="331DEE1A"/>
    <w:rsid w:val="3330E19F"/>
    <w:rsid w:val="33423B72"/>
    <w:rsid w:val="3343954B"/>
    <w:rsid w:val="33683676"/>
    <w:rsid w:val="336BE948"/>
    <w:rsid w:val="3378F59E"/>
    <w:rsid w:val="33AA2AED"/>
    <w:rsid w:val="33FAFFDC"/>
    <w:rsid w:val="34195452"/>
    <w:rsid w:val="3428B262"/>
    <w:rsid w:val="344EA28B"/>
    <w:rsid w:val="3472E7FD"/>
    <w:rsid w:val="34736ED5"/>
    <w:rsid w:val="3476AA8A"/>
    <w:rsid w:val="34B2CEC6"/>
    <w:rsid w:val="34F82D8E"/>
    <w:rsid w:val="35234135"/>
    <w:rsid w:val="352B6387"/>
    <w:rsid w:val="35860482"/>
    <w:rsid w:val="359DC187"/>
    <w:rsid w:val="35C3CD91"/>
    <w:rsid w:val="35E2F4F7"/>
    <w:rsid w:val="36087E8E"/>
    <w:rsid w:val="3610FC95"/>
    <w:rsid w:val="36210086"/>
    <w:rsid w:val="3657B62F"/>
    <w:rsid w:val="365A63B1"/>
    <w:rsid w:val="3663EE3F"/>
    <w:rsid w:val="366F4F57"/>
    <w:rsid w:val="36738073"/>
    <w:rsid w:val="3673DFA9"/>
    <w:rsid w:val="36A2C266"/>
    <w:rsid w:val="36AA9E10"/>
    <w:rsid w:val="36B2727F"/>
    <w:rsid w:val="36DDE236"/>
    <w:rsid w:val="36E6E575"/>
    <w:rsid w:val="36F22674"/>
    <w:rsid w:val="36F8A783"/>
    <w:rsid w:val="3712E2BD"/>
    <w:rsid w:val="373EE24D"/>
    <w:rsid w:val="3777F866"/>
    <w:rsid w:val="379743CF"/>
    <w:rsid w:val="37B568F6"/>
    <w:rsid w:val="37E18037"/>
    <w:rsid w:val="37F740D7"/>
    <w:rsid w:val="37FB059A"/>
    <w:rsid w:val="380BFB4E"/>
    <w:rsid w:val="382CE71B"/>
    <w:rsid w:val="383F5E43"/>
    <w:rsid w:val="383F6DF0"/>
    <w:rsid w:val="3885472B"/>
    <w:rsid w:val="38C4AC61"/>
    <w:rsid w:val="38E41E56"/>
    <w:rsid w:val="390BE2FF"/>
    <w:rsid w:val="39111C12"/>
    <w:rsid w:val="3912CA49"/>
    <w:rsid w:val="3954CC25"/>
    <w:rsid w:val="3973AD6E"/>
    <w:rsid w:val="39818CDC"/>
    <w:rsid w:val="3985B80A"/>
    <w:rsid w:val="399888A3"/>
    <w:rsid w:val="39B0B26A"/>
    <w:rsid w:val="39B55134"/>
    <w:rsid w:val="3A11748C"/>
    <w:rsid w:val="3A2D0D4D"/>
    <w:rsid w:val="3A37F9A0"/>
    <w:rsid w:val="3A3DA949"/>
    <w:rsid w:val="3A43681A"/>
    <w:rsid w:val="3A65D884"/>
    <w:rsid w:val="3A71DAC1"/>
    <w:rsid w:val="3A8B8762"/>
    <w:rsid w:val="3AA1340A"/>
    <w:rsid w:val="3AA14584"/>
    <w:rsid w:val="3AB865B7"/>
    <w:rsid w:val="3ABFFB80"/>
    <w:rsid w:val="3ADA2EAC"/>
    <w:rsid w:val="3B13A9D0"/>
    <w:rsid w:val="3B2F08F2"/>
    <w:rsid w:val="3B2F241C"/>
    <w:rsid w:val="3B31E272"/>
    <w:rsid w:val="3B66EB8E"/>
    <w:rsid w:val="3B6888E9"/>
    <w:rsid w:val="3B7C49A0"/>
    <w:rsid w:val="3B9C17B0"/>
    <w:rsid w:val="3BBC03BB"/>
    <w:rsid w:val="3BC845D2"/>
    <w:rsid w:val="3BD123D1"/>
    <w:rsid w:val="3C1A8AAF"/>
    <w:rsid w:val="3C229E94"/>
    <w:rsid w:val="3C281AF8"/>
    <w:rsid w:val="3C3B7EF3"/>
    <w:rsid w:val="3C660525"/>
    <w:rsid w:val="3C75B21D"/>
    <w:rsid w:val="3C8D8BD5"/>
    <w:rsid w:val="3CB872F1"/>
    <w:rsid w:val="3CCD899A"/>
    <w:rsid w:val="3CCDE1B6"/>
    <w:rsid w:val="3CF19BBE"/>
    <w:rsid w:val="3D160977"/>
    <w:rsid w:val="3D1BAD4A"/>
    <w:rsid w:val="3D240BA1"/>
    <w:rsid w:val="3D2EE249"/>
    <w:rsid w:val="3D3B02C0"/>
    <w:rsid w:val="3D4E4987"/>
    <w:rsid w:val="3DA6A999"/>
    <w:rsid w:val="3DB80D87"/>
    <w:rsid w:val="3DCEC8D0"/>
    <w:rsid w:val="3DFBBED6"/>
    <w:rsid w:val="3E20DC9A"/>
    <w:rsid w:val="3E232E3E"/>
    <w:rsid w:val="3E4AB61F"/>
    <w:rsid w:val="3E7D77CC"/>
    <w:rsid w:val="3E85888B"/>
    <w:rsid w:val="3E8D63C6"/>
    <w:rsid w:val="3E978155"/>
    <w:rsid w:val="3E99131F"/>
    <w:rsid w:val="3EA93FCA"/>
    <w:rsid w:val="3EB23B40"/>
    <w:rsid w:val="3EC67E2F"/>
    <w:rsid w:val="3ED43E88"/>
    <w:rsid w:val="3EEB6D0E"/>
    <w:rsid w:val="3EF42FBD"/>
    <w:rsid w:val="3F2DF756"/>
    <w:rsid w:val="3F3ED225"/>
    <w:rsid w:val="3F413403"/>
    <w:rsid w:val="3F4EC3B8"/>
    <w:rsid w:val="3F532DB5"/>
    <w:rsid w:val="3F7CE9CF"/>
    <w:rsid w:val="3FB65C0B"/>
    <w:rsid w:val="3FB9BE04"/>
    <w:rsid w:val="3FBD12CB"/>
    <w:rsid w:val="3FD6EA90"/>
    <w:rsid w:val="3FE51167"/>
    <w:rsid w:val="3FEF3409"/>
    <w:rsid w:val="402C7CA1"/>
    <w:rsid w:val="402DEAAD"/>
    <w:rsid w:val="4040A230"/>
    <w:rsid w:val="404D9C88"/>
    <w:rsid w:val="406A5BF4"/>
    <w:rsid w:val="4085BFA8"/>
    <w:rsid w:val="40932AC1"/>
    <w:rsid w:val="40BC7C2B"/>
    <w:rsid w:val="40CD1EBB"/>
    <w:rsid w:val="40D71E53"/>
    <w:rsid w:val="40E21D6A"/>
    <w:rsid w:val="40FC891A"/>
    <w:rsid w:val="410465DE"/>
    <w:rsid w:val="4129531E"/>
    <w:rsid w:val="4129A044"/>
    <w:rsid w:val="41512642"/>
    <w:rsid w:val="417219F1"/>
    <w:rsid w:val="41C21820"/>
    <w:rsid w:val="41CA190C"/>
    <w:rsid w:val="41FFF66F"/>
    <w:rsid w:val="4204BAE3"/>
    <w:rsid w:val="4220A5A3"/>
    <w:rsid w:val="4220B7CC"/>
    <w:rsid w:val="424ED145"/>
    <w:rsid w:val="42522080"/>
    <w:rsid w:val="428FCA48"/>
    <w:rsid w:val="42AA4BE5"/>
    <w:rsid w:val="42B82D9F"/>
    <w:rsid w:val="42D416CA"/>
    <w:rsid w:val="432C04E6"/>
    <w:rsid w:val="435F012F"/>
    <w:rsid w:val="438259DE"/>
    <w:rsid w:val="4383A8AB"/>
    <w:rsid w:val="4391120D"/>
    <w:rsid w:val="439B3047"/>
    <w:rsid w:val="43A18725"/>
    <w:rsid w:val="43DFEDB7"/>
    <w:rsid w:val="43E5D02E"/>
    <w:rsid w:val="43ED3A54"/>
    <w:rsid w:val="43F755A1"/>
    <w:rsid w:val="4408514B"/>
    <w:rsid w:val="441F2060"/>
    <w:rsid w:val="44205427"/>
    <w:rsid w:val="44236CA7"/>
    <w:rsid w:val="44875301"/>
    <w:rsid w:val="448FF453"/>
    <w:rsid w:val="44A62FE0"/>
    <w:rsid w:val="44D07775"/>
    <w:rsid w:val="44DBA467"/>
    <w:rsid w:val="45024FBE"/>
    <w:rsid w:val="45124D6E"/>
    <w:rsid w:val="451BAE77"/>
    <w:rsid w:val="45303DEB"/>
    <w:rsid w:val="4552BE04"/>
    <w:rsid w:val="456E2FE8"/>
    <w:rsid w:val="4579683E"/>
    <w:rsid w:val="457BF6F6"/>
    <w:rsid w:val="45B5A3C9"/>
    <w:rsid w:val="45D9B491"/>
    <w:rsid w:val="45DA9C47"/>
    <w:rsid w:val="45DFA101"/>
    <w:rsid w:val="45E83A51"/>
    <w:rsid w:val="4628C02D"/>
    <w:rsid w:val="463AF2C7"/>
    <w:rsid w:val="464940DC"/>
    <w:rsid w:val="465D1707"/>
    <w:rsid w:val="4670B36F"/>
    <w:rsid w:val="468AF795"/>
    <w:rsid w:val="46A48CA4"/>
    <w:rsid w:val="46B07910"/>
    <w:rsid w:val="46B3752F"/>
    <w:rsid w:val="46C035D3"/>
    <w:rsid w:val="4709F52A"/>
    <w:rsid w:val="471145F0"/>
    <w:rsid w:val="471A3EC3"/>
    <w:rsid w:val="47278B6F"/>
    <w:rsid w:val="472E45C5"/>
    <w:rsid w:val="4731E337"/>
    <w:rsid w:val="4747EEFB"/>
    <w:rsid w:val="476B1604"/>
    <w:rsid w:val="476BDDBF"/>
    <w:rsid w:val="477D6ED5"/>
    <w:rsid w:val="4781AE5E"/>
    <w:rsid w:val="47A8B076"/>
    <w:rsid w:val="47AF54B8"/>
    <w:rsid w:val="47AFD421"/>
    <w:rsid w:val="47BDE0BF"/>
    <w:rsid w:val="47BF5D7B"/>
    <w:rsid w:val="4827E396"/>
    <w:rsid w:val="4839B01D"/>
    <w:rsid w:val="48554408"/>
    <w:rsid w:val="486CD462"/>
    <w:rsid w:val="487CF23A"/>
    <w:rsid w:val="488DB5AA"/>
    <w:rsid w:val="48931E80"/>
    <w:rsid w:val="489AC963"/>
    <w:rsid w:val="48C0E06C"/>
    <w:rsid w:val="48D093E4"/>
    <w:rsid w:val="48E2CB23"/>
    <w:rsid w:val="48ED6589"/>
    <w:rsid w:val="48F5ED5E"/>
    <w:rsid w:val="491D0AD8"/>
    <w:rsid w:val="4931BA36"/>
    <w:rsid w:val="4952CA76"/>
    <w:rsid w:val="4959FCB4"/>
    <w:rsid w:val="495B8E65"/>
    <w:rsid w:val="4963D809"/>
    <w:rsid w:val="497BDF87"/>
    <w:rsid w:val="498F4A38"/>
    <w:rsid w:val="49AA7B2B"/>
    <w:rsid w:val="49B67F80"/>
    <w:rsid w:val="49CDEDA7"/>
    <w:rsid w:val="49D21195"/>
    <w:rsid w:val="49DE9044"/>
    <w:rsid w:val="49E00BA8"/>
    <w:rsid w:val="4A056EE4"/>
    <w:rsid w:val="4A184215"/>
    <w:rsid w:val="4A28493C"/>
    <w:rsid w:val="4A290555"/>
    <w:rsid w:val="4A296FD8"/>
    <w:rsid w:val="4A4C21DE"/>
    <w:rsid w:val="4A679350"/>
    <w:rsid w:val="4A6BA939"/>
    <w:rsid w:val="4A6CD42D"/>
    <w:rsid w:val="4A7E16E5"/>
    <w:rsid w:val="4A87CE09"/>
    <w:rsid w:val="4A8B8996"/>
    <w:rsid w:val="4A9CD7CC"/>
    <w:rsid w:val="4AA0DD5D"/>
    <w:rsid w:val="4ABB3837"/>
    <w:rsid w:val="4ABD5D5D"/>
    <w:rsid w:val="4ACCB68D"/>
    <w:rsid w:val="4ACEB7AB"/>
    <w:rsid w:val="4AD9C5F7"/>
    <w:rsid w:val="4AE1DBB7"/>
    <w:rsid w:val="4B176147"/>
    <w:rsid w:val="4B452FE3"/>
    <w:rsid w:val="4B8B0077"/>
    <w:rsid w:val="4BC1CBC9"/>
    <w:rsid w:val="4BC57BA1"/>
    <w:rsid w:val="4BD0EB3D"/>
    <w:rsid w:val="4BDB0039"/>
    <w:rsid w:val="4BE0837D"/>
    <w:rsid w:val="4BE98384"/>
    <w:rsid w:val="4C0FA78D"/>
    <w:rsid w:val="4C1173DE"/>
    <w:rsid w:val="4C2AA365"/>
    <w:rsid w:val="4C320B85"/>
    <w:rsid w:val="4C5C56CE"/>
    <w:rsid w:val="4C852839"/>
    <w:rsid w:val="4CA9DBA1"/>
    <w:rsid w:val="4CAE635C"/>
    <w:rsid w:val="4CE98B65"/>
    <w:rsid w:val="4CF01E14"/>
    <w:rsid w:val="4CF1C9F1"/>
    <w:rsid w:val="4CF4DF5B"/>
    <w:rsid w:val="4D2C7AE5"/>
    <w:rsid w:val="4D37B6B2"/>
    <w:rsid w:val="4D420BA5"/>
    <w:rsid w:val="4D43A10B"/>
    <w:rsid w:val="4D661B3C"/>
    <w:rsid w:val="4D6A9B73"/>
    <w:rsid w:val="4D6F6BC0"/>
    <w:rsid w:val="4DC89E5A"/>
    <w:rsid w:val="4DCB3174"/>
    <w:rsid w:val="4DD4E69D"/>
    <w:rsid w:val="4DDBA695"/>
    <w:rsid w:val="4DE57CA0"/>
    <w:rsid w:val="4DE98032"/>
    <w:rsid w:val="4DEA0AC9"/>
    <w:rsid w:val="4DEB7FEC"/>
    <w:rsid w:val="4DEE19F7"/>
    <w:rsid w:val="4E18EA79"/>
    <w:rsid w:val="4E211E97"/>
    <w:rsid w:val="4E22FE96"/>
    <w:rsid w:val="4E254E20"/>
    <w:rsid w:val="4E34F3D7"/>
    <w:rsid w:val="4E382837"/>
    <w:rsid w:val="4E388F9E"/>
    <w:rsid w:val="4E66AA4F"/>
    <w:rsid w:val="4E6D94EC"/>
    <w:rsid w:val="4E6F7728"/>
    <w:rsid w:val="4EADC2A2"/>
    <w:rsid w:val="4EDE791C"/>
    <w:rsid w:val="4EFC934D"/>
    <w:rsid w:val="4F13841B"/>
    <w:rsid w:val="4F1EA3E2"/>
    <w:rsid w:val="4F35A815"/>
    <w:rsid w:val="4F426825"/>
    <w:rsid w:val="4F5E4C0D"/>
    <w:rsid w:val="4F5FFD99"/>
    <w:rsid w:val="4FAB98E6"/>
    <w:rsid w:val="4FAD87D7"/>
    <w:rsid w:val="4FB57183"/>
    <w:rsid w:val="4FB5767D"/>
    <w:rsid w:val="4FB7DC24"/>
    <w:rsid w:val="4FF43F26"/>
    <w:rsid w:val="50043B52"/>
    <w:rsid w:val="504036B0"/>
    <w:rsid w:val="5053CEEA"/>
    <w:rsid w:val="505A685F"/>
    <w:rsid w:val="507F7AED"/>
    <w:rsid w:val="509EBAD8"/>
    <w:rsid w:val="50BA1A77"/>
    <w:rsid w:val="50C3EAC8"/>
    <w:rsid w:val="50C5058C"/>
    <w:rsid w:val="50C5CA52"/>
    <w:rsid w:val="50F69749"/>
    <w:rsid w:val="5136C635"/>
    <w:rsid w:val="5138ED1A"/>
    <w:rsid w:val="514A0635"/>
    <w:rsid w:val="5154DE3B"/>
    <w:rsid w:val="5168987E"/>
    <w:rsid w:val="5170F98F"/>
    <w:rsid w:val="517AC819"/>
    <w:rsid w:val="518340BB"/>
    <w:rsid w:val="5183C699"/>
    <w:rsid w:val="518BBAC1"/>
    <w:rsid w:val="519076D1"/>
    <w:rsid w:val="51BFFC4B"/>
    <w:rsid w:val="51CC1912"/>
    <w:rsid w:val="51F6C6A6"/>
    <w:rsid w:val="520FCC35"/>
    <w:rsid w:val="52147936"/>
    <w:rsid w:val="52162FE5"/>
    <w:rsid w:val="52258477"/>
    <w:rsid w:val="52486052"/>
    <w:rsid w:val="52588F36"/>
    <w:rsid w:val="528CAA47"/>
    <w:rsid w:val="52933DB0"/>
    <w:rsid w:val="52B73BD1"/>
    <w:rsid w:val="52CF88E7"/>
    <w:rsid w:val="52D88753"/>
    <w:rsid w:val="52ED1752"/>
    <w:rsid w:val="52F78A91"/>
    <w:rsid w:val="53162336"/>
    <w:rsid w:val="5322D51B"/>
    <w:rsid w:val="533B7EFD"/>
    <w:rsid w:val="53446A37"/>
    <w:rsid w:val="534DAEF7"/>
    <w:rsid w:val="5354DE18"/>
    <w:rsid w:val="5369713E"/>
    <w:rsid w:val="536CCC72"/>
    <w:rsid w:val="538CEA72"/>
    <w:rsid w:val="53BFCC30"/>
    <w:rsid w:val="53E6CE9A"/>
    <w:rsid w:val="53F4650D"/>
    <w:rsid w:val="53F59754"/>
    <w:rsid w:val="53F91ACC"/>
    <w:rsid w:val="53FEB2E0"/>
    <w:rsid w:val="53FEE548"/>
    <w:rsid w:val="54052D9F"/>
    <w:rsid w:val="540BFF67"/>
    <w:rsid w:val="544FC38E"/>
    <w:rsid w:val="547017E2"/>
    <w:rsid w:val="548A791C"/>
    <w:rsid w:val="54ADE54E"/>
    <w:rsid w:val="54C6D277"/>
    <w:rsid w:val="54DE8E03"/>
    <w:rsid w:val="54E0F7FD"/>
    <w:rsid w:val="551123CE"/>
    <w:rsid w:val="552297DA"/>
    <w:rsid w:val="55303D10"/>
    <w:rsid w:val="553D105C"/>
    <w:rsid w:val="55956E69"/>
    <w:rsid w:val="55958BBF"/>
    <w:rsid w:val="55C3819C"/>
    <w:rsid w:val="55FD3771"/>
    <w:rsid w:val="55FF1E10"/>
    <w:rsid w:val="5608C0C8"/>
    <w:rsid w:val="561AC245"/>
    <w:rsid w:val="562E0792"/>
    <w:rsid w:val="56497BD5"/>
    <w:rsid w:val="5664534C"/>
    <w:rsid w:val="5695FE22"/>
    <w:rsid w:val="56991689"/>
    <w:rsid w:val="56A658D5"/>
    <w:rsid w:val="56B6938A"/>
    <w:rsid w:val="56BCCE86"/>
    <w:rsid w:val="56BD21C4"/>
    <w:rsid w:val="56D53F25"/>
    <w:rsid w:val="56E08085"/>
    <w:rsid w:val="56EA4DD5"/>
    <w:rsid w:val="56F2D774"/>
    <w:rsid w:val="56FA5B98"/>
    <w:rsid w:val="57377D51"/>
    <w:rsid w:val="575B0D3F"/>
    <w:rsid w:val="57673909"/>
    <w:rsid w:val="57A99745"/>
    <w:rsid w:val="57ADE0AD"/>
    <w:rsid w:val="57AE0234"/>
    <w:rsid w:val="57D192B9"/>
    <w:rsid w:val="57D594CE"/>
    <w:rsid w:val="57DB118A"/>
    <w:rsid w:val="57F0D8E5"/>
    <w:rsid w:val="57FC32AF"/>
    <w:rsid w:val="5818CB1E"/>
    <w:rsid w:val="5837694F"/>
    <w:rsid w:val="583B34EE"/>
    <w:rsid w:val="5844A21A"/>
    <w:rsid w:val="584FE374"/>
    <w:rsid w:val="58747093"/>
    <w:rsid w:val="58854AD4"/>
    <w:rsid w:val="58C225E3"/>
    <w:rsid w:val="58C3F363"/>
    <w:rsid w:val="58DE211E"/>
    <w:rsid w:val="58DF07CD"/>
    <w:rsid w:val="59091B69"/>
    <w:rsid w:val="590A7B6F"/>
    <w:rsid w:val="594EE957"/>
    <w:rsid w:val="595A7EC4"/>
    <w:rsid w:val="5961F0EF"/>
    <w:rsid w:val="597B2267"/>
    <w:rsid w:val="597C433A"/>
    <w:rsid w:val="599E1C61"/>
    <w:rsid w:val="59BA3FEC"/>
    <w:rsid w:val="59C22DD7"/>
    <w:rsid w:val="59CCB705"/>
    <w:rsid w:val="59EC09D0"/>
    <w:rsid w:val="59FCB491"/>
    <w:rsid w:val="5A1333F2"/>
    <w:rsid w:val="5A158B48"/>
    <w:rsid w:val="5A49808E"/>
    <w:rsid w:val="5A5182B7"/>
    <w:rsid w:val="5A79AA6F"/>
    <w:rsid w:val="5A7E1ADE"/>
    <w:rsid w:val="5A7F65B7"/>
    <w:rsid w:val="5A9A639C"/>
    <w:rsid w:val="5AA341FF"/>
    <w:rsid w:val="5AAA2E4E"/>
    <w:rsid w:val="5AAEE224"/>
    <w:rsid w:val="5AB53BD2"/>
    <w:rsid w:val="5AC58637"/>
    <w:rsid w:val="5AC7EB37"/>
    <w:rsid w:val="5AC99DE5"/>
    <w:rsid w:val="5ACA2743"/>
    <w:rsid w:val="5AEADC91"/>
    <w:rsid w:val="5B08B810"/>
    <w:rsid w:val="5B328A76"/>
    <w:rsid w:val="5B416C4B"/>
    <w:rsid w:val="5B4685DF"/>
    <w:rsid w:val="5B47CDEF"/>
    <w:rsid w:val="5B4F8B89"/>
    <w:rsid w:val="5B4FB3ED"/>
    <w:rsid w:val="5B5A02FB"/>
    <w:rsid w:val="5B6C69E2"/>
    <w:rsid w:val="5B934C77"/>
    <w:rsid w:val="5B9FCD61"/>
    <w:rsid w:val="5BA21C2D"/>
    <w:rsid w:val="5BBAC265"/>
    <w:rsid w:val="5BC88117"/>
    <w:rsid w:val="5BE239FD"/>
    <w:rsid w:val="5BE3A760"/>
    <w:rsid w:val="5BE9B822"/>
    <w:rsid w:val="5C025FF4"/>
    <w:rsid w:val="5C038800"/>
    <w:rsid w:val="5C06383B"/>
    <w:rsid w:val="5C0B5F6D"/>
    <w:rsid w:val="5C204A49"/>
    <w:rsid w:val="5C2C335C"/>
    <w:rsid w:val="5C46027F"/>
    <w:rsid w:val="5C5EAEF1"/>
    <w:rsid w:val="5C8247EE"/>
    <w:rsid w:val="5CB18ABF"/>
    <w:rsid w:val="5CE690F4"/>
    <w:rsid w:val="5D2ACDBA"/>
    <w:rsid w:val="5D2B6A88"/>
    <w:rsid w:val="5D2C4293"/>
    <w:rsid w:val="5D2E1077"/>
    <w:rsid w:val="5D3FAEB1"/>
    <w:rsid w:val="5D43A299"/>
    <w:rsid w:val="5D4E9EFE"/>
    <w:rsid w:val="5DB879B0"/>
    <w:rsid w:val="5DC0DD46"/>
    <w:rsid w:val="5DDC859E"/>
    <w:rsid w:val="5DF001C5"/>
    <w:rsid w:val="5DFCCCA6"/>
    <w:rsid w:val="5E0DB37F"/>
    <w:rsid w:val="5E104305"/>
    <w:rsid w:val="5E1E87AB"/>
    <w:rsid w:val="5E427E90"/>
    <w:rsid w:val="5E5AE61D"/>
    <w:rsid w:val="5E5F8C74"/>
    <w:rsid w:val="5E7A4276"/>
    <w:rsid w:val="5E7F7EE3"/>
    <w:rsid w:val="5EA56D89"/>
    <w:rsid w:val="5EB60E02"/>
    <w:rsid w:val="5EBFCD5D"/>
    <w:rsid w:val="5F1AD030"/>
    <w:rsid w:val="5F30503A"/>
    <w:rsid w:val="5F4D9A63"/>
    <w:rsid w:val="5F530798"/>
    <w:rsid w:val="5F719D8D"/>
    <w:rsid w:val="5F932AC8"/>
    <w:rsid w:val="5FAA634D"/>
    <w:rsid w:val="5FABA37B"/>
    <w:rsid w:val="5FB9C388"/>
    <w:rsid w:val="5FBC72E9"/>
    <w:rsid w:val="5FC4ED63"/>
    <w:rsid w:val="5FC58619"/>
    <w:rsid w:val="5FD3B679"/>
    <w:rsid w:val="5FFB30B1"/>
    <w:rsid w:val="601CFCAF"/>
    <w:rsid w:val="602676EB"/>
    <w:rsid w:val="6034A06A"/>
    <w:rsid w:val="603AEE92"/>
    <w:rsid w:val="60527096"/>
    <w:rsid w:val="606A88BD"/>
    <w:rsid w:val="608426A8"/>
    <w:rsid w:val="609B8657"/>
    <w:rsid w:val="609C0531"/>
    <w:rsid w:val="60A7FEB4"/>
    <w:rsid w:val="60B0DA82"/>
    <w:rsid w:val="60CC25D9"/>
    <w:rsid w:val="60EA8E9A"/>
    <w:rsid w:val="612402DD"/>
    <w:rsid w:val="6141D6D8"/>
    <w:rsid w:val="614243F4"/>
    <w:rsid w:val="6148191B"/>
    <w:rsid w:val="61489658"/>
    <w:rsid w:val="614D46D4"/>
    <w:rsid w:val="614DFCF9"/>
    <w:rsid w:val="6175C087"/>
    <w:rsid w:val="617AA636"/>
    <w:rsid w:val="619D3F3D"/>
    <w:rsid w:val="61F61686"/>
    <w:rsid w:val="6213DED4"/>
    <w:rsid w:val="622450F1"/>
    <w:rsid w:val="62430649"/>
    <w:rsid w:val="624EE7B7"/>
    <w:rsid w:val="6275ADFF"/>
    <w:rsid w:val="62AFF8A8"/>
    <w:rsid w:val="62BD53CC"/>
    <w:rsid w:val="62CACF64"/>
    <w:rsid w:val="6307147B"/>
    <w:rsid w:val="6307D5A8"/>
    <w:rsid w:val="6333BA08"/>
    <w:rsid w:val="6346E5AA"/>
    <w:rsid w:val="6350F1AA"/>
    <w:rsid w:val="6388ECE0"/>
    <w:rsid w:val="63D2F8E6"/>
    <w:rsid w:val="640411A4"/>
    <w:rsid w:val="640BCBAA"/>
    <w:rsid w:val="6429E879"/>
    <w:rsid w:val="64317FDC"/>
    <w:rsid w:val="64407A22"/>
    <w:rsid w:val="6444773A"/>
    <w:rsid w:val="644CF849"/>
    <w:rsid w:val="64506A39"/>
    <w:rsid w:val="64798EE6"/>
    <w:rsid w:val="649654CE"/>
    <w:rsid w:val="64B819D6"/>
    <w:rsid w:val="64E72F98"/>
    <w:rsid w:val="64FA7F14"/>
    <w:rsid w:val="64FCFD5B"/>
    <w:rsid w:val="650441C4"/>
    <w:rsid w:val="653519BE"/>
    <w:rsid w:val="654930A4"/>
    <w:rsid w:val="6554E469"/>
    <w:rsid w:val="65610038"/>
    <w:rsid w:val="6566F36C"/>
    <w:rsid w:val="657A878E"/>
    <w:rsid w:val="65BBC0BB"/>
    <w:rsid w:val="65BC43B9"/>
    <w:rsid w:val="65E492DD"/>
    <w:rsid w:val="65F3C79E"/>
    <w:rsid w:val="6658F0D3"/>
    <w:rsid w:val="669A97C0"/>
    <w:rsid w:val="66ABC0FF"/>
    <w:rsid w:val="66B3FD12"/>
    <w:rsid w:val="66C65990"/>
    <w:rsid w:val="66D6C127"/>
    <w:rsid w:val="66DF46E8"/>
    <w:rsid w:val="6701FD4A"/>
    <w:rsid w:val="67231324"/>
    <w:rsid w:val="67293758"/>
    <w:rsid w:val="674FBA47"/>
    <w:rsid w:val="6763097B"/>
    <w:rsid w:val="67877B97"/>
    <w:rsid w:val="6792FFE9"/>
    <w:rsid w:val="67A9CD4A"/>
    <w:rsid w:val="67D6B220"/>
    <w:rsid w:val="67D8579C"/>
    <w:rsid w:val="67FF3A0D"/>
    <w:rsid w:val="680D5D63"/>
    <w:rsid w:val="680E705E"/>
    <w:rsid w:val="683B502E"/>
    <w:rsid w:val="683FF712"/>
    <w:rsid w:val="686C7486"/>
    <w:rsid w:val="686CEAAA"/>
    <w:rsid w:val="6889315B"/>
    <w:rsid w:val="688BE90B"/>
    <w:rsid w:val="68B07A22"/>
    <w:rsid w:val="68C4A56B"/>
    <w:rsid w:val="68D082CA"/>
    <w:rsid w:val="690C2BCA"/>
    <w:rsid w:val="692415A1"/>
    <w:rsid w:val="69253457"/>
    <w:rsid w:val="695A0B49"/>
    <w:rsid w:val="6978AD26"/>
    <w:rsid w:val="6982F30E"/>
    <w:rsid w:val="69B46CC7"/>
    <w:rsid w:val="69CCE7C2"/>
    <w:rsid w:val="69CD5306"/>
    <w:rsid w:val="69D6A308"/>
    <w:rsid w:val="69F68BAC"/>
    <w:rsid w:val="6A04B15B"/>
    <w:rsid w:val="6A07F9EC"/>
    <w:rsid w:val="6A1705E8"/>
    <w:rsid w:val="6A34AE77"/>
    <w:rsid w:val="6A353830"/>
    <w:rsid w:val="6A47E052"/>
    <w:rsid w:val="6A6B7100"/>
    <w:rsid w:val="6A7C0B94"/>
    <w:rsid w:val="6A9911CD"/>
    <w:rsid w:val="6AA48E7B"/>
    <w:rsid w:val="6AB6F188"/>
    <w:rsid w:val="6AD33A64"/>
    <w:rsid w:val="6ADB2DC3"/>
    <w:rsid w:val="6AFB1ED2"/>
    <w:rsid w:val="6B01A881"/>
    <w:rsid w:val="6B17ACE1"/>
    <w:rsid w:val="6B45AC80"/>
    <w:rsid w:val="6B6A3A7F"/>
    <w:rsid w:val="6B6D8AB0"/>
    <w:rsid w:val="6B998FBA"/>
    <w:rsid w:val="6BA64E79"/>
    <w:rsid w:val="6BCF7CEF"/>
    <w:rsid w:val="6BE7750F"/>
    <w:rsid w:val="6BE809B1"/>
    <w:rsid w:val="6BEFF3A7"/>
    <w:rsid w:val="6C00AAB9"/>
    <w:rsid w:val="6C138ECB"/>
    <w:rsid w:val="6C29656C"/>
    <w:rsid w:val="6C2D8518"/>
    <w:rsid w:val="6C4D1F5B"/>
    <w:rsid w:val="6C4E6D9E"/>
    <w:rsid w:val="6C538F24"/>
    <w:rsid w:val="6C540104"/>
    <w:rsid w:val="6C657331"/>
    <w:rsid w:val="6C9DAEEE"/>
    <w:rsid w:val="6CB2DFD2"/>
    <w:rsid w:val="6CBC0E91"/>
    <w:rsid w:val="6CBD33B4"/>
    <w:rsid w:val="6CC77F20"/>
    <w:rsid w:val="6CFEEC42"/>
    <w:rsid w:val="6D1272AA"/>
    <w:rsid w:val="6D383D1F"/>
    <w:rsid w:val="6D5B7AFF"/>
    <w:rsid w:val="6D6111B3"/>
    <w:rsid w:val="6D6FC867"/>
    <w:rsid w:val="6D773A63"/>
    <w:rsid w:val="6D9AFFD1"/>
    <w:rsid w:val="6DABC388"/>
    <w:rsid w:val="6DD30C53"/>
    <w:rsid w:val="6DF58705"/>
    <w:rsid w:val="6DFCD147"/>
    <w:rsid w:val="6E1AB6F0"/>
    <w:rsid w:val="6E1E16E3"/>
    <w:rsid w:val="6E1E29B5"/>
    <w:rsid w:val="6E3314D9"/>
    <w:rsid w:val="6E369457"/>
    <w:rsid w:val="6E61A703"/>
    <w:rsid w:val="6E7DBCED"/>
    <w:rsid w:val="6E8C65BF"/>
    <w:rsid w:val="6E9CD8ED"/>
    <w:rsid w:val="6E9DC53A"/>
    <w:rsid w:val="6E9FBCB5"/>
    <w:rsid w:val="6EAE1078"/>
    <w:rsid w:val="6EB5AE02"/>
    <w:rsid w:val="6EFC7D49"/>
    <w:rsid w:val="6F0A39BA"/>
    <w:rsid w:val="6F2C6100"/>
    <w:rsid w:val="6F2E8C7D"/>
    <w:rsid w:val="6F8887B4"/>
    <w:rsid w:val="6FC396F8"/>
    <w:rsid w:val="6FD0C0C1"/>
    <w:rsid w:val="6FD100B4"/>
    <w:rsid w:val="6FD521E2"/>
    <w:rsid w:val="6FF5C7B0"/>
    <w:rsid w:val="70237EDF"/>
    <w:rsid w:val="703DE089"/>
    <w:rsid w:val="705D5FF9"/>
    <w:rsid w:val="706E5D31"/>
    <w:rsid w:val="70734732"/>
    <w:rsid w:val="7075D996"/>
    <w:rsid w:val="70A3AB80"/>
    <w:rsid w:val="70A79F85"/>
    <w:rsid w:val="70AEBC92"/>
    <w:rsid w:val="70BB9EB5"/>
    <w:rsid w:val="70BDFDF3"/>
    <w:rsid w:val="70DCA19B"/>
    <w:rsid w:val="70DDB8AA"/>
    <w:rsid w:val="70DF175A"/>
    <w:rsid w:val="712EAA3B"/>
    <w:rsid w:val="714AB2E8"/>
    <w:rsid w:val="71536EEC"/>
    <w:rsid w:val="717C9B27"/>
    <w:rsid w:val="718059CF"/>
    <w:rsid w:val="7196A706"/>
    <w:rsid w:val="71AB2C2D"/>
    <w:rsid w:val="72068195"/>
    <w:rsid w:val="7214F2D6"/>
    <w:rsid w:val="72168685"/>
    <w:rsid w:val="721E97AF"/>
    <w:rsid w:val="723BA3F2"/>
    <w:rsid w:val="723F54F9"/>
    <w:rsid w:val="72519A45"/>
    <w:rsid w:val="7251E0B2"/>
    <w:rsid w:val="72602AA6"/>
    <w:rsid w:val="7285091D"/>
    <w:rsid w:val="72907A80"/>
    <w:rsid w:val="729EAE5D"/>
    <w:rsid w:val="72A69329"/>
    <w:rsid w:val="72AE183F"/>
    <w:rsid w:val="72C5E35F"/>
    <w:rsid w:val="72F8E712"/>
    <w:rsid w:val="72FEDA99"/>
    <w:rsid w:val="7305D3C2"/>
    <w:rsid w:val="7317B93C"/>
    <w:rsid w:val="7338D0B8"/>
    <w:rsid w:val="733CAEDB"/>
    <w:rsid w:val="7391BCFA"/>
    <w:rsid w:val="73A7CE02"/>
    <w:rsid w:val="73AEAE50"/>
    <w:rsid w:val="73DE7BD9"/>
    <w:rsid w:val="73F600F8"/>
    <w:rsid w:val="73F7CAE6"/>
    <w:rsid w:val="73F9F2D6"/>
    <w:rsid w:val="7403D051"/>
    <w:rsid w:val="74041AA6"/>
    <w:rsid w:val="741F776B"/>
    <w:rsid w:val="74332033"/>
    <w:rsid w:val="746AF2A0"/>
    <w:rsid w:val="7471C311"/>
    <w:rsid w:val="7483E08B"/>
    <w:rsid w:val="749322C9"/>
    <w:rsid w:val="74A34D6A"/>
    <w:rsid w:val="74B85CF6"/>
    <w:rsid w:val="74BDFD37"/>
    <w:rsid w:val="74DD0214"/>
    <w:rsid w:val="74DF95DA"/>
    <w:rsid w:val="74F15BF2"/>
    <w:rsid w:val="74FE6D33"/>
    <w:rsid w:val="750CD7FA"/>
    <w:rsid w:val="751D5A39"/>
    <w:rsid w:val="75302016"/>
    <w:rsid w:val="7537AF01"/>
    <w:rsid w:val="75382216"/>
    <w:rsid w:val="754F7379"/>
    <w:rsid w:val="7554DB60"/>
    <w:rsid w:val="7558529C"/>
    <w:rsid w:val="756401EB"/>
    <w:rsid w:val="7573F03B"/>
    <w:rsid w:val="757D8F8A"/>
    <w:rsid w:val="75B823C3"/>
    <w:rsid w:val="75BB92B9"/>
    <w:rsid w:val="75C4A9E4"/>
    <w:rsid w:val="75EF8523"/>
    <w:rsid w:val="7620EDBB"/>
    <w:rsid w:val="7622BB63"/>
    <w:rsid w:val="763BC089"/>
    <w:rsid w:val="765C8B7F"/>
    <w:rsid w:val="766DAA3D"/>
    <w:rsid w:val="76AF7D4A"/>
    <w:rsid w:val="76B1639E"/>
    <w:rsid w:val="76B38E63"/>
    <w:rsid w:val="76B47D7B"/>
    <w:rsid w:val="76B54E37"/>
    <w:rsid w:val="76B95EA0"/>
    <w:rsid w:val="76BA4D7A"/>
    <w:rsid w:val="76BDF8F0"/>
    <w:rsid w:val="76C45A4A"/>
    <w:rsid w:val="76C75952"/>
    <w:rsid w:val="76CEA8F3"/>
    <w:rsid w:val="76DFDA25"/>
    <w:rsid w:val="76E57F9A"/>
    <w:rsid w:val="76F4972F"/>
    <w:rsid w:val="76FEAC69"/>
    <w:rsid w:val="771464ED"/>
    <w:rsid w:val="771FEC7B"/>
    <w:rsid w:val="7732D2CC"/>
    <w:rsid w:val="773573D8"/>
    <w:rsid w:val="77361F2B"/>
    <w:rsid w:val="773E52D4"/>
    <w:rsid w:val="779A93B5"/>
    <w:rsid w:val="77C29A8D"/>
    <w:rsid w:val="77D370FF"/>
    <w:rsid w:val="77D417D2"/>
    <w:rsid w:val="780FF2C5"/>
    <w:rsid w:val="781B4F61"/>
    <w:rsid w:val="782898DA"/>
    <w:rsid w:val="782A8771"/>
    <w:rsid w:val="784D7BF1"/>
    <w:rsid w:val="785130F5"/>
    <w:rsid w:val="787D5BDE"/>
    <w:rsid w:val="788CA166"/>
    <w:rsid w:val="78D577B9"/>
    <w:rsid w:val="78DC92E5"/>
    <w:rsid w:val="78EB9713"/>
    <w:rsid w:val="7907E2A3"/>
    <w:rsid w:val="79262A86"/>
    <w:rsid w:val="7930A1FD"/>
    <w:rsid w:val="79693B7F"/>
    <w:rsid w:val="7998101D"/>
    <w:rsid w:val="79A438C9"/>
    <w:rsid w:val="79B0E15B"/>
    <w:rsid w:val="79CF3789"/>
    <w:rsid w:val="7A1096BA"/>
    <w:rsid w:val="7A31A325"/>
    <w:rsid w:val="7A6131C6"/>
    <w:rsid w:val="7A631ADD"/>
    <w:rsid w:val="7A72D189"/>
    <w:rsid w:val="7A78DA57"/>
    <w:rsid w:val="7A7EE419"/>
    <w:rsid w:val="7A90CEA9"/>
    <w:rsid w:val="7A9A96C3"/>
    <w:rsid w:val="7AA2CCF9"/>
    <w:rsid w:val="7AB6490D"/>
    <w:rsid w:val="7ABE338A"/>
    <w:rsid w:val="7AC9B83F"/>
    <w:rsid w:val="7AF07111"/>
    <w:rsid w:val="7AF3790A"/>
    <w:rsid w:val="7AFB2917"/>
    <w:rsid w:val="7AFEC76A"/>
    <w:rsid w:val="7B091EE2"/>
    <w:rsid w:val="7B1DFE24"/>
    <w:rsid w:val="7B22C21D"/>
    <w:rsid w:val="7B2680B7"/>
    <w:rsid w:val="7B3A3E05"/>
    <w:rsid w:val="7B470EBC"/>
    <w:rsid w:val="7B59893E"/>
    <w:rsid w:val="7B767E2B"/>
    <w:rsid w:val="7B842B80"/>
    <w:rsid w:val="7B84D2B2"/>
    <w:rsid w:val="7BC7B819"/>
    <w:rsid w:val="7BD3B385"/>
    <w:rsid w:val="7BEC396F"/>
    <w:rsid w:val="7BF50768"/>
    <w:rsid w:val="7BFCBF77"/>
    <w:rsid w:val="7C044E01"/>
    <w:rsid w:val="7C2C651E"/>
    <w:rsid w:val="7C3E6843"/>
    <w:rsid w:val="7C4376C6"/>
    <w:rsid w:val="7C461AB6"/>
    <w:rsid w:val="7C54AB03"/>
    <w:rsid w:val="7C5ACACB"/>
    <w:rsid w:val="7C67ED66"/>
    <w:rsid w:val="7C71CA46"/>
    <w:rsid w:val="7C8545FF"/>
    <w:rsid w:val="7CA62132"/>
    <w:rsid w:val="7CCF8AED"/>
    <w:rsid w:val="7CED3D30"/>
    <w:rsid w:val="7D05A6A3"/>
    <w:rsid w:val="7D24504A"/>
    <w:rsid w:val="7D3AE81A"/>
    <w:rsid w:val="7D407D0E"/>
    <w:rsid w:val="7D4EF1BC"/>
    <w:rsid w:val="7D5405D5"/>
    <w:rsid w:val="7D6EBE54"/>
    <w:rsid w:val="7D75C8CC"/>
    <w:rsid w:val="7D79D83C"/>
    <w:rsid w:val="7D9D0C6D"/>
    <w:rsid w:val="7D9D4577"/>
    <w:rsid w:val="7DC6B72B"/>
    <w:rsid w:val="7DDB8C3E"/>
    <w:rsid w:val="7E02F123"/>
    <w:rsid w:val="7E1BD66D"/>
    <w:rsid w:val="7E3E6721"/>
    <w:rsid w:val="7E6BB6AD"/>
    <w:rsid w:val="7E6BE5EF"/>
    <w:rsid w:val="7E805399"/>
    <w:rsid w:val="7E9685D2"/>
    <w:rsid w:val="7E9B3039"/>
    <w:rsid w:val="7EA615EB"/>
    <w:rsid w:val="7EB257A2"/>
    <w:rsid w:val="7EBADFF2"/>
    <w:rsid w:val="7EBC37BC"/>
    <w:rsid w:val="7EC42857"/>
    <w:rsid w:val="7EC5F842"/>
    <w:rsid w:val="7EE4A2BF"/>
    <w:rsid w:val="7EF57318"/>
    <w:rsid w:val="7F30283D"/>
    <w:rsid w:val="7F3AB0FE"/>
    <w:rsid w:val="7F50D9CE"/>
    <w:rsid w:val="7F5D6F55"/>
    <w:rsid w:val="7F61DBDA"/>
    <w:rsid w:val="7F6DFA89"/>
    <w:rsid w:val="7F721DB7"/>
    <w:rsid w:val="7F8DE82A"/>
    <w:rsid w:val="7FD2A98E"/>
    <w:rsid w:val="7FE94D33"/>
    <w:rsid w:val="7FEBD6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DD4D0"/>
  <w15:docId w15:val="{9254DB79-BB08-487F-A020-1318A3AA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jc w:val="center"/>
      <w:outlineLvl w:val="3"/>
    </w:pPr>
    <w:rPr>
      <w:b/>
      <w:bCs/>
      <w:sz w:val="20"/>
    </w:rPr>
  </w:style>
  <w:style w:type="paragraph" w:styleId="Heading5">
    <w:name w:val="heading 5"/>
    <w:basedOn w:val="Normal"/>
    <w:next w:val="Normal"/>
    <w:link w:val="Heading5Char"/>
    <w:qFormat/>
    <w:rsid w:val="00FB0BB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rsid w:val="008E5F47"/>
    <w:pPr>
      <w:tabs>
        <w:tab w:val="center" w:pos="4320"/>
        <w:tab w:val="right" w:pos="8640"/>
      </w:tabs>
    </w:pPr>
  </w:style>
  <w:style w:type="character" w:styleId="PageNumber">
    <w:name w:val="page number"/>
    <w:basedOn w:val="DefaultParagraphFont"/>
    <w:rsid w:val="008E5F47"/>
  </w:style>
  <w:style w:type="character" w:styleId="Hyperlink">
    <w:name w:val="Hyperlink"/>
    <w:rsid w:val="00FC6208"/>
    <w:rPr>
      <w:color w:val="0000FF"/>
      <w:u w:val="single"/>
    </w:rPr>
  </w:style>
  <w:style w:type="paragraph" w:customStyle="1" w:styleId="Default">
    <w:name w:val="Default"/>
    <w:rsid w:val="00FC6208"/>
    <w:pPr>
      <w:autoSpaceDE w:val="0"/>
      <w:autoSpaceDN w:val="0"/>
      <w:adjustRightInd w:val="0"/>
    </w:pPr>
    <w:rPr>
      <w:rFonts w:ascii="Arial" w:hAnsi="Arial" w:cs="Arial"/>
      <w:color w:val="000000"/>
      <w:sz w:val="24"/>
      <w:szCs w:val="24"/>
    </w:rPr>
  </w:style>
  <w:style w:type="paragraph" w:customStyle="1" w:styleId="Paragraph">
    <w:name w:val="Paragraph"/>
    <w:basedOn w:val="Normal"/>
    <w:uiPriority w:val="99"/>
    <w:qFormat/>
    <w:rsid w:val="00704BA4"/>
    <w:pPr>
      <w:numPr>
        <w:numId w:val="9"/>
      </w:numPr>
      <w:spacing w:before="240" w:after="240" w:line="276" w:lineRule="auto"/>
    </w:pPr>
  </w:style>
  <w:style w:type="character" w:customStyle="1" w:styleId="HeaderChar">
    <w:name w:val="Header Char"/>
    <w:link w:val="Header"/>
    <w:uiPriority w:val="99"/>
    <w:rsid w:val="00DE0DA2"/>
    <w:rPr>
      <w:rFonts w:ascii="Arial" w:hAnsi="Arial"/>
      <w:sz w:val="24"/>
      <w:szCs w:val="24"/>
      <w:lang w:eastAsia="en-US"/>
    </w:rPr>
  </w:style>
  <w:style w:type="paragraph" w:styleId="BalloonText">
    <w:name w:val="Balloon Text"/>
    <w:basedOn w:val="Normal"/>
    <w:link w:val="BalloonTextChar"/>
    <w:rsid w:val="00DE0DA2"/>
    <w:rPr>
      <w:rFonts w:ascii="Tahoma" w:hAnsi="Tahoma" w:cs="Tahoma"/>
      <w:sz w:val="16"/>
      <w:szCs w:val="16"/>
    </w:rPr>
  </w:style>
  <w:style w:type="character" w:customStyle="1" w:styleId="BalloonTextChar">
    <w:name w:val="Balloon Text Char"/>
    <w:link w:val="BalloonText"/>
    <w:rsid w:val="00DE0DA2"/>
    <w:rPr>
      <w:rFonts w:ascii="Tahoma" w:hAnsi="Tahoma" w:cs="Tahoma"/>
      <w:sz w:val="16"/>
      <w:szCs w:val="16"/>
      <w:lang w:eastAsia="en-US"/>
    </w:rPr>
  </w:style>
  <w:style w:type="paragraph" w:styleId="ListParagraph">
    <w:name w:val="List Paragraph"/>
    <w:basedOn w:val="Normal"/>
    <w:uiPriority w:val="34"/>
    <w:qFormat/>
    <w:rsid w:val="00DE0DA2"/>
    <w:pPr>
      <w:ind w:left="720"/>
    </w:pPr>
    <w:rPr>
      <w:rFonts w:ascii="Times New Roman" w:eastAsia="Calibri" w:hAnsi="Times New Roman"/>
      <w:sz w:val="24"/>
      <w:szCs w:val="24"/>
      <w:lang w:eastAsia="en-GB"/>
    </w:rPr>
  </w:style>
  <w:style w:type="character" w:styleId="CommentReference">
    <w:name w:val="annotation reference"/>
    <w:rsid w:val="00C63BA1"/>
    <w:rPr>
      <w:sz w:val="16"/>
      <w:szCs w:val="16"/>
    </w:rPr>
  </w:style>
  <w:style w:type="paragraph" w:styleId="CommentText">
    <w:name w:val="annotation text"/>
    <w:basedOn w:val="Normal"/>
    <w:link w:val="CommentTextChar"/>
    <w:rsid w:val="00C63BA1"/>
    <w:rPr>
      <w:sz w:val="20"/>
    </w:rPr>
  </w:style>
  <w:style w:type="character" w:customStyle="1" w:styleId="CommentTextChar">
    <w:name w:val="Comment Text Char"/>
    <w:link w:val="CommentText"/>
    <w:rsid w:val="00C63BA1"/>
    <w:rPr>
      <w:rFonts w:ascii="Arial" w:hAnsi="Arial"/>
      <w:lang w:eastAsia="en-US"/>
    </w:rPr>
  </w:style>
  <w:style w:type="paragraph" w:styleId="CommentSubject">
    <w:name w:val="annotation subject"/>
    <w:basedOn w:val="CommentText"/>
    <w:next w:val="CommentText"/>
    <w:link w:val="CommentSubjectChar"/>
    <w:rsid w:val="00C63BA1"/>
    <w:rPr>
      <w:b/>
      <w:bCs/>
    </w:rPr>
  </w:style>
  <w:style w:type="character" w:customStyle="1" w:styleId="CommentSubjectChar">
    <w:name w:val="Comment Subject Char"/>
    <w:link w:val="CommentSubject"/>
    <w:rsid w:val="00C63BA1"/>
    <w:rPr>
      <w:rFonts w:ascii="Arial" w:hAnsi="Arial"/>
      <w:b/>
      <w:bCs/>
      <w:lang w:eastAsia="en-US"/>
    </w:rPr>
  </w:style>
  <w:style w:type="character" w:customStyle="1" w:styleId="Heading5Char">
    <w:name w:val="Heading 5 Char"/>
    <w:basedOn w:val="DefaultParagraphFont"/>
    <w:link w:val="Heading5"/>
    <w:rsid w:val="00175BA9"/>
    <w:rPr>
      <w:rFonts w:ascii="Arial" w:hAnsi="Arial"/>
      <w:b/>
      <w:bCs/>
      <w:i/>
      <w:iCs/>
      <w:sz w:val="26"/>
      <w:szCs w:val="26"/>
      <w:lang w:eastAsia="en-US"/>
    </w:rPr>
  </w:style>
  <w:style w:type="character" w:styleId="FollowedHyperlink">
    <w:name w:val="FollowedHyperlink"/>
    <w:basedOn w:val="DefaultParagraphFont"/>
    <w:semiHidden/>
    <w:unhideWhenUsed/>
    <w:rsid w:val="00A402C6"/>
    <w:rPr>
      <w:color w:val="800080" w:themeColor="followedHyperlink"/>
      <w:u w:val="single"/>
    </w:rPr>
  </w:style>
  <w:style w:type="character" w:styleId="UnresolvedMention">
    <w:name w:val="Unresolved Mention"/>
    <w:basedOn w:val="DefaultParagraphFont"/>
    <w:uiPriority w:val="99"/>
    <w:semiHidden/>
    <w:unhideWhenUsed/>
    <w:rsid w:val="00D248CE"/>
    <w:rPr>
      <w:color w:val="605E5C"/>
      <w:shd w:val="clear" w:color="auto" w:fill="E1DFDD"/>
    </w:rPr>
  </w:style>
  <w:style w:type="character" w:customStyle="1" w:styleId="Heading1Char">
    <w:name w:val="Heading 1 Char"/>
    <w:basedOn w:val="DefaultParagraphFont"/>
    <w:link w:val="Heading1"/>
    <w:uiPriority w:val="9"/>
    <w:rsid w:val="00BA6687"/>
    <w:rPr>
      <w:rFonts w:ascii="Arial" w:hAnsi="Arial"/>
      <w:b/>
      <w:bCs/>
      <w:sz w:val="22"/>
      <w:lang w:eastAsia="en-US"/>
    </w:rPr>
  </w:style>
  <w:style w:type="paragraph" w:styleId="Bibliography">
    <w:name w:val="Bibliography"/>
    <w:basedOn w:val="Normal"/>
    <w:next w:val="Normal"/>
    <w:uiPriority w:val="37"/>
    <w:unhideWhenUsed/>
    <w:rsid w:val="00BA6687"/>
  </w:style>
  <w:style w:type="character" w:styleId="Strong">
    <w:name w:val="Strong"/>
    <w:qFormat/>
    <w:rsid w:val="003D66E9"/>
    <w:rPr>
      <w:b/>
    </w:rPr>
  </w:style>
  <w:style w:type="character" w:customStyle="1" w:styleId="normaltextrun">
    <w:name w:val="normaltextrun"/>
    <w:basedOn w:val="DefaultParagraphFont"/>
    <w:rsid w:val="00AA6309"/>
  </w:style>
  <w:style w:type="character" w:customStyle="1" w:styleId="eop">
    <w:name w:val="eop"/>
    <w:basedOn w:val="DefaultParagraphFont"/>
    <w:rsid w:val="00AA6309"/>
  </w:style>
  <w:style w:type="paragraph" w:customStyle="1" w:styleId="paragraph0">
    <w:name w:val="paragraph"/>
    <w:basedOn w:val="Normal"/>
    <w:rsid w:val="00AA6309"/>
    <w:pPr>
      <w:spacing w:before="100" w:beforeAutospacing="1" w:after="100" w:afterAutospacing="1"/>
    </w:pPr>
    <w:rPr>
      <w:rFonts w:ascii="Times New Roman" w:hAnsi="Times New Roman"/>
      <w:sz w:val="24"/>
      <w:szCs w:val="24"/>
      <w:lang w:eastAsia="en-GB"/>
    </w:rPr>
  </w:style>
  <w:style w:type="character" w:styleId="Mention">
    <w:name w:val="Mention"/>
    <w:basedOn w:val="DefaultParagraphFont"/>
    <w:uiPriority w:val="99"/>
    <w:unhideWhenUsed/>
    <w:rsid w:val="00471605"/>
    <w:rPr>
      <w:color w:val="2B579A"/>
      <w:shd w:val="clear" w:color="auto" w:fill="E1DFDD"/>
    </w:rPr>
  </w:style>
  <w:style w:type="character" w:customStyle="1" w:styleId="scxw238722519">
    <w:name w:val="scxw238722519"/>
    <w:basedOn w:val="DefaultParagraphFont"/>
    <w:rsid w:val="00CB2E0E"/>
  </w:style>
  <w:style w:type="paragraph" w:styleId="Revision">
    <w:name w:val="Revision"/>
    <w:hidden/>
    <w:uiPriority w:val="99"/>
    <w:semiHidden/>
    <w:rsid w:val="00CB2E0E"/>
    <w:rPr>
      <w:rFonts w:ascii="Arial" w:hAnsi="Arial"/>
      <w:sz w:val="22"/>
      <w:lang w:eastAsia="en-US"/>
    </w:rPr>
  </w:style>
  <w:style w:type="paragraph" w:customStyle="1" w:styleId="Paragraphindent">
    <w:name w:val="Paragraph indent"/>
    <w:basedOn w:val="Paragraph"/>
    <w:next w:val="Paragraph"/>
    <w:qFormat/>
    <w:rsid w:val="004848F1"/>
    <w:pPr>
      <w:numPr>
        <w:numId w:val="0"/>
      </w:numPr>
      <w:tabs>
        <w:tab w:val="left" w:pos="567"/>
      </w:tabs>
      <w:spacing w:before="0" w:line="360" w:lineRule="auto"/>
      <w:ind w:left="567"/>
    </w:pPr>
    <w:rPr>
      <w:sz w:val="24"/>
      <w:szCs w:val="24"/>
    </w:rPr>
  </w:style>
  <w:style w:type="character" w:customStyle="1" w:styleId="cf01">
    <w:name w:val="cf01"/>
    <w:basedOn w:val="DefaultParagraphFont"/>
    <w:rsid w:val="00C950E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524">
      <w:bodyDiv w:val="1"/>
      <w:marLeft w:val="0"/>
      <w:marRight w:val="0"/>
      <w:marTop w:val="0"/>
      <w:marBottom w:val="0"/>
      <w:divBdr>
        <w:top w:val="none" w:sz="0" w:space="0" w:color="auto"/>
        <w:left w:val="none" w:sz="0" w:space="0" w:color="auto"/>
        <w:bottom w:val="none" w:sz="0" w:space="0" w:color="auto"/>
        <w:right w:val="none" w:sz="0" w:space="0" w:color="auto"/>
      </w:divBdr>
    </w:div>
    <w:div w:id="13121734">
      <w:bodyDiv w:val="1"/>
      <w:marLeft w:val="0"/>
      <w:marRight w:val="0"/>
      <w:marTop w:val="0"/>
      <w:marBottom w:val="0"/>
      <w:divBdr>
        <w:top w:val="none" w:sz="0" w:space="0" w:color="auto"/>
        <w:left w:val="none" w:sz="0" w:space="0" w:color="auto"/>
        <w:bottom w:val="none" w:sz="0" w:space="0" w:color="auto"/>
        <w:right w:val="none" w:sz="0" w:space="0" w:color="auto"/>
      </w:divBdr>
      <w:divsChild>
        <w:div w:id="60518692">
          <w:marLeft w:val="0"/>
          <w:marRight w:val="0"/>
          <w:marTop w:val="0"/>
          <w:marBottom w:val="0"/>
          <w:divBdr>
            <w:top w:val="none" w:sz="0" w:space="0" w:color="auto"/>
            <w:left w:val="none" w:sz="0" w:space="0" w:color="auto"/>
            <w:bottom w:val="none" w:sz="0" w:space="0" w:color="auto"/>
            <w:right w:val="none" w:sz="0" w:space="0" w:color="auto"/>
          </w:divBdr>
          <w:divsChild>
            <w:div w:id="1279071734">
              <w:marLeft w:val="0"/>
              <w:marRight w:val="0"/>
              <w:marTop w:val="0"/>
              <w:marBottom w:val="0"/>
              <w:divBdr>
                <w:top w:val="none" w:sz="0" w:space="0" w:color="auto"/>
                <w:left w:val="none" w:sz="0" w:space="0" w:color="auto"/>
                <w:bottom w:val="none" w:sz="0" w:space="0" w:color="auto"/>
                <w:right w:val="none" w:sz="0" w:space="0" w:color="auto"/>
              </w:divBdr>
            </w:div>
          </w:divsChild>
        </w:div>
        <w:div w:id="177813523">
          <w:marLeft w:val="0"/>
          <w:marRight w:val="0"/>
          <w:marTop w:val="0"/>
          <w:marBottom w:val="0"/>
          <w:divBdr>
            <w:top w:val="none" w:sz="0" w:space="0" w:color="auto"/>
            <w:left w:val="none" w:sz="0" w:space="0" w:color="auto"/>
            <w:bottom w:val="none" w:sz="0" w:space="0" w:color="auto"/>
            <w:right w:val="none" w:sz="0" w:space="0" w:color="auto"/>
          </w:divBdr>
          <w:divsChild>
            <w:div w:id="529531467">
              <w:marLeft w:val="0"/>
              <w:marRight w:val="0"/>
              <w:marTop w:val="0"/>
              <w:marBottom w:val="0"/>
              <w:divBdr>
                <w:top w:val="none" w:sz="0" w:space="0" w:color="auto"/>
                <w:left w:val="none" w:sz="0" w:space="0" w:color="auto"/>
                <w:bottom w:val="none" w:sz="0" w:space="0" w:color="auto"/>
                <w:right w:val="none" w:sz="0" w:space="0" w:color="auto"/>
              </w:divBdr>
            </w:div>
          </w:divsChild>
        </w:div>
        <w:div w:id="726029424">
          <w:marLeft w:val="0"/>
          <w:marRight w:val="0"/>
          <w:marTop w:val="0"/>
          <w:marBottom w:val="0"/>
          <w:divBdr>
            <w:top w:val="none" w:sz="0" w:space="0" w:color="auto"/>
            <w:left w:val="none" w:sz="0" w:space="0" w:color="auto"/>
            <w:bottom w:val="none" w:sz="0" w:space="0" w:color="auto"/>
            <w:right w:val="none" w:sz="0" w:space="0" w:color="auto"/>
          </w:divBdr>
          <w:divsChild>
            <w:div w:id="997463112">
              <w:marLeft w:val="0"/>
              <w:marRight w:val="0"/>
              <w:marTop w:val="0"/>
              <w:marBottom w:val="0"/>
              <w:divBdr>
                <w:top w:val="none" w:sz="0" w:space="0" w:color="auto"/>
                <w:left w:val="none" w:sz="0" w:space="0" w:color="auto"/>
                <w:bottom w:val="none" w:sz="0" w:space="0" w:color="auto"/>
                <w:right w:val="none" w:sz="0" w:space="0" w:color="auto"/>
              </w:divBdr>
            </w:div>
          </w:divsChild>
        </w:div>
        <w:div w:id="738795217">
          <w:marLeft w:val="0"/>
          <w:marRight w:val="0"/>
          <w:marTop w:val="0"/>
          <w:marBottom w:val="0"/>
          <w:divBdr>
            <w:top w:val="none" w:sz="0" w:space="0" w:color="auto"/>
            <w:left w:val="none" w:sz="0" w:space="0" w:color="auto"/>
            <w:bottom w:val="none" w:sz="0" w:space="0" w:color="auto"/>
            <w:right w:val="none" w:sz="0" w:space="0" w:color="auto"/>
          </w:divBdr>
          <w:divsChild>
            <w:div w:id="26417388">
              <w:marLeft w:val="0"/>
              <w:marRight w:val="0"/>
              <w:marTop w:val="0"/>
              <w:marBottom w:val="0"/>
              <w:divBdr>
                <w:top w:val="none" w:sz="0" w:space="0" w:color="auto"/>
                <w:left w:val="none" w:sz="0" w:space="0" w:color="auto"/>
                <w:bottom w:val="none" w:sz="0" w:space="0" w:color="auto"/>
                <w:right w:val="none" w:sz="0" w:space="0" w:color="auto"/>
              </w:divBdr>
            </w:div>
            <w:div w:id="267465188">
              <w:marLeft w:val="0"/>
              <w:marRight w:val="0"/>
              <w:marTop w:val="0"/>
              <w:marBottom w:val="0"/>
              <w:divBdr>
                <w:top w:val="none" w:sz="0" w:space="0" w:color="auto"/>
                <w:left w:val="none" w:sz="0" w:space="0" w:color="auto"/>
                <w:bottom w:val="none" w:sz="0" w:space="0" w:color="auto"/>
                <w:right w:val="none" w:sz="0" w:space="0" w:color="auto"/>
              </w:divBdr>
            </w:div>
            <w:div w:id="20676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167389">
      <w:bodyDiv w:val="1"/>
      <w:marLeft w:val="0"/>
      <w:marRight w:val="0"/>
      <w:marTop w:val="0"/>
      <w:marBottom w:val="0"/>
      <w:divBdr>
        <w:top w:val="none" w:sz="0" w:space="0" w:color="auto"/>
        <w:left w:val="none" w:sz="0" w:space="0" w:color="auto"/>
        <w:bottom w:val="none" w:sz="0" w:space="0" w:color="auto"/>
        <w:right w:val="none" w:sz="0" w:space="0" w:color="auto"/>
      </w:divBdr>
    </w:div>
    <w:div w:id="867331219">
      <w:bodyDiv w:val="1"/>
      <w:marLeft w:val="0"/>
      <w:marRight w:val="0"/>
      <w:marTop w:val="0"/>
      <w:marBottom w:val="0"/>
      <w:divBdr>
        <w:top w:val="none" w:sz="0" w:space="0" w:color="auto"/>
        <w:left w:val="none" w:sz="0" w:space="0" w:color="auto"/>
        <w:bottom w:val="none" w:sz="0" w:space="0" w:color="auto"/>
        <w:right w:val="none" w:sz="0" w:space="0" w:color="auto"/>
      </w:divBdr>
    </w:div>
    <w:div w:id="960264278">
      <w:bodyDiv w:val="1"/>
      <w:marLeft w:val="0"/>
      <w:marRight w:val="0"/>
      <w:marTop w:val="0"/>
      <w:marBottom w:val="0"/>
      <w:divBdr>
        <w:top w:val="none" w:sz="0" w:space="0" w:color="auto"/>
        <w:left w:val="none" w:sz="0" w:space="0" w:color="auto"/>
        <w:bottom w:val="none" w:sz="0" w:space="0" w:color="auto"/>
        <w:right w:val="none" w:sz="0" w:space="0" w:color="auto"/>
      </w:divBdr>
    </w:div>
    <w:div w:id="1438866085">
      <w:bodyDiv w:val="1"/>
      <w:marLeft w:val="0"/>
      <w:marRight w:val="0"/>
      <w:marTop w:val="0"/>
      <w:marBottom w:val="0"/>
      <w:divBdr>
        <w:top w:val="none" w:sz="0" w:space="0" w:color="auto"/>
        <w:left w:val="none" w:sz="0" w:space="0" w:color="auto"/>
        <w:bottom w:val="none" w:sz="0" w:space="0" w:color="auto"/>
        <w:right w:val="none" w:sz="0" w:space="0" w:color="auto"/>
      </w:divBdr>
    </w:div>
    <w:div w:id="1565137924">
      <w:bodyDiv w:val="1"/>
      <w:marLeft w:val="0"/>
      <w:marRight w:val="0"/>
      <w:marTop w:val="0"/>
      <w:marBottom w:val="0"/>
      <w:divBdr>
        <w:top w:val="none" w:sz="0" w:space="0" w:color="auto"/>
        <w:left w:val="none" w:sz="0" w:space="0" w:color="auto"/>
        <w:bottom w:val="none" w:sz="0" w:space="0" w:color="auto"/>
        <w:right w:val="none" w:sz="0" w:space="0" w:color="auto"/>
      </w:divBdr>
    </w:div>
    <w:div w:id="1631594856">
      <w:bodyDiv w:val="1"/>
      <w:marLeft w:val="0"/>
      <w:marRight w:val="0"/>
      <w:marTop w:val="0"/>
      <w:marBottom w:val="0"/>
      <w:divBdr>
        <w:top w:val="none" w:sz="0" w:space="0" w:color="auto"/>
        <w:left w:val="none" w:sz="0" w:space="0" w:color="auto"/>
        <w:bottom w:val="none" w:sz="0" w:space="0" w:color="auto"/>
        <w:right w:val="none" w:sz="0" w:space="0" w:color="auto"/>
      </w:divBdr>
    </w:div>
    <w:div w:id="1650359095">
      <w:bodyDiv w:val="1"/>
      <w:marLeft w:val="0"/>
      <w:marRight w:val="0"/>
      <w:marTop w:val="0"/>
      <w:marBottom w:val="0"/>
      <w:divBdr>
        <w:top w:val="none" w:sz="0" w:space="0" w:color="auto"/>
        <w:left w:val="none" w:sz="0" w:space="0" w:color="auto"/>
        <w:bottom w:val="none" w:sz="0" w:space="0" w:color="auto"/>
        <w:right w:val="none" w:sz="0" w:space="0" w:color="auto"/>
      </w:divBdr>
    </w:div>
    <w:div w:id="1751268573">
      <w:bodyDiv w:val="1"/>
      <w:marLeft w:val="0"/>
      <w:marRight w:val="0"/>
      <w:marTop w:val="0"/>
      <w:marBottom w:val="0"/>
      <w:divBdr>
        <w:top w:val="none" w:sz="0" w:space="0" w:color="auto"/>
        <w:left w:val="none" w:sz="0" w:space="0" w:color="auto"/>
        <w:bottom w:val="none" w:sz="0" w:space="0" w:color="auto"/>
        <w:right w:val="none" w:sz="0" w:space="0" w:color="auto"/>
      </w:divBdr>
    </w:div>
    <w:div w:id="1777404043">
      <w:bodyDiv w:val="1"/>
      <w:marLeft w:val="0"/>
      <w:marRight w:val="0"/>
      <w:marTop w:val="0"/>
      <w:marBottom w:val="0"/>
      <w:divBdr>
        <w:top w:val="none" w:sz="0" w:space="0" w:color="auto"/>
        <w:left w:val="none" w:sz="0" w:space="0" w:color="auto"/>
        <w:bottom w:val="none" w:sz="0" w:space="0" w:color="auto"/>
        <w:right w:val="none" w:sz="0" w:space="0" w:color="auto"/>
      </w:divBdr>
      <w:divsChild>
        <w:div w:id="1778326472">
          <w:marLeft w:val="0"/>
          <w:marRight w:val="0"/>
          <w:marTop w:val="0"/>
          <w:marBottom w:val="0"/>
          <w:divBdr>
            <w:top w:val="none" w:sz="0" w:space="0" w:color="auto"/>
            <w:left w:val="none" w:sz="0" w:space="0" w:color="auto"/>
            <w:bottom w:val="none" w:sz="0" w:space="0" w:color="auto"/>
            <w:right w:val="none" w:sz="0" w:space="0" w:color="auto"/>
          </w:divBdr>
          <w:divsChild>
            <w:div w:id="401223897">
              <w:marLeft w:val="0"/>
              <w:marRight w:val="0"/>
              <w:marTop w:val="0"/>
              <w:marBottom w:val="0"/>
              <w:divBdr>
                <w:top w:val="none" w:sz="0" w:space="0" w:color="auto"/>
                <w:left w:val="none" w:sz="0" w:space="0" w:color="auto"/>
                <w:bottom w:val="none" w:sz="0" w:space="0" w:color="auto"/>
                <w:right w:val="none" w:sz="0" w:space="0" w:color="auto"/>
              </w:divBdr>
            </w:div>
            <w:div w:id="51827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9852">
      <w:bodyDiv w:val="1"/>
      <w:marLeft w:val="0"/>
      <w:marRight w:val="0"/>
      <w:marTop w:val="0"/>
      <w:marBottom w:val="0"/>
      <w:divBdr>
        <w:top w:val="none" w:sz="0" w:space="0" w:color="auto"/>
        <w:left w:val="none" w:sz="0" w:space="0" w:color="auto"/>
        <w:bottom w:val="none" w:sz="0" w:space="0" w:color="auto"/>
        <w:right w:val="none" w:sz="0" w:space="0" w:color="auto"/>
      </w:divBdr>
      <w:divsChild>
        <w:div w:id="443770496">
          <w:marLeft w:val="0"/>
          <w:marRight w:val="0"/>
          <w:marTop w:val="0"/>
          <w:marBottom w:val="0"/>
          <w:divBdr>
            <w:top w:val="none" w:sz="0" w:space="0" w:color="auto"/>
            <w:left w:val="none" w:sz="0" w:space="0" w:color="auto"/>
            <w:bottom w:val="none" w:sz="0" w:space="0" w:color="auto"/>
            <w:right w:val="none" w:sz="0" w:space="0" w:color="auto"/>
          </w:divBdr>
          <w:divsChild>
            <w:div w:id="187452266">
              <w:marLeft w:val="0"/>
              <w:marRight w:val="0"/>
              <w:marTop w:val="0"/>
              <w:marBottom w:val="0"/>
              <w:divBdr>
                <w:top w:val="none" w:sz="0" w:space="0" w:color="auto"/>
                <w:left w:val="none" w:sz="0" w:space="0" w:color="auto"/>
                <w:bottom w:val="none" w:sz="0" w:space="0" w:color="auto"/>
                <w:right w:val="none" w:sz="0" w:space="0" w:color="auto"/>
              </w:divBdr>
            </w:div>
            <w:div w:id="1039430546">
              <w:marLeft w:val="0"/>
              <w:marRight w:val="0"/>
              <w:marTop w:val="0"/>
              <w:marBottom w:val="0"/>
              <w:divBdr>
                <w:top w:val="none" w:sz="0" w:space="0" w:color="auto"/>
                <w:left w:val="none" w:sz="0" w:space="0" w:color="auto"/>
                <w:bottom w:val="none" w:sz="0" w:space="0" w:color="auto"/>
                <w:right w:val="none" w:sz="0" w:space="0" w:color="auto"/>
              </w:divBdr>
            </w:div>
            <w:div w:id="1163666063">
              <w:marLeft w:val="0"/>
              <w:marRight w:val="0"/>
              <w:marTop w:val="0"/>
              <w:marBottom w:val="0"/>
              <w:divBdr>
                <w:top w:val="none" w:sz="0" w:space="0" w:color="auto"/>
                <w:left w:val="none" w:sz="0" w:space="0" w:color="auto"/>
                <w:bottom w:val="none" w:sz="0" w:space="0" w:color="auto"/>
                <w:right w:val="none" w:sz="0" w:space="0" w:color="auto"/>
              </w:divBdr>
            </w:div>
            <w:div w:id="1205289103">
              <w:marLeft w:val="0"/>
              <w:marRight w:val="0"/>
              <w:marTop w:val="0"/>
              <w:marBottom w:val="0"/>
              <w:divBdr>
                <w:top w:val="none" w:sz="0" w:space="0" w:color="auto"/>
                <w:left w:val="none" w:sz="0" w:space="0" w:color="auto"/>
                <w:bottom w:val="none" w:sz="0" w:space="0" w:color="auto"/>
                <w:right w:val="none" w:sz="0" w:space="0" w:color="auto"/>
              </w:divBdr>
            </w:div>
            <w:div w:id="1247570773">
              <w:marLeft w:val="0"/>
              <w:marRight w:val="0"/>
              <w:marTop w:val="0"/>
              <w:marBottom w:val="0"/>
              <w:divBdr>
                <w:top w:val="none" w:sz="0" w:space="0" w:color="auto"/>
                <w:left w:val="none" w:sz="0" w:space="0" w:color="auto"/>
                <w:bottom w:val="none" w:sz="0" w:space="0" w:color="auto"/>
                <w:right w:val="none" w:sz="0" w:space="0" w:color="auto"/>
              </w:divBdr>
            </w:div>
          </w:divsChild>
        </w:div>
        <w:div w:id="1483229238">
          <w:marLeft w:val="0"/>
          <w:marRight w:val="0"/>
          <w:marTop w:val="0"/>
          <w:marBottom w:val="0"/>
          <w:divBdr>
            <w:top w:val="none" w:sz="0" w:space="0" w:color="auto"/>
            <w:left w:val="none" w:sz="0" w:space="0" w:color="auto"/>
            <w:bottom w:val="none" w:sz="0" w:space="0" w:color="auto"/>
            <w:right w:val="none" w:sz="0" w:space="0" w:color="auto"/>
          </w:divBdr>
          <w:divsChild>
            <w:div w:id="41008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325160">
      <w:bodyDiv w:val="1"/>
      <w:marLeft w:val="0"/>
      <w:marRight w:val="0"/>
      <w:marTop w:val="0"/>
      <w:marBottom w:val="0"/>
      <w:divBdr>
        <w:top w:val="none" w:sz="0" w:space="0" w:color="auto"/>
        <w:left w:val="none" w:sz="0" w:space="0" w:color="auto"/>
        <w:bottom w:val="none" w:sz="0" w:space="0" w:color="auto"/>
        <w:right w:val="none" w:sz="0" w:space="0" w:color="auto"/>
      </w:divBdr>
    </w:div>
    <w:div w:id="209087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nice.org.uk/guidance/ng106/evidence/full-guideline-pdf-6538850029" TargetMode="External"/><Relationship Id="rId21" Type="http://schemas.openxmlformats.org/officeDocument/2006/relationships/hyperlink" Target="https://www.nice.org.uk/guidance/gid-ng10405/documents/final-scope" TargetMode="External"/><Relationship Id="rId42" Type="http://schemas.openxmlformats.org/officeDocument/2006/relationships/hyperlink" Target="https://www.nice.org.uk/guidance/gid-ng10405/documents/final-scope" TargetMode="External"/><Relationship Id="rId47" Type="http://schemas.openxmlformats.org/officeDocument/2006/relationships/hyperlink" Target="https://www.nice.org.uk/guidance/ng106/resources/2023-exceptional-surveillance-of-chronic-heart-failure-in-adults-diagnosis-and-management-nice-guideline-ng106-11438419501/chapter/Surveillance-decision?tab=evidence" TargetMode="External"/><Relationship Id="rId63" Type="http://schemas.openxmlformats.org/officeDocument/2006/relationships/hyperlink" Target="https://www.nice.org.uk/guidance/ng106/resources/2023-exceptional-surveillance-of-chronic-heart-failure-in-adults-diagnosis-and-management-nice-guideline-ng106-11438419501/chapter/Surveillance-decision?tab=evidence" TargetMode="External"/><Relationship Id="rId68"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ice.org.uk/guidance/gid-ng10405/documents/final-scope" TargetMode="External"/><Relationship Id="rId29" Type="http://schemas.openxmlformats.org/officeDocument/2006/relationships/hyperlink" Target="https://www.nice.org.uk/guidance/ng106/evidence/full-guideline-pdf-6538850029" TargetMode="External"/><Relationship Id="rId11" Type="http://schemas.openxmlformats.org/officeDocument/2006/relationships/hyperlink" Target="https://www.nice.org.uk/about/what-we-do/bringing-our-guidance-together-by-topic" TargetMode="External"/><Relationship Id="rId24" Type="http://schemas.openxmlformats.org/officeDocument/2006/relationships/hyperlink" Target="https://www.nice.org.uk/guidance/gid-ng10405/documents/final-scope" TargetMode="External"/><Relationship Id="rId32" Type="http://schemas.openxmlformats.org/officeDocument/2006/relationships/hyperlink" Target="https://www.nice.org.uk/guidance/ng106/evidence/full-guideline-pdf-6538850029" TargetMode="External"/><Relationship Id="rId37" Type="http://schemas.openxmlformats.org/officeDocument/2006/relationships/hyperlink" Target="https://www.nice.org.uk/about/what-we-do/bringing-our-guidance-together-by-topic" TargetMode="External"/><Relationship Id="rId40" Type="http://schemas.openxmlformats.org/officeDocument/2006/relationships/hyperlink" Target="https://www.nice.org.uk/guidance/gid-ng10405/documents/final-scope" TargetMode="External"/><Relationship Id="rId45" Type="http://schemas.openxmlformats.org/officeDocument/2006/relationships/hyperlink" Target="https://www.nice.org.uk/guidance/gid-ng10405/documents/final-scope" TargetMode="External"/><Relationship Id="rId53" Type="http://schemas.openxmlformats.org/officeDocument/2006/relationships/hyperlink" Target="https://www.nice.org.uk/process/pmg20/chapter/the-scope" TargetMode="External"/><Relationship Id="rId58" Type="http://schemas.openxmlformats.org/officeDocument/2006/relationships/hyperlink" Target="https://www.nice.org.uk/about/what-we-do/prioritising-our-guidance-topics" TargetMode="External"/><Relationship Id="rId66" Type="http://schemas.openxmlformats.org/officeDocument/2006/relationships/hyperlink" Target="http://www.coresta.org/" TargetMode="External"/><Relationship Id="rId5" Type="http://schemas.openxmlformats.org/officeDocument/2006/relationships/numbering" Target="numbering.xml"/><Relationship Id="rId61" Type="http://schemas.openxmlformats.org/officeDocument/2006/relationships/hyperlink" Target="https://www.nice.org.uk/guidance/ng106/resources/2023-exceptional-surveillance-of-chronic-heart-failure-in-adults-diagnosis-and-management-nice-guideline-ng106-11438419501/chapter/Surveillance-decision?tab=evidence" TargetMode="External"/><Relationship Id="rId19" Type="http://schemas.openxmlformats.org/officeDocument/2006/relationships/hyperlink" Target="https://www.nice.org.uk/guidance/gid-ng10405/documents/final-scope" TargetMode="External"/><Relationship Id="rId14" Type="http://schemas.openxmlformats.org/officeDocument/2006/relationships/hyperlink" Target="https://www.nice.org.uk/guidance/gid-ng10405/documents/final-scope" TargetMode="External"/><Relationship Id="rId22" Type="http://schemas.openxmlformats.org/officeDocument/2006/relationships/hyperlink" Target="https://www.nice.org.uk/guidance/indevelopment/gid-ta11651" TargetMode="External"/><Relationship Id="rId27" Type="http://schemas.openxmlformats.org/officeDocument/2006/relationships/hyperlink" Target="https://www.nice.org.uk/guidance/ng106/evidence/full-guideline-pdf-6538850029" TargetMode="External"/><Relationship Id="rId30" Type="http://schemas.openxmlformats.org/officeDocument/2006/relationships/hyperlink" Target="https://www.nice.org.uk/guidance/ng106/evidence/full-guideline-pdf-6538850029" TargetMode="External"/><Relationship Id="rId35" Type="http://schemas.openxmlformats.org/officeDocument/2006/relationships/hyperlink" Target="https://www.nice.org.uk/guidance/ng106/evidence/full-guideline-pdf-6538850029" TargetMode="External"/><Relationship Id="rId43" Type="http://schemas.openxmlformats.org/officeDocument/2006/relationships/hyperlink" Target="https://www.nice.org.uk/guidance/gid-ng10405/documents/final-scope" TargetMode="External"/><Relationship Id="rId48" Type="http://schemas.openxmlformats.org/officeDocument/2006/relationships/hyperlink" Target="https://www.nice.org.uk/about/what-we-do/prioritising-our-guidance-topics" TargetMode="External"/><Relationship Id="rId56" Type="http://schemas.openxmlformats.org/officeDocument/2006/relationships/hyperlink" Target="https://www.nice.org.uk/guidance/gid-ng10405/documents/final-scope" TargetMode="External"/><Relationship Id="rId64" Type="http://schemas.openxmlformats.org/officeDocument/2006/relationships/hyperlink" Target="https://www.nice.org.uk/about/what-we-do/prioritising-our-guidance-topics"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nice.org.uk/guidance/ng106/resources/2023-exceptional-surveillance-of-chronic-heart-failure-in-adults-diagnosis-and-management-nice-guideline-ng106-11438419501/chapter/Surveillance-decision?tab=evidence" TargetMode="External"/><Relationship Id="rId3" Type="http://schemas.openxmlformats.org/officeDocument/2006/relationships/customXml" Target="../customXml/item3.xml"/><Relationship Id="rId12" Type="http://schemas.openxmlformats.org/officeDocument/2006/relationships/hyperlink" Target="https://www.nice.org.uk/about/what-we-do/bringing-our-guidance-together-by-topic" TargetMode="External"/><Relationship Id="rId17" Type="http://schemas.openxmlformats.org/officeDocument/2006/relationships/hyperlink" Target="https://www.nice.org.uk/guidance/gid-ng10405/documents/final-scope" TargetMode="External"/><Relationship Id="rId25" Type="http://schemas.openxmlformats.org/officeDocument/2006/relationships/hyperlink" Target="https://www.nice.org.uk/guidance/ng106/evidence/full-guideline-pdf-6538850029" TargetMode="External"/><Relationship Id="rId33" Type="http://schemas.openxmlformats.org/officeDocument/2006/relationships/hyperlink" Target="https://www.nice.org.uk/guidance/ng106/evidence/full-guideline-pdf-6538850029" TargetMode="External"/><Relationship Id="rId38" Type="http://schemas.openxmlformats.org/officeDocument/2006/relationships/hyperlink" Target="https://www.nice.org.uk/guidance/gid-ng10405/documents/final-scope" TargetMode="External"/><Relationship Id="rId46" Type="http://schemas.openxmlformats.org/officeDocument/2006/relationships/hyperlink" Target="https://www.nice.org.uk/guidance/gid-ng10405/documents/final-scope" TargetMode="External"/><Relationship Id="rId59" Type="http://schemas.openxmlformats.org/officeDocument/2006/relationships/hyperlink" Target="https://www.nice.org.uk/guidance/ng106/resources/2023-exceptional-surveillance-of-chronic-heart-failure-in-adults-diagnosis-and-management-nice-guideline-ng106-11438419501/chapter/Surveillance-decision?tab=evidence" TargetMode="External"/><Relationship Id="rId67" Type="http://schemas.openxmlformats.org/officeDocument/2006/relationships/header" Target="header1.xml"/><Relationship Id="rId20" Type="http://schemas.openxmlformats.org/officeDocument/2006/relationships/hyperlink" Target="https://www.nice.org.uk/guidance/gid-ng10405/documents/final-scope" TargetMode="External"/><Relationship Id="rId41" Type="http://schemas.openxmlformats.org/officeDocument/2006/relationships/hyperlink" Target="https://www.nice.org.uk/guidance/indevelopment/gid-ng10336" TargetMode="External"/><Relationship Id="rId54" Type="http://schemas.openxmlformats.org/officeDocument/2006/relationships/hyperlink" Target="https://www.nice.org.uk/about/what-we-do/prioritising-our-guidance-topics" TargetMode="External"/><Relationship Id="rId62" Type="http://schemas.openxmlformats.org/officeDocument/2006/relationships/hyperlink" Target="https://www.nice.org.uk/about/what-we-do/prioritising-our-guidance-topics"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ice.org.uk/guidance/ng106/evidence/full-guideline-pdf-6538850029" TargetMode="External"/><Relationship Id="rId23" Type="http://schemas.openxmlformats.org/officeDocument/2006/relationships/hyperlink" Target="https://www.nice.org.uk/guidance/gid-ng10405/documents/final-scope" TargetMode="External"/><Relationship Id="rId28" Type="http://schemas.openxmlformats.org/officeDocument/2006/relationships/hyperlink" Target="https://www.nice.org.uk/guidance/ng106/evidence/full-guideline-pdf-6538850029" TargetMode="External"/><Relationship Id="rId36" Type="http://schemas.openxmlformats.org/officeDocument/2006/relationships/hyperlink" Target="https://www.nice.org.uk/guidance/ng106/evidence/full-guideline-pdf-6538850029" TargetMode="External"/><Relationship Id="rId49" Type="http://schemas.openxmlformats.org/officeDocument/2006/relationships/hyperlink" Target="https://www.nice.org.uk/process/pmg20/chapter/the-scope" TargetMode="External"/><Relationship Id="rId57" Type="http://schemas.openxmlformats.org/officeDocument/2006/relationships/hyperlink" Target="https://www.nice.org.uk/guidance/ng106/resources/2023-exceptional-surveillance-of-chronic-heart-failure-in-adults-diagnosis-and-management-nice-guideline-ng106-11438419501/chapter/Surveillance-decision?tab=evidence" TargetMode="External"/><Relationship Id="rId10" Type="http://schemas.openxmlformats.org/officeDocument/2006/relationships/endnotes" Target="endnotes.xml"/><Relationship Id="rId31" Type="http://schemas.openxmlformats.org/officeDocument/2006/relationships/hyperlink" Target="https://www.nice.org.uk/guidance/ng106/evidence/full-guideline-pdf-6538850029" TargetMode="External"/><Relationship Id="rId44" Type="http://schemas.openxmlformats.org/officeDocument/2006/relationships/hyperlink" Target="https://pubmed.ncbi.nlm.nih.gov/33605000/" TargetMode="External"/><Relationship Id="rId52" Type="http://schemas.openxmlformats.org/officeDocument/2006/relationships/hyperlink" Target="https://www.nice.org.uk/about/what-we-do/prioritising-our-guidance-topics" TargetMode="External"/><Relationship Id="rId60" Type="http://schemas.openxmlformats.org/officeDocument/2006/relationships/hyperlink" Target="https://www.nice.org.uk/about/what-we-do/prioritising-our-guidance-topics" TargetMode="External"/><Relationship Id="rId65" Type="http://schemas.openxmlformats.org/officeDocument/2006/relationships/hyperlink" Target="https://www.nice.org.uk/about/what-we-do/bringing-our-guidance-together-by-topic"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ice.org.uk/about/what-we-do/bringing-our-guidance-together-by-topic" TargetMode="External"/><Relationship Id="rId18" Type="http://schemas.openxmlformats.org/officeDocument/2006/relationships/hyperlink" Target="https://www.nice.org.uk/guidance/gid-ng10405/documents/final-scope" TargetMode="External"/><Relationship Id="rId39" Type="http://schemas.openxmlformats.org/officeDocument/2006/relationships/hyperlink" Target="https://www.nice.org.uk/guidance/gid-ng10405/documents/final-scope" TargetMode="External"/><Relationship Id="rId34" Type="http://schemas.openxmlformats.org/officeDocument/2006/relationships/hyperlink" Target="https://www.nice.org.uk/guidance/ng106/evidence/full-guideline-pdf-6538850029" TargetMode="External"/><Relationship Id="rId50" Type="http://schemas.openxmlformats.org/officeDocument/2006/relationships/hyperlink" Target="https://www.nice.org.uk/guidance/gid-ng10405/documents/final-scope" TargetMode="External"/><Relationship Id="rId55" Type="http://schemas.openxmlformats.org/officeDocument/2006/relationships/hyperlink" Target="https://www.nice.org.uk/guidance/gid-ng10405/documents/final-sco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4815326261C954C93CC46970EE5C9B2" ma:contentTypeVersion="13" ma:contentTypeDescription="Create a new document." ma:contentTypeScope="" ma:versionID="6abbfdc2d8ecbbee62c809583e1011dc">
  <xsd:schema xmlns:xsd="http://www.w3.org/2001/XMLSchema" xmlns:xs="http://www.w3.org/2001/XMLSchema" xmlns:p="http://schemas.microsoft.com/office/2006/metadata/properties" xmlns:ns2="06f6bfed-a723-4874-8d2e-7cca1059c0d6" xmlns:ns3="0eb656aa-4e79-4e95-9076-bc119a23e0cc" targetNamespace="http://schemas.microsoft.com/office/2006/metadata/properties" ma:root="true" ma:fieldsID="17b2cc61f70dda7a9d2a80f6953268d2" ns2:_="" ns3:_="">
    <xsd:import namespace="06f6bfed-a723-4874-8d2e-7cca1059c0d6"/>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6bfed-a723-4874-8d2e-7cca1059c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a9cf9e-9696-4473-8b3e-d61faf159ec7}" ma:internalName="TaxCatchAll" ma:showField="CatchAllData" ma:web="0c8e0970-65f7-430b-aacb-a7b56cfe1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f6bfed-a723-4874-8d2e-7cca1059c0d6">
      <Terms xmlns="http://schemas.microsoft.com/office/infopath/2007/PartnerControls"/>
    </lcf76f155ced4ddcb4097134ff3c332f>
    <TaxCatchAll xmlns="0eb656aa-4e79-4e95-9076-bc119a23e0c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93ECF8-5032-4201-8D28-837A5CC2B05D}">
  <ds:schemaRefs>
    <ds:schemaRef ds:uri="http://schemas.openxmlformats.org/officeDocument/2006/bibliography"/>
  </ds:schemaRefs>
</ds:datastoreItem>
</file>

<file path=customXml/itemProps2.xml><?xml version="1.0" encoding="utf-8"?>
<ds:datastoreItem xmlns:ds="http://schemas.openxmlformats.org/officeDocument/2006/customXml" ds:itemID="{3A7BAEAE-F274-435A-B5F2-E89D8D5E3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6bfed-a723-4874-8d2e-7cca1059c0d6"/>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EC11A5-A59A-4078-B362-2C96096CD8B1}">
  <ds:schemaRefs>
    <ds:schemaRef ds:uri="http://schemas.microsoft.com/office/2006/documentManagement/types"/>
    <ds:schemaRef ds:uri="http://schemas.microsoft.com/office/infopath/2007/PartnerControls"/>
    <ds:schemaRef ds:uri="06f6bfed-a723-4874-8d2e-7cca1059c0d6"/>
    <ds:schemaRef ds:uri="http://www.w3.org/XML/1998/namespace"/>
    <ds:schemaRef ds:uri="0eb656aa-4e79-4e95-9076-bc119a23e0cc"/>
    <ds:schemaRef ds:uri="http://purl.org/dc/dcmitype/"/>
    <ds:schemaRef ds:uri="http://schemas.microsoft.com/office/2006/metadata/properties"/>
    <ds:schemaRef ds:uri="http://purl.org/dc/term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5C605EFA-5D92-47A0-B194-1BA2158CA0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229</Pages>
  <Words>75888</Words>
  <Characters>432562</Characters>
  <Application>Microsoft Office Word</Application>
  <DocSecurity>0</DocSecurity>
  <Lines>3604</Lines>
  <Paragraphs>1014</Paragraphs>
  <ScaleCrop>false</ScaleCrop>
  <Company>NICE</Company>
  <LinksUpToDate>false</LinksUpToDate>
  <CharactersWithSpaces>507436</CharactersWithSpaces>
  <SharedDoc>false</SharedDoc>
  <HLinks>
    <vt:vector size="408" baseType="variant">
      <vt:variant>
        <vt:i4>4587644</vt:i4>
      </vt:variant>
      <vt:variant>
        <vt:i4>180</vt:i4>
      </vt:variant>
      <vt:variant>
        <vt:i4>0</vt:i4>
      </vt:variant>
      <vt:variant>
        <vt:i4>5</vt:i4>
      </vt:variant>
      <vt:variant>
        <vt:lpwstr>mailto:elaine.cartwright@nice.org.uk</vt:lpwstr>
      </vt:variant>
      <vt:variant>
        <vt:lpwstr/>
      </vt:variant>
      <vt:variant>
        <vt:i4>2228303</vt:i4>
      </vt:variant>
      <vt:variant>
        <vt:i4>177</vt:i4>
      </vt:variant>
      <vt:variant>
        <vt:i4>0</vt:i4>
      </vt:variant>
      <vt:variant>
        <vt:i4>5</vt:i4>
      </vt:variant>
      <vt:variant>
        <vt:lpwstr>mailto:implementationreferral@nice.org.uk</vt:lpwstr>
      </vt:variant>
      <vt:variant>
        <vt:lpwstr/>
      </vt:variant>
      <vt:variant>
        <vt:i4>5832760</vt:i4>
      </vt:variant>
      <vt:variant>
        <vt:i4>174</vt:i4>
      </vt:variant>
      <vt:variant>
        <vt:i4>0</vt:i4>
      </vt:variant>
      <vt:variant>
        <vt:i4>5</vt:i4>
      </vt:variant>
      <vt:variant>
        <vt:lpwstr>mailto:surveillance@nice.org.uk</vt:lpwstr>
      </vt:variant>
      <vt:variant>
        <vt:lpwstr/>
      </vt:variant>
      <vt:variant>
        <vt:i4>2097266</vt:i4>
      </vt:variant>
      <vt:variant>
        <vt:i4>171</vt:i4>
      </vt:variant>
      <vt:variant>
        <vt:i4>0</vt:i4>
      </vt:variant>
      <vt:variant>
        <vt:i4>5</vt:i4>
      </vt:variant>
      <vt:variant>
        <vt:lpwstr>http://www.coresta.org/</vt:lpwstr>
      </vt:variant>
      <vt:variant>
        <vt:lpwstr/>
      </vt:variant>
      <vt:variant>
        <vt:i4>5963852</vt:i4>
      </vt:variant>
      <vt:variant>
        <vt:i4>168</vt:i4>
      </vt:variant>
      <vt:variant>
        <vt:i4>0</vt:i4>
      </vt:variant>
      <vt:variant>
        <vt:i4>5</vt:i4>
      </vt:variant>
      <vt:variant>
        <vt:lpwstr>https://www.nice.org.uk/about/what-we-do/bringing-our-guidance-together-by-topic</vt:lpwstr>
      </vt:variant>
      <vt:variant>
        <vt:lpwstr/>
      </vt:variant>
      <vt:variant>
        <vt:i4>851986</vt:i4>
      </vt:variant>
      <vt:variant>
        <vt:i4>162</vt:i4>
      </vt:variant>
      <vt:variant>
        <vt:i4>0</vt:i4>
      </vt:variant>
      <vt:variant>
        <vt:i4>5</vt:i4>
      </vt:variant>
      <vt:variant>
        <vt:lpwstr>https://www.nice.org.uk/about/what-we-do/prioritising-our-guidance-topics</vt:lpwstr>
      </vt:variant>
      <vt:variant>
        <vt:lpwstr/>
      </vt:variant>
      <vt:variant>
        <vt:i4>7929913</vt:i4>
      </vt:variant>
      <vt:variant>
        <vt:i4>159</vt:i4>
      </vt:variant>
      <vt:variant>
        <vt:i4>0</vt:i4>
      </vt:variant>
      <vt:variant>
        <vt:i4>5</vt:i4>
      </vt:variant>
      <vt:variant>
        <vt:lpwstr>https://www.nice.org.uk/guidance/ng106/resources/2023-exceptional-surveillance-of-chronic-heart-failure-in-adults-diagnosis-and-management-nice-guideline-ng106-11438419501/chapter/Surveillance-decision?tab=evidence</vt:lpwstr>
      </vt:variant>
      <vt:variant>
        <vt:lpwstr/>
      </vt:variant>
      <vt:variant>
        <vt:i4>851986</vt:i4>
      </vt:variant>
      <vt:variant>
        <vt:i4>156</vt:i4>
      </vt:variant>
      <vt:variant>
        <vt:i4>0</vt:i4>
      </vt:variant>
      <vt:variant>
        <vt:i4>5</vt:i4>
      </vt:variant>
      <vt:variant>
        <vt:lpwstr>https://www.nice.org.uk/about/what-we-do/prioritising-our-guidance-topics</vt:lpwstr>
      </vt:variant>
      <vt:variant>
        <vt:lpwstr/>
      </vt:variant>
      <vt:variant>
        <vt:i4>7929913</vt:i4>
      </vt:variant>
      <vt:variant>
        <vt:i4>153</vt:i4>
      </vt:variant>
      <vt:variant>
        <vt:i4>0</vt:i4>
      </vt:variant>
      <vt:variant>
        <vt:i4>5</vt:i4>
      </vt:variant>
      <vt:variant>
        <vt:lpwstr>https://www.nice.org.uk/guidance/ng106/resources/2023-exceptional-surveillance-of-chronic-heart-failure-in-adults-diagnosis-and-management-nice-guideline-ng106-11438419501/chapter/Surveillance-decision?tab=evidence</vt:lpwstr>
      </vt:variant>
      <vt:variant>
        <vt:lpwstr/>
      </vt:variant>
      <vt:variant>
        <vt:i4>851986</vt:i4>
      </vt:variant>
      <vt:variant>
        <vt:i4>150</vt:i4>
      </vt:variant>
      <vt:variant>
        <vt:i4>0</vt:i4>
      </vt:variant>
      <vt:variant>
        <vt:i4>5</vt:i4>
      </vt:variant>
      <vt:variant>
        <vt:lpwstr>https://www.nice.org.uk/about/what-we-do/prioritising-our-guidance-topics</vt:lpwstr>
      </vt:variant>
      <vt:variant>
        <vt:lpwstr/>
      </vt:variant>
      <vt:variant>
        <vt:i4>7929913</vt:i4>
      </vt:variant>
      <vt:variant>
        <vt:i4>147</vt:i4>
      </vt:variant>
      <vt:variant>
        <vt:i4>0</vt:i4>
      </vt:variant>
      <vt:variant>
        <vt:i4>5</vt:i4>
      </vt:variant>
      <vt:variant>
        <vt:lpwstr>https://www.nice.org.uk/guidance/ng106/resources/2023-exceptional-surveillance-of-chronic-heart-failure-in-adults-diagnosis-and-management-nice-guideline-ng106-11438419501/chapter/Surveillance-decision?tab=evidence</vt:lpwstr>
      </vt:variant>
      <vt:variant>
        <vt:lpwstr/>
      </vt:variant>
      <vt:variant>
        <vt:i4>851986</vt:i4>
      </vt:variant>
      <vt:variant>
        <vt:i4>144</vt:i4>
      </vt:variant>
      <vt:variant>
        <vt:i4>0</vt:i4>
      </vt:variant>
      <vt:variant>
        <vt:i4>5</vt:i4>
      </vt:variant>
      <vt:variant>
        <vt:lpwstr>https://www.nice.org.uk/about/what-we-do/prioritising-our-guidance-topics</vt:lpwstr>
      </vt:variant>
      <vt:variant>
        <vt:lpwstr/>
      </vt:variant>
      <vt:variant>
        <vt:i4>7929913</vt:i4>
      </vt:variant>
      <vt:variant>
        <vt:i4>141</vt:i4>
      </vt:variant>
      <vt:variant>
        <vt:i4>0</vt:i4>
      </vt:variant>
      <vt:variant>
        <vt:i4>5</vt:i4>
      </vt:variant>
      <vt:variant>
        <vt:lpwstr>https://www.nice.org.uk/guidance/ng106/resources/2023-exceptional-surveillance-of-chronic-heart-failure-in-adults-diagnosis-and-management-nice-guideline-ng106-11438419501/chapter/Surveillance-decision?tab=evidence</vt:lpwstr>
      </vt:variant>
      <vt:variant>
        <vt:lpwstr/>
      </vt:variant>
      <vt:variant>
        <vt:i4>3866729</vt:i4>
      </vt:variant>
      <vt:variant>
        <vt:i4>138</vt:i4>
      </vt:variant>
      <vt:variant>
        <vt:i4>0</vt:i4>
      </vt:variant>
      <vt:variant>
        <vt:i4>5</vt:i4>
      </vt:variant>
      <vt:variant>
        <vt:lpwstr>https://www.nice.org.uk/guidance/gid-ng10405/documents/final-scope</vt:lpwstr>
      </vt:variant>
      <vt:variant>
        <vt:lpwstr/>
      </vt:variant>
      <vt:variant>
        <vt:i4>3866729</vt:i4>
      </vt:variant>
      <vt:variant>
        <vt:i4>135</vt:i4>
      </vt:variant>
      <vt:variant>
        <vt:i4>0</vt:i4>
      </vt:variant>
      <vt:variant>
        <vt:i4>5</vt:i4>
      </vt:variant>
      <vt:variant>
        <vt:lpwstr>https://www.nice.org.uk/guidance/gid-ng10405/documents/final-scope</vt:lpwstr>
      </vt:variant>
      <vt:variant>
        <vt:lpwstr/>
      </vt:variant>
      <vt:variant>
        <vt:i4>851986</vt:i4>
      </vt:variant>
      <vt:variant>
        <vt:i4>132</vt:i4>
      </vt:variant>
      <vt:variant>
        <vt:i4>0</vt:i4>
      </vt:variant>
      <vt:variant>
        <vt:i4>5</vt:i4>
      </vt:variant>
      <vt:variant>
        <vt:lpwstr>https://www.nice.org.uk/about/what-we-do/prioritising-our-guidance-topics</vt:lpwstr>
      </vt:variant>
      <vt:variant>
        <vt:lpwstr/>
      </vt:variant>
      <vt:variant>
        <vt:i4>3080307</vt:i4>
      </vt:variant>
      <vt:variant>
        <vt:i4>129</vt:i4>
      </vt:variant>
      <vt:variant>
        <vt:i4>0</vt:i4>
      </vt:variant>
      <vt:variant>
        <vt:i4>5</vt:i4>
      </vt:variant>
      <vt:variant>
        <vt:lpwstr>https://www.nice.org.uk/process/pmg20/chapter/the-scope</vt:lpwstr>
      </vt:variant>
      <vt:variant>
        <vt:lpwstr/>
      </vt:variant>
      <vt:variant>
        <vt:i4>851986</vt:i4>
      </vt:variant>
      <vt:variant>
        <vt:i4>126</vt:i4>
      </vt:variant>
      <vt:variant>
        <vt:i4>0</vt:i4>
      </vt:variant>
      <vt:variant>
        <vt:i4>5</vt:i4>
      </vt:variant>
      <vt:variant>
        <vt:lpwstr>https://www.nice.org.uk/about/what-we-do/prioritising-our-guidance-topics</vt:lpwstr>
      </vt:variant>
      <vt:variant>
        <vt:lpwstr/>
      </vt:variant>
      <vt:variant>
        <vt:i4>7929913</vt:i4>
      </vt:variant>
      <vt:variant>
        <vt:i4>123</vt:i4>
      </vt:variant>
      <vt:variant>
        <vt:i4>0</vt:i4>
      </vt:variant>
      <vt:variant>
        <vt:i4>5</vt:i4>
      </vt:variant>
      <vt:variant>
        <vt:lpwstr>https://www.nice.org.uk/guidance/ng106/resources/2023-exceptional-surveillance-of-chronic-heart-failure-in-adults-diagnosis-and-management-nice-guideline-ng106-11438419501/chapter/Surveillance-decision?tab=evidence</vt:lpwstr>
      </vt:variant>
      <vt:variant>
        <vt:lpwstr/>
      </vt:variant>
      <vt:variant>
        <vt:i4>3866729</vt:i4>
      </vt:variant>
      <vt:variant>
        <vt:i4>120</vt:i4>
      </vt:variant>
      <vt:variant>
        <vt:i4>0</vt:i4>
      </vt:variant>
      <vt:variant>
        <vt:i4>5</vt:i4>
      </vt:variant>
      <vt:variant>
        <vt:lpwstr>https://www.nice.org.uk/guidance/gid-ng10405/documents/final-scope</vt:lpwstr>
      </vt:variant>
      <vt:variant>
        <vt:lpwstr/>
      </vt:variant>
      <vt:variant>
        <vt:i4>3080307</vt:i4>
      </vt:variant>
      <vt:variant>
        <vt:i4>117</vt:i4>
      </vt:variant>
      <vt:variant>
        <vt:i4>0</vt:i4>
      </vt:variant>
      <vt:variant>
        <vt:i4>5</vt:i4>
      </vt:variant>
      <vt:variant>
        <vt:lpwstr>https://www.nice.org.uk/process/pmg20/chapter/the-scope</vt:lpwstr>
      </vt:variant>
      <vt:variant>
        <vt:lpwstr/>
      </vt:variant>
      <vt:variant>
        <vt:i4>851986</vt:i4>
      </vt:variant>
      <vt:variant>
        <vt:i4>114</vt:i4>
      </vt:variant>
      <vt:variant>
        <vt:i4>0</vt:i4>
      </vt:variant>
      <vt:variant>
        <vt:i4>5</vt:i4>
      </vt:variant>
      <vt:variant>
        <vt:lpwstr>https://www.nice.org.uk/about/what-we-do/prioritising-our-guidance-topics</vt:lpwstr>
      </vt:variant>
      <vt:variant>
        <vt:lpwstr/>
      </vt:variant>
      <vt:variant>
        <vt:i4>7929913</vt:i4>
      </vt:variant>
      <vt:variant>
        <vt:i4>111</vt:i4>
      </vt:variant>
      <vt:variant>
        <vt:i4>0</vt:i4>
      </vt:variant>
      <vt:variant>
        <vt:i4>5</vt:i4>
      </vt:variant>
      <vt:variant>
        <vt:lpwstr>https://www.nice.org.uk/guidance/ng106/resources/2023-exceptional-surveillance-of-chronic-heart-failure-in-adults-diagnosis-and-management-nice-guideline-ng106-11438419501/chapter/Surveillance-decision?tab=evidence</vt:lpwstr>
      </vt:variant>
      <vt:variant>
        <vt:lpwstr/>
      </vt:variant>
      <vt:variant>
        <vt:i4>3866729</vt:i4>
      </vt:variant>
      <vt:variant>
        <vt:i4>108</vt:i4>
      </vt:variant>
      <vt:variant>
        <vt:i4>0</vt:i4>
      </vt:variant>
      <vt:variant>
        <vt:i4>5</vt:i4>
      </vt:variant>
      <vt:variant>
        <vt:lpwstr>https://www.nice.org.uk/guidance/gid-ng10405/documents/final-scope</vt:lpwstr>
      </vt:variant>
      <vt:variant>
        <vt:lpwstr/>
      </vt:variant>
      <vt:variant>
        <vt:i4>3866729</vt:i4>
      </vt:variant>
      <vt:variant>
        <vt:i4>105</vt:i4>
      </vt:variant>
      <vt:variant>
        <vt:i4>0</vt:i4>
      </vt:variant>
      <vt:variant>
        <vt:i4>5</vt:i4>
      </vt:variant>
      <vt:variant>
        <vt:lpwstr>https://www.nice.org.uk/guidance/gid-ng10405/documents/final-scope</vt:lpwstr>
      </vt:variant>
      <vt:variant>
        <vt:lpwstr/>
      </vt:variant>
      <vt:variant>
        <vt:i4>589831</vt:i4>
      </vt:variant>
      <vt:variant>
        <vt:i4>102</vt:i4>
      </vt:variant>
      <vt:variant>
        <vt:i4>0</vt:i4>
      </vt:variant>
      <vt:variant>
        <vt:i4>5</vt:i4>
      </vt:variant>
      <vt:variant>
        <vt:lpwstr>https://pubmed.ncbi.nlm.nih.gov/33605000/</vt:lpwstr>
      </vt:variant>
      <vt:variant>
        <vt:lpwstr/>
      </vt:variant>
      <vt:variant>
        <vt:i4>3866729</vt:i4>
      </vt:variant>
      <vt:variant>
        <vt:i4>99</vt:i4>
      </vt:variant>
      <vt:variant>
        <vt:i4>0</vt:i4>
      </vt:variant>
      <vt:variant>
        <vt:i4>5</vt:i4>
      </vt:variant>
      <vt:variant>
        <vt:lpwstr>https://www.nice.org.uk/guidance/gid-ng10405/documents/final-scope</vt:lpwstr>
      </vt:variant>
      <vt:variant>
        <vt:lpwstr/>
      </vt:variant>
      <vt:variant>
        <vt:i4>3866729</vt:i4>
      </vt:variant>
      <vt:variant>
        <vt:i4>96</vt:i4>
      </vt:variant>
      <vt:variant>
        <vt:i4>0</vt:i4>
      </vt:variant>
      <vt:variant>
        <vt:i4>5</vt:i4>
      </vt:variant>
      <vt:variant>
        <vt:lpwstr>https://www.nice.org.uk/guidance/gid-ng10405/documents/final-scope</vt:lpwstr>
      </vt:variant>
      <vt:variant>
        <vt:lpwstr/>
      </vt:variant>
      <vt:variant>
        <vt:i4>2293882</vt:i4>
      </vt:variant>
      <vt:variant>
        <vt:i4>93</vt:i4>
      </vt:variant>
      <vt:variant>
        <vt:i4>0</vt:i4>
      </vt:variant>
      <vt:variant>
        <vt:i4>5</vt:i4>
      </vt:variant>
      <vt:variant>
        <vt:lpwstr>https://www.nice.org.uk/guidance/indevelopment/gid-ng10336</vt:lpwstr>
      </vt:variant>
      <vt:variant>
        <vt:lpwstr/>
      </vt:variant>
      <vt:variant>
        <vt:i4>3866729</vt:i4>
      </vt:variant>
      <vt:variant>
        <vt:i4>90</vt:i4>
      </vt:variant>
      <vt:variant>
        <vt:i4>0</vt:i4>
      </vt:variant>
      <vt:variant>
        <vt:i4>5</vt:i4>
      </vt:variant>
      <vt:variant>
        <vt:lpwstr>https://www.nice.org.uk/guidance/gid-ng10405/documents/final-scope</vt:lpwstr>
      </vt:variant>
      <vt:variant>
        <vt:lpwstr/>
      </vt:variant>
      <vt:variant>
        <vt:i4>3866729</vt:i4>
      </vt:variant>
      <vt:variant>
        <vt:i4>87</vt:i4>
      </vt:variant>
      <vt:variant>
        <vt:i4>0</vt:i4>
      </vt:variant>
      <vt:variant>
        <vt:i4>5</vt:i4>
      </vt:variant>
      <vt:variant>
        <vt:lpwstr>https://www.nice.org.uk/guidance/gid-ng10405/documents/final-scope</vt:lpwstr>
      </vt:variant>
      <vt:variant>
        <vt:lpwstr/>
      </vt:variant>
      <vt:variant>
        <vt:i4>3866729</vt:i4>
      </vt:variant>
      <vt:variant>
        <vt:i4>84</vt:i4>
      </vt:variant>
      <vt:variant>
        <vt:i4>0</vt:i4>
      </vt:variant>
      <vt:variant>
        <vt:i4>5</vt:i4>
      </vt:variant>
      <vt:variant>
        <vt:lpwstr>https://www.nice.org.uk/guidance/gid-ng10405/documents/final-scope</vt:lpwstr>
      </vt:variant>
      <vt:variant>
        <vt:lpwstr/>
      </vt:variant>
      <vt:variant>
        <vt:i4>5963852</vt:i4>
      </vt:variant>
      <vt:variant>
        <vt:i4>81</vt:i4>
      </vt:variant>
      <vt:variant>
        <vt:i4>0</vt:i4>
      </vt:variant>
      <vt:variant>
        <vt:i4>5</vt:i4>
      </vt:variant>
      <vt:variant>
        <vt:lpwstr>https://www.nice.org.uk/about/what-we-do/bringing-our-guidance-together-by-topic</vt:lpwstr>
      </vt:variant>
      <vt:variant>
        <vt:lpwstr/>
      </vt:variant>
      <vt:variant>
        <vt:i4>1507406</vt:i4>
      </vt:variant>
      <vt:variant>
        <vt:i4>78</vt:i4>
      </vt:variant>
      <vt:variant>
        <vt:i4>0</vt:i4>
      </vt:variant>
      <vt:variant>
        <vt:i4>5</vt:i4>
      </vt:variant>
      <vt:variant>
        <vt:lpwstr>https://www.nice.org.uk/guidance/ng106/evidence/full-guideline-pdf-6538850029</vt:lpwstr>
      </vt:variant>
      <vt:variant>
        <vt:lpwstr/>
      </vt:variant>
      <vt:variant>
        <vt:i4>1507406</vt:i4>
      </vt:variant>
      <vt:variant>
        <vt:i4>75</vt:i4>
      </vt:variant>
      <vt:variant>
        <vt:i4>0</vt:i4>
      </vt:variant>
      <vt:variant>
        <vt:i4>5</vt:i4>
      </vt:variant>
      <vt:variant>
        <vt:lpwstr>https://www.nice.org.uk/guidance/ng106/evidence/full-guideline-pdf-6538850029</vt:lpwstr>
      </vt:variant>
      <vt:variant>
        <vt:lpwstr/>
      </vt:variant>
      <vt:variant>
        <vt:i4>1507406</vt:i4>
      </vt:variant>
      <vt:variant>
        <vt:i4>72</vt:i4>
      </vt:variant>
      <vt:variant>
        <vt:i4>0</vt:i4>
      </vt:variant>
      <vt:variant>
        <vt:i4>5</vt:i4>
      </vt:variant>
      <vt:variant>
        <vt:lpwstr>https://www.nice.org.uk/guidance/ng106/evidence/full-guideline-pdf-6538850029</vt:lpwstr>
      </vt:variant>
      <vt:variant>
        <vt:lpwstr/>
      </vt:variant>
      <vt:variant>
        <vt:i4>1507406</vt:i4>
      </vt:variant>
      <vt:variant>
        <vt:i4>69</vt:i4>
      </vt:variant>
      <vt:variant>
        <vt:i4>0</vt:i4>
      </vt:variant>
      <vt:variant>
        <vt:i4>5</vt:i4>
      </vt:variant>
      <vt:variant>
        <vt:lpwstr>https://www.nice.org.uk/guidance/ng106/evidence/full-guideline-pdf-6538850029</vt:lpwstr>
      </vt:variant>
      <vt:variant>
        <vt:lpwstr/>
      </vt:variant>
      <vt:variant>
        <vt:i4>1507406</vt:i4>
      </vt:variant>
      <vt:variant>
        <vt:i4>66</vt:i4>
      </vt:variant>
      <vt:variant>
        <vt:i4>0</vt:i4>
      </vt:variant>
      <vt:variant>
        <vt:i4>5</vt:i4>
      </vt:variant>
      <vt:variant>
        <vt:lpwstr>https://www.nice.org.uk/guidance/ng106/evidence/full-guideline-pdf-6538850029</vt:lpwstr>
      </vt:variant>
      <vt:variant>
        <vt:lpwstr/>
      </vt:variant>
      <vt:variant>
        <vt:i4>1507406</vt:i4>
      </vt:variant>
      <vt:variant>
        <vt:i4>63</vt:i4>
      </vt:variant>
      <vt:variant>
        <vt:i4>0</vt:i4>
      </vt:variant>
      <vt:variant>
        <vt:i4>5</vt:i4>
      </vt:variant>
      <vt:variant>
        <vt:lpwstr>https://www.nice.org.uk/guidance/ng106/evidence/full-guideline-pdf-6538850029</vt:lpwstr>
      </vt:variant>
      <vt:variant>
        <vt:lpwstr/>
      </vt:variant>
      <vt:variant>
        <vt:i4>1507406</vt:i4>
      </vt:variant>
      <vt:variant>
        <vt:i4>60</vt:i4>
      </vt:variant>
      <vt:variant>
        <vt:i4>0</vt:i4>
      </vt:variant>
      <vt:variant>
        <vt:i4>5</vt:i4>
      </vt:variant>
      <vt:variant>
        <vt:lpwstr>https://www.nice.org.uk/guidance/ng106/evidence/full-guideline-pdf-6538850029</vt:lpwstr>
      </vt:variant>
      <vt:variant>
        <vt:lpwstr/>
      </vt:variant>
      <vt:variant>
        <vt:i4>1507406</vt:i4>
      </vt:variant>
      <vt:variant>
        <vt:i4>57</vt:i4>
      </vt:variant>
      <vt:variant>
        <vt:i4>0</vt:i4>
      </vt:variant>
      <vt:variant>
        <vt:i4>5</vt:i4>
      </vt:variant>
      <vt:variant>
        <vt:lpwstr>https://www.nice.org.uk/guidance/ng106/evidence/full-guideline-pdf-6538850029</vt:lpwstr>
      </vt:variant>
      <vt:variant>
        <vt:lpwstr/>
      </vt:variant>
      <vt:variant>
        <vt:i4>1507406</vt:i4>
      </vt:variant>
      <vt:variant>
        <vt:i4>54</vt:i4>
      </vt:variant>
      <vt:variant>
        <vt:i4>0</vt:i4>
      </vt:variant>
      <vt:variant>
        <vt:i4>5</vt:i4>
      </vt:variant>
      <vt:variant>
        <vt:lpwstr>https://www.nice.org.uk/guidance/ng106/evidence/full-guideline-pdf-6538850029</vt:lpwstr>
      </vt:variant>
      <vt:variant>
        <vt:lpwstr/>
      </vt:variant>
      <vt:variant>
        <vt:i4>1507406</vt:i4>
      </vt:variant>
      <vt:variant>
        <vt:i4>51</vt:i4>
      </vt:variant>
      <vt:variant>
        <vt:i4>0</vt:i4>
      </vt:variant>
      <vt:variant>
        <vt:i4>5</vt:i4>
      </vt:variant>
      <vt:variant>
        <vt:lpwstr>https://www.nice.org.uk/guidance/ng106/evidence/full-guideline-pdf-6538850029</vt:lpwstr>
      </vt:variant>
      <vt:variant>
        <vt:lpwstr/>
      </vt:variant>
      <vt:variant>
        <vt:i4>1507406</vt:i4>
      </vt:variant>
      <vt:variant>
        <vt:i4>48</vt:i4>
      </vt:variant>
      <vt:variant>
        <vt:i4>0</vt:i4>
      </vt:variant>
      <vt:variant>
        <vt:i4>5</vt:i4>
      </vt:variant>
      <vt:variant>
        <vt:lpwstr>https://www.nice.org.uk/guidance/ng106/evidence/full-guideline-pdf-6538850029</vt:lpwstr>
      </vt:variant>
      <vt:variant>
        <vt:lpwstr/>
      </vt:variant>
      <vt:variant>
        <vt:i4>1507406</vt:i4>
      </vt:variant>
      <vt:variant>
        <vt:i4>45</vt:i4>
      </vt:variant>
      <vt:variant>
        <vt:i4>0</vt:i4>
      </vt:variant>
      <vt:variant>
        <vt:i4>5</vt:i4>
      </vt:variant>
      <vt:variant>
        <vt:lpwstr>https://www.nice.org.uk/guidance/ng106/evidence/full-guideline-pdf-6538850029</vt:lpwstr>
      </vt:variant>
      <vt:variant>
        <vt:lpwstr/>
      </vt:variant>
      <vt:variant>
        <vt:i4>3866729</vt:i4>
      </vt:variant>
      <vt:variant>
        <vt:i4>42</vt:i4>
      </vt:variant>
      <vt:variant>
        <vt:i4>0</vt:i4>
      </vt:variant>
      <vt:variant>
        <vt:i4>5</vt:i4>
      </vt:variant>
      <vt:variant>
        <vt:lpwstr>https://www.nice.org.uk/guidance/gid-ng10405/documents/final-scope</vt:lpwstr>
      </vt:variant>
      <vt:variant>
        <vt:lpwstr/>
      </vt:variant>
      <vt:variant>
        <vt:i4>3866729</vt:i4>
      </vt:variant>
      <vt:variant>
        <vt:i4>39</vt:i4>
      </vt:variant>
      <vt:variant>
        <vt:i4>0</vt:i4>
      </vt:variant>
      <vt:variant>
        <vt:i4>5</vt:i4>
      </vt:variant>
      <vt:variant>
        <vt:lpwstr>https://www.nice.org.uk/guidance/gid-ng10405/documents/final-scope</vt:lpwstr>
      </vt:variant>
      <vt:variant>
        <vt:lpwstr/>
      </vt:variant>
      <vt:variant>
        <vt:i4>3866747</vt:i4>
      </vt:variant>
      <vt:variant>
        <vt:i4>36</vt:i4>
      </vt:variant>
      <vt:variant>
        <vt:i4>0</vt:i4>
      </vt:variant>
      <vt:variant>
        <vt:i4>5</vt:i4>
      </vt:variant>
      <vt:variant>
        <vt:lpwstr>https://www.nice.org.uk/guidance/indevelopment/gid-ta11651</vt:lpwstr>
      </vt:variant>
      <vt:variant>
        <vt:lpwstr/>
      </vt:variant>
      <vt:variant>
        <vt:i4>3866729</vt:i4>
      </vt:variant>
      <vt:variant>
        <vt:i4>33</vt:i4>
      </vt:variant>
      <vt:variant>
        <vt:i4>0</vt:i4>
      </vt:variant>
      <vt:variant>
        <vt:i4>5</vt:i4>
      </vt:variant>
      <vt:variant>
        <vt:lpwstr>https://www.nice.org.uk/guidance/gid-ng10405/documents/final-scope</vt:lpwstr>
      </vt:variant>
      <vt:variant>
        <vt:lpwstr/>
      </vt:variant>
      <vt:variant>
        <vt:i4>3866729</vt:i4>
      </vt:variant>
      <vt:variant>
        <vt:i4>30</vt:i4>
      </vt:variant>
      <vt:variant>
        <vt:i4>0</vt:i4>
      </vt:variant>
      <vt:variant>
        <vt:i4>5</vt:i4>
      </vt:variant>
      <vt:variant>
        <vt:lpwstr>https://www.nice.org.uk/guidance/gid-ng10405/documents/final-scope</vt:lpwstr>
      </vt:variant>
      <vt:variant>
        <vt:lpwstr/>
      </vt:variant>
      <vt:variant>
        <vt:i4>3866729</vt:i4>
      </vt:variant>
      <vt:variant>
        <vt:i4>27</vt:i4>
      </vt:variant>
      <vt:variant>
        <vt:i4>0</vt:i4>
      </vt:variant>
      <vt:variant>
        <vt:i4>5</vt:i4>
      </vt:variant>
      <vt:variant>
        <vt:lpwstr>https://www.nice.org.uk/guidance/gid-ng10405/documents/final-scope</vt:lpwstr>
      </vt:variant>
      <vt:variant>
        <vt:lpwstr/>
      </vt:variant>
      <vt:variant>
        <vt:i4>3866729</vt:i4>
      </vt:variant>
      <vt:variant>
        <vt:i4>24</vt:i4>
      </vt:variant>
      <vt:variant>
        <vt:i4>0</vt:i4>
      </vt:variant>
      <vt:variant>
        <vt:i4>5</vt:i4>
      </vt:variant>
      <vt:variant>
        <vt:lpwstr>https://www.nice.org.uk/guidance/gid-ng10405/documents/final-scope</vt:lpwstr>
      </vt:variant>
      <vt:variant>
        <vt:lpwstr/>
      </vt:variant>
      <vt:variant>
        <vt:i4>3866729</vt:i4>
      </vt:variant>
      <vt:variant>
        <vt:i4>21</vt:i4>
      </vt:variant>
      <vt:variant>
        <vt:i4>0</vt:i4>
      </vt:variant>
      <vt:variant>
        <vt:i4>5</vt:i4>
      </vt:variant>
      <vt:variant>
        <vt:lpwstr>https://www.nice.org.uk/guidance/gid-ng10405/documents/final-scope</vt:lpwstr>
      </vt:variant>
      <vt:variant>
        <vt:lpwstr/>
      </vt:variant>
      <vt:variant>
        <vt:i4>3866729</vt:i4>
      </vt:variant>
      <vt:variant>
        <vt:i4>18</vt:i4>
      </vt:variant>
      <vt:variant>
        <vt:i4>0</vt:i4>
      </vt:variant>
      <vt:variant>
        <vt:i4>5</vt:i4>
      </vt:variant>
      <vt:variant>
        <vt:lpwstr>https://www.nice.org.uk/guidance/gid-ng10405/documents/final-scope</vt:lpwstr>
      </vt:variant>
      <vt:variant>
        <vt:lpwstr/>
      </vt:variant>
      <vt:variant>
        <vt:i4>1507406</vt:i4>
      </vt:variant>
      <vt:variant>
        <vt:i4>15</vt:i4>
      </vt:variant>
      <vt:variant>
        <vt:i4>0</vt:i4>
      </vt:variant>
      <vt:variant>
        <vt:i4>5</vt:i4>
      </vt:variant>
      <vt:variant>
        <vt:lpwstr>https://www.nice.org.uk/guidance/ng106/evidence/full-guideline-pdf-6538850029</vt:lpwstr>
      </vt:variant>
      <vt:variant>
        <vt:lpwstr/>
      </vt:variant>
      <vt:variant>
        <vt:i4>3866729</vt:i4>
      </vt:variant>
      <vt:variant>
        <vt:i4>12</vt:i4>
      </vt:variant>
      <vt:variant>
        <vt:i4>0</vt:i4>
      </vt:variant>
      <vt:variant>
        <vt:i4>5</vt:i4>
      </vt:variant>
      <vt:variant>
        <vt:lpwstr>https://www.nice.org.uk/guidance/gid-ng10405/documents/final-scope</vt:lpwstr>
      </vt:variant>
      <vt:variant>
        <vt:lpwstr/>
      </vt:variant>
      <vt:variant>
        <vt:i4>1441914</vt:i4>
      </vt:variant>
      <vt:variant>
        <vt:i4>9</vt:i4>
      </vt:variant>
      <vt:variant>
        <vt:i4>0</vt:i4>
      </vt:variant>
      <vt:variant>
        <vt:i4>5</vt:i4>
      </vt:variant>
      <vt:variant>
        <vt:lpwstr>https://www.entrestohcp.com/sites/entrestohcp_com/files/documents/entresto-acc-ecdp-digital-flashcard-1.pdf</vt:lpwstr>
      </vt:variant>
      <vt:variant>
        <vt:lpwstr/>
      </vt:variant>
      <vt:variant>
        <vt:i4>5963852</vt:i4>
      </vt:variant>
      <vt:variant>
        <vt:i4>6</vt:i4>
      </vt:variant>
      <vt:variant>
        <vt:i4>0</vt:i4>
      </vt:variant>
      <vt:variant>
        <vt:i4>5</vt:i4>
      </vt:variant>
      <vt:variant>
        <vt:lpwstr>https://www.nice.org.uk/about/what-we-do/bringing-our-guidance-together-by-topic</vt:lpwstr>
      </vt:variant>
      <vt:variant>
        <vt:lpwstr/>
      </vt:variant>
      <vt:variant>
        <vt:i4>5963852</vt:i4>
      </vt:variant>
      <vt:variant>
        <vt:i4>3</vt:i4>
      </vt:variant>
      <vt:variant>
        <vt:i4>0</vt:i4>
      </vt:variant>
      <vt:variant>
        <vt:i4>5</vt:i4>
      </vt:variant>
      <vt:variant>
        <vt:lpwstr>https://www.nice.org.uk/about/what-we-do/bringing-our-guidance-together-by-topic</vt:lpwstr>
      </vt:variant>
      <vt:variant>
        <vt:lpwstr/>
      </vt:variant>
      <vt:variant>
        <vt:i4>5963852</vt:i4>
      </vt:variant>
      <vt:variant>
        <vt:i4>0</vt:i4>
      </vt:variant>
      <vt:variant>
        <vt:i4>0</vt:i4>
      </vt:variant>
      <vt:variant>
        <vt:i4>5</vt:i4>
      </vt:variant>
      <vt:variant>
        <vt:lpwstr>https://www.nice.org.uk/about/what-we-do/bringing-our-guidance-together-by-topic</vt:lpwstr>
      </vt:variant>
      <vt:variant>
        <vt:lpwstr/>
      </vt:variant>
      <vt:variant>
        <vt:i4>7209039</vt:i4>
      </vt:variant>
      <vt:variant>
        <vt:i4>21</vt:i4>
      </vt:variant>
      <vt:variant>
        <vt:i4>0</vt:i4>
      </vt:variant>
      <vt:variant>
        <vt:i4>5</vt:i4>
      </vt:variant>
      <vt:variant>
        <vt:lpwstr>mailto:Lisa.Miles@nice.org.uk</vt:lpwstr>
      </vt:variant>
      <vt:variant>
        <vt:lpwstr/>
      </vt:variant>
      <vt:variant>
        <vt:i4>4980840</vt:i4>
      </vt:variant>
      <vt:variant>
        <vt:i4>18</vt:i4>
      </vt:variant>
      <vt:variant>
        <vt:i4>0</vt:i4>
      </vt:variant>
      <vt:variant>
        <vt:i4>5</vt:i4>
      </vt:variant>
      <vt:variant>
        <vt:lpwstr>mailto:Daniel.Davies@nice.org.uk</vt:lpwstr>
      </vt:variant>
      <vt:variant>
        <vt:lpwstr/>
      </vt:variant>
      <vt:variant>
        <vt:i4>7209039</vt:i4>
      </vt:variant>
      <vt:variant>
        <vt:i4>15</vt:i4>
      </vt:variant>
      <vt:variant>
        <vt:i4>0</vt:i4>
      </vt:variant>
      <vt:variant>
        <vt:i4>5</vt:i4>
      </vt:variant>
      <vt:variant>
        <vt:lpwstr>mailto:Lisa.Miles@nice.org.uk</vt:lpwstr>
      </vt:variant>
      <vt:variant>
        <vt:lpwstr/>
      </vt:variant>
      <vt:variant>
        <vt:i4>589880</vt:i4>
      </vt:variant>
      <vt:variant>
        <vt:i4>12</vt:i4>
      </vt:variant>
      <vt:variant>
        <vt:i4>0</vt:i4>
      </vt:variant>
      <vt:variant>
        <vt:i4>5</vt:i4>
      </vt:variant>
      <vt:variant>
        <vt:lpwstr>mailto:Qudsia.Malik@nice.org.uk</vt:lpwstr>
      </vt:variant>
      <vt:variant>
        <vt:lpwstr/>
      </vt:variant>
      <vt:variant>
        <vt:i4>7209039</vt:i4>
      </vt:variant>
      <vt:variant>
        <vt:i4>9</vt:i4>
      </vt:variant>
      <vt:variant>
        <vt:i4>0</vt:i4>
      </vt:variant>
      <vt:variant>
        <vt:i4>5</vt:i4>
      </vt:variant>
      <vt:variant>
        <vt:lpwstr>mailto:Lisa.Miles@nice.org.uk</vt:lpwstr>
      </vt:variant>
      <vt:variant>
        <vt:lpwstr/>
      </vt:variant>
      <vt:variant>
        <vt:i4>1966141</vt:i4>
      </vt:variant>
      <vt:variant>
        <vt:i4>6</vt:i4>
      </vt:variant>
      <vt:variant>
        <vt:i4>0</vt:i4>
      </vt:variant>
      <vt:variant>
        <vt:i4>5</vt:i4>
      </vt:variant>
      <vt:variant>
        <vt:lpwstr>mailto:Sharon.Swain@nice.org.uk</vt:lpwstr>
      </vt:variant>
      <vt:variant>
        <vt:lpwstr/>
      </vt:variant>
      <vt:variant>
        <vt:i4>1966141</vt:i4>
      </vt:variant>
      <vt:variant>
        <vt:i4>3</vt:i4>
      </vt:variant>
      <vt:variant>
        <vt:i4>0</vt:i4>
      </vt:variant>
      <vt:variant>
        <vt:i4>5</vt:i4>
      </vt:variant>
      <vt:variant>
        <vt:lpwstr>mailto:Sharon.Swain@nice.org.uk</vt:lpwstr>
      </vt:variant>
      <vt:variant>
        <vt:lpwstr/>
      </vt:variant>
      <vt:variant>
        <vt:i4>1966141</vt:i4>
      </vt:variant>
      <vt:variant>
        <vt:i4>0</vt:i4>
      </vt:variant>
      <vt:variant>
        <vt:i4>0</vt:i4>
      </vt:variant>
      <vt:variant>
        <vt:i4>5</vt:i4>
      </vt:variant>
      <vt:variant>
        <vt:lpwstr>mailto:Sharon.Swain@nice.org.uk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 comments table</dc:title>
  <dc:subject/>
  <dc:creator>Katie Stafford</dc:creator>
  <cp:keywords/>
  <cp:lastModifiedBy>Daniel Davies</cp:lastModifiedBy>
  <cp:revision>14</cp:revision>
  <cp:lastPrinted>2009-04-12T16:32:00Z</cp:lastPrinted>
  <dcterms:created xsi:type="dcterms:W3CDTF">2025-08-26T10:08:00Z</dcterms:created>
  <dcterms:modified xsi:type="dcterms:W3CDTF">2025-09-01T09:09:00Z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2023-04-14T14:40:42Z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f11b2449-d384-45c4-8a67-ca98617c8168</vt:lpwstr>
  </property>
  <property fmtid="{D5CDD505-2E9C-101B-9397-08002B2CF9AE}" pid="8" name="MSIP_Label_c69d85d5-6d9e-4305-a294-1f636ec0f2d6_ContentBits">
    <vt:lpwstr>0</vt:lpwstr>
  </property>
  <property fmtid="{D5CDD505-2E9C-101B-9397-08002B2CF9AE}" pid="9" name="ContentTypeId">
    <vt:lpwstr>0x010100C4815326261C954C93CC46970EE5C9B2</vt:lpwstr>
  </property>
  <property fmtid="{D5CDD505-2E9C-101B-9397-08002B2CF9AE}" pid="10" name="Order">
    <vt:r8>100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GrammarlyDocumentId">
    <vt:lpwstr>2c60f4e3-976f-4ee2-9aa3-016e281162d9</vt:lpwstr>
  </property>
</Properties>
</file>