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A01C3" w14:textId="6F6DF581" w:rsidR="008E079B" w:rsidRPr="008E079B" w:rsidRDefault="008E079B" w:rsidP="008E079B">
      <w:pPr>
        <w:keepNext/>
        <w:spacing w:before="240" w:after="120" w:line="360" w:lineRule="auto"/>
        <w:outlineLvl w:val="0"/>
        <w:rPr>
          <w:rFonts w:cs="Arial"/>
          <w:b/>
          <w:bCs/>
          <w:kern w:val="32"/>
          <w:sz w:val="32"/>
          <w:szCs w:val="32"/>
        </w:rPr>
      </w:pPr>
      <w:bookmarkStart w:id="0" w:name="_Toc48807344"/>
      <w:bookmarkStart w:id="1" w:name="_Hlk45809807"/>
      <w:r w:rsidRPr="008E079B">
        <w:rPr>
          <w:rFonts w:cs="Arial"/>
          <w:b/>
          <w:bCs/>
          <w:kern w:val="32"/>
          <w:sz w:val="32"/>
          <w:szCs w:val="32"/>
        </w:rPr>
        <w:t>Systemic anti-cancer therapy for advanced non-small-cell lung cancer: accessible summary</w:t>
      </w:r>
    </w:p>
    <w:p w14:paraId="6ABEBC61" w14:textId="6EB2B155" w:rsidR="00F03215" w:rsidRPr="00811CAF" w:rsidRDefault="00F03215" w:rsidP="00953A84">
      <w:pPr>
        <w:pStyle w:val="Heading2"/>
      </w:pPr>
      <w:r>
        <w:t>Squamous non-small cell lung cancer, BRAF V600 positive, PD</w:t>
      </w:r>
      <w:r>
        <w:noBreakHyphen/>
        <w:t>L1 below 50%</w:t>
      </w:r>
      <w:r w:rsidRPr="00811CAF">
        <w:t xml:space="preserve"> </w:t>
      </w:r>
    </w:p>
    <w:p w14:paraId="324DB419" w14:textId="77777777" w:rsidR="00F03215" w:rsidRDefault="00F03215" w:rsidP="00DC6ECC">
      <w:pPr>
        <w:pStyle w:val="NICEnormal"/>
      </w:pPr>
      <w:r>
        <w:t xml:space="preserve">Initial recommended treatment options are: </w:t>
      </w:r>
    </w:p>
    <w:p w14:paraId="6A02FB45" w14:textId="77777777" w:rsidR="00F03215" w:rsidRDefault="00F03215" w:rsidP="00DC6ECC">
      <w:pPr>
        <w:pStyle w:val="Bulletleft1"/>
      </w:pPr>
      <w:r>
        <w:t>platinum doublet chemotherapy or</w:t>
      </w:r>
    </w:p>
    <w:p w14:paraId="0F6E7E41" w14:textId="77777777" w:rsidR="00F03215" w:rsidRDefault="00F03215" w:rsidP="00DA7F95">
      <w:pPr>
        <w:pStyle w:val="Bulletleft1"/>
      </w:pPr>
      <w:r>
        <w:t xml:space="preserve">the </w:t>
      </w:r>
      <w:hyperlink r:id="rId8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>
        <w:t xml:space="preserve"> or</w:t>
      </w:r>
    </w:p>
    <w:p w14:paraId="1CEE4494" w14:textId="77777777" w:rsidR="00F03215" w:rsidRDefault="00F03215" w:rsidP="00DC6ECC">
      <w:pPr>
        <w:pStyle w:val="Bulletleft1last"/>
      </w:pPr>
      <w:r>
        <w:t xml:space="preserve">the </w:t>
      </w:r>
      <w:hyperlink r:id="rId9" w:history="1">
        <w:r w:rsidRPr="004A1006">
          <w:rPr>
            <w:rStyle w:val="Hyperlink"/>
          </w:rPr>
          <w:t>NICE technology appraisal guidance on dabrafenib and trametinib</w:t>
        </w:r>
      </w:hyperlink>
      <w:r w:rsidRPr="004A1006">
        <w:t>.</w:t>
      </w:r>
    </w:p>
    <w:p w14:paraId="7BC9A7BF" w14:textId="77777777" w:rsidR="00F03215" w:rsidRDefault="00F03215" w:rsidP="00DC6ECC">
      <w:pPr>
        <w:pStyle w:val="NICEnormal"/>
      </w:pPr>
      <w:r>
        <w:t>For people who have disease progression after initial treatment with platinum doublet chemotherapy, recommended treatment options are:</w:t>
      </w:r>
    </w:p>
    <w:p w14:paraId="02353D42" w14:textId="77777777" w:rsidR="00F03215" w:rsidRDefault="00F03215" w:rsidP="00FD158B">
      <w:pPr>
        <w:pStyle w:val="Bulletleft1"/>
      </w:pPr>
      <w:r>
        <w:t xml:space="preserve">the </w:t>
      </w:r>
      <w:hyperlink r:id="rId10" w:history="1">
        <w:r w:rsidRPr="00F70411">
          <w:rPr>
            <w:rStyle w:val="Hyperlink"/>
          </w:rPr>
          <w:t>NICE technology appraisal guidance on pembrolizumab</w:t>
        </w:r>
      </w:hyperlink>
      <w:r>
        <w:t xml:space="preserve"> (if PD-L1 above 1%) or</w:t>
      </w:r>
    </w:p>
    <w:p w14:paraId="4F7BAB9F" w14:textId="77777777" w:rsidR="00F03215" w:rsidRDefault="00F03215" w:rsidP="00FD158B">
      <w:pPr>
        <w:pStyle w:val="Bulletleft1"/>
      </w:pPr>
      <w:r>
        <w:t xml:space="preserve">the </w:t>
      </w:r>
      <w:hyperlink r:id="rId11" w:history="1">
        <w:r w:rsidRPr="00FD158B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5673D7C4" w14:textId="77777777" w:rsidR="00F03215" w:rsidRDefault="00F03215" w:rsidP="00FD158B">
      <w:pPr>
        <w:pStyle w:val="Bulletleft1"/>
      </w:pPr>
      <w:r>
        <w:t xml:space="preserve">the </w:t>
      </w:r>
      <w:hyperlink r:id="rId12" w:history="1">
        <w:r w:rsidRPr="00FD158B">
          <w:rPr>
            <w:rStyle w:val="Hyperlink"/>
          </w:rPr>
          <w:t>NICE technology appraisal guidance on nivolumab</w:t>
        </w:r>
      </w:hyperlink>
      <w:r>
        <w:t xml:space="preserve"> (any PD-L1 0% to 100%) or</w:t>
      </w:r>
    </w:p>
    <w:p w14:paraId="3529655A" w14:textId="77777777" w:rsidR="00F03215" w:rsidRDefault="00F03215" w:rsidP="00FD158B">
      <w:pPr>
        <w:pStyle w:val="Bulletleft1last"/>
      </w:pPr>
      <w:r>
        <w:t>docetaxel.</w:t>
      </w:r>
    </w:p>
    <w:p w14:paraId="1021FDCC" w14:textId="77777777" w:rsidR="00F03215" w:rsidRDefault="00F03215" w:rsidP="00DC6ECC">
      <w:pPr>
        <w:pStyle w:val="NICEnormal"/>
      </w:pPr>
      <w:r>
        <w:t xml:space="preserve">For people who have had initial treatment with platinum doublet chemotherapy and who have disease progression after treatment in line with the </w:t>
      </w:r>
      <w:hyperlink r:id="rId13" w:history="1">
        <w:r w:rsidRPr="00FD158B">
          <w:rPr>
            <w:rStyle w:val="Hyperlink"/>
          </w:rPr>
          <w:t xml:space="preserve">NICE technology appraisal guidance on </w:t>
        </w:r>
        <w:r>
          <w:rPr>
            <w:rStyle w:val="Hyperlink"/>
          </w:rPr>
          <w:t>pembrolizumab</w:t>
        </w:r>
      </w:hyperlink>
      <w:r>
        <w:t xml:space="preserve">, </w:t>
      </w:r>
      <w:hyperlink r:id="rId14" w:history="1">
        <w:r w:rsidRPr="00DA7F95">
          <w:rPr>
            <w:rStyle w:val="Hyperlink"/>
          </w:rPr>
          <w:t>atezolizumab</w:t>
        </w:r>
      </w:hyperlink>
      <w:r>
        <w:t xml:space="preserve"> or </w:t>
      </w:r>
      <w:hyperlink r:id="rId15" w:history="1">
        <w:r w:rsidRPr="00DA7F95">
          <w:rPr>
            <w:rStyle w:val="Hyperlink"/>
          </w:rPr>
          <w:t>nivolumab</w:t>
        </w:r>
      </w:hyperlink>
      <w:r>
        <w:t>, the only recommended treatment option is docetaxel.</w:t>
      </w:r>
    </w:p>
    <w:p w14:paraId="03123542" w14:textId="77777777" w:rsidR="00F03215" w:rsidRDefault="00F03215" w:rsidP="00DC6ECC">
      <w:pPr>
        <w:pStyle w:val="NICEnormal"/>
      </w:pPr>
      <w:r>
        <w:t>For people who have had initial treatment with platinum doublet chemotherapy and who have disease progression after treatment with docetaxel, recommended treatment options are:</w:t>
      </w:r>
    </w:p>
    <w:p w14:paraId="6C91D6A7" w14:textId="77777777" w:rsidR="00F03215" w:rsidRDefault="00F03215" w:rsidP="008A2C13">
      <w:pPr>
        <w:pStyle w:val="Bulletleft1"/>
      </w:pPr>
      <w:r>
        <w:t xml:space="preserve">the </w:t>
      </w:r>
      <w:hyperlink r:id="rId16" w:history="1">
        <w:r w:rsidRPr="00F70411">
          <w:rPr>
            <w:rStyle w:val="Hyperlink"/>
          </w:rPr>
          <w:t>NICE technology appraisal guidance on pembrolizumab</w:t>
        </w:r>
      </w:hyperlink>
      <w:r>
        <w:t xml:space="preserve"> (if PD-L1 above 1%) or</w:t>
      </w:r>
    </w:p>
    <w:p w14:paraId="31E4AEEB" w14:textId="77777777" w:rsidR="00F03215" w:rsidRDefault="00F03215" w:rsidP="008A2C13">
      <w:pPr>
        <w:pStyle w:val="Bulletleft1"/>
      </w:pPr>
      <w:r>
        <w:lastRenderedPageBreak/>
        <w:t xml:space="preserve">the </w:t>
      </w:r>
      <w:hyperlink r:id="rId17" w:history="1">
        <w:r w:rsidRPr="00FD158B">
          <w:rPr>
            <w:rStyle w:val="Hyperlink"/>
          </w:rPr>
          <w:t>NICE technology appraisal guidance on atezolizumab</w:t>
        </w:r>
      </w:hyperlink>
      <w:r w:rsidRPr="00FD158B">
        <w:t xml:space="preserve"> (any PD-L1 0</w:t>
      </w:r>
      <w:r>
        <w:t>%</w:t>
      </w:r>
      <w:r w:rsidRPr="00FD158B">
        <w:t xml:space="preserve"> to 100%)</w:t>
      </w:r>
      <w:r>
        <w:t xml:space="preserve"> or</w:t>
      </w:r>
    </w:p>
    <w:p w14:paraId="2D174DA8" w14:textId="77777777" w:rsidR="00F03215" w:rsidRDefault="00F03215" w:rsidP="008A2C13">
      <w:pPr>
        <w:pStyle w:val="Bulletleft1last"/>
      </w:pPr>
      <w:r>
        <w:t xml:space="preserve">the </w:t>
      </w:r>
      <w:hyperlink r:id="rId18" w:history="1">
        <w:r w:rsidRPr="00FD158B">
          <w:rPr>
            <w:rStyle w:val="Hyperlink"/>
          </w:rPr>
          <w:t>NICE technology appraisal guidance on nivolumab</w:t>
        </w:r>
      </w:hyperlink>
      <w:r w:rsidRPr="00FD158B">
        <w:t xml:space="preserve"> (any PD-L1 0</w:t>
      </w:r>
      <w:r>
        <w:t>%</w:t>
      </w:r>
      <w:r w:rsidRPr="00FD158B">
        <w:t xml:space="preserve"> to 100%)</w:t>
      </w:r>
      <w:r>
        <w:t>.</w:t>
      </w:r>
    </w:p>
    <w:p w14:paraId="720AE92A" w14:textId="77777777" w:rsidR="00F03215" w:rsidRDefault="00F03215" w:rsidP="00DC6ECC">
      <w:pPr>
        <w:pStyle w:val="NICEnormal"/>
      </w:pPr>
      <w:r>
        <w:t xml:space="preserve">For people who have disease progression after initial treatment in line with the </w:t>
      </w:r>
      <w:hyperlink r:id="rId19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5A0AE3">
        <w:t xml:space="preserve">, </w:t>
      </w:r>
      <w:r>
        <w:t>the only recommended treatment option is docetaxel.</w:t>
      </w:r>
    </w:p>
    <w:p w14:paraId="279FE6DF" w14:textId="77777777" w:rsidR="00F03215" w:rsidRDefault="00F03215" w:rsidP="00DC6ECC">
      <w:pPr>
        <w:pStyle w:val="NICEnormal"/>
      </w:pPr>
      <w:r>
        <w:t xml:space="preserve">For people who have disease progression after initial treatment in line with the </w:t>
      </w:r>
      <w:hyperlink r:id="rId20" w:history="1">
        <w:r w:rsidRPr="008A2C13">
          <w:rPr>
            <w:rStyle w:val="Hyperlink"/>
          </w:rPr>
          <w:t>NICE technology appraisal guidance on dabrafenib and trametinib</w:t>
        </w:r>
      </w:hyperlink>
      <w:r w:rsidRPr="005A0AE3">
        <w:t xml:space="preserve">, </w:t>
      </w:r>
      <w:r>
        <w:t>the only recommended treatment option is platinum doublet chemotherapy (NHS England policy).</w:t>
      </w:r>
    </w:p>
    <w:p w14:paraId="3C68C12B" w14:textId="77777777" w:rsidR="00F03215" w:rsidRDefault="00F03215" w:rsidP="00DC6ECC">
      <w:pPr>
        <w:pStyle w:val="NICEnormal"/>
      </w:pPr>
      <w:r>
        <w:t xml:space="preserve">For people who have had initial treatment in line with the </w:t>
      </w:r>
      <w:hyperlink r:id="rId21" w:history="1">
        <w:r w:rsidRPr="008A2C13">
          <w:rPr>
            <w:rStyle w:val="Hyperlink"/>
          </w:rPr>
          <w:t>NICE technology appraisal guidance on dabrafenib and trametinib</w:t>
        </w:r>
      </w:hyperlink>
      <w:r>
        <w:t xml:space="preserve"> and who have disease progression after treatment with platinum doublet chemotherapy, recommended treatment options are:</w:t>
      </w:r>
    </w:p>
    <w:p w14:paraId="19C76564" w14:textId="77777777" w:rsidR="00F03215" w:rsidRDefault="00F03215" w:rsidP="0083785F">
      <w:pPr>
        <w:pStyle w:val="Bulletleft1"/>
      </w:pPr>
      <w:r>
        <w:t>docetaxel (NHS England policy) or</w:t>
      </w:r>
    </w:p>
    <w:p w14:paraId="11896DD8" w14:textId="77777777" w:rsidR="00F03215" w:rsidRDefault="00F03215" w:rsidP="0083785F">
      <w:pPr>
        <w:pStyle w:val="Bulletleft1"/>
      </w:pPr>
      <w:r>
        <w:t xml:space="preserve">the </w:t>
      </w:r>
      <w:hyperlink r:id="rId22" w:history="1">
        <w:r w:rsidRPr="00F70411">
          <w:rPr>
            <w:rStyle w:val="Hyperlink"/>
          </w:rPr>
          <w:t>NICE technology appraisal guidance on pembrolizumab</w:t>
        </w:r>
      </w:hyperlink>
      <w:r>
        <w:t xml:space="preserve"> (if PD-L1 above 1%) or</w:t>
      </w:r>
    </w:p>
    <w:p w14:paraId="6047BA01" w14:textId="77777777" w:rsidR="00F03215" w:rsidRDefault="00F03215" w:rsidP="0083785F">
      <w:pPr>
        <w:pStyle w:val="Bulletleft1"/>
      </w:pPr>
      <w:r>
        <w:t xml:space="preserve">the </w:t>
      </w:r>
      <w:hyperlink r:id="rId23" w:history="1">
        <w:r w:rsidRPr="00FD158B">
          <w:rPr>
            <w:rStyle w:val="Hyperlink"/>
          </w:rPr>
          <w:t>NICE technology appraisal guidance on atezolizumab</w:t>
        </w:r>
      </w:hyperlink>
      <w:r w:rsidRPr="00FD158B">
        <w:t xml:space="preserve"> (any PD-L1 0</w:t>
      </w:r>
      <w:r>
        <w:t>%</w:t>
      </w:r>
      <w:r w:rsidRPr="00FD158B">
        <w:t xml:space="preserve"> to 100%)</w:t>
      </w:r>
      <w:r>
        <w:t xml:space="preserve"> or</w:t>
      </w:r>
    </w:p>
    <w:p w14:paraId="3AB79D98" w14:textId="77777777" w:rsidR="00F03215" w:rsidRDefault="00F03215" w:rsidP="0083785F">
      <w:pPr>
        <w:pStyle w:val="Bulletleft1last"/>
      </w:pPr>
      <w:r>
        <w:t xml:space="preserve">the </w:t>
      </w:r>
      <w:hyperlink r:id="rId24" w:history="1">
        <w:r w:rsidRPr="00FD158B">
          <w:rPr>
            <w:rStyle w:val="Hyperlink"/>
          </w:rPr>
          <w:t>NICE technology appraisal guidance on nivolumab</w:t>
        </w:r>
      </w:hyperlink>
      <w:r w:rsidRPr="00FD158B">
        <w:t xml:space="preserve"> (any PD-L1 0</w:t>
      </w:r>
      <w:r>
        <w:t>%</w:t>
      </w:r>
      <w:r w:rsidRPr="00FD158B">
        <w:t xml:space="preserve"> to 100%)</w:t>
      </w:r>
      <w:r>
        <w:t>.</w:t>
      </w:r>
    </w:p>
    <w:p w14:paraId="312592E8" w14:textId="77777777" w:rsidR="00F03215" w:rsidRDefault="00F03215" w:rsidP="00DC6ECC">
      <w:pPr>
        <w:pStyle w:val="NICEnormal"/>
      </w:pPr>
      <w:r>
        <w:t>For people who have had treatment with platinum doublet chemotherapy and who have disease progression after follow-up treatment with docetaxel, recommended treatment options are:</w:t>
      </w:r>
    </w:p>
    <w:p w14:paraId="09819B16" w14:textId="77777777" w:rsidR="00F03215" w:rsidRDefault="00F03215" w:rsidP="0083785F">
      <w:pPr>
        <w:pStyle w:val="Bulletleft1"/>
      </w:pPr>
      <w:r>
        <w:t xml:space="preserve">the </w:t>
      </w:r>
      <w:hyperlink r:id="rId25" w:history="1">
        <w:r w:rsidRPr="00F70411">
          <w:rPr>
            <w:rStyle w:val="Hyperlink"/>
          </w:rPr>
          <w:t>NICE technology appraisal guidance on pembrolizumab</w:t>
        </w:r>
      </w:hyperlink>
      <w:r>
        <w:t xml:space="preserve"> (if PD-L1 above 1%) or</w:t>
      </w:r>
    </w:p>
    <w:p w14:paraId="4C275570" w14:textId="77777777" w:rsidR="00F03215" w:rsidRDefault="00F03215" w:rsidP="0083785F">
      <w:pPr>
        <w:pStyle w:val="Bulletleft1"/>
      </w:pPr>
      <w:r>
        <w:t xml:space="preserve">the </w:t>
      </w:r>
      <w:hyperlink r:id="rId26" w:history="1">
        <w:r w:rsidRPr="00FD158B">
          <w:rPr>
            <w:rStyle w:val="Hyperlink"/>
          </w:rPr>
          <w:t>NICE technology appraisal guidance on atezolizumab</w:t>
        </w:r>
      </w:hyperlink>
      <w:r w:rsidRPr="00FD158B">
        <w:t xml:space="preserve"> (any PD-L1 0</w:t>
      </w:r>
      <w:r>
        <w:t>%</w:t>
      </w:r>
      <w:r w:rsidRPr="00FD158B">
        <w:t xml:space="preserve"> to 100%)</w:t>
      </w:r>
      <w:r>
        <w:t xml:space="preserve"> or</w:t>
      </w:r>
    </w:p>
    <w:p w14:paraId="1C05773E" w14:textId="77777777" w:rsidR="00F03215" w:rsidRDefault="00F03215" w:rsidP="0083785F">
      <w:pPr>
        <w:pStyle w:val="Bulletleft1last"/>
      </w:pPr>
      <w:r>
        <w:t xml:space="preserve">the </w:t>
      </w:r>
      <w:hyperlink r:id="rId27" w:history="1">
        <w:r w:rsidRPr="00FD158B">
          <w:rPr>
            <w:rStyle w:val="Hyperlink"/>
          </w:rPr>
          <w:t>NICE technology appraisal guidance on nivolumab</w:t>
        </w:r>
      </w:hyperlink>
      <w:r w:rsidRPr="00FD158B">
        <w:t xml:space="preserve"> (any PD-L1 0</w:t>
      </w:r>
      <w:r>
        <w:t>%</w:t>
      </w:r>
      <w:r w:rsidRPr="00FD158B">
        <w:t xml:space="preserve"> to 100%)</w:t>
      </w:r>
      <w:r>
        <w:t>.</w:t>
      </w:r>
    </w:p>
    <w:p w14:paraId="18BC38ED" w14:textId="0A0A71DE" w:rsidR="00F03215" w:rsidRDefault="00F03215" w:rsidP="00DC6ECC">
      <w:pPr>
        <w:pStyle w:val="NICEnormal"/>
      </w:pPr>
      <w:r>
        <w:t xml:space="preserve">For people who have had treatment with platinum doublet chemotherapy and who have disease progression after follow-up treatment in line with the </w:t>
      </w:r>
      <w:hyperlink r:id="rId28" w:history="1">
        <w:r w:rsidRPr="00FD158B">
          <w:rPr>
            <w:rStyle w:val="Hyperlink"/>
          </w:rPr>
          <w:t xml:space="preserve">NICE technology </w:t>
        </w:r>
        <w:r w:rsidRPr="00FD158B">
          <w:rPr>
            <w:rStyle w:val="Hyperlink"/>
          </w:rPr>
          <w:lastRenderedPageBreak/>
          <w:t xml:space="preserve">appraisal guidance on </w:t>
        </w:r>
        <w:r>
          <w:rPr>
            <w:rStyle w:val="Hyperlink"/>
          </w:rPr>
          <w:t>pembrolizumab</w:t>
        </w:r>
      </w:hyperlink>
      <w:r>
        <w:t xml:space="preserve">, </w:t>
      </w:r>
      <w:hyperlink r:id="rId29" w:history="1">
        <w:r w:rsidRPr="00DA7F95">
          <w:rPr>
            <w:rStyle w:val="Hyperlink"/>
          </w:rPr>
          <w:t>atezolizumab</w:t>
        </w:r>
      </w:hyperlink>
      <w:r>
        <w:t xml:space="preserve"> or </w:t>
      </w:r>
      <w:hyperlink r:id="rId30" w:history="1">
        <w:r w:rsidRPr="00DA7F95">
          <w:rPr>
            <w:rStyle w:val="Hyperlink"/>
          </w:rPr>
          <w:t>nivolumab</w:t>
        </w:r>
      </w:hyperlink>
      <w:r>
        <w:t>, the only recommended treatment option is docetaxel.</w:t>
      </w:r>
    </w:p>
    <w:bookmarkEnd w:id="0"/>
    <w:bookmarkEnd w:id="1"/>
    <w:sectPr w:rsidR="00F03215" w:rsidSect="00134096">
      <w:footerReference w:type="default" r:id="rId31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E26A" w14:textId="77777777" w:rsidR="001B4C92" w:rsidRDefault="001B4C92">
      <w:r>
        <w:separator/>
      </w:r>
    </w:p>
  </w:endnote>
  <w:endnote w:type="continuationSeparator" w:id="0">
    <w:p w14:paraId="172502FA" w14:textId="77777777" w:rsidR="001B4C92" w:rsidRDefault="001B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4E1A" w14:textId="77777777" w:rsidR="001B4C92" w:rsidRDefault="001B4C92">
      <w:r>
        <w:separator/>
      </w:r>
    </w:p>
  </w:footnote>
  <w:footnote w:type="continuationSeparator" w:id="0">
    <w:p w14:paraId="66F26A6E" w14:textId="77777777" w:rsidR="001B4C92" w:rsidRDefault="001B4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7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1"/>
  </w:num>
  <w:num w:numId="2" w16cid:durableId="1316959065">
    <w:abstractNumId w:val="10"/>
  </w:num>
  <w:num w:numId="3" w16cid:durableId="54016429">
    <w:abstractNumId w:val="5"/>
  </w:num>
  <w:num w:numId="4" w16cid:durableId="96415787">
    <w:abstractNumId w:val="6"/>
  </w:num>
  <w:num w:numId="5" w16cid:durableId="925191537">
    <w:abstractNumId w:val="2"/>
  </w:num>
  <w:num w:numId="6" w16cid:durableId="1243838341">
    <w:abstractNumId w:val="3"/>
  </w:num>
  <w:num w:numId="7" w16cid:durableId="808330347">
    <w:abstractNumId w:val="0"/>
  </w:num>
  <w:num w:numId="8" w16cid:durableId="1835562153">
    <w:abstractNumId w:val="4"/>
  </w:num>
  <w:num w:numId="9" w16cid:durableId="1015154410">
    <w:abstractNumId w:val="8"/>
  </w:num>
  <w:num w:numId="10" w16cid:durableId="84301399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184F"/>
    <w:rsid w:val="000024D1"/>
    <w:rsid w:val="000044F4"/>
    <w:rsid w:val="00007E50"/>
    <w:rsid w:val="0001060D"/>
    <w:rsid w:val="00010F3A"/>
    <w:rsid w:val="000119FB"/>
    <w:rsid w:val="0001554C"/>
    <w:rsid w:val="00016366"/>
    <w:rsid w:val="000171F4"/>
    <w:rsid w:val="00017294"/>
    <w:rsid w:val="000175E1"/>
    <w:rsid w:val="0002102C"/>
    <w:rsid w:val="000225A1"/>
    <w:rsid w:val="0002327E"/>
    <w:rsid w:val="00027B11"/>
    <w:rsid w:val="00030426"/>
    <w:rsid w:val="000307CC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6D13"/>
    <w:rsid w:val="00047BA9"/>
    <w:rsid w:val="00050189"/>
    <w:rsid w:val="00050530"/>
    <w:rsid w:val="00054463"/>
    <w:rsid w:val="00062FEF"/>
    <w:rsid w:val="000636A4"/>
    <w:rsid w:val="00064C19"/>
    <w:rsid w:val="0006675A"/>
    <w:rsid w:val="0006693A"/>
    <w:rsid w:val="00067109"/>
    <w:rsid w:val="000726E0"/>
    <w:rsid w:val="00072A88"/>
    <w:rsid w:val="00073032"/>
    <w:rsid w:val="000736F5"/>
    <w:rsid w:val="00074A0F"/>
    <w:rsid w:val="000827A0"/>
    <w:rsid w:val="00084D64"/>
    <w:rsid w:val="00084FD5"/>
    <w:rsid w:val="000862A9"/>
    <w:rsid w:val="00090999"/>
    <w:rsid w:val="0009117D"/>
    <w:rsid w:val="000950C5"/>
    <w:rsid w:val="000959BD"/>
    <w:rsid w:val="00095F3C"/>
    <w:rsid w:val="000A0984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B6E75"/>
    <w:rsid w:val="000C095F"/>
    <w:rsid w:val="000C32AF"/>
    <w:rsid w:val="000C3984"/>
    <w:rsid w:val="000C3D32"/>
    <w:rsid w:val="000C63D4"/>
    <w:rsid w:val="000C7B39"/>
    <w:rsid w:val="000D17FF"/>
    <w:rsid w:val="000D1F2E"/>
    <w:rsid w:val="000D7702"/>
    <w:rsid w:val="000E19AA"/>
    <w:rsid w:val="000E2412"/>
    <w:rsid w:val="000E3FEA"/>
    <w:rsid w:val="000E5DBA"/>
    <w:rsid w:val="000F34E2"/>
    <w:rsid w:val="001007D3"/>
    <w:rsid w:val="00101BF5"/>
    <w:rsid w:val="00101F34"/>
    <w:rsid w:val="00106421"/>
    <w:rsid w:val="00112673"/>
    <w:rsid w:val="00112822"/>
    <w:rsid w:val="001202BD"/>
    <w:rsid w:val="0012058E"/>
    <w:rsid w:val="0012703F"/>
    <w:rsid w:val="001276B0"/>
    <w:rsid w:val="00127916"/>
    <w:rsid w:val="00131C37"/>
    <w:rsid w:val="00131C58"/>
    <w:rsid w:val="00133201"/>
    <w:rsid w:val="00133ED4"/>
    <w:rsid w:val="00134096"/>
    <w:rsid w:val="00137E6A"/>
    <w:rsid w:val="00140385"/>
    <w:rsid w:val="00141F3D"/>
    <w:rsid w:val="00143D93"/>
    <w:rsid w:val="0014426A"/>
    <w:rsid w:val="00144D68"/>
    <w:rsid w:val="00145B63"/>
    <w:rsid w:val="00152A8B"/>
    <w:rsid w:val="00153129"/>
    <w:rsid w:val="00153F34"/>
    <w:rsid w:val="00154560"/>
    <w:rsid w:val="00161AA0"/>
    <w:rsid w:val="00161D4D"/>
    <w:rsid w:val="0016277E"/>
    <w:rsid w:val="0016456A"/>
    <w:rsid w:val="00165096"/>
    <w:rsid w:val="00171472"/>
    <w:rsid w:val="00173A6A"/>
    <w:rsid w:val="00175121"/>
    <w:rsid w:val="001758C6"/>
    <w:rsid w:val="0018119E"/>
    <w:rsid w:val="001813EB"/>
    <w:rsid w:val="00181A0C"/>
    <w:rsid w:val="00183DD7"/>
    <w:rsid w:val="00184241"/>
    <w:rsid w:val="001849C9"/>
    <w:rsid w:val="00190477"/>
    <w:rsid w:val="00191210"/>
    <w:rsid w:val="00196CFD"/>
    <w:rsid w:val="001A0D59"/>
    <w:rsid w:val="001A2B98"/>
    <w:rsid w:val="001A335D"/>
    <w:rsid w:val="001A352A"/>
    <w:rsid w:val="001A4313"/>
    <w:rsid w:val="001B041B"/>
    <w:rsid w:val="001B0506"/>
    <w:rsid w:val="001B20C9"/>
    <w:rsid w:val="001B4C92"/>
    <w:rsid w:val="001B6032"/>
    <w:rsid w:val="001B7739"/>
    <w:rsid w:val="001C0D78"/>
    <w:rsid w:val="001C16B0"/>
    <w:rsid w:val="001C4B4B"/>
    <w:rsid w:val="001C612E"/>
    <w:rsid w:val="001C6C53"/>
    <w:rsid w:val="001D095F"/>
    <w:rsid w:val="001D0C1B"/>
    <w:rsid w:val="001D1B30"/>
    <w:rsid w:val="001D1C07"/>
    <w:rsid w:val="001D63A8"/>
    <w:rsid w:val="001D78E9"/>
    <w:rsid w:val="001E0877"/>
    <w:rsid w:val="001E0D27"/>
    <w:rsid w:val="001E68EE"/>
    <w:rsid w:val="001F0E94"/>
    <w:rsid w:val="001F23B8"/>
    <w:rsid w:val="001F4BA7"/>
    <w:rsid w:val="001F603F"/>
    <w:rsid w:val="001F64EC"/>
    <w:rsid w:val="001F7038"/>
    <w:rsid w:val="001F75F7"/>
    <w:rsid w:val="002015AC"/>
    <w:rsid w:val="00203EF4"/>
    <w:rsid w:val="00210B0B"/>
    <w:rsid w:val="0021429C"/>
    <w:rsid w:val="00216167"/>
    <w:rsid w:val="00217744"/>
    <w:rsid w:val="00217BF3"/>
    <w:rsid w:val="00217F97"/>
    <w:rsid w:val="00222723"/>
    <w:rsid w:val="00222D22"/>
    <w:rsid w:val="002243C0"/>
    <w:rsid w:val="002259B1"/>
    <w:rsid w:val="00232C54"/>
    <w:rsid w:val="0023490C"/>
    <w:rsid w:val="002350E2"/>
    <w:rsid w:val="00235CAB"/>
    <w:rsid w:val="00235CEC"/>
    <w:rsid w:val="00236958"/>
    <w:rsid w:val="00244139"/>
    <w:rsid w:val="00245DB6"/>
    <w:rsid w:val="00247293"/>
    <w:rsid w:val="00250344"/>
    <w:rsid w:val="002506A9"/>
    <w:rsid w:val="00251EB9"/>
    <w:rsid w:val="00253747"/>
    <w:rsid w:val="00253B4B"/>
    <w:rsid w:val="00253E92"/>
    <w:rsid w:val="002558FA"/>
    <w:rsid w:val="00256289"/>
    <w:rsid w:val="002569E3"/>
    <w:rsid w:val="002608BE"/>
    <w:rsid w:val="002616F3"/>
    <w:rsid w:val="00261AFA"/>
    <w:rsid w:val="002636B1"/>
    <w:rsid w:val="0026741B"/>
    <w:rsid w:val="00267E32"/>
    <w:rsid w:val="002702E6"/>
    <w:rsid w:val="00272336"/>
    <w:rsid w:val="00273576"/>
    <w:rsid w:val="00275F48"/>
    <w:rsid w:val="00277A90"/>
    <w:rsid w:val="00277C4D"/>
    <w:rsid w:val="00280B7E"/>
    <w:rsid w:val="00280E0A"/>
    <w:rsid w:val="00285CF7"/>
    <w:rsid w:val="002867CB"/>
    <w:rsid w:val="002874C9"/>
    <w:rsid w:val="00290132"/>
    <w:rsid w:val="00291AFA"/>
    <w:rsid w:val="0029241B"/>
    <w:rsid w:val="00292C53"/>
    <w:rsid w:val="00293393"/>
    <w:rsid w:val="002936F9"/>
    <w:rsid w:val="002A202B"/>
    <w:rsid w:val="002A229B"/>
    <w:rsid w:val="002A44B5"/>
    <w:rsid w:val="002A5628"/>
    <w:rsid w:val="002B4C25"/>
    <w:rsid w:val="002B5CF2"/>
    <w:rsid w:val="002B6D06"/>
    <w:rsid w:val="002C1A23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F2BE7"/>
    <w:rsid w:val="002F3E5C"/>
    <w:rsid w:val="002F492D"/>
    <w:rsid w:val="00300C7B"/>
    <w:rsid w:val="003045F5"/>
    <w:rsid w:val="003049E2"/>
    <w:rsid w:val="00305720"/>
    <w:rsid w:val="003120FE"/>
    <w:rsid w:val="0031251A"/>
    <w:rsid w:val="0031648B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6D7"/>
    <w:rsid w:val="00347C99"/>
    <w:rsid w:val="00350137"/>
    <w:rsid w:val="00350F50"/>
    <w:rsid w:val="00352ABC"/>
    <w:rsid w:val="00352FDF"/>
    <w:rsid w:val="0035397D"/>
    <w:rsid w:val="00353F67"/>
    <w:rsid w:val="00354AEB"/>
    <w:rsid w:val="00354C7E"/>
    <w:rsid w:val="0035532A"/>
    <w:rsid w:val="0035604D"/>
    <w:rsid w:val="00356781"/>
    <w:rsid w:val="00356C2D"/>
    <w:rsid w:val="00357BC4"/>
    <w:rsid w:val="00362226"/>
    <w:rsid w:val="00362851"/>
    <w:rsid w:val="00362AC8"/>
    <w:rsid w:val="003644E2"/>
    <w:rsid w:val="00364B13"/>
    <w:rsid w:val="00366E02"/>
    <w:rsid w:val="00371E27"/>
    <w:rsid w:val="0037223B"/>
    <w:rsid w:val="00372488"/>
    <w:rsid w:val="003731BA"/>
    <w:rsid w:val="003742AF"/>
    <w:rsid w:val="003770AD"/>
    <w:rsid w:val="00380EF3"/>
    <w:rsid w:val="00381056"/>
    <w:rsid w:val="00381430"/>
    <w:rsid w:val="00382AF4"/>
    <w:rsid w:val="00383B36"/>
    <w:rsid w:val="003920A8"/>
    <w:rsid w:val="00394403"/>
    <w:rsid w:val="00395828"/>
    <w:rsid w:val="003967F4"/>
    <w:rsid w:val="00396A4D"/>
    <w:rsid w:val="00397038"/>
    <w:rsid w:val="003A0198"/>
    <w:rsid w:val="003A3670"/>
    <w:rsid w:val="003A67E8"/>
    <w:rsid w:val="003B293F"/>
    <w:rsid w:val="003B3863"/>
    <w:rsid w:val="003B4220"/>
    <w:rsid w:val="003B44DF"/>
    <w:rsid w:val="003B4C3D"/>
    <w:rsid w:val="003B4F27"/>
    <w:rsid w:val="003B6D42"/>
    <w:rsid w:val="003C01E5"/>
    <w:rsid w:val="003C13C2"/>
    <w:rsid w:val="003C14EE"/>
    <w:rsid w:val="003C36AC"/>
    <w:rsid w:val="003C4AE7"/>
    <w:rsid w:val="003C6D76"/>
    <w:rsid w:val="003C75F0"/>
    <w:rsid w:val="003D078F"/>
    <w:rsid w:val="003D0A19"/>
    <w:rsid w:val="003D33F2"/>
    <w:rsid w:val="003D4264"/>
    <w:rsid w:val="003D5328"/>
    <w:rsid w:val="003D7593"/>
    <w:rsid w:val="003E3A50"/>
    <w:rsid w:val="003E5199"/>
    <w:rsid w:val="003E676D"/>
    <w:rsid w:val="003E6EE1"/>
    <w:rsid w:val="003E6F81"/>
    <w:rsid w:val="003E7AE3"/>
    <w:rsid w:val="003E7D0E"/>
    <w:rsid w:val="003E7E7F"/>
    <w:rsid w:val="003F05D7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49D1"/>
    <w:rsid w:val="004064DA"/>
    <w:rsid w:val="0040651D"/>
    <w:rsid w:val="00406D9D"/>
    <w:rsid w:val="0041020E"/>
    <w:rsid w:val="00411209"/>
    <w:rsid w:val="004122FA"/>
    <w:rsid w:val="00412A44"/>
    <w:rsid w:val="00412CED"/>
    <w:rsid w:val="004148BD"/>
    <w:rsid w:val="00414D67"/>
    <w:rsid w:val="004178F8"/>
    <w:rsid w:val="0042266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37B11"/>
    <w:rsid w:val="004409F6"/>
    <w:rsid w:val="004424EF"/>
    <w:rsid w:val="0044288E"/>
    <w:rsid w:val="00443F88"/>
    <w:rsid w:val="00445C98"/>
    <w:rsid w:val="00447EA1"/>
    <w:rsid w:val="0045111B"/>
    <w:rsid w:val="004519B2"/>
    <w:rsid w:val="00452610"/>
    <w:rsid w:val="00452821"/>
    <w:rsid w:val="004530A6"/>
    <w:rsid w:val="0045328D"/>
    <w:rsid w:val="004548E4"/>
    <w:rsid w:val="00454916"/>
    <w:rsid w:val="0046163E"/>
    <w:rsid w:val="00461997"/>
    <w:rsid w:val="00461EDF"/>
    <w:rsid w:val="00462E65"/>
    <w:rsid w:val="004642AE"/>
    <w:rsid w:val="0046712A"/>
    <w:rsid w:val="00471158"/>
    <w:rsid w:val="0047418A"/>
    <w:rsid w:val="00474C77"/>
    <w:rsid w:val="00475062"/>
    <w:rsid w:val="004758F3"/>
    <w:rsid w:val="00476FEC"/>
    <w:rsid w:val="00477981"/>
    <w:rsid w:val="00480AEE"/>
    <w:rsid w:val="004820E9"/>
    <w:rsid w:val="0048361F"/>
    <w:rsid w:val="0048474E"/>
    <w:rsid w:val="00484EA3"/>
    <w:rsid w:val="004871CB"/>
    <w:rsid w:val="004878DF"/>
    <w:rsid w:val="00490265"/>
    <w:rsid w:val="004920EF"/>
    <w:rsid w:val="004921BC"/>
    <w:rsid w:val="00492D43"/>
    <w:rsid w:val="004A08A8"/>
    <w:rsid w:val="004A09CE"/>
    <w:rsid w:val="004A0E75"/>
    <w:rsid w:val="004A1FCD"/>
    <w:rsid w:val="004A2DA5"/>
    <w:rsid w:val="004B1B27"/>
    <w:rsid w:val="004B3CE4"/>
    <w:rsid w:val="004B3E72"/>
    <w:rsid w:val="004B514C"/>
    <w:rsid w:val="004B61E0"/>
    <w:rsid w:val="004B651A"/>
    <w:rsid w:val="004B79CE"/>
    <w:rsid w:val="004C06C9"/>
    <w:rsid w:val="004C7A67"/>
    <w:rsid w:val="004D153E"/>
    <w:rsid w:val="004D1728"/>
    <w:rsid w:val="004D1DDF"/>
    <w:rsid w:val="004D4580"/>
    <w:rsid w:val="004D5B49"/>
    <w:rsid w:val="004E1163"/>
    <w:rsid w:val="004E5FF9"/>
    <w:rsid w:val="004E6974"/>
    <w:rsid w:val="004E79B1"/>
    <w:rsid w:val="004F13B9"/>
    <w:rsid w:val="004F243A"/>
    <w:rsid w:val="004F6E55"/>
    <w:rsid w:val="004F6F58"/>
    <w:rsid w:val="005042FE"/>
    <w:rsid w:val="00510358"/>
    <w:rsid w:val="005105AF"/>
    <w:rsid w:val="00510D93"/>
    <w:rsid w:val="0051234B"/>
    <w:rsid w:val="00512703"/>
    <w:rsid w:val="00513063"/>
    <w:rsid w:val="00515AA1"/>
    <w:rsid w:val="00516EB9"/>
    <w:rsid w:val="00517676"/>
    <w:rsid w:val="00517BCD"/>
    <w:rsid w:val="00521B60"/>
    <w:rsid w:val="005233CA"/>
    <w:rsid w:val="00524D54"/>
    <w:rsid w:val="005266A7"/>
    <w:rsid w:val="00526C07"/>
    <w:rsid w:val="00530CA9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20D3"/>
    <w:rsid w:val="00553267"/>
    <w:rsid w:val="005557E8"/>
    <w:rsid w:val="00555F65"/>
    <w:rsid w:val="00556D56"/>
    <w:rsid w:val="00564179"/>
    <w:rsid w:val="0057294A"/>
    <w:rsid w:val="00575D50"/>
    <w:rsid w:val="00576869"/>
    <w:rsid w:val="005802CC"/>
    <w:rsid w:val="00582100"/>
    <w:rsid w:val="00583653"/>
    <w:rsid w:val="005860F4"/>
    <w:rsid w:val="00590784"/>
    <w:rsid w:val="005916D8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B4880"/>
    <w:rsid w:val="005B682C"/>
    <w:rsid w:val="005C051F"/>
    <w:rsid w:val="005C0871"/>
    <w:rsid w:val="005C6AA0"/>
    <w:rsid w:val="005C762E"/>
    <w:rsid w:val="005D098C"/>
    <w:rsid w:val="005D1819"/>
    <w:rsid w:val="005D20DC"/>
    <w:rsid w:val="005D2E3D"/>
    <w:rsid w:val="005D3FDC"/>
    <w:rsid w:val="005D64D3"/>
    <w:rsid w:val="005D6F22"/>
    <w:rsid w:val="005D72B8"/>
    <w:rsid w:val="005E0793"/>
    <w:rsid w:val="005E2879"/>
    <w:rsid w:val="005E37E8"/>
    <w:rsid w:val="005E45DF"/>
    <w:rsid w:val="005E5DE2"/>
    <w:rsid w:val="005E5EEB"/>
    <w:rsid w:val="005E6254"/>
    <w:rsid w:val="005E76DC"/>
    <w:rsid w:val="005F08D5"/>
    <w:rsid w:val="005F21CB"/>
    <w:rsid w:val="005F3E95"/>
    <w:rsid w:val="005F4348"/>
    <w:rsid w:val="005F4538"/>
    <w:rsid w:val="005F4581"/>
    <w:rsid w:val="005F7E57"/>
    <w:rsid w:val="005F7F78"/>
    <w:rsid w:val="0060007E"/>
    <w:rsid w:val="00602C6D"/>
    <w:rsid w:val="00603E56"/>
    <w:rsid w:val="006046CC"/>
    <w:rsid w:val="0060573D"/>
    <w:rsid w:val="0060662A"/>
    <w:rsid w:val="006126C4"/>
    <w:rsid w:val="00614BDA"/>
    <w:rsid w:val="00616E0C"/>
    <w:rsid w:val="006171AC"/>
    <w:rsid w:val="00620A91"/>
    <w:rsid w:val="00620CB9"/>
    <w:rsid w:val="0062212B"/>
    <w:rsid w:val="00624201"/>
    <w:rsid w:val="006267D8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009"/>
    <w:rsid w:val="00650535"/>
    <w:rsid w:val="00655B30"/>
    <w:rsid w:val="006570D6"/>
    <w:rsid w:val="006603E1"/>
    <w:rsid w:val="00663C6A"/>
    <w:rsid w:val="00663D2D"/>
    <w:rsid w:val="00664225"/>
    <w:rsid w:val="00666D6A"/>
    <w:rsid w:val="0067361E"/>
    <w:rsid w:val="00674418"/>
    <w:rsid w:val="0067670B"/>
    <w:rsid w:val="00677757"/>
    <w:rsid w:val="00680490"/>
    <w:rsid w:val="00680D18"/>
    <w:rsid w:val="00680DF4"/>
    <w:rsid w:val="0068166A"/>
    <w:rsid w:val="00683798"/>
    <w:rsid w:val="0068591A"/>
    <w:rsid w:val="00693F78"/>
    <w:rsid w:val="00694402"/>
    <w:rsid w:val="006945D5"/>
    <w:rsid w:val="006975BA"/>
    <w:rsid w:val="006A140B"/>
    <w:rsid w:val="006A41E3"/>
    <w:rsid w:val="006A721F"/>
    <w:rsid w:val="006A7595"/>
    <w:rsid w:val="006B04AD"/>
    <w:rsid w:val="006B0969"/>
    <w:rsid w:val="006B1966"/>
    <w:rsid w:val="006B2ACC"/>
    <w:rsid w:val="006B36B6"/>
    <w:rsid w:val="006B423C"/>
    <w:rsid w:val="006B45E7"/>
    <w:rsid w:val="006B50F5"/>
    <w:rsid w:val="006B6673"/>
    <w:rsid w:val="006B7728"/>
    <w:rsid w:val="006B7D46"/>
    <w:rsid w:val="006B7D74"/>
    <w:rsid w:val="006C3AC2"/>
    <w:rsid w:val="006D0696"/>
    <w:rsid w:val="006D163C"/>
    <w:rsid w:val="006D292D"/>
    <w:rsid w:val="006D4B6B"/>
    <w:rsid w:val="006D4BF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2E4D"/>
    <w:rsid w:val="0070618B"/>
    <w:rsid w:val="00706503"/>
    <w:rsid w:val="0070746D"/>
    <w:rsid w:val="0071084A"/>
    <w:rsid w:val="007145CF"/>
    <w:rsid w:val="00717BB2"/>
    <w:rsid w:val="00720267"/>
    <w:rsid w:val="007221B5"/>
    <w:rsid w:val="0072240F"/>
    <w:rsid w:val="00724F82"/>
    <w:rsid w:val="00725B31"/>
    <w:rsid w:val="00726BE5"/>
    <w:rsid w:val="00730026"/>
    <w:rsid w:val="0073145E"/>
    <w:rsid w:val="0073156C"/>
    <w:rsid w:val="00732519"/>
    <w:rsid w:val="007332E7"/>
    <w:rsid w:val="007403C3"/>
    <w:rsid w:val="00740B78"/>
    <w:rsid w:val="007430BA"/>
    <w:rsid w:val="0074541A"/>
    <w:rsid w:val="007476A4"/>
    <w:rsid w:val="00750E17"/>
    <w:rsid w:val="00753F91"/>
    <w:rsid w:val="00754165"/>
    <w:rsid w:val="007542F7"/>
    <w:rsid w:val="0075486E"/>
    <w:rsid w:val="00754EC8"/>
    <w:rsid w:val="007569A4"/>
    <w:rsid w:val="007625F1"/>
    <w:rsid w:val="00762622"/>
    <w:rsid w:val="00762FD0"/>
    <w:rsid w:val="007706BF"/>
    <w:rsid w:val="00771638"/>
    <w:rsid w:val="007716CD"/>
    <w:rsid w:val="0077225C"/>
    <w:rsid w:val="00773272"/>
    <w:rsid w:val="00773799"/>
    <w:rsid w:val="007738F7"/>
    <w:rsid w:val="00774AE9"/>
    <w:rsid w:val="007778D5"/>
    <w:rsid w:val="00777BE7"/>
    <w:rsid w:val="00781FDD"/>
    <w:rsid w:val="00783F4D"/>
    <w:rsid w:val="00784FCD"/>
    <w:rsid w:val="007867B1"/>
    <w:rsid w:val="00786B85"/>
    <w:rsid w:val="00790384"/>
    <w:rsid w:val="0079126A"/>
    <w:rsid w:val="0079621B"/>
    <w:rsid w:val="0079770C"/>
    <w:rsid w:val="007A142B"/>
    <w:rsid w:val="007A15E8"/>
    <w:rsid w:val="007A174B"/>
    <w:rsid w:val="007A3B03"/>
    <w:rsid w:val="007A3BBC"/>
    <w:rsid w:val="007A3EF7"/>
    <w:rsid w:val="007A4EEE"/>
    <w:rsid w:val="007A58A2"/>
    <w:rsid w:val="007B26F0"/>
    <w:rsid w:val="007B2BED"/>
    <w:rsid w:val="007B445A"/>
    <w:rsid w:val="007B5A80"/>
    <w:rsid w:val="007B77F1"/>
    <w:rsid w:val="007C0925"/>
    <w:rsid w:val="007C19D1"/>
    <w:rsid w:val="007C2F4B"/>
    <w:rsid w:val="007C3206"/>
    <w:rsid w:val="007C4A89"/>
    <w:rsid w:val="007C50F4"/>
    <w:rsid w:val="007C554A"/>
    <w:rsid w:val="007C59D7"/>
    <w:rsid w:val="007C612E"/>
    <w:rsid w:val="007C72B8"/>
    <w:rsid w:val="007D07C0"/>
    <w:rsid w:val="007D217B"/>
    <w:rsid w:val="007D27D9"/>
    <w:rsid w:val="007D6B90"/>
    <w:rsid w:val="007D6D95"/>
    <w:rsid w:val="007D7B50"/>
    <w:rsid w:val="007E0515"/>
    <w:rsid w:val="007E314D"/>
    <w:rsid w:val="007E3D83"/>
    <w:rsid w:val="007E42ED"/>
    <w:rsid w:val="007E45B4"/>
    <w:rsid w:val="007E4BCC"/>
    <w:rsid w:val="007F519B"/>
    <w:rsid w:val="007F5325"/>
    <w:rsid w:val="007F7551"/>
    <w:rsid w:val="008000DF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25ED4"/>
    <w:rsid w:val="00831C0F"/>
    <w:rsid w:val="00832BD8"/>
    <w:rsid w:val="00837FD4"/>
    <w:rsid w:val="00844DDD"/>
    <w:rsid w:val="00844F2B"/>
    <w:rsid w:val="00845979"/>
    <w:rsid w:val="0084632D"/>
    <w:rsid w:val="00846F5F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0F9"/>
    <w:rsid w:val="00856FC1"/>
    <w:rsid w:val="008578C5"/>
    <w:rsid w:val="00857B62"/>
    <w:rsid w:val="00857F3C"/>
    <w:rsid w:val="00860716"/>
    <w:rsid w:val="008610CC"/>
    <w:rsid w:val="008613C9"/>
    <w:rsid w:val="00862B45"/>
    <w:rsid w:val="00862C0C"/>
    <w:rsid w:val="0086338B"/>
    <w:rsid w:val="00863E0F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0C0"/>
    <w:rsid w:val="00877355"/>
    <w:rsid w:val="00880F45"/>
    <w:rsid w:val="008837EC"/>
    <w:rsid w:val="008851CD"/>
    <w:rsid w:val="00886E87"/>
    <w:rsid w:val="00886FC3"/>
    <w:rsid w:val="00887851"/>
    <w:rsid w:val="00887B67"/>
    <w:rsid w:val="00890C9E"/>
    <w:rsid w:val="00891519"/>
    <w:rsid w:val="008920E4"/>
    <w:rsid w:val="008926A6"/>
    <w:rsid w:val="008939BE"/>
    <w:rsid w:val="00894341"/>
    <w:rsid w:val="00895835"/>
    <w:rsid w:val="008A134B"/>
    <w:rsid w:val="008A1639"/>
    <w:rsid w:val="008A5B8C"/>
    <w:rsid w:val="008B19C3"/>
    <w:rsid w:val="008B38A6"/>
    <w:rsid w:val="008B3A00"/>
    <w:rsid w:val="008B3EBE"/>
    <w:rsid w:val="008B437E"/>
    <w:rsid w:val="008B794E"/>
    <w:rsid w:val="008C019D"/>
    <w:rsid w:val="008C0809"/>
    <w:rsid w:val="008C1393"/>
    <w:rsid w:val="008C2097"/>
    <w:rsid w:val="008C27E9"/>
    <w:rsid w:val="008C7367"/>
    <w:rsid w:val="008D6069"/>
    <w:rsid w:val="008D6085"/>
    <w:rsid w:val="008D6771"/>
    <w:rsid w:val="008D7677"/>
    <w:rsid w:val="008E079B"/>
    <w:rsid w:val="008E0DEF"/>
    <w:rsid w:val="008E3463"/>
    <w:rsid w:val="008E368B"/>
    <w:rsid w:val="008E54DE"/>
    <w:rsid w:val="008E5BAC"/>
    <w:rsid w:val="008E6648"/>
    <w:rsid w:val="008E7585"/>
    <w:rsid w:val="008E78DB"/>
    <w:rsid w:val="008F14ED"/>
    <w:rsid w:val="008F4469"/>
    <w:rsid w:val="008F4C70"/>
    <w:rsid w:val="008F4D2B"/>
    <w:rsid w:val="008F5624"/>
    <w:rsid w:val="009000BE"/>
    <w:rsid w:val="00900688"/>
    <w:rsid w:val="0090160D"/>
    <w:rsid w:val="0090260F"/>
    <w:rsid w:val="00903E75"/>
    <w:rsid w:val="00904DC0"/>
    <w:rsid w:val="00910BD0"/>
    <w:rsid w:val="009138FB"/>
    <w:rsid w:val="00914922"/>
    <w:rsid w:val="00916D46"/>
    <w:rsid w:val="00917359"/>
    <w:rsid w:val="00917684"/>
    <w:rsid w:val="00921F26"/>
    <w:rsid w:val="00922C0E"/>
    <w:rsid w:val="00924DDF"/>
    <w:rsid w:val="00926AB3"/>
    <w:rsid w:val="00927E6E"/>
    <w:rsid w:val="009346BF"/>
    <w:rsid w:val="00936E05"/>
    <w:rsid w:val="009407F0"/>
    <w:rsid w:val="00940FFE"/>
    <w:rsid w:val="00941B0D"/>
    <w:rsid w:val="00941F29"/>
    <w:rsid w:val="0094334D"/>
    <w:rsid w:val="0094366C"/>
    <w:rsid w:val="009446C4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55"/>
    <w:rsid w:val="00962A8D"/>
    <w:rsid w:val="00963553"/>
    <w:rsid w:val="00965AB6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3C"/>
    <w:rsid w:val="00974BD3"/>
    <w:rsid w:val="00980F10"/>
    <w:rsid w:val="009817CB"/>
    <w:rsid w:val="009865C4"/>
    <w:rsid w:val="009865CF"/>
    <w:rsid w:val="00986F7F"/>
    <w:rsid w:val="00986FC8"/>
    <w:rsid w:val="009870D2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0F8D"/>
    <w:rsid w:val="009B2476"/>
    <w:rsid w:val="009B3E33"/>
    <w:rsid w:val="009B4474"/>
    <w:rsid w:val="009B621A"/>
    <w:rsid w:val="009B79AD"/>
    <w:rsid w:val="009C1B0D"/>
    <w:rsid w:val="009C28B3"/>
    <w:rsid w:val="009C2F8E"/>
    <w:rsid w:val="009C45D9"/>
    <w:rsid w:val="009C5BE3"/>
    <w:rsid w:val="009C7C7F"/>
    <w:rsid w:val="009C7FDB"/>
    <w:rsid w:val="009D0C5F"/>
    <w:rsid w:val="009D0F41"/>
    <w:rsid w:val="009D71E7"/>
    <w:rsid w:val="009E3B59"/>
    <w:rsid w:val="009E41B1"/>
    <w:rsid w:val="009E45B2"/>
    <w:rsid w:val="009E5966"/>
    <w:rsid w:val="009F06EE"/>
    <w:rsid w:val="009F0E57"/>
    <w:rsid w:val="009F1C30"/>
    <w:rsid w:val="009F2889"/>
    <w:rsid w:val="009F3BCA"/>
    <w:rsid w:val="009F5EFA"/>
    <w:rsid w:val="009F6087"/>
    <w:rsid w:val="009F6D53"/>
    <w:rsid w:val="00A022E0"/>
    <w:rsid w:val="00A03A39"/>
    <w:rsid w:val="00A04ED6"/>
    <w:rsid w:val="00A053C6"/>
    <w:rsid w:val="00A0595C"/>
    <w:rsid w:val="00A06657"/>
    <w:rsid w:val="00A069AF"/>
    <w:rsid w:val="00A07A76"/>
    <w:rsid w:val="00A10D15"/>
    <w:rsid w:val="00A11225"/>
    <w:rsid w:val="00A11818"/>
    <w:rsid w:val="00A12CDE"/>
    <w:rsid w:val="00A12E8B"/>
    <w:rsid w:val="00A154BC"/>
    <w:rsid w:val="00A17F54"/>
    <w:rsid w:val="00A21926"/>
    <w:rsid w:val="00A32553"/>
    <w:rsid w:val="00A32925"/>
    <w:rsid w:val="00A3424D"/>
    <w:rsid w:val="00A34AB3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05EB"/>
    <w:rsid w:val="00A52234"/>
    <w:rsid w:val="00A61B72"/>
    <w:rsid w:val="00A62C93"/>
    <w:rsid w:val="00A63695"/>
    <w:rsid w:val="00A650FF"/>
    <w:rsid w:val="00A7039B"/>
    <w:rsid w:val="00A716B4"/>
    <w:rsid w:val="00A7333D"/>
    <w:rsid w:val="00A73E89"/>
    <w:rsid w:val="00A74106"/>
    <w:rsid w:val="00A744E6"/>
    <w:rsid w:val="00A74930"/>
    <w:rsid w:val="00A75338"/>
    <w:rsid w:val="00A75FCD"/>
    <w:rsid w:val="00A76279"/>
    <w:rsid w:val="00A773AF"/>
    <w:rsid w:val="00A80533"/>
    <w:rsid w:val="00A826BC"/>
    <w:rsid w:val="00A82AA9"/>
    <w:rsid w:val="00A8322C"/>
    <w:rsid w:val="00A84090"/>
    <w:rsid w:val="00A844F2"/>
    <w:rsid w:val="00A860B4"/>
    <w:rsid w:val="00A86A5C"/>
    <w:rsid w:val="00A86D3D"/>
    <w:rsid w:val="00A874E8"/>
    <w:rsid w:val="00A87987"/>
    <w:rsid w:val="00A9015F"/>
    <w:rsid w:val="00A905FC"/>
    <w:rsid w:val="00A9131B"/>
    <w:rsid w:val="00A9154E"/>
    <w:rsid w:val="00A92573"/>
    <w:rsid w:val="00A94533"/>
    <w:rsid w:val="00A9535D"/>
    <w:rsid w:val="00A96862"/>
    <w:rsid w:val="00A97277"/>
    <w:rsid w:val="00A97F3B"/>
    <w:rsid w:val="00AA4286"/>
    <w:rsid w:val="00AA51CB"/>
    <w:rsid w:val="00AA755A"/>
    <w:rsid w:val="00AA77BC"/>
    <w:rsid w:val="00AB0026"/>
    <w:rsid w:val="00AB0F71"/>
    <w:rsid w:val="00AB127B"/>
    <w:rsid w:val="00AB2948"/>
    <w:rsid w:val="00AB39FA"/>
    <w:rsid w:val="00AB4E8C"/>
    <w:rsid w:val="00AB50BC"/>
    <w:rsid w:val="00AB75D0"/>
    <w:rsid w:val="00AC3081"/>
    <w:rsid w:val="00AC3EB5"/>
    <w:rsid w:val="00AC59F5"/>
    <w:rsid w:val="00AC6FF1"/>
    <w:rsid w:val="00AC7EAC"/>
    <w:rsid w:val="00AD6933"/>
    <w:rsid w:val="00AD6B7B"/>
    <w:rsid w:val="00AD7E54"/>
    <w:rsid w:val="00AE4195"/>
    <w:rsid w:val="00AE496C"/>
    <w:rsid w:val="00AE5B54"/>
    <w:rsid w:val="00AE5F48"/>
    <w:rsid w:val="00AE6AB5"/>
    <w:rsid w:val="00AF1899"/>
    <w:rsid w:val="00AF7D05"/>
    <w:rsid w:val="00B027FF"/>
    <w:rsid w:val="00B03BF6"/>
    <w:rsid w:val="00B061EF"/>
    <w:rsid w:val="00B063D0"/>
    <w:rsid w:val="00B06E4E"/>
    <w:rsid w:val="00B11710"/>
    <w:rsid w:val="00B15897"/>
    <w:rsid w:val="00B16CD6"/>
    <w:rsid w:val="00B23005"/>
    <w:rsid w:val="00B23A71"/>
    <w:rsid w:val="00B245F4"/>
    <w:rsid w:val="00B24618"/>
    <w:rsid w:val="00B27117"/>
    <w:rsid w:val="00B3012A"/>
    <w:rsid w:val="00B30811"/>
    <w:rsid w:val="00B317A1"/>
    <w:rsid w:val="00B31EF2"/>
    <w:rsid w:val="00B35037"/>
    <w:rsid w:val="00B37904"/>
    <w:rsid w:val="00B410B9"/>
    <w:rsid w:val="00B43465"/>
    <w:rsid w:val="00B451EF"/>
    <w:rsid w:val="00B4772A"/>
    <w:rsid w:val="00B47A48"/>
    <w:rsid w:val="00B5077D"/>
    <w:rsid w:val="00B5119B"/>
    <w:rsid w:val="00B51999"/>
    <w:rsid w:val="00B52173"/>
    <w:rsid w:val="00B5299F"/>
    <w:rsid w:val="00B5328E"/>
    <w:rsid w:val="00B57581"/>
    <w:rsid w:val="00B60D70"/>
    <w:rsid w:val="00B6199A"/>
    <w:rsid w:val="00B61CD7"/>
    <w:rsid w:val="00B626BC"/>
    <w:rsid w:val="00B64939"/>
    <w:rsid w:val="00B65FCA"/>
    <w:rsid w:val="00B67029"/>
    <w:rsid w:val="00B671BA"/>
    <w:rsid w:val="00B67739"/>
    <w:rsid w:val="00B70FC6"/>
    <w:rsid w:val="00B71E3A"/>
    <w:rsid w:val="00B72EB9"/>
    <w:rsid w:val="00B74C95"/>
    <w:rsid w:val="00B774DA"/>
    <w:rsid w:val="00B80553"/>
    <w:rsid w:val="00B844A5"/>
    <w:rsid w:val="00B84A23"/>
    <w:rsid w:val="00B86ACB"/>
    <w:rsid w:val="00B874CF"/>
    <w:rsid w:val="00B92C58"/>
    <w:rsid w:val="00B95F5F"/>
    <w:rsid w:val="00BA0AA0"/>
    <w:rsid w:val="00BA242F"/>
    <w:rsid w:val="00BA4831"/>
    <w:rsid w:val="00BA6681"/>
    <w:rsid w:val="00BA7409"/>
    <w:rsid w:val="00BB047B"/>
    <w:rsid w:val="00BB07E0"/>
    <w:rsid w:val="00BB2794"/>
    <w:rsid w:val="00BB390A"/>
    <w:rsid w:val="00BB597D"/>
    <w:rsid w:val="00BB6398"/>
    <w:rsid w:val="00BB66C4"/>
    <w:rsid w:val="00BC01F1"/>
    <w:rsid w:val="00BC0E86"/>
    <w:rsid w:val="00BC39E5"/>
    <w:rsid w:val="00BC7586"/>
    <w:rsid w:val="00BD0372"/>
    <w:rsid w:val="00BD06B8"/>
    <w:rsid w:val="00BD09FF"/>
    <w:rsid w:val="00BD1F89"/>
    <w:rsid w:val="00BD392F"/>
    <w:rsid w:val="00BD5B7C"/>
    <w:rsid w:val="00BD7ADC"/>
    <w:rsid w:val="00BD7FA8"/>
    <w:rsid w:val="00BE0CA4"/>
    <w:rsid w:val="00BE168F"/>
    <w:rsid w:val="00BE1F91"/>
    <w:rsid w:val="00BE2A45"/>
    <w:rsid w:val="00BE3744"/>
    <w:rsid w:val="00BE3E58"/>
    <w:rsid w:val="00BF0017"/>
    <w:rsid w:val="00BF1B86"/>
    <w:rsid w:val="00BF2AFC"/>
    <w:rsid w:val="00BF3971"/>
    <w:rsid w:val="00BF574D"/>
    <w:rsid w:val="00BF7683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0838"/>
    <w:rsid w:val="00C22949"/>
    <w:rsid w:val="00C31C9B"/>
    <w:rsid w:val="00C31FE9"/>
    <w:rsid w:val="00C467A7"/>
    <w:rsid w:val="00C4749A"/>
    <w:rsid w:val="00C50A80"/>
    <w:rsid w:val="00C51429"/>
    <w:rsid w:val="00C52F38"/>
    <w:rsid w:val="00C5300B"/>
    <w:rsid w:val="00C5516E"/>
    <w:rsid w:val="00C5711F"/>
    <w:rsid w:val="00C57222"/>
    <w:rsid w:val="00C6218E"/>
    <w:rsid w:val="00C64132"/>
    <w:rsid w:val="00C64ACB"/>
    <w:rsid w:val="00C65706"/>
    <w:rsid w:val="00C66178"/>
    <w:rsid w:val="00C70885"/>
    <w:rsid w:val="00C71425"/>
    <w:rsid w:val="00C716FA"/>
    <w:rsid w:val="00C71EB1"/>
    <w:rsid w:val="00C726C4"/>
    <w:rsid w:val="00C7457F"/>
    <w:rsid w:val="00C74B70"/>
    <w:rsid w:val="00C75114"/>
    <w:rsid w:val="00C75BF6"/>
    <w:rsid w:val="00C80B03"/>
    <w:rsid w:val="00C80FDA"/>
    <w:rsid w:val="00C81DF1"/>
    <w:rsid w:val="00C82191"/>
    <w:rsid w:val="00C82999"/>
    <w:rsid w:val="00C86CF4"/>
    <w:rsid w:val="00C9082D"/>
    <w:rsid w:val="00C90A52"/>
    <w:rsid w:val="00C9108C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11FC"/>
    <w:rsid w:val="00CB16D9"/>
    <w:rsid w:val="00CB2D09"/>
    <w:rsid w:val="00CB5FC3"/>
    <w:rsid w:val="00CB71FB"/>
    <w:rsid w:val="00CB746A"/>
    <w:rsid w:val="00CC29AE"/>
    <w:rsid w:val="00CC3F16"/>
    <w:rsid w:val="00CC6AC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17C3"/>
    <w:rsid w:val="00CE279D"/>
    <w:rsid w:val="00CE5281"/>
    <w:rsid w:val="00CE5BC8"/>
    <w:rsid w:val="00CE725A"/>
    <w:rsid w:val="00CF1A69"/>
    <w:rsid w:val="00CF5127"/>
    <w:rsid w:val="00CF5AF1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1988"/>
    <w:rsid w:val="00D12158"/>
    <w:rsid w:val="00D127E9"/>
    <w:rsid w:val="00D133E1"/>
    <w:rsid w:val="00D138BF"/>
    <w:rsid w:val="00D14B57"/>
    <w:rsid w:val="00D1632A"/>
    <w:rsid w:val="00D16649"/>
    <w:rsid w:val="00D17D42"/>
    <w:rsid w:val="00D2046F"/>
    <w:rsid w:val="00D2128D"/>
    <w:rsid w:val="00D21F3F"/>
    <w:rsid w:val="00D231A2"/>
    <w:rsid w:val="00D26D97"/>
    <w:rsid w:val="00D27D2D"/>
    <w:rsid w:val="00D30A14"/>
    <w:rsid w:val="00D31663"/>
    <w:rsid w:val="00D31B38"/>
    <w:rsid w:val="00D32214"/>
    <w:rsid w:val="00D32BB4"/>
    <w:rsid w:val="00D3398F"/>
    <w:rsid w:val="00D34F69"/>
    <w:rsid w:val="00D35B00"/>
    <w:rsid w:val="00D3612A"/>
    <w:rsid w:val="00D37703"/>
    <w:rsid w:val="00D37F25"/>
    <w:rsid w:val="00D4441B"/>
    <w:rsid w:val="00D446A6"/>
    <w:rsid w:val="00D45600"/>
    <w:rsid w:val="00D47053"/>
    <w:rsid w:val="00D4717B"/>
    <w:rsid w:val="00D4798B"/>
    <w:rsid w:val="00D50891"/>
    <w:rsid w:val="00D536CE"/>
    <w:rsid w:val="00D55301"/>
    <w:rsid w:val="00D560E8"/>
    <w:rsid w:val="00D56293"/>
    <w:rsid w:val="00D5664D"/>
    <w:rsid w:val="00D60FDB"/>
    <w:rsid w:val="00D61FBE"/>
    <w:rsid w:val="00D6408A"/>
    <w:rsid w:val="00D64477"/>
    <w:rsid w:val="00D646DF"/>
    <w:rsid w:val="00D64A1B"/>
    <w:rsid w:val="00D64D6D"/>
    <w:rsid w:val="00D66553"/>
    <w:rsid w:val="00D72153"/>
    <w:rsid w:val="00D721C7"/>
    <w:rsid w:val="00D72B3D"/>
    <w:rsid w:val="00D72FF1"/>
    <w:rsid w:val="00D755AA"/>
    <w:rsid w:val="00D75E00"/>
    <w:rsid w:val="00D778AB"/>
    <w:rsid w:val="00D85468"/>
    <w:rsid w:val="00D92687"/>
    <w:rsid w:val="00D944D8"/>
    <w:rsid w:val="00D977E2"/>
    <w:rsid w:val="00DA060A"/>
    <w:rsid w:val="00DA17D2"/>
    <w:rsid w:val="00DA7D48"/>
    <w:rsid w:val="00DB067D"/>
    <w:rsid w:val="00DB0701"/>
    <w:rsid w:val="00DB0715"/>
    <w:rsid w:val="00DB097D"/>
    <w:rsid w:val="00DB0A11"/>
    <w:rsid w:val="00DB2411"/>
    <w:rsid w:val="00DB286D"/>
    <w:rsid w:val="00DB2A2C"/>
    <w:rsid w:val="00DB584D"/>
    <w:rsid w:val="00DB6D1B"/>
    <w:rsid w:val="00DC0120"/>
    <w:rsid w:val="00DC210E"/>
    <w:rsid w:val="00DC50CF"/>
    <w:rsid w:val="00DC5186"/>
    <w:rsid w:val="00DC6D59"/>
    <w:rsid w:val="00DC6DBE"/>
    <w:rsid w:val="00DD2F27"/>
    <w:rsid w:val="00DD34A8"/>
    <w:rsid w:val="00DD3721"/>
    <w:rsid w:val="00DD607B"/>
    <w:rsid w:val="00DD7098"/>
    <w:rsid w:val="00DE0ACD"/>
    <w:rsid w:val="00DE0E51"/>
    <w:rsid w:val="00DE2731"/>
    <w:rsid w:val="00DE2D5E"/>
    <w:rsid w:val="00DE43A2"/>
    <w:rsid w:val="00DE643F"/>
    <w:rsid w:val="00DE7167"/>
    <w:rsid w:val="00DF0BAE"/>
    <w:rsid w:val="00DF0F6B"/>
    <w:rsid w:val="00DF374E"/>
    <w:rsid w:val="00DF559C"/>
    <w:rsid w:val="00E003D1"/>
    <w:rsid w:val="00E01052"/>
    <w:rsid w:val="00E0289B"/>
    <w:rsid w:val="00E02F6B"/>
    <w:rsid w:val="00E03BD3"/>
    <w:rsid w:val="00E0402B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203D5"/>
    <w:rsid w:val="00E251DE"/>
    <w:rsid w:val="00E255D6"/>
    <w:rsid w:val="00E30A64"/>
    <w:rsid w:val="00E3313E"/>
    <w:rsid w:val="00E34582"/>
    <w:rsid w:val="00E40287"/>
    <w:rsid w:val="00E406A2"/>
    <w:rsid w:val="00E412C1"/>
    <w:rsid w:val="00E41DAE"/>
    <w:rsid w:val="00E422D9"/>
    <w:rsid w:val="00E43F38"/>
    <w:rsid w:val="00E45C78"/>
    <w:rsid w:val="00E4622C"/>
    <w:rsid w:val="00E46571"/>
    <w:rsid w:val="00E47427"/>
    <w:rsid w:val="00E47AF5"/>
    <w:rsid w:val="00E500B5"/>
    <w:rsid w:val="00E51FFB"/>
    <w:rsid w:val="00E53E3A"/>
    <w:rsid w:val="00E54EE9"/>
    <w:rsid w:val="00E54F37"/>
    <w:rsid w:val="00E55142"/>
    <w:rsid w:val="00E576AB"/>
    <w:rsid w:val="00E57DE6"/>
    <w:rsid w:val="00E63150"/>
    <w:rsid w:val="00E65E6A"/>
    <w:rsid w:val="00E66100"/>
    <w:rsid w:val="00E665E3"/>
    <w:rsid w:val="00E66C3D"/>
    <w:rsid w:val="00E7313F"/>
    <w:rsid w:val="00E757B7"/>
    <w:rsid w:val="00E80B57"/>
    <w:rsid w:val="00E8177F"/>
    <w:rsid w:val="00E81896"/>
    <w:rsid w:val="00E82B97"/>
    <w:rsid w:val="00E82B99"/>
    <w:rsid w:val="00E85A7B"/>
    <w:rsid w:val="00E85C6D"/>
    <w:rsid w:val="00E962AE"/>
    <w:rsid w:val="00E96BE1"/>
    <w:rsid w:val="00EA0019"/>
    <w:rsid w:val="00EA0F59"/>
    <w:rsid w:val="00EA1E49"/>
    <w:rsid w:val="00EA2D84"/>
    <w:rsid w:val="00EA374A"/>
    <w:rsid w:val="00EA3847"/>
    <w:rsid w:val="00EA49A5"/>
    <w:rsid w:val="00EA4B4A"/>
    <w:rsid w:val="00EB563D"/>
    <w:rsid w:val="00EB732A"/>
    <w:rsid w:val="00EB781B"/>
    <w:rsid w:val="00EB7EF4"/>
    <w:rsid w:val="00EC5801"/>
    <w:rsid w:val="00EC6086"/>
    <w:rsid w:val="00EC77A4"/>
    <w:rsid w:val="00ED0BE3"/>
    <w:rsid w:val="00ED0D8F"/>
    <w:rsid w:val="00ED1C0C"/>
    <w:rsid w:val="00ED1DCC"/>
    <w:rsid w:val="00ED2E37"/>
    <w:rsid w:val="00ED3DDE"/>
    <w:rsid w:val="00ED4CC4"/>
    <w:rsid w:val="00EE044F"/>
    <w:rsid w:val="00EE2B43"/>
    <w:rsid w:val="00EE2C6F"/>
    <w:rsid w:val="00EE66C2"/>
    <w:rsid w:val="00EF409C"/>
    <w:rsid w:val="00EF5478"/>
    <w:rsid w:val="00EF5B99"/>
    <w:rsid w:val="00EF6AA4"/>
    <w:rsid w:val="00F03215"/>
    <w:rsid w:val="00F034D1"/>
    <w:rsid w:val="00F060A3"/>
    <w:rsid w:val="00F13990"/>
    <w:rsid w:val="00F17720"/>
    <w:rsid w:val="00F214CF"/>
    <w:rsid w:val="00F248DB"/>
    <w:rsid w:val="00F26A9F"/>
    <w:rsid w:val="00F26E68"/>
    <w:rsid w:val="00F2723B"/>
    <w:rsid w:val="00F278DD"/>
    <w:rsid w:val="00F3008B"/>
    <w:rsid w:val="00F319AC"/>
    <w:rsid w:val="00F32EFB"/>
    <w:rsid w:val="00F33F03"/>
    <w:rsid w:val="00F3412A"/>
    <w:rsid w:val="00F34A70"/>
    <w:rsid w:val="00F41664"/>
    <w:rsid w:val="00F41933"/>
    <w:rsid w:val="00F44506"/>
    <w:rsid w:val="00F447F0"/>
    <w:rsid w:val="00F44FA3"/>
    <w:rsid w:val="00F45658"/>
    <w:rsid w:val="00F45E30"/>
    <w:rsid w:val="00F50314"/>
    <w:rsid w:val="00F52EB8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4A2E"/>
    <w:rsid w:val="00F7511C"/>
    <w:rsid w:val="00F7608F"/>
    <w:rsid w:val="00F77F6B"/>
    <w:rsid w:val="00F81185"/>
    <w:rsid w:val="00F8126F"/>
    <w:rsid w:val="00F81F40"/>
    <w:rsid w:val="00F841C3"/>
    <w:rsid w:val="00F84B28"/>
    <w:rsid w:val="00F8578D"/>
    <w:rsid w:val="00F86980"/>
    <w:rsid w:val="00F925C6"/>
    <w:rsid w:val="00F928AF"/>
    <w:rsid w:val="00F9390B"/>
    <w:rsid w:val="00F94051"/>
    <w:rsid w:val="00F94FE3"/>
    <w:rsid w:val="00F9635E"/>
    <w:rsid w:val="00F96EED"/>
    <w:rsid w:val="00F97423"/>
    <w:rsid w:val="00F97862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3DDB"/>
    <w:rsid w:val="00FB7808"/>
    <w:rsid w:val="00FC283E"/>
    <w:rsid w:val="00FC4ABA"/>
    <w:rsid w:val="00FC7FA3"/>
    <w:rsid w:val="00FD0E0B"/>
    <w:rsid w:val="00FD168F"/>
    <w:rsid w:val="00FD3B72"/>
    <w:rsid w:val="00FD6A16"/>
    <w:rsid w:val="00FE1639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B54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9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uiPriority w:val="99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9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9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9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10"/>
      </w:numPr>
    </w:pPr>
  </w:style>
  <w:style w:type="paragraph" w:customStyle="1" w:styleId="Numberedlistbullets">
    <w:name w:val="Numbered list bullets"/>
    <w:basedOn w:val="Bulletleft2"/>
    <w:qFormat/>
    <w:rsid w:val="00AB0F71"/>
    <w:pPr>
      <w:numPr>
        <w:ilvl w:val="0"/>
        <w:numId w:val="0"/>
      </w:numPr>
      <w:tabs>
        <w:tab w:val="num" w:pos="851"/>
      </w:tabs>
      <w:ind w:left="851" w:hanging="283"/>
    </w:pPr>
  </w:style>
  <w:style w:type="character" w:styleId="Mention">
    <w:name w:val="Mention"/>
    <w:basedOn w:val="DefaultParagraphFont"/>
    <w:uiPriority w:val="99"/>
    <w:unhideWhenUsed/>
    <w:locked/>
    <w:rsid w:val="00D72B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ice.org.uk/guidance/ta855" TargetMode="External"/><Relationship Id="rId18" Type="http://schemas.openxmlformats.org/officeDocument/2006/relationships/hyperlink" Target="https://www.nice.org.uk/guidance/ta655" TargetMode="External"/><Relationship Id="rId26" Type="http://schemas.openxmlformats.org/officeDocument/2006/relationships/hyperlink" Target="https://www.nice.org.uk/guidance/ta52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ice.org.uk/guidance/ta89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ta655" TargetMode="External"/><Relationship Id="rId17" Type="http://schemas.openxmlformats.org/officeDocument/2006/relationships/hyperlink" Target="https://www.nice.org.uk/guidance/ta520" TargetMode="External"/><Relationship Id="rId25" Type="http://schemas.openxmlformats.org/officeDocument/2006/relationships/hyperlink" Target="https://www.nice.org.uk/guidance/ta428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428" TargetMode="External"/><Relationship Id="rId20" Type="http://schemas.openxmlformats.org/officeDocument/2006/relationships/hyperlink" Target="https://www.nice.org.uk/guidance/ta898" TargetMode="External"/><Relationship Id="rId29" Type="http://schemas.openxmlformats.org/officeDocument/2006/relationships/hyperlink" Target="https://www.nice.org.uk/guidance/ta5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ta520" TargetMode="External"/><Relationship Id="rId24" Type="http://schemas.openxmlformats.org/officeDocument/2006/relationships/hyperlink" Target="https://www.nice.org.uk/guidance/ta655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ta655" TargetMode="External"/><Relationship Id="rId23" Type="http://schemas.openxmlformats.org/officeDocument/2006/relationships/hyperlink" Target="https://www.nice.org.uk/guidance/ta520" TargetMode="External"/><Relationship Id="rId28" Type="http://schemas.openxmlformats.org/officeDocument/2006/relationships/hyperlink" Target="https://www.nice.org.uk/guidance/ta428" TargetMode="External"/><Relationship Id="rId10" Type="http://schemas.openxmlformats.org/officeDocument/2006/relationships/hyperlink" Target="https://www.nice.org.uk/guidance/ta428" TargetMode="External"/><Relationship Id="rId19" Type="http://schemas.openxmlformats.org/officeDocument/2006/relationships/hyperlink" Target="https://www.nice.org.uk/guidance/ta770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898" TargetMode="External"/><Relationship Id="rId14" Type="http://schemas.openxmlformats.org/officeDocument/2006/relationships/hyperlink" Target="https://www.nice.org.uk/guidance/ta520" TargetMode="External"/><Relationship Id="rId22" Type="http://schemas.openxmlformats.org/officeDocument/2006/relationships/hyperlink" Target="https://www.nice.org.uk/guidance/ta428" TargetMode="External"/><Relationship Id="rId27" Type="http://schemas.openxmlformats.org/officeDocument/2006/relationships/hyperlink" Target="https://www.nice.org.uk/guidance/ta655" TargetMode="External"/><Relationship Id="rId30" Type="http://schemas.openxmlformats.org/officeDocument/2006/relationships/hyperlink" Target="https://www.nice.org.uk/guidance/ta655" TargetMode="External"/><Relationship Id="rId8" Type="http://schemas.openxmlformats.org/officeDocument/2006/relationships/hyperlink" Target="https://www.nice.org.uk/guidance/ta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3932</Characters>
  <Application>Microsoft Office Word</Application>
  <DocSecurity>0</DocSecurity>
  <Lines>75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NG122 Lung cancer: Fully accessible summary of lung cancer treatment pathways</vt:lpstr>
    </vt:vector>
  </TitlesOfParts>
  <Company/>
  <LinksUpToDate>false</LinksUpToDate>
  <CharactersWithSpaces>4337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Lung cancer: Fully accessible summary of lung cancer treatment pathways</dc:title>
  <dc:creator/>
  <cp:lastModifiedBy/>
  <cp:revision>1</cp:revision>
  <dcterms:created xsi:type="dcterms:W3CDTF">2026-02-06T13:44:00Z</dcterms:created>
  <dcterms:modified xsi:type="dcterms:W3CDTF">2026-02-06T14:29:00Z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2026-02-06T13:49:34Z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84ee18cb-dc5d-4471-9c60-e5d9573684af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