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4CF77564" w14:textId="3028BC88" w:rsidR="00D062E4" w:rsidRDefault="00244E01" w:rsidP="00244E01">
            <w:pPr>
              <w:pStyle w:val="Paragraphnonumbers"/>
              <w:numPr>
                <w:ilvl w:val="0"/>
                <w:numId w:val="7"/>
              </w:numPr>
              <w:spacing w:after="0"/>
              <w:rPr>
                <w:rFonts w:cs="Arial"/>
                <w:bCs/>
                <w:sz w:val="22"/>
                <w:szCs w:val="22"/>
              </w:rPr>
            </w:pPr>
            <w:r w:rsidRPr="00244E01">
              <w:rPr>
                <w:rFonts w:cs="Arial"/>
                <w:bCs/>
                <w:sz w:val="22"/>
                <w:szCs w:val="22"/>
              </w:rPr>
              <w:t>The guideline currently contains a research recommendation for the following question “How safe and effective is the early manipulation of blood pressure after stroke?”. We are proposing to remove that research recommendation from the guideline – please can you indicate if you agree or disagree with that proposal.</w:t>
            </w:r>
          </w:p>
          <w:p w14:paraId="25D56C33" w14:textId="77777777" w:rsidR="00244E01" w:rsidRDefault="00244E01" w:rsidP="00244E01">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495D6F14" w:rsidR="00EE6C88" w:rsidRDefault="00EE6C88" w:rsidP="00EE6C88">
    <w:pPr>
      <w:rPr>
        <w:b/>
      </w:rPr>
    </w:pPr>
    <w:r>
      <w:rPr>
        <w:szCs w:val="22"/>
      </w:rPr>
      <w:t>Please return to:</w:t>
    </w:r>
    <w:r w:rsidR="00D062E4">
      <w:t xml:space="preserve"> </w:t>
    </w:r>
    <w:hyperlink r:id="rId1" w:history="1">
      <w:r w:rsidR="00244E01" w:rsidRPr="00E74EBC">
        <w:rPr>
          <w:rStyle w:val="Hyperlink"/>
        </w:rPr>
        <w:t>strokeandtia@nice.org.uk</w:t>
      </w:r>
    </w:hyperlink>
    <w:r w:rsidR="00244E01">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497A7B3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244E01" w:rsidRPr="00244E01">
      <w:t xml:space="preserve"> </w:t>
    </w:r>
    <w:r w:rsidR="00244E01" w:rsidRPr="00244E01">
      <w:rPr>
        <w:noProof/>
        <w:lang w:eastAsia="en-GB"/>
      </w:rPr>
      <w:t>Stroke and transient ischaemic attack in over 16s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3E9BF09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244E01">
      <w:t>5pm on 28/02/2022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244E01" w:rsidRPr="00E74EBC">
        <w:rPr>
          <w:rStyle w:val="Hyperlink"/>
        </w:rPr>
        <w:t>strokeandtia@nice.org.uk</w:t>
      </w:r>
    </w:hyperlink>
    <w:r w:rsidR="00244E01">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4E01"/>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279F"/>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91D8D"/>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082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rokeandtia@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trokeandtia@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759</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5088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5</cp:revision>
  <cp:lastPrinted>2005-11-01T09:30:00Z</cp:lastPrinted>
  <dcterms:created xsi:type="dcterms:W3CDTF">2022-02-07T14:29:00Z</dcterms:created>
  <dcterms:modified xsi:type="dcterms:W3CDTF">2022-02-10T14:48:00Z</dcterms:modified>
</cp:coreProperties>
</file>