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29A0D073" w:rsidR="00EE6C88" w:rsidRDefault="00EE6C88" w:rsidP="00EE6C88">
    <w:pPr>
      <w:rPr>
        <w:b/>
      </w:rPr>
    </w:pPr>
    <w:r>
      <w:rPr>
        <w:szCs w:val="22"/>
      </w:rPr>
      <w:t>Please return to:</w:t>
    </w:r>
    <w:r>
      <w:t xml:space="preserve"> </w:t>
    </w:r>
    <w:hyperlink r:id="rId1" w:history="1">
      <w:r w:rsidR="00962CA3" w:rsidRPr="000A311C">
        <w:rPr>
          <w:rStyle w:val="Hyperlink"/>
          <w:b/>
          <w:bCs/>
        </w:rPr>
        <w:t>HTAupdate@nice.org.uk</w:t>
      </w:r>
    </w:hyperlink>
    <w:r w:rsidR="00962CA3">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3051AAB2"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62CA3" w:rsidRPr="00962CA3">
      <w:rPr>
        <w:noProof/>
        <w:lang w:eastAsia="en-GB"/>
      </w:rPr>
      <w:t>Hypertension in adults: diagnosis and management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6A34562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962CA3">
      <w:t xml:space="preserve">5:00pm </w:t>
    </w:r>
    <w:r w:rsidR="00962CA3">
      <w:rPr>
        <w:bCs w:val="0"/>
      </w:rPr>
      <w:t>on Tuesday 4</w:t>
    </w:r>
    <w:r w:rsidR="00962CA3">
      <w:rPr>
        <w:bCs w:val="0"/>
        <w:vertAlign w:val="superscript"/>
      </w:rPr>
      <w:t xml:space="preserve">th </w:t>
    </w:r>
    <w:r w:rsidR="00962CA3">
      <w:rPr>
        <w:bCs w:val="0"/>
      </w:rPr>
      <w:t xml:space="preserve">January 2022 </w:t>
    </w:r>
    <w:r w:rsidR="00962CA3" w:rsidRPr="00F506DC">
      <w:rPr>
        <w:bCs w:val="0"/>
      </w:rPr>
      <w:t>email</w:t>
    </w:r>
    <w:r w:rsidR="007334BB" w:rsidRPr="00F506DC">
      <w:rPr>
        <w:bCs w:val="0"/>
      </w:rPr>
      <w:t>:</w:t>
    </w:r>
    <w:r w:rsidR="007334BB" w:rsidRPr="00F506DC">
      <w:rPr>
        <w:b w:val="0"/>
        <w:bCs w:val="0"/>
      </w:rPr>
      <w:t xml:space="preserve"> </w:t>
    </w:r>
    <w:hyperlink r:id="rId2" w:history="1">
      <w:r w:rsidR="00962CA3" w:rsidRPr="000A311C">
        <w:rPr>
          <w:rStyle w:val="Hyperlink"/>
          <w:b w:val="0"/>
          <w:bCs w:val="0"/>
        </w:rPr>
        <w:t>HTAupdate@nice.org.uk</w:t>
      </w:r>
    </w:hyperlink>
    <w:r w:rsidR="00962CA3">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693D"/>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1560"/>
    <w:rsid w:val="009228A1"/>
    <w:rsid w:val="009244E9"/>
    <w:rsid w:val="00927F69"/>
    <w:rsid w:val="009448BE"/>
    <w:rsid w:val="00944C6B"/>
    <w:rsid w:val="009524A0"/>
    <w:rsid w:val="00953727"/>
    <w:rsid w:val="00956108"/>
    <w:rsid w:val="00962CA3"/>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4B81"/>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TA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TA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740</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4962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4</cp:revision>
  <cp:lastPrinted>2005-11-01T09:30:00Z</cp:lastPrinted>
  <dcterms:created xsi:type="dcterms:W3CDTF">2021-11-29T14:50:00Z</dcterms:created>
  <dcterms:modified xsi:type="dcterms:W3CDTF">2021-11-29T15:50:00Z</dcterms:modified>
</cp:coreProperties>
</file>