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77777777" w:rsidR="006B2E9B" w:rsidRDefault="004C7583" w:rsidP="00D062E4">
            <w:pPr>
              <w:pStyle w:val="Paragraphnonumbers"/>
              <w:numPr>
                <w:ilvl w:val="0"/>
                <w:numId w:val="7"/>
              </w:numPr>
              <w:spacing w:after="0"/>
              <w:rPr>
                <w:rFonts w:cs="Arial"/>
                <w:bCs/>
                <w:sz w:val="22"/>
                <w:szCs w:val="22"/>
              </w:rPr>
            </w:pPr>
            <w:r w:rsidRPr="004C7583">
              <w:rPr>
                <w:rFonts w:cs="Arial"/>
                <w:bCs/>
                <w:sz w:val="22"/>
                <w:szCs w:val="22"/>
                <w:highlight w:val="yellow"/>
              </w:rPr>
              <w:t>[Insert any specific questions about the recommendations from the Developer, or delete if not needed]</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3BD0792C" w:rsidR="00EE6C88" w:rsidRDefault="00EE6C88" w:rsidP="00EE6C88">
    <w:pPr>
      <w:rPr>
        <w:b/>
      </w:rPr>
    </w:pPr>
    <w:r>
      <w:rPr>
        <w:szCs w:val="22"/>
      </w:rPr>
      <w:t>Please return to:</w:t>
    </w:r>
    <w:r w:rsidR="00183B90">
      <w:t xml:space="preserve"> </w:t>
    </w:r>
    <w:hyperlink r:id="rId1" w:history="1">
      <w:r w:rsidR="00183B90" w:rsidRPr="0069163C">
        <w:rPr>
          <w:rStyle w:val="Hyperlink"/>
        </w:rPr>
        <w:t>weightmanagement@nice.org.uk</w:t>
      </w:r>
    </w:hyperlink>
    <w:r w:rsidR="00183B90">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1F2B579E" w:rsidR="007968D4" w:rsidRPr="008039AA" w:rsidRDefault="00183B90" w:rsidP="003F6C97">
    <w:pPr>
      <w:pStyle w:val="Heading3"/>
      <w:jc w:val="left"/>
      <w:rPr>
        <w:bCs w:val="0"/>
        <w:sz w:val="28"/>
        <w:szCs w:val="28"/>
      </w:rPr>
    </w:pPr>
    <w:r w:rsidRPr="00183B90">
      <w:rPr>
        <w:rFonts w:cs="Arial"/>
        <w:bCs w:val="0"/>
      </w:rPr>
      <w:t xml:space="preserve">Weight Management: preventing, </w:t>
    </w:r>
    <w:proofErr w:type="gramStart"/>
    <w:r w:rsidRPr="00183B90">
      <w:rPr>
        <w:rFonts w:cs="Arial"/>
        <w:bCs w:val="0"/>
      </w:rPr>
      <w:t>assessing</w:t>
    </w:r>
    <w:proofErr w:type="gramEnd"/>
    <w:r w:rsidRPr="00183B90">
      <w:rPr>
        <w:rFonts w:cs="Arial"/>
        <w:bCs w:val="0"/>
      </w:rPr>
      <w:t xml:space="preserve"> and managing overweight and obesity (update)</w:t>
    </w:r>
    <w:r w:rsidR="00132B3B"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B6EC775"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183B90">
      <w:t>5pm</w:t>
    </w:r>
    <w:r w:rsidR="004C7583">
      <w:t xml:space="preserve"> on </w:t>
    </w:r>
    <w:r w:rsidR="00183B90">
      <w:t>28/1123</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183B90" w:rsidRPr="0069163C">
        <w:rPr>
          <w:rStyle w:val="Hyperlink"/>
          <w:b w:val="0"/>
          <w:bCs w:val="0"/>
        </w:rPr>
        <w:t>weightmanagement@nice.org.uk</w:t>
      </w:r>
    </w:hyperlink>
    <w:r w:rsidR="00183B90">
      <w:rPr>
        <w:b w:val="0"/>
        <w:bCs w:val="0"/>
      </w:rPr>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83B90"/>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eightmanage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weightmanagemen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5" ma:contentTypeDescription="Create a new document." ma:contentTypeScope="" ma:versionID="beefe256431173589c1a99050c116e1a">
  <xsd:schema xmlns:xsd="http://www.w3.org/2001/XMLSchema" xmlns:xs="http://www.w3.org/2001/XMLSchema" xmlns:p="http://schemas.microsoft.com/office/2006/metadata/properties" xmlns:ns2="715cf7c9-8a7f-4054-a61f-9334166f5a04" xmlns:ns3="48e53d9e-4d6d-40eb-bce0-faf32d6bb356" targetNamespace="http://schemas.microsoft.com/office/2006/metadata/properties" ma:root="true" ma:fieldsID="08d93963a4ad4ed4023928b9b4546ec6" ns2:_="" ns3:_="">
    <xsd:import namespace="715cf7c9-8a7f-4054-a61f-9334166f5a04"/>
    <xsd:import namespace="48e53d9e-4d6d-40eb-bce0-faf32d6bb3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55E3E-315A-4AD2-93C0-B7FEE925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FE481ED3-8609-4DD1-9069-CF5A6C3FDB65}">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8e53d9e-4d6d-40eb-bce0-faf32d6bb356"/>
    <ds:schemaRef ds:uri="715cf7c9-8a7f-4054-a61f-9334166f5a04"/>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5302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2</cp:revision>
  <cp:lastPrinted>2005-11-01T09:30:00Z</cp:lastPrinted>
  <dcterms:created xsi:type="dcterms:W3CDTF">2023-10-17T08:50:00Z</dcterms:created>
  <dcterms:modified xsi:type="dcterms:W3CDTF">2023-10-17T08:50:00Z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