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49DD" w14:textId="77777777" w:rsidR="00EE6C88" w:rsidRDefault="00EE6C88" w:rsidP="00EE6C88">
    <w:pPr>
      <w:tabs>
        <w:tab w:val="left" w:pos="5565"/>
      </w:tabs>
      <w:rPr>
        <w:sz w:val="18"/>
      </w:rPr>
    </w:pPr>
    <w:r>
      <w:rPr>
        <w:sz w:val="18"/>
      </w:rPr>
      <w:tab/>
    </w:r>
  </w:p>
  <w:p w14:paraId="73A96C6A" w14:textId="2658922C" w:rsidR="00EE6C88" w:rsidRDefault="00EE6C88" w:rsidP="00EE6C88">
    <w:pPr>
      <w:rPr>
        <w:b/>
      </w:rPr>
    </w:pPr>
    <w:r>
      <w:rPr>
        <w:szCs w:val="22"/>
      </w:rPr>
      <w:t>Please return to:</w:t>
    </w:r>
    <w:r w:rsidR="00D57015">
      <w:t xml:space="preserve"> </w:t>
    </w:r>
    <w:hyperlink r:id="rId1" w:history="1">
      <w:r w:rsidR="00D57015" w:rsidRPr="00B220EE">
        <w:rPr>
          <w:rStyle w:val="Hyperlink"/>
        </w:rPr>
        <w:t>mandcnutrition@nice.org.uk</w:t>
      </w:r>
    </w:hyperlink>
    <w:r w:rsidR="00D57015">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47BD" w14:textId="4ECC0CEB" w:rsidR="007968D4" w:rsidRPr="008039AA" w:rsidRDefault="00990DAB" w:rsidP="003F6C97">
    <w:pPr>
      <w:pStyle w:val="Heading3"/>
      <w:jc w:val="left"/>
      <w:rPr>
        <w:bCs w:val="0"/>
        <w:sz w:val="28"/>
        <w:szCs w:val="28"/>
      </w:rPr>
    </w:pPr>
    <w:r w:rsidRPr="00990DAB">
      <w:rPr>
        <w:rFonts w:cs="Arial"/>
        <w:bCs w:val="0"/>
      </w:rPr>
      <w:t>Maternal and child nutrition</w:t>
    </w:r>
    <w:r w:rsidR="00132B3B"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3605D0B4"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990DAB">
      <w:t>5pm</w:t>
    </w:r>
    <w:r w:rsidR="004C7583">
      <w:t xml:space="preserve"> on </w:t>
    </w:r>
    <w:r w:rsidR="00990DAB">
      <w:t>11/</w:t>
    </w:r>
    <w:r w:rsidR="00C4423F">
      <w:t>09</w:t>
    </w:r>
    <w:r w:rsidR="00990DAB">
      <w:t>/24</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D57015" w:rsidRPr="00B220EE">
        <w:rPr>
          <w:rStyle w:val="Hyperlink"/>
          <w:b w:val="0"/>
          <w:bCs w:val="0"/>
        </w:rPr>
        <w:t>mandcnutrition@nice.org.uk</w:t>
      </w:r>
    </w:hyperlink>
    <w:r w:rsidR="00D57015">
      <w:rPr>
        <w:b w:val="0"/>
        <w:bCs w:val="0"/>
      </w:rPr>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07859"/>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41ED"/>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1B0B"/>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43C4"/>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0DAB"/>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4423F"/>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2D33"/>
    <w:rsid w:val="00D2452F"/>
    <w:rsid w:val="00D31C75"/>
    <w:rsid w:val="00D36D76"/>
    <w:rsid w:val="00D370C4"/>
    <w:rsid w:val="00D50EB7"/>
    <w:rsid w:val="00D525E7"/>
    <w:rsid w:val="00D57015"/>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ndcnutrition@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andcnutrition@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15" ma:contentTypeDescription="Create a new document." ma:contentTypeScope="" ma:versionID="1522128e7f1e7b35304e6d2269cac39f">
  <xsd:schema xmlns:xsd="http://www.w3.org/2001/XMLSchema" xmlns:xs="http://www.w3.org/2001/XMLSchema" xmlns:p="http://schemas.microsoft.com/office/2006/metadata/properties" xmlns:ns2="715cf7c9-8a7f-4054-a61f-9334166f5a04" xmlns:ns3="48e53d9e-4d6d-40eb-bce0-faf32d6bb356" xmlns:ns4="0eb656aa-4e79-4e95-9076-bc119a23e0cc" targetNamespace="http://schemas.microsoft.com/office/2006/metadata/properties" ma:root="true" ma:fieldsID="30b5fda486174ab5ff794e31e3f3127b" ns2:_="" ns3:_="" ns4:_="">
    <xsd:import namespace="715cf7c9-8a7f-4054-a61f-9334166f5a04"/>
    <xsd:import namespace="48e53d9e-4d6d-40eb-bce0-faf32d6bb35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3:Useful_x0020_doc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53d9e-4d6d-40eb-bce0-faf32d6bb3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Useful_x0020_docs" ma:index="13" nillable="true" ma:displayName="Useful docs" ma:format="Dropdown" ma:internalName="Useful_x0020_docs">
      <xsd:complexType>
        <xsd:complexContent>
          <xsd:extension base="dms:MultiChoice">
            <xsd:sequence>
              <xsd:element name="Value" maxOccurs="unbounded" minOccurs="0" nillable="true">
                <xsd:simpleType>
                  <xsd:restriction base="dms:Choice">
                    <xsd:enumeration value="Enter Choice #1"/>
                    <xsd:enumeration value="Enter Choice #2"/>
                    <xsd:enumeration value="Enter Choice #3"/>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443e1-0744-46bd-b59a-63dbff04c1cb}" ma:internalName="TaxCatchAll" ma:showField="CatchAllData" ma:web="48e53d9e-4d6d-40eb-bce0-faf32d6bb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seful_x0020_docs xmlns="48e53d9e-4d6d-40eb-bce0-faf32d6bb356" xsi:nil="true"/>
    <lcf76f155ced4ddcb4097134ff3c332f xmlns="715cf7c9-8a7f-4054-a61f-9334166f5a04">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9C20A7BC-19B9-470D-B750-1DC406E8F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48e53d9e-4d6d-40eb-bce0-faf32d6bb35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FE481ED3-8609-4DD1-9069-CF5A6C3FDB65}">
  <ds:schemaRefs>
    <ds:schemaRef ds:uri="0eb656aa-4e79-4e95-9076-bc119a23e0cc"/>
    <ds:schemaRef ds:uri="http://schemas.microsoft.com/office/2006/documentManagement/types"/>
    <ds:schemaRef ds:uri="http://www.w3.org/XML/1998/namespace"/>
    <ds:schemaRef ds:uri="http://purl.org/dc/elements/1.1/"/>
    <ds:schemaRef ds:uri="http://schemas.microsoft.com/office/2006/metadata/properties"/>
    <ds:schemaRef ds:uri="715cf7c9-8a7f-4054-a61f-9334166f5a04"/>
    <ds:schemaRef ds:uri="http://purl.org/dc/dcmitype/"/>
    <ds:schemaRef ds:uri="48e53d9e-4d6d-40eb-bce0-faf32d6bb356"/>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Rukshana Begum</cp:lastModifiedBy>
  <cp:revision>3</cp:revision>
  <cp:lastPrinted>2005-11-01T09:30:00Z</cp:lastPrinted>
  <dcterms:created xsi:type="dcterms:W3CDTF">2024-07-29T11:20:00Z</dcterms:created>
  <dcterms:modified xsi:type="dcterms:W3CDTF">2024-08-02T10:12:00Z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ies>
</file>