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81" w:rsidRDefault="00217CC6" w:rsidP="00217CC6">
      <w:pPr>
        <w:pStyle w:val="Title"/>
      </w:pPr>
      <w:r>
        <w:t>Spondyloarthritis Guideline: Review questions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RQ1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signs and symptoms should prompt a healthcare professional to think of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risk factors should increase suspicion of spondyloarthritis?</w:t>
      </w:r>
      <w:r>
        <w:rPr>
          <w:rFonts w:cs="Arial"/>
          <w:sz w:val="22"/>
          <w:szCs w:val="22"/>
        </w:rPr>
        <w:tab/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RQ3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are the obs</w:t>
      </w:r>
      <w:r>
        <w:rPr>
          <w:rFonts w:cs="Arial"/>
          <w:sz w:val="22"/>
          <w:szCs w:val="22"/>
        </w:rPr>
        <w:t xml:space="preserve">tacles to a prompt diagnosis of </w:t>
      </w:r>
      <w:r w:rsidRPr="00296A31">
        <w:rPr>
          <w:rFonts w:cs="Arial"/>
          <w:sz w:val="22"/>
          <w:szCs w:val="22"/>
        </w:rPr>
        <w:t>spondyloarth</w:t>
      </w:r>
      <w:r>
        <w:rPr>
          <w:rFonts w:cs="Arial"/>
          <w:sz w:val="22"/>
          <w:szCs w:val="22"/>
        </w:rPr>
        <w:t>r</w:t>
      </w:r>
      <w:r w:rsidRPr="00296A31">
        <w:rPr>
          <w:rFonts w:cs="Arial"/>
          <w:sz w:val="22"/>
          <w:szCs w:val="22"/>
        </w:rPr>
        <w:t>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RQ4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diagnostic utility of a risk assessment score for identifying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RQ5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information gathering (for example family history, self-report questionnaires, and screening criteria) in improving early diagnosis of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RQ6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comparative effectiveness of different referral strategies in diagnosing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RQ7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 xml:space="preserve">What is </w:t>
      </w:r>
      <w:r w:rsidR="00096E7B">
        <w:rPr>
          <w:rFonts w:cs="Arial"/>
          <w:sz w:val="22"/>
          <w:szCs w:val="22"/>
        </w:rPr>
        <w:t>the diagnostic utility of a HLA-</w:t>
      </w:r>
      <w:r w:rsidRPr="00296A31">
        <w:rPr>
          <w:rFonts w:cs="Arial"/>
          <w:sz w:val="22"/>
          <w:szCs w:val="22"/>
        </w:rPr>
        <w:t>B27 test for investigating suspected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RQ8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diagnostic utility of an erythrocyte sedimentation rate test for investigating suspected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RQ9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diagnostic utility of a C-reactive protein test for investigating suspected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RQ10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diagnostic utility of imaging (a</w:t>
      </w:r>
      <w:bookmarkStart w:id="0" w:name="_GoBack"/>
      <w:bookmarkEnd w:id="0"/>
      <w:r w:rsidRPr="00296A31">
        <w:rPr>
          <w:rFonts w:cs="Arial"/>
          <w:sz w:val="22"/>
          <w:szCs w:val="22"/>
        </w:rPr>
        <w:t>lone or in sequence) for investigating suspected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RQ11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diagnostic utility of testing for infection such as salmonella, shigella, yersinia, campylobacter and chlamydia in cases of suspected reactive 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RQ12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are the indications (signs, risk factors, test or scan findings) for referral for specialist advice at initial diagnosis?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RQ13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How should transition from specialist paediatric services to specialist adult rheumatology services be managed for young people between the ages of 16 and 18?</w:t>
      </w:r>
    </w:p>
    <w:p w:rsidR="00217CC6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RQ14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ED2EE7">
        <w:rPr>
          <w:rFonts w:cs="Arial"/>
          <w:sz w:val="22"/>
          <w:szCs w:val="22"/>
        </w:rPr>
        <w:t>What is the effectiveness of manual therapies compared with standard care for managing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RQ15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structured exercise compared with standard care for managing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RQ16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hydrotherapy compared with standard care for managing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RQ17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acupuncture compared with sham acupuncture for managing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RQ18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physical aids (for example, braces) compared with standard care for managing spondyloarthritis?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RQ19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long-term (3 months or longer) treatment with antibiotics for first-line management of reactive arthritis compared with standard treatment?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RQ20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comparative effectiveness of the following pharmacological interventions for management of axial spondyloarthritis: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•</w:t>
      </w:r>
      <w:r w:rsidRPr="00296A31">
        <w:rPr>
          <w:rFonts w:cs="Arial"/>
          <w:sz w:val="22"/>
          <w:szCs w:val="22"/>
        </w:rPr>
        <w:tab/>
        <w:t>corticosteroids</w:t>
      </w:r>
      <w:r w:rsidR="00096E7B">
        <w:rPr>
          <w:rFonts w:cs="Arial"/>
          <w:sz w:val="22"/>
          <w:szCs w:val="22"/>
        </w:rPr>
        <w:t>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•</w:t>
      </w:r>
      <w:r w:rsidRPr="00296A31">
        <w:rPr>
          <w:rFonts w:cs="Arial"/>
          <w:sz w:val="22"/>
          <w:szCs w:val="22"/>
        </w:rPr>
        <w:tab/>
        <w:t>non-steroidal anti-inflammatory drugs</w:t>
      </w:r>
      <w:r w:rsidR="00096E7B">
        <w:rPr>
          <w:rFonts w:cs="Arial"/>
          <w:sz w:val="22"/>
          <w:szCs w:val="22"/>
        </w:rPr>
        <w:t>?</w:t>
      </w:r>
      <w:r w:rsidRPr="00296A31">
        <w:rPr>
          <w:rFonts w:cs="Arial"/>
          <w:sz w:val="22"/>
          <w:szCs w:val="22"/>
        </w:rPr>
        <w:t xml:space="preserve"> 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•</w:t>
      </w:r>
      <w:r w:rsidRPr="00296A31">
        <w:rPr>
          <w:rFonts w:cs="Arial"/>
          <w:sz w:val="22"/>
          <w:szCs w:val="22"/>
        </w:rPr>
        <w:tab/>
        <w:t>standard disease</w:t>
      </w:r>
      <w:r w:rsidR="00096E7B">
        <w:rPr>
          <w:rFonts w:cs="Arial"/>
          <w:sz w:val="22"/>
          <w:szCs w:val="22"/>
        </w:rPr>
        <w:t>-modifying anti-rheumatic drugs?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RQ21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comparative effectiveness of the following pharmacological interventions for management of peripheral spondyloarthritis: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•</w:t>
      </w:r>
      <w:r w:rsidRPr="00296A31">
        <w:rPr>
          <w:rFonts w:cs="Arial"/>
          <w:sz w:val="22"/>
          <w:szCs w:val="22"/>
        </w:rPr>
        <w:tab/>
        <w:t>corticosteroids</w:t>
      </w:r>
      <w:r w:rsidR="00096E7B">
        <w:rPr>
          <w:rFonts w:cs="Arial"/>
          <w:sz w:val="22"/>
          <w:szCs w:val="22"/>
        </w:rPr>
        <w:t>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•</w:t>
      </w:r>
      <w:r w:rsidRPr="00296A31">
        <w:rPr>
          <w:rFonts w:cs="Arial"/>
          <w:sz w:val="22"/>
          <w:szCs w:val="22"/>
        </w:rPr>
        <w:tab/>
        <w:t>non-steroidal anti-inflammatory drugs</w:t>
      </w:r>
      <w:r w:rsidR="00096E7B">
        <w:rPr>
          <w:rFonts w:cs="Arial"/>
          <w:sz w:val="22"/>
          <w:szCs w:val="22"/>
        </w:rPr>
        <w:t>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•</w:t>
      </w:r>
      <w:r w:rsidRPr="00296A31">
        <w:rPr>
          <w:rFonts w:cs="Arial"/>
          <w:sz w:val="22"/>
          <w:szCs w:val="22"/>
        </w:rPr>
        <w:tab/>
        <w:t>standard disease</w:t>
      </w:r>
      <w:r w:rsidR="00096E7B">
        <w:rPr>
          <w:rFonts w:cs="Arial"/>
          <w:sz w:val="22"/>
          <w:szCs w:val="22"/>
        </w:rPr>
        <w:t>-modifying anti-rheumatic drugs?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RQ22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How often should people receiving pharmacological interventions for managing spondyloarthritis be monitored?</w:t>
      </w:r>
      <w:r>
        <w:rPr>
          <w:rFonts w:cs="Arial"/>
          <w:sz w:val="22"/>
          <w:szCs w:val="22"/>
        </w:rPr>
        <w:t xml:space="preserve"> </w:t>
      </w:r>
      <w:r w:rsidRPr="00ED2EE7">
        <w:rPr>
          <w:rFonts w:cs="Arial"/>
          <w:sz w:val="22"/>
          <w:szCs w:val="22"/>
        </w:rPr>
        <w:t>How often should people with spondyloarthritis be offered specialist review?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lastRenderedPageBreak/>
        <w:t>RQ23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When a first-line treatment has failed, what is the effectiveness of the following for managing spondyloarthritis: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•</w:t>
      </w:r>
      <w:r w:rsidRPr="00296A31">
        <w:rPr>
          <w:rFonts w:cs="Arial"/>
          <w:sz w:val="22"/>
          <w:szCs w:val="22"/>
        </w:rPr>
        <w:tab/>
        <w:t>switching to a different pharmacological intervention?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•</w:t>
      </w:r>
      <w:r w:rsidRPr="00296A31">
        <w:rPr>
          <w:rFonts w:cs="Arial"/>
          <w:sz w:val="22"/>
          <w:szCs w:val="22"/>
        </w:rPr>
        <w:tab/>
        <w:t>augmenting with a second pharmacological intervention?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RQ24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systemic biological disease-modifying anti-rheumatic drugs for managing symptoms of enteropathic 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RQ25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systemic biological disease-modifying anti-rheumatic drugs for managing symptoms of reactive arthritis?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RQ26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systemic biological disease-modifying anti-rheumatic drugs for managing symptoms of undifferentiated spondyloarthritis, excluding non-radiographic ankylosing spondylitis?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RQ27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 xml:space="preserve">What information on treatment, long-term complications and self-management do young people and adults with spondyloarthritis find useful? 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RQ28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information and education in the management of flare episodes?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RQ29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direct access to specialist care, compared with initial primary care access followed by specialist care, in the management of flare episodes?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RQ30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is the effectiveness of specialist-led long-term management of spondyloarthritis compared with primary-care-led long-term management</w:t>
      </w:r>
      <w:r w:rsidR="00096E7B">
        <w:rPr>
          <w:rFonts w:cs="Arial"/>
          <w:sz w:val="22"/>
          <w:szCs w:val="22"/>
        </w:rPr>
        <w:t>?</w:t>
      </w:r>
      <w:r w:rsidRPr="00296A31">
        <w:rPr>
          <w:rFonts w:cs="Arial"/>
          <w:sz w:val="22"/>
          <w:szCs w:val="22"/>
        </w:rPr>
        <w:t xml:space="preserve"> 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RQ31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How should the cross-speciality care for people with spondyloarthritis be organised?</w:t>
      </w:r>
    </w:p>
    <w:p w:rsidR="00217CC6" w:rsidRPr="00296A31" w:rsidRDefault="00217CC6" w:rsidP="0098535A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RQ32</w:t>
      </w:r>
      <w:r w:rsidRPr="00296A31">
        <w:rPr>
          <w:rFonts w:cs="Arial"/>
          <w:sz w:val="22"/>
          <w:szCs w:val="22"/>
        </w:rPr>
        <w:t xml:space="preserve"> </w:t>
      </w:r>
      <w:r w:rsidR="0098535A"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 xml:space="preserve">What are the long-term complications associated with spondyloarthritis? 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RQ33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are the long-term complications associated with the treatments for spondyloarthritis?</w:t>
      </w:r>
    </w:p>
    <w:p w:rsidR="00217CC6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 w:rsidRPr="00217CC6">
        <w:rPr>
          <w:rFonts w:cs="Arial"/>
          <w:sz w:val="22"/>
          <w:szCs w:val="22"/>
        </w:rPr>
        <w:t>RQ34</w:t>
      </w:r>
      <w:r w:rsidRPr="00296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factors predict clinical improvement after spinal surgery (including osteotomy and fusion) in people with axial inflammation?</w:t>
      </w:r>
    </w:p>
    <w:p w:rsidR="00217CC6" w:rsidRPr="00296A31" w:rsidRDefault="00217CC6" w:rsidP="00217CC6">
      <w:pPr>
        <w:pStyle w:val="Section451paragraph"/>
        <w:numPr>
          <w:ilvl w:val="0"/>
          <w:numId w:val="0"/>
        </w:numPr>
        <w:spacing w:after="0" w:line="240" w:lineRule="auto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RQ35</w:t>
      </w:r>
      <w:r>
        <w:rPr>
          <w:rFonts w:cs="Arial"/>
          <w:sz w:val="22"/>
          <w:szCs w:val="22"/>
        </w:rPr>
        <w:tab/>
      </w:r>
      <w:r w:rsidRPr="00296A31">
        <w:rPr>
          <w:rFonts w:cs="Arial"/>
          <w:sz w:val="22"/>
          <w:szCs w:val="22"/>
        </w:rPr>
        <w:t>What factors predict clinical improvement after joint replacement surgery?</w:t>
      </w:r>
    </w:p>
    <w:p w:rsidR="00217CC6" w:rsidRPr="00217CC6" w:rsidRDefault="00217CC6" w:rsidP="00217CC6">
      <w:pPr>
        <w:pStyle w:val="Heading1"/>
      </w:pPr>
    </w:p>
    <w:p w:rsidR="00217CC6" w:rsidRPr="00217CC6" w:rsidRDefault="00217CC6" w:rsidP="00217CC6">
      <w:pPr>
        <w:pStyle w:val="Heading1"/>
      </w:pPr>
    </w:p>
    <w:sectPr w:rsidR="00217CC6" w:rsidRPr="00217CC6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C6" w:rsidRDefault="00217CC6" w:rsidP="00446BEE">
      <w:r>
        <w:separator/>
      </w:r>
    </w:p>
  </w:endnote>
  <w:endnote w:type="continuationSeparator" w:id="0">
    <w:p w:rsidR="00217CC6" w:rsidRDefault="00217CC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0E03E4">
      <w:rPr>
        <w:noProof/>
      </w:rPr>
      <w:t>1</w:t>
    </w:r>
    <w:r>
      <w:fldChar w:fldCharType="end"/>
    </w:r>
    <w:r>
      <w:t xml:space="preserve"> of </w:t>
    </w:r>
    <w:fldSimple w:instr=" NUMPAGES  ">
      <w:r w:rsidR="000E03E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C6" w:rsidRDefault="00217CC6" w:rsidP="00446BEE">
      <w:r>
        <w:separator/>
      </w:r>
    </w:p>
  </w:footnote>
  <w:footnote w:type="continuationSeparator" w:id="0">
    <w:p w:rsidR="00217CC6" w:rsidRDefault="00217CC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8007A"/>
    <w:multiLevelType w:val="hybridMultilevel"/>
    <w:tmpl w:val="35BAA04E"/>
    <w:lvl w:ilvl="0" w:tplc="37485230">
      <w:start w:val="1"/>
      <w:numFmt w:val="decimal"/>
      <w:pStyle w:val="Section451paragraph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C6"/>
    <w:rsid w:val="000053F8"/>
    <w:rsid w:val="00024D0A"/>
    <w:rsid w:val="000472DC"/>
    <w:rsid w:val="00070065"/>
    <w:rsid w:val="00096E7B"/>
    <w:rsid w:val="000A4FEE"/>
    <w:rsid w:val="000B5939"/>
    <w:rsid w:val="000E03E4"/>
    <w:rsid w:val="00111CCE"/>
    <w:rsid w:val="001134E7"/>
    <w:rsid w:val="0017149E"/>
    <w:rsid w:val="0017169E"/>
    <w:rsid w:val="00181A4A"/>
    <w:rsid w:val="001B0EE9"/>
    <w:rsid w:val="001B65B3"/>
    <w:rsid w:val="002029A6"/>
    <w:rsid w:val="00217CC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7F6E21"/>
    <w:rsid w:val="00861B92"/>
    <w:rsid w:val="008814FB"/>
    <w:rsid w:val="008F5E30"/>
    <w:rsid w:val="00914D7F"/>
    <w:rsid w:val="0098535A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A74C8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21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17CC6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217CC6"/>
    <w:rPr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17CC6"/>
    <w:rPr>
      <w:lang w:val="x-none" w:eastAsia="en-US"/>
    </w:rPr>
  </w:style>
  <w:style w:type="paragraph" w:customStyle="1" w:styleId="Section451paragraph">
    <w:name w:val="Section 4.5.1 paragraph"/>
    <w:basedOn w:val="Normal"/>
    <w:qFormat/>
    <w:rsid w:val="00217CC6"/>
    <w:pPr>
      <w:numPr>
        <w:numId w:val="21"/>
      </w:numPr>
      <w:tabs>
        <w:tab w:val="left" w:pos="1134"/>
      </w:tabs>
      <w:spacing w:after="240" w:line="360" w:lineRule="auto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semiHidden/>
    <w:rsid w:val="00217CC6"/>
    <w:rPr>
      <w:sz w:val="16"/>
      <w:szCs w:val="16"/>
    </w:rPr>
  </w:style>
  <w:style w:type="character" w:styleId="FollowedHyperlink">
    <w:name w:val="FollowedHyperlink"/>
    <w:basedOn w:val="DefaultParagraphFont"/>
    <w:semiHidden/>
    <w:rsid w:val="00217C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21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17CC6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217CC6"/>
    <w:rPr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17CC6"/>
    <w:rPr>
      <w:lang w:val="x-none" w:eastAsia="en-US"/>
    </w:rPr>
  </w:style>
  <w:style w:type="paragraph" w:customStyle="1" w:styleId="Section451paragraph">
    <w:name w:val="Section 4.5.1 paragraph"/>
    <w:basedOn w:val="Normal"/>
    <w:qFormat/>
    <w:rsid w:val="00217CC6"/>
    <w:pPr>
      <w:numPr>
        <w:numId w:val="21"/>
      </w:numPr>
      <w:tabs>
        <w:tab w:val="left" w:pos="1134"/>
      </w:tabs>
      <w:spacing w:after="240" w:line="360" w:lineRule="auto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semiHidden/>
    <w:rsid w:val="00217CC6"/>
    <w:rPr>
      <w:sz w:val="16"/>
      <w:szCs w:val="16"/>
    </w:rPr>
  </w:style>
  <w:style w:type="character" w:styleId="FollowedHyperlink">
    <w:name w:val="FollowedHyperlink"/>
    <w:basedOn w:val="DefaultParagraphFont"/>
    <w:semiHidden/>
    <w:rsid w:val="0021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268A0A72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McAllister</dc:creator>
  <cp:lastModifiedBy>Vonda Murray</cp:lastModifiedBy>
  <cp:revision>4</cp:revision>
  <dcterms:created xsi:type="dcterms:W3CDTF">2016-07-28T11:22:00Z</dcterms:created>
  <dcterms:modified xsi:type="dcterms:W3CDTF">2016-07-28T12:37:00Z</dcterms:modified>
</cp:coreProperties>
</file>