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113" w:rsidRPr="007D1372" w:rsidRDefault="00FF5113" w:rsidP="007D1372">
      <w:pPr>
        <w:pStyle w:val="Heading1"/>
        <w:jc w:val="center"/>
        <w:rPr>
          <w:rFonts w:cs="Arial"/>
          <w:sz w:val="40"/>
          <w:szCs w:val="40"/>
        </w:rPr>
      </w:pPr>
      <w:r w:rsidRPr="007D1372">
        <w:rPr>
          <w:rFonts w:cs="Arial"/>
          <w:sz w:val="40"/>
          <w:szCs w:val="40"/>
        </w:rPr>
        <w:t>NATIONAL INSTITUTE FOR HEALTH AND CARE EXCELLENCE</w:t>
      </w:r>
    </w:p>
    <w:p w:rsidR="00FF5113" w:rsidRPr="0078563E" w:rsidRDefault="00FF5113" w:rsidP="00FF5113">
      <w:pPr>
        <w:pStyle w:val="Title"/>
        <w:spacing w:before="0" w:after="0"/>
        <w:rPr>
          <w:rFonts w:cs="Arial"/>
        </w:rPr>
      </w:pPr>
    </w:p>
    <w:p w:rsidR="00FF5113" w:rsidRPr="007D1372" w:rsidRDefault="00FF5113" w:rsidP="00FF5113">
      <w:pPr>
        <w:pStyle w:val="Title"/>
        <w:spacing w:before="0" w:after="0"/>
        <w:rPr>
          <w:rFonts w:cs="Arial"/>
          <w:sz w:val="44"/>
          <w:szCs w:val="44"/>
        </w:rPr>
      </w:pPr>
      <w:r w:rsidRPr="007D1372">
        <w:rPr>
          <w:rFonts w:cs="Arial"/>
          <w:sz w:val="44"/>
          <w:szCs w:val="44"/>
        </w:rPr>
        <w:t>NICE guidelines</w:t>
      </w:r>
    </w:p>
    <w:p w:rsidR="00FF5113" w:rsidRPr="0078563E" w:rsidRDefault="00FF5113" w:rsidP="00FF5113">
      <w:pPr>
        <w:pStyle w:val="Title"/>
        <w:spacing w:after="0"/>
        <w:rPr>
          <w:rFonts w:cs="Arial"/>
          <w:sz w:val="28"/>
          <w:szCs w:val="28"/>
        </w:rPr>
      </w:pPr>
    </w:p>
    <w:p w:rsidR="00FF5113" w:rsidRPr="007D1372" w:rsidRDefault="00FF5113" w:rsidP="00FF5113">
      <w:pPr>
        <w:pStyle w:val="Title"/>
        <w:spacing w:before="0" w:after="0"/>
        <w:rPr>
          <w:rFonts w:cs="Arial"/>
          <w:sz w:val="40"/>
          <w:szCs w:val="40"/>
        </w:rPr>
      </w:pPr>
      <w:r w:rsidRPr="007D1372">
        <w:rPr>
          <w:rFonts w:cs="Arial"/>
          <w:sz w:val="40"/>
          <w:szCs w:val="40"/>
        </w:rPr>
        <w:t>Equality impact assessment</w:t>
      </w:r>
    </w:p>
    <w:p w:rsidR="00FF5113" w:rsidRPr="007D1372" w:rsidRDefault="00FF5113" w:rsidP="00FF5113">
      <w:pPr>
        <w:pStyle w:val="Title"/>
        <w:spacing w:before="0" w:after="0"/>
        <w:rPr>
          <w:rFonts w:cs="Arial"/>
          <w:sz w:val="44"/>
          <w:szCs w:val="44"/>
        </w:rPr>
      </w:pPr>
    </w:p>
    <w:p w:rsidR="00FF5113" w:rsidRPr="007D1372" w:rsidRDefault="00FF5113" w:rsidP="00FF5113">
      <w:pPr>
        <w:pStyle w:val="Title"/>
        <w:rPr>
          <w:rFonts w:cs="Arial"/>
          <w:sz w:val="44"/>
          <w:szCs w:val="44"/>
        </w:rPr>
      </w:pPr>
      <w:r w:rsidRPr="007D1372">
        <w:rPr>
          <w:rFonts w:cs="Arial"/>
          <w:sz w:val="44"/>
          <w:szCs w:val="44"/>
        </w:rPr>
        <w:t>Cataracts in adults: management</w:t>
      </w:r>
    </w:p>
    <w:p w:rsidR="00FF5113" w:rsidRPr="0078563E" w:rsidRDefault="00FF5113" w:rsidP="00FF5113">
      <w:pPr>
        <w:pStyle w:val="Default"/>
        <w:spacing w:line="276" w:lineRule="auto"/>
        <w:rPr>
          <w:rFonts w:ascii="Arial" w:hAnsi="Arial" w:cs="Arial"/>
        </w:rPr>
      </w:pPr>
    </w:p>
    <w:p w:rsidR="00FF5113" w:rsidRPr="007D1372" w:rsidRDefault="00FF5113" w:rsidP="00FF5113">
      <w:pPr>
        <w:pStyle w:val="Paragraphnonumbers"/>
        <w:rPr>
          <w:rFonts w:cs="Arial"/>
          <w:sz w:val="32"/>
          <w:szCs w:val="32"/>
        </w:rPr>
      </w:pPr>
      <w:r w:rsidRPr="007D1372">
        <w:rPr>
          <w:rFonts w:cs="Arial"/>
          <w:sz w:val="32"/>
          <w:szCs w:val="32"/>
        </w:rPr>
        <w:t>The impact on equality has been assessed during guidance development according to the principles of the NICE equality policy.</w:t>
      </w:r>
    </w:p>
    <w:p w:rsidR="00FF5113" w:rsidRPr="007D1372" w:rsidRDefault="00FF5113" w:rsidP="00FF5113">
      <w:pPr>
        <w:pStyle w:val="Heading3"/>
        <w:spacing w:line="276" w:lineRule="auto"/>
        <w:rPr>
          <w:rFonts w:cs="Arial"/>
          <w:sz w:val="32"/>
          <w:szCs w:val="32"/>
        </w:rPr>
      </w:pPr>
      <w:r w:rsidRPr="007D1372">
        <w:rPr>
          <w:rFonts w:cs="Arial"/>
          <w:sz w:val="32"/>
          <w:szCs w:val="32"/>
        </w:rPr>
        <w:t xml:space="preserve">1.0 Scope: before consultation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5113" w:rsidRPr="007D1372" w:rsidTr="009C1745">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9026"/>
            </w:tblGrid>
            <w:tr w:rsidR="00FF5113" w:rsidRPr="007D1372" w:rsidTr="009C1745">
              <w:trPr>
                <w:trHeight w:val="429"/>
                <w:tblHeader/>
              </w:trPr>
              <w:tc>
                <w:tcPr>
                  <w:tcW w:w="0" w:type="auto"/>
                </w:tcPr>
                <w:p w:rsidR="00FF5113" w:rsidRPr="007D1372" w:rsidRDefault="00FF5113" w:rsidP="00FF5113">
                  <w:pPr>
                    <w:pStyle w:val="Paragraphnonumbers"/>
                    <w:framePr w:hSpace="180" w:wrap="around" w:vAnchor="text" w:hAnchor="text" w:y="237"/>
                    <w:numPr>
                      <w:ilvl w:val="1"/>
                      <w:numId w:val="25"/>
                    </w:numPr>
                    <w:spacing w:before="240"/>
                    <w:rPr>
                      <w:rFonts w:cs="Arial"/>
                      <w:sz w:val="32"/>
                      <w:szCs w:val="32"/>
                    </w:rPr>
                  </w:pPr>
                  <w:r w:rsidRPr="007D1372">
                    <w:rPr>
                      <w:rFonts w:cs="Arial"/>
                      <w:sz w:val="32"/>
                      <w:szCs w:val="32"/>
                    </w:rPr>
                    <w:t>Have any potential equality issues been identified during the development of the draft scope, before consultation, and, if so, what are they?</w:t>
                  </w:r>
                </w:p>
                <w:p w:rsidR="00FF5113" w:rsidRPr="007D1372" w:rsidRDefault="00FF5113" w:rsidP="009C1745">
                  <w:pPr>
                    <w:pStyle w:val="Paragraphnonumbers"/>
                    <w:framePr w:hSpace="180" w:wrap="around" w:vAnchor="text" w:hAnchor="text" w:y="237"/>
                    <w:spacing w:before="240"/>
                    <w:rPr>
                      <w:rFonts w:cs="Arial"/>
                      <w:sz w:val="32"/>
                      <w:szCs w:val="32"/>
                    </w:rPr>
                  </w:pPr>
                  <w:r w:rsidRPr="007D1372">
                    <w:rPr>
                      <w:rFonts w:cs="Arial"/>
                      <w:sz w:val="32"/>
                      <w:szCs w:val="32"/>
                    </w:rPr>
                    <w:t>(Please specify if the issue has been highlighted by a stakeholder)</w:t>
                  </w:r>
                </w:p>
              </w:tc>
            </w:tr>
          </w:tbl>
          <w:p w:rsidR="00FF5113" w:rsidRPr="007D1372" w:rsidRDefault="00FF5113" w:rsidP="009C1745">
            <w:pPr>
              <w:pStyle w:val="Default"/>
              <w:spacing w:line="276" w:lineRule="auto"/>
              <w:rPr>
                <w:rFonts w:ascii="Arial" w:hAnsi="Arial" w:cs="Arial"/>
                <w:sz w:val="32"/>
                <w:szCs w:val="32"/>
              </w:rPr>
            </w:pPr>
          </w:p>
        </w:tc>
      </w:tr>
      <w:tr w:rsidR="00FF5113" w:rsidRPr="007D1372" w:rsidTr="009C1745">
        <w:tc>
          <w:tcPr>
            <w:tcW w:w="9242" w:type="dxa"/>
            <w:shd w:val="clear" w:color="auto" w:fill="auto"/>
          </w:tcPr>
          <w:p w:rsidR="00FF5113" w:rsidRPr="007D1372" w:rsidRDefault="00FF5113" w:rsidP="009C1745">
            <w:pPr>
              <w:rPr>
                <w:rFonts w:ascii="Arial" w:hAnsi="Arial" w:cs="Arial"/>
                <w:spacing w:val="-3"/>
                <w:sz w:val="32"/>
                <w:szCs w:val="32"/>
                <w:lang w:eastAsia="en-US"/>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Potential equality issues centred around access to eye tests (diagnosis &amp; referral) were identified in relation to the following groups:</w:t>
            </w:r>
          </w:p>
          <w:p w:rsidR="00FF5113" w:rsidRPr="007D1372" w:rsidRDefault="00FF5113" w:rsidP="009C1745">
            <w:pPr>
              <w:rPr>
                <w:rFonts w:ascii="Arial" w:hAnsi="Arial" w:cs="Arial"/>
                <w:spacing w:val="-3"/>
                <w:sz w:val="32"/>
                <w:szCs w:val="32"/>
                <w:u w:val="single"/>
                <w:lang w:eastAsia="en-US"/>
              </w:rPr>
            </w:pPr>
          </w:p>
          <w:p w:rsidR="00FF5113" w:rsidRPr="007D1372" w:rsidRDefault="00FF5113" w:rsidP="009C1745">
            <w:pPr>
              <w:rPr>
                <w:rFonts w:ascii="Arial" w:hAnsi="Arial" w:cs="Arial"/>
                <w:spacing w:val="-3"/>
                <w:sz w:val="32"/>
                <w:szCs w:val="32"/>
                <w:u w:val="single"/>
                <w:lang w:eastAsia="en-US"/>
              </w:rPr>
            </w:pPr>
            <w:r w:rsidRPr="007D1372">
              <w:rPr>
                <w:rFonts w:ascii="Arial" w:hAnsi="Arial" w:cs="Arial"/>
                <w:spacing w:val="-3"/>
                <w:sz w:val="32"/>
                <w:szCs w:val="32"/>
                <w:u w:val="single"/>
                <w:lang w:eastAsia="en-US"/>
              </w:rPr>
              <w:t>Identified by stakeholder:</w:t>
            </w:r>
          </w:p>
          <w:p w:rsidR="00FF5113" w:rsidRPr="007D1372" w:rsidRDefault="00FF5113" w:rsidP="00FF5113">
            <w:pPr>
              <w:numPr>
                <w:ilvl w:val="0"/>
                <w:numId w:val="28"/>
              </w:numPr>
              <w:rPr>
                <w:rFonts w:ascii="Arial" w:hAnsi="Arial" w:cs="Arial"/>
                <w:spacing w:val="-3"/>
                <w:sz w:val="32"/>
                <w:szCs w:val="32"/>
                <w:lang w:eastAsia="en-US"/>
              </w:rPr>
            </w:pPr>
            <w:r w:rsidRPr="007D1372">
              <w:rPr>
                <w:rFonts w:ascii="Arial" w:hAnsi="Arial" w:cs="Arial"/>
                <w:spacing w:val="-3"/>
                <w:sz w:val="32"/>
                <w:szCs w:val="32"/>
                <w:lang w:eastAsia="en-US"/>
              </w:rPr>
              <w:t>people on a low income who are not eligible for free NHS eye tests</w:t>
            </w:r>
          </w:p>
          <w:p w:rsidR="00FF5113" w:rsidRPr="007D1372" w:rsidRDefault="00FF5113" w:rsidP="00FF5113">
            <w:pPr>
              <w:numPr>
                <w:ilvl w:val="0"/>
                <w:numId w:val="28"/>
              </w:numPr>
              <w:rPr>
                <w:rFonts w:ascii="Arial" w:hAnsi="Arial" w:cs="Arial"/>
                <w:spacing w:val="-3"/>
                <w:sz w:val="32"/>
                <w:szCs w:val="32"/>
                <w:lang w:eastAsia="en-US"/>
              </w:rPr>
            </w:pPr>
            <w:r w:rsidRPr="007D1372">
              <w:rPr>
                <w:rFonts w:ascii="Arial" w:hAnsi="Arial" w:cs="Arial"/>
                <w:spacing w:val="-3"/>
                <w:sz w:val="32"/>
                <w:szCs w:val="32"/>
                <w:lang w:eastAsia="en-US"/>
              </w:rPr>
              <w:t>people with impaired cognitive function or impaired mobility</w:t>
            </w:r>
          </w:p>
          <w:p w:rsidR="00FF5113" w:rsidRPr="007D1372" w:rsidRDefault="00FF5113" w:rsidP="00FF5113">
            <w:pPr>
              <w:numPr>
                <w:ilvl w:val="0"/>
                <w:numId w:val="28"/>
              </w:numPr>
              <w:rPr>
                <w:rFonts w:ascii="Arial" w:hAnsi="Arial" w:cs="Arial"/>
                <w:spacing w:val="-3"/>
                <w:sz w:val="32"/>
                <w:szCs w:val="32"/>
                <w:lang w:eastAsia="en-US"/>
              </w:rPr>
            </w:pPr>
            <w:r w:rsidRPr="007D1372">
              <w:rPr>
                <w:rFonts w:ascii="Arial" w:hAnsi="Arial" w:cs="Arial"/>
                <w:spacing w:val="-3"/>
                <w:sz w:val="32"/>
                <w:szCs w:val="32"/>
                <w:lang w:eastAsia="en-US"/>
              </w:rPr>
              <w:t>people in residential care</w:t>
            </w:r>
          </w:p>
          <w:p w:rsidR="00FF5113" w:rsidRPr="007D1372" w:rsidRDefault="00FF5113" w:rsidP="009C1745">
            <w:pPr>
              <w:rPr>
                <w:rFonts w:ascii="Arial" w:hAnsi="Arial" w:cs="Arial"/>
                <w:spacing w:val="-3"/>
                <w:sz w:val="32"/>
                <w:szCs w:val="32"/>
                <w:u w:val="single"/>
                <w:lang w:eastAsia="en-US"/>
              </w:rPr>
            </w:pPr>
            <w:r w:rsidRPr="007D1372">
              <w:rPr>
                <w:rFonts w:ascii="Arial" w:hAnsi="Arial" w:cs="Arial"/>
                <w:spacing w:val="-3"/>
                <w:sz w:val="32"/>
                <w:szCs w:val="32"/>
                <w:u w:val="single"/>
                <w:lang w:eastAsia="en-US"/>
              </w:rPr>
              <w:t>Identified during completion of the EIA document:</w:t>
            </w:r>
          </w:p>
          <w:p w:rsidR="00FF5113" w:rsidRPr="007D1372" w:rsidRDefault="00FF5113" w:rsidP="00FF5113">
            <w:pPr>
              <w:numPr>
                <w:ilvl w:val="0"/>
                <w:numId w:val="28"/>
              </w:numPr>
              <w:rPr>
                <w:rFonts w:ascii="Arial" w:hAnsi="Arial" w:cs="Arial"/>
                <w:spacing w:val="-3"/>
                <w:sz w:val="32"/>
                <w:szCs w:val="32"/>
                <w:lang w:eastAsia="en-US"/>
              </w:rPr>
            </w:pPr>
            <w:r w:rsidRPr="007D1372">
              <w:rPr>
                <w:rFonts w:ascii="Arial" w:hAnsi="Arial" w:cs="Arial"/>
                <w:spacing w:val="-3"/>
                <w:sz w:val="32"/>
                <w:szCs w:val="32"/>
                <w:lang w:eastAsia="en-US"/>
              </w:rPr>
              <w:t>people who are less likely to be registered with a GP due to their individual circumstances and therefore unable to access free NHS eye tests (refugees, asylum seekers, people who are homeless)</w:t>
            </w:r>
          </w:p>
          <w:p w:rsidR="00FF5113" w:rsidRPr="007D1372" w:rsidRDefault="00FF5113" w:rsidP="009C1745">
            <w:pPr>
              <w:rPr>
                <w:rFonts w:ascii="Arial" w:hAnsi="Arial" w:cs="Arial"/>
                <w:spacing w:val="-3"/>
                <w:sz w:val="32"/>
                <w:szCs w:val="32"/>
                <w:lang w:eastAsia="en-US"/>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The Stakeholder Workshop included questions around equality issues, including a specific question around access.</w:t>
            </w:r>
          </w:p>
          <w:p w:rsidR="00FF5113" w:rsidRPr="007D1372" w:rsidRDefault="00FF5113" w:rsidP="009C1745">
            <w:pPr>
              <w:rPr>
                <w:rFonts w:ascii="Arial" w:hAnsi="Arial" w:cs="Arial"/>
                <w:spacing w:val="-3"/>
                <w:sz w:val="32"/>
                <w:szCs w:val="32"/>
                <w:lang w:eastAsia="en-US"/>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During guideline development, relevant review protocols will consider social care issues that may impact on, diagnosis, access to treatment or clinical outcomes. These could include issues faced by people who are housebound and rely on either carer support or domiciliary services.</w:t>
            </w:r>
          </w:p>
          <w:p w:rsidR="00FF5113" w:rsidRPr="007D1372" w:rsidRDefault="00FF5113" w:rsidP="009C1745">
            <w:pPr>
              <w:rPr>
                <w:rFonts w:ascii="Arial" w:hAnsi="Arial" w:cs="Arial"/>
                <w:spacing w:val="-3"/>
                <w:sz w:val="32"/>
                <w:szCs w:val="32"/>
                <w:lang w:eastAsia="en-US"/>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 xml:space="preserve">The guideline also has the potential to improve the quality of care received by specific </w:t>
            </w:r>
            <w:r w:rsidRPr="007D1372">
              <w:rPr>
                <w:rFonts w:ascii="Arial" w:hAnsi="Arial" w:cs="Arial"/>
                <w:spacing w:val="-3"/>
                <w:sz w:val="32"/>
                <w:szCs w:val="32"/>
                <w:lang w:eastAsia="en-US"/>
              </w:rPr>
              <w:lastRenderedPageBreak/>
              <w:t>groups of people with the following protected/additional characteristics that have an increased prevalence</w:t>
            </w:r>
            <w:r w:rsidRPr="007D1372">
              <w:rPr>
                <w:rFonts w:ascii="Arial" w:hAnsi="Arial" w:cs="Arial"/>
                <w:spacing w:val="-3"/>
                <w:sz w:val="32"/>
                <w:szCs w:val="32"/>
                <w:vertAlign w:val="superscript"/>
                <w:lang w:eastAsia="en-US"/>
              </w:rPr>
              <w:footnoteReference w:id="1"/>
            </w:r>
            <w:r w:rsidRPr="007D1372">
              <w:rPr>
                <w:rFonts w:ascii="Arial" w:hAnsi="Arial" w:cs="Arial"/>
                <w:spacing w:val="-3"/>
                <w:sz w:val="32"/>
                <w:szCs w:val="32"/>
                <w:lang w:eastAsia="en-US"/>
              </w:rPr>
              <w:t xml:space="preserve"> or risk of cataracts:</w:t>
            </w:r>
          </w:p>
          <w:p w:rsidR="00FF5113" w:rsidRPr="007D1372" w:rsidRDefault="00FF5113" w:rsidP="00FF5113">
            <w:pPr>
              <w:numPr>
                <w:ilvl w:val="0"/>
                <w:numId w:val="29"/>
              </w:numPr>
              <w:rPr>
                <w:rFonts w:ascii="Arial" w:hAnsi="Arial" w:cs="Arial"/>
                <w:spacing w:val="-3"/>
                <w:sz w:val="32"/>
                <w:szCs w:val="32"/>
                <w:lang w:eastAsia="en-US"/>
              </w:rPr>
            </w:pPr>
            <w:r w:rsidRPr="007D1372">
              <w:rPr>
                <w:rFonts w:ascii="Arial" w:hAnsi="Arial" w:cs="Arial"/>
                <w:spacing w:val="-3"/>
                <w:sz w:val="32"/>
                <w:szCs w:val="32"/>
                <w:lang w:eastAsia="en-US"/>
              </w:rPr>
              <w:t>people of Asian, African and African/Caribbean family origin</w:t>
            </w:r>
          </w:p>
          <w:p w:rsidR="00FF5113" w:rsidRPr="007D1372" w:rsidRDefault="00FF5113" w:rsidP="00FF5113">
            <w:pPr>
              <w:numPr>
                <w:ilvl w:val="0"/>
                <w:numId w:val="29"/>
              </w:numPr>
              <w:rPr>
                <w:rFonts w:ascii="Arial" w:hAnsi="Arial" w:cs="Arial"/>
                <w:spacing w:val="-3"/>
                <w:sz w:val="32"/>
                <w:szCs w:val="32"/>
                <w:lang w:eastAsia="en-US"/>
              </w:rPr>
            </w:pPr>
            <w:r w:rsidRPr="007D1372">
              <w:rPr>
                <w:rFonts w:ascii="Arial" w:hAnsi="Arial" w:cs="Arial"/>
                <w:spacing w:val="-3"/>
                <w:sz w:val="32"/>
                <w:szCs w:val="32"/>
                <w:lang w:eastAsia="en-US"/>
              </w:rPr>
              <w:t>people from low socio-economic status groups</w:t>
            </w:r>
          </w:p>
          <w:p w:rsidR="00FF5113" w:rsidRPr="007D1372" w:rsidRDefault="00FF5113" w:rsidP="009C1745">
            <w:pPr>
              <w:ind w:left="720"/>
              <w:rPr>
                <w:rFonts w:ascii="Arial" w:hAnsi="Arial" w:cs="Arial"/>
                <w:spacing w:val="-3"/>
                <w:sz w:val="32"/>
                <w:szCs w:val="32"/>
                <w:lang w:eastAsia="en-US"/>
              </w:rPr>
            </w:pPr>
            <w:r w:rsidRPr="007D1372">
              <w:rPr>
                <w:rFonts w:ascii="Arial" w:hAnsi="Arial" w:cs="Arial"/>
                <w:spacing w:val="-3"/>
                <w:sz w:val="32"/>
                <w:szCs w:val="32"/>
                <w:lang w:eastAsia="en-US"/>
              </w:rPr>
              <w:t>Specific data on these subgroups will be analysed and where possible, presented separately. It is anticipated that the Guideline Committee would give specific consideration to these subgroups and possibly make caveats to recommendations depending on the available evidence or clinical experience.</w:t>
            </w:r>
          </w:p>
          <w:p w:rsidR="00FF5113" w:rsidRPr="007D1372" w:rsidRDefault="00FF5113" w:rsidP="009C1745">
            <w:pPr>
              <w:ind w:left="720"/>
              <w:rPr>
                <w:rFonts w:ascii="Arial" w:hAnsi="Arial" w:cs="Arial"/>
                <w:spacing w:val="-3"/>
                <w:sz w:val="32"/>
                <w:szCs w:val="32"/>
                <w:lang w:eastAsia="en-US"/>
              </w:rPr>
            </w:pPr>
          </w:p>
        </w:tc>
      </w:tr>
    </w:tbl>
    <w:p w:rsidR="00FF5113" w:rsidRPr="007D1372" w:rsidRDefault="00FF5113" w:rsidP="00FF5113">
      <w:pPr>
        <w:pStyle w:val="Paragraphnonumbers"/>
        <w:rPr>
          <w:rFonts w:cs="Arial"/>
          <w:b/>
          <w:sz w:val="32"/>
          <w:szCs w:val="32"/>
        </w:rPr>
      </w:pP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5113" w:rsidRPr="007D1372" w:rsidTr="009C1745">
        <w:trPr>
          <w:tblHeader/>
        </w:trPr>
        <w:tc>
          <w:tcPr>
            <w:tcW w:w="9242" w:type="dxa"/>
            <w:shd w:val="clear" w:color="auto" w:fill="auto"/>
          </w:tcPr>
          <w:p w:rsidR="00FF5113" w:rsidRPr="007D1372" w:rsidRDefault="00FF5113" w:rsidP="00FF5113">
            <w:pPr>
              <w:pStyle w:val="Default"/>
              <w:numPr>
                <w:ilvl w:val="1"/>
                <w:numId w:val="25"/>
              </w:numPr>
              <w:spacing w:before="240" w:after="240" w:line="276" w:lineRule="auto"/>
              <w:ind w:left="403" w:hanging="403"/>
              <w:rPr>
                <w:rFonts w:ascii="Arial" w:hAnsi="Arial" w:cs="Arial"/>
                <w:sz w:val="32"/>
                <w:szCs w:val="32"/>
              </w:rPr>
            </w:pPr>
            <w:r w:rsidRPr="007D1372">
              <w:rPr>
                <w:rFonts w:ascii="Arial" w:hAnsi="Arial" w:cs="Arial"/>
                <w:sz w:val="32"/>
                <w:szCs w:val="32"/>
              </w:rPr>
              <w:t>What is the preliminary view on the extent to which these potential equality issues need addressing by the Committee? For example, if population groups, treatments or settings are excluded from the scope, are these exclusions justified – that is, are the reasons legitimate and the exclusion proportionate?</w:t>
            </w:r>
          </w:p>
          <w:p w:rsidR="00FF5113" w:rsidRPr="007D1372" w:rsidRDefault="00FF5113" w:rsidP="009C1745">
            <w:pPr>
              <w:pStyle w:val="Default"/>
              <w:spacing w:line="276" w:lineRule="auto"/>
              <w:rPr>
                <w:rFonts w:ascii="Arial" w:hAnsi="Arial" w:cs="Arial"/>
                <w:sz w:val="32"/>
                <w:szCs w:val="32"/>
              </w:rPr>
            </w:pPr>
          </w:p>
        </w:tc>
      </w:tr>
      <w:tr w:rsidR="00FF5113" w:rsidRPr="007D1372" w:rsidTr="009C1745">
        <w:tc>
          <w:tcPr>
            <w:tcW w:w="9242" w:type="dxa"/>
            <w:shd w:val="clear" w:color="auto" w:fill="auto"/>
          </w:tcPr>
          <w:p w:rsidR="00FF5113" w:rsidRPr="007D1372" w:rsidRDefault="00FF5113" w:rsidP="009C1745">
            <w:pPr>
              <w:pStyle w:val="Default"/>
              <w:spacing w:line="276" w:lineRule="auto"/>
              <w:rPr>
                <w:rFonts w:ascii="Arial" w:hAnsi="Arial" w:cs="Arial"/>
                <w:sz w:val="32"/>
                <w:szCs w:val="32"/>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Exclusions identified as having the potential to increase inequalities are as follows:</w:t>
            </w:r>
          </w:p>
          <w:p w:rsidR="00FF5113" w:rsidRPr="007D1372" w:rsidRDefault="00FF5113" w:rsidP="00FF5113">
            <w:pPr>
              <w:numPr>
                <w:ilvl w:val="0"/>
                <w:numId w:val="29"/>
              </w:numPr>
              <w:rPr>
                <w:rFonts w:ascii="Arial" w:hAnsi="Arial" w:cs="Arial"/>
                <w:spacing w:val="-3"/>
                <w:sz w:val="32"/>
                <w:szCs w:val="32"/>
                <w:lang w:eastAsia="en-US"/>
              </w:rPr>
            </w:pPr>
            <w:r w:rsidRPr="007D1372">
              <w:rPr>
                <w:rFonts w:ascii="Arial" w:hAnsi="Arial" w:cs="Arial"/>
                <w:spacing w:val="-3"/>
                <w:sz w:val="32"/>
                <w:szCs w:val="32"/>
                <w:lang w:eastAsia="en-US"/>
              </w:rPr>
              <w:t>Children and young people (under the age of 18 years)</w:t>
            </w:r>
          </w:p>
          <w:p w:rsidR="00FF5113" w:rsidRPr="007D1372" w:rsidRDefault="00FF5113" w:rsidP="00FF5113">
            <w:pPr>
              <w:numPr>
                <w:ilvl w:val="0"/>
                <w:numId w:val="29"/>
              </w:numPr>
              <w:rPr>
                <w:rFonts w:ascii="Arial" w:hAnsi="Arial" w:cs="Arial"/>
                <w:spacing w:val="-3"/>
                <w:sz w:val="32"/>
                <w:szCs w:val="32"/>
                <w:lang w:eastAsia="en-US"/>
              </w:rPr>
            </w:pPr>
            <w:r w:rsidRPr="007D1372">
              <w:rPr>
                <w:rFonts w:ascii="Arial" w:hAnsi="Arial" w:cs="Arial"/>
                <w:spacing w:val="-3"/>
                <w:sz w:val="32"/>
                <w:szCs w:val="32"/>
                <w:lang w:eastAsia="en-US"/>
              </w:rPr>
              <w:t>Access to generic optometry care</w:t>
            </w:r>
          </w:p>
          <w:p w:rsidR="00FF5113" w:rsidRPr="007D1372" w:rsidRDefault="00FF5113" w:rsidP="009C1745">
            <w:pPr>
              <w:rPr>
                <w:rFonts w:ascii="Arial" w:hAnsi="Arial" w:cs="Arial"/>
                <w:spacing w:val="-3"/>
                <w:sz w:val="32"/>
                <w:szCs w:val="32"/>
                <w:lang w:eastAsia="en-US"/>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Early discussion suggested that it was reasonable to exclude children and young people under the age of 18 years. This was because the clinical management of this age group is significantly different and would arguably require its own clinical guideline.</w:t>
            </w:r>
          </w:p>
          <w:p w:rsidR="00FF5113" w:rsidRPr="007D1372" w:rsidRDefault="00FF5113" w:rsidP="009C1745">
            <w:pPr>
              <w:rPr>
                <w:rFonts w:ascii="Arial" w:hAnsi="Arial" w:cs="Arial"/>
                <w:spacing w:val="-3"/>
                <w:sz w:val="32"/>
                <w:szCs w:val="32"/>
                <w:lang w:eastAsia="en-US"/>
              </w:rPr>
            </w:pPr>
          </w:p>
          <w:p w:rsidR="00FF5113" w:rsidRPr="007D1372" w:rsidRDefault="00FF5113" w:rsidP="009C1745">
            <w:pPr>
              <w:rPr>
                <w:rFonts w:ascii="Arial" w:hAnsi="Arial" w:cs="Arial"/>
                <w:spacing w:val="-3"/>
                <w:sz w:val="32"/>
                <w:szCs w:val="32"/>
                <w:lang w:eastAsia="en-US"/>
              </w:rPr>
            </w:pPr>
            <w:r w:rsidRPr="007D1372">
              <w:rPr>
                <w:rFonts w:ascii="Arial" w:hAnsi="Arial" w:cs="Arial"/>
                <w:spacing w:val="-3"/>
                <w:sz w:val="32"/>
                <w:szCs w:val="32"/>
                <w:lang w:eastAsia="en-US"/>
              </w:rPr>
              <w:t xml:space="preserve">Discussion about equality of access at the stakeholder workshop confirmed that issues of access are not specific to cataracts and form part of a wider issue of access to community based eye care.  Stakeholders suggested that, whilst there is potential for inequality of access to eye care (&amp; therefore diagnosis) little clear evidence exists in this area, which would make it unfeasible to make clear recommendations regarding improved access.  In conclusion it was agreed that access to generic optometry care was outside the remit of the Cataracts Guideline and should therefore not be included within the Scope. </w:t>
            </w:r>
          </w:p>
          <w:p w:rsidR="00FF5113" w:rsidRPr="007D1372" w:rsidRDefault="00FF5113" w:rsidP="009C1745">
            <w:pPr>
              <w:pStyle w:val="Default"/>
              <w:spacing w:after="240" w:line="276" w:lineRule="auto"/>
              <w:rPr>
                <w:rFonts w:ascii="Arial" w:hAnsi="Arial" w:cs="Arial"/>
                <w:sz w:val="32"/>
                <w:szCs w:val="32"/>
              </w:rPr>
            </w:pPr>
          </w:p>
        </w:tc>
      </w:tr>
    </w:tbl>
    <w:p w:rsidR="00FF5113" w:rsidRDefault="00FF5113" w:rsidP="00FF5113">
      <w:pPr>
        <w:pStyle w:val="Heading3"/>
        <w:spacing w:line="276" w:lineRule="auto"/>
        <w:rPr>
          <w:rFonts w:cs="Arial"/>
          <w:bCs w:val="0"/>
          <w:szCs w:val="24"/>
        </w:rPr>
      </w:pPr>
    </w:p>
    <w:p w:rsidR="00FF5113" w:rsidRDefault="00FF5113" w:rsidP="00FF5113">
      <w:pPr>
        <w:pStyle w:val="Paragraphnonumbers"/>
      </w:pPr>
      <w:r>
        <w:br w:type="page"/>
      </w:r>
    </w:p>
    <w:p w:rsidR="00FF5113" w:rsidRPr="007D1372" w:rsidRDefault="00FF5113" w:rsidP="00FF5113">
      <w:pPr>
        <w:pStyle w:val="Heading3"/>
        <w:spacing w:line="276" w:lineRule="auto"/>
        <w:rPr>
          <w:rFonts w:cs="Arial"/>
          <w:sz w:val="32"/>
          <w:szCs w:val="32"/>
        </w:rPr>
      </w:pPr>
      <w:r w:rsidRPr="007D1372">
        <w:rPr>
          <w:rFonts w:cs="Arial"/>
          <w:sz w:val="32"/>
          <w:szCs w:val="32"/>
        </w:rPr>
        <w:lastRenderedPageBreak/>
        <w:t xml:space="preserve">2.0 Scope: after consultation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5113" w:rsidRPr="007D1372" w:rsidTr="009C1745">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9026"/>
            </w:tblGrid>
            <w:tr w:rsidR="00FF5113" w:rsidRPr="007D1372" w:rsidTr="009C1745">
              <w:trPr>
                <w:trHeight w:val="429"/>
                <w:tblHeader/>
              </w:trPr>
              <w:tc>
                <w:tcPr>
                  <w:tcW w:w="0" w:type="auto"/>
                </w:tcPr>
                <w:p w:rsidR="00FF5113" w:rsidRPr="007D1372" w:rsidRDefault="00FF5113" w:rsidP="00FF5113">
                  <w:pPr>
                    <w:pStyle w:val="Paragraphnonumbers"/>
                    <w:framePr w:hSpace="180" w:wrap="around" w:vAnchor="text" w:hAnchor="text" w:y="237"/>
                    <w:numPr>
                      <w:ilvl w:val="1"/>
                      <w:numId w:val="26"/>
                    </w:numPr>
                    <w:spacing w:before="240"/>
                    <w:rPr>
                      <w:rFonts w:cs="Arial"/>
                      <w:sz w:val="32"/>
                      <w:szCs w:val="32"/>
                    </w:rPr>
                  </w:pPr>
                  <w:r w:rsidRPr="007D1372">
                    <w:rPr>
                      <w:rFonts w:cs="Arial"/>
                      <w:sz w:val="32"/>
                      <w:szCs w:val="32"/>
                    </w:rPr>
                    <w:t>Have any potential equality issues been identified during consultation, and, if so, what are they?</w:t>
                  </w:r>
                </w:p>
              </w:tc>
            </w:tr>
          </w:tbl>
          <w:p w:rsidR="00FF5113" w:rsidRPr="007D1372" w:rsidRDefault="00FF5113" w:rsidP="009C1745">
            <w:pPr>
              <w:pStyle w:val="Default"/>
              <w:spacing w:line="276" w:lineRule="auto"/>
              <w:rPr>
                <w:rFonts w:ascii="Arial" w:hAnsi="Arial" w:cs="Arial"/>
                <w:sz w:val="32"/>
                <w:szCs w:val="32"/>
              </w:rPr>
            </w:pPr>
          </w:p>
        </w:tc>
      </w:tr>
      <w:tr w:rsidR="00FF5113" w:rsidRPr="007D1372" w:rsidTr="009C1745">
        <w:tc>
          <w:tcPr>
            <w:tcW w:w="9242" w:type="dxa"/>
            <w:shd w:val="clear" w:color="auto" w:fill="auto"/>
          </w:tcPr>
          <w:p w:rsidR="00FF5113" w:rsidRPr="007D1372" w:rsidRDefault="00FF5113" w:rsidP="009C1745">
            <w:pPr>
              <w:pStyle w:val="Default"/>
              <w:spacing w:line="276" w:lineRule="auto"/>
              <w:rPr>
                <w:rFonts w:ascii="Arial" w:hAnsi="Arial" w:cs="Arial"/>
                <w:sz w:val="32"/>
                <w:szCs w:val="32"/>
              </w:rPr>
            </w:pPr>
          </w:p>
          <w:p w:rsidR="00FF5113" w:rsidRPr="007D1372" w:rsidRDefault="00FF5113" w:rsidP="009C1745">
            <w:pPr>
              <w:pStyle w:val="Default"/>
              <w:spacing w:line="276" w:lineRule="auto"/>
              <w:rPr>
                <w:rFonts w:ascii="Arial" w:hAnsi="Arial" w:cs="Arial"/>
                <w:sz w:val="32"/>
                <w:szCs w:val="32"/>
              </w:rPr>
            </w:pPr>
            <w:r w:rsidRPr="007D1372">
              <w:rPr>
                <w:rFonts w:ascii="Arial" w:hAnsi="Arial" w:cs="Arial"/>
                <w:sz w:val="32"/>
                <w:szCs w:val="32"/>
              </w:rPr>
              <w:t>The following potential equality issues were identified during consultation:</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Explicit consideration of the needs of people with learning disabilities</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People who live alone / do not have access to social support</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Young people (under 18s)</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Older adults with cataracts</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People with disabilities (physical &amp; sensory)</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People whose first language is not English</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People with particular religious or cultural beliefs that may affect treatment</w:t>
            </w:r>
          </w:p>
          <w:p w:rsidR="00FF5113" w:rsidRPr="007D1372" w:rsidRDefault="00FF5113" w:rsidP="00FF5113">
            <w:pPr>
              <w:pStyle w:val="Default"/>
              <w:numPr>
                <w:ilvl w:val="0"/>
                <w:numId w:val="30"/>
              </w:numPr>
              <w:spacing w:line="276" w:lineRule="auto"/>
              <w:rPr>
                <w:rFonts w:ascii="Arial" w:hAnsi="Arial" w:cs="Arial"/>
                <w:sz w:val="32"/>
                <w:szCs w:val="32"/>
              </w:rPr>
            </w:pPr>
            <w:r w:rsidRPr="007D1372">
              <w:rPr>
                <w:rFonts w:ascii="Arial" w:hAnsi="Arial" w:cs="Arial"/>
                <w:sz w:val="32"/>
                <w:szCs w:val="32"/>
              </w:rPr>
              <w:t>Recognition of NICE’s responsibility to ensure that the guideline is culturally appropriate and accessible to people with physical, sensory and learning disabilities, and to people whose first language is not English</w:t>
            </w:r>
          </w:p>
          <w:p w:rsidR="00FF5113" w:rsidRPr="007D1372" w:rsidRDefault="00FF5113" w:rsidP="009C1745">
            <w:pPr>
              <w:pStyle w:val="Default"/>
              <w:spacing w:line="276" w:lineRule="auto"/>
              <w:rPr>
                <w:rFonts w:ascii="Arial" w:hAnsi="Arial" w:cs="Arial"/>
                <w:sz w:val="32"/>
                <w:szCs w:val="32"/>
              </w:rPr>
            </w:pPr>
          </w:p>
        </w:tc>
      </w:tr>
    </w:tbl>
    <w:p w:rsidR="00FF5113" w:rsidRPr="007D1372" w:rsidRDefault="00FF5113" w:rsidP="00FF5113">
      <w:pPr>
        <w:pStyle w:val="Paragraphnonumbers"/>
        <w:spacing w:after="0"/>
        <w:rPr>
          <w:rFonts w:cs="Arial"/>
          <w:sz w:val="32"/>
          <w:szCs w:val="32"/>
        </w:rPr>
      </w:pPr>
    </w:p>
    <w:p w:rsidR="00FF5113" w:rsidRPr="007D1372" w:rsidRDefault="00FF5113" w:rsidP="00FF5113">
      <w:pPr>
        <w:pStyle w:val="Paragraphnonumbers"/>
        <w:spacing w:after="0"/>
        <w:rPr>
          <w:rFonts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5113" w:rsidRPr="007D1372" w:rsidTr="009C1745">
        <w:tc>
          <w:tcPr>
            <w:tcW w:w="9242" w:type="dxa"/>
            <w:shd w:val="clear" w:color="auto" w:fill="auto"/>
          </w:tcPr>
          <w:p w:rsidR="00FF5113" w:rsidRPr="007D1372" w:rsidRDefault="00FF5113" w:rsidP="00FF5113">
            <w:pPr>
              <w:pStyle w:val="Paragraphnonumbers"/>
              <w:numPr>
                <w:ilvl w:val="1"/>
                <w:numId w:val="22"/>
              </w:numPr>
              <w:spacing w:before="240"/>
              <w:rPr>
                <w:rFonts w:cs="Arial"/>
                <w:sz w:val="32"/>
                <w:szCs w:val="32"/>
              </w:rPr>
            </w:pPr>
            <w:r w:rsidRPr="007D1372">
              <w:rPr>
                <w:rFonts w:cs="Arial"/>
                <w:sz w:val="32"/>
                <w:szCs w:val="32"/>
              </w:rPr>
              <w:t>Have any changes to the scope been made as a result of consultation to highlight potential equality issues?</w:t>
            </w:r>
          </w:p>
        </w:tc>
      </w:tr>
      <w:tr w:rsidR="00FF5113" w:rsidRPr="007D1372" w:rsidTr="009C1745">
        <w:tc>
          <w:tcPr>
            <w:tcW w:w="9242" w:type="dxa"/>
            <w:shd w:val="clear" w:color="auto" w:fill="auto"/>
          </w:tcPr>
          <w:p w:rsidR="00FF5113" w:rsidRPr="007D1372" w:rsidRDefault="00FF5113" w:rsidP="009C1745">
            <w:pPr>
              <w:pStyle w:val="Paragraphnonumbers"/>
              <w:spacing w:after="0"/>
              <w:rPr>
                <w:rFonts w:cs="Arial"/>
                <w:sz w:val="32"/>
                <w:szCs w:val="32"/>
              </w:rPr>
            </w:pPr>
          </w:p>
          <w:p w:rsidR="00FF5113" w:rsidRPr="007D1372" w:rsidRDefault="00FF5113" w:rsidP="009C1745">
            <w:pPr>
              <w:pStyle w:val="Paragraphnonumbers"/>
              <w:spacing w:after="0"/>
              <w:rPr>
                <w:rFonts w:cs="Arial"/>
                <w:sz w:val="32"/>
                <w:szCs w:val="32"/>
              </w:rPr>
            </w:pPr>
            <w:r w:rsidRPr="007D1372">
              <w:rPr>
                <w:rFonts w:cs="Arial"/>
                <w:sz w:val="32"/>
                <w:szCs w:val="32"/>
              </w:rPr>
              <w:t>The majority of potential equality issues identified through consultation had already been considered within the draft scope.  However, after consideration of the comments made, the following changes were made:</w:t>
            </w:r>
          </w:p>
          <w:p w:rsidR="00FF5113" w:rsidRPr="007D1372" w:rsidRDefault="00FF5113" w:rsidP="00FF5113">
            <w:pPr>
              <w:pStyle w:val="Paragraphnonumbers"/>
              <w:numPr>
                <w:ilvl w:val="0"/>
                <w:numId w:val="31"/>
              </w:numPr>
              <w:spacing w:after="0"/>
              <w:rPr>
                <w:rFonts w:cs="Arial"/>
                <w:sz w:val="32"/>
                <w:szCs w:val="32"/>
              </w:rPr>
            </w:pPr>
            <w:r w:rsidRPr="007D1372">
              <w:rPr>
                <w:rFonts w:cs="Arial"/>
                <w:sz w:val="32"/>
                <w:szCs w:val="32"/>
              </w:rPr>
              <w:t>People with learning disabilities have been included as a separate group in sections 1.1 ‘Who is the focus?’ and section 3.1 ‘Key facts and figures’</w:t>
            </w:r>
          </w:p>
          <w:p w:rsidR="00FF5113" w:rsidRPr="007D1372" w:rsidRDefault="00FF5113" w:rsidP="00FF5113">
            <w:pPr>
              <w:pStyle w:val="Paragraphnonumbers"/>
              <w:numPr>
                <w:ilvl w:val="0"/>
                <w:numId w:val="31"/>
              </w:numPr>
              <w:spacing w:after="0"/>
              <w:rPr>
                <w:rFonts w:cs="Arial"/>
                <w:sz w:val="32"/>
                <w:szCs w:val="32"/>
              </w:rPr>
            </w:pPr>
            <w:r w:rsidRPr="007D1372">
              <w:rPr>
                <w:rFonts w:cs="Arial"/>
                <w:sz w:val="32"/>
                <w:szCs w:val="32"/>
              </w:rPr>
              <w:t>The rationale for not including the under 18s within the scope of the guideline has been included in section 1.1 ‘Who is the focus?’</w:t>
            </w:r>
          </w:p>
          <w:p w:rsidR="00FF5113" w:rsidRPr="007D1372" w:rsidRDefault="00FF5113" w:rsidP="00FF5113">
            <w:pPr>
              <w:pStyle w:val="Paragraphnonumbers"/>
              <w:numPr>
                <w:ilvl w:val="0"/>
                <w:numId w:val="31"/>
              </w:numPr>
              <w:spacing w:after="0"/>
              <w:rPr>
                <w:rFonts w:cs="Arial"/>
                <w:sz w:val="32"/>
                <w:szCs w:val="32"/>
              </w:rPr>
            </w:pPr>
            <w:r w:rsidRPr="007D1372">
              <w:rPr>
                <w:rFonts w:cs="Arial"/>
                <w:sz w:val="32"/>
                <w:szCs w:val="32"/>
              </w:rPr>
              <w:t>Relevant sections of the scope have also be amended to emphasise the importance of considering the care needs of people with cataracts, including those populations listed in section 1.1</w:t>
            </w:r>
          </w:p>
          <w:p w:rsidR="00FF5113" w:rsidRPr="007D1372" w:rsidRDefault="00FF5113" w:rsidP="009C1745">
            <w:pPr>
              <w:pStyle w:val="Paragraphnonumbers"/>
              <w:rPr>
                <w:rFonts w:cs="Arial"/>
                <w:sz w:val="32"/>
                <w:szCs w:val="32"/>
              </w:rPr>
            </w:pPr>
          </w:p>
          <w:p w:rsidR="00FF5113" w:rsidRPr="007D1372" w:rsidRDefault="00FF5113" w:rsidP="009C1745">
            <w:pPr>
              <w:pStyle w:val="Paragraphnonumbers"/>
              <w:rPr>
                <w:rFonts w:cs="Arial"/>
                <w:sz w:val="32"/>
                <w:szCs w:val="32"/>
              </w:rPr>
            </w:pPr>
            <w:r w:rsidRPr="007D1372">
              <w:rPr>
                <w:rFonts w:cs="Arial"/>
                <w:sz w:val="32"/>
                <w:szCs w:val="32"/>
              </w:rPr>
              <w:t xml:space="preserve">In addition, following scope consultation, it was agreed that access to general optometric care would not be included. </w:t>
            </w:r>
          </w:p>
          <w:p w:rsidR="00FF5113" w:rsidRPr="007D1372" w:rsidRDefault="00FF5113" w:rsidP="009C1745">
            <w:pPr>
              <w:pStyle w:val="Paragraphnonumbers"/>
              <w:rPr>
                <w:rFonts w:cs="Arial"/>
                <w:sz w:val="32"/>
                <w:szCs w:val="32"/>
              </w:rPr>
            </w:pPr>
            <w:r w:rsidRPr="007D1372">
              <w:rPr>
                <w:rFonts w:cs="Arial"/>
                <w:sz w:val="32"/>
                <w:szCs w:val="32"/>
              </w:rPr>
              <w:t>Given that management is not different depending on whether the person is Asian, African and African/Caribbean family origin or from low socio-economic status groups, these two subgroups have been removed from the scope.</w:t>
            </w:r>
          </w:p>
        </w:tc>
      </w:tr>
    </w:tbl>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5113" w:rsidRPr="007D1372" w:rsidTr="009C1745">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9026"/>
            </w:tblGrid>
            <w:tr w:rsidR="00FF5113" w:rsidRPr="007D1372" w:rsidTr="009C1745">
              <w:trPr>
                <w:trHeight w:val="429"/>
                <w:tblHeader/>
              </w:trPr>
              <w:tc>
                <w:tcPr>
                  <w:tcW w:w="0" w:type="auto"/>
                </w:tcPr>
                <w:p w:rsidR="00FF5113" w:rsidRPr="007D1372" w:rsidRDefault="00FF5113" w:rsidP="00FF5113">
                  <w:pPr>
                    <w:pStyle w:val="Paragraphnonumbers"/>
                    <w:framePr w:hSpace="180" w:wrap="around" w:vAnchor="text" w:hAnchor="text" w:y="237"/>
                    <w:numPr>
                      <w:ilvl w:val="1"/>
                      <w:numId w:val="22"/>
                    </w:numPr>
                    <w:spacing w:before="240"/>
                    <w:rPr>
                      <w:rFonts w:cs="Arial"/>
                      <w:sz w:val="32"/>
                      <w:szCs w:val="32"/>
                    </w:rPr>
                  </w:pPr>
                  <w:r w:rsidRPr="007D1372">
                    <w:rPr>
                      <w:rFonts w:cs="Arial"/>
                      <w:sz w:val="32"/>
                      <w:szCs w:val="32"/>
                    </w:rPr>
                    <w:lastRenderedPageBreak/>
                    <w:t xml:space="preserve">Is the primary focus of the guideline a population with a specific disability-related communication need?  </w:t>
                  </w:r>
                </w:p>
                <w:p w:rsidR="00FF5113" w:rsidRPr="007D1372" w:rsidRDefault="00FF5113" w:rsidP="009C1745">
                  <w:pPr>
                    <w:pStyle w:val="Paragraphnonumbers"/>
                    <w:framePr w:hSpace="180" w:wrap="around" w:vAnchor="text" w:hAnchor="text" w:y="237"/>
                    <w:spacing w:before="240"/>
                    <w:ind w:left="360"/>
                    <w:rPr>
                      <w:rFonts w:cs="Arial"/>
                      <w:sz w:val="32"/>
                      <w:szCs w:val="32"/>
                    </w:rPr>
                  </w:pPr>
                  <w:r w:rsidRPr="007D1372">
                    <w:rPr>
                      <w:rFonts w:cs="Arial"/>
                      <w:sz w:val="32"/>
                      <w:szCs w:val="32"/>
                    </w:rPr>
                    <w:t xml:space="preserve">If so, is an alternative version of the ‘Information for the Public’ document recommended? </w:t>
                  </w:r>
                  <w:r w:rsidRPr="007D1372">
                    <w:rPr>
                      <w:rFonts w:cs="Arial"/>
                      <w:sz w:val="32"/>
                      <w:szCs w:val="32"/>
                    </w:rPr>
                    <w:br/>
                  </w:r>
                  <w:r w:rsidRPr="007D1372">
                    <w:rPr>
                      <w:rFonts w:cs="Arial"/>
                      <w:sz w:val="32"/>
                      <w:szCs w:val="32"/>
                    </w:rPr>
                    <w:br/>
                    <w:t xml:space="preserve">If so, which alternative version is recommended?  </w:t>
                  </w:r>
                  <w:r w:rsidRPr="007D1372">
                    <w:rPr>
                      <w:rFonts w:cs="Arial"/>
                      <w:sz w:val="32"/>
                      <w:szCs w:val="32"/>
                    </w:rPr>
                    <w:br/>
                  </w:r>
                  <w:r w:rsidRPr="007D1372">
                    <w:rPr>
                      <w:rFonts w:cs="Arial"/>
                      <w:sz w:val="32"/>
                      <w:szCs w:val="32"/>
                    </w:rPr>
                    <w:br/>
                    <w:t xml:space="preserve">The alternative versions available are: </w:t>
                  </w:r>
                </w:p>
                <w:p w:rsidR="00FF5113" w:rsidRPr="007D1372" w:rsidRDefault="00FF5113" w:rsidP="00FF5113">
                  <w:pPr>
                    <w:pStyle w:val="Paragraphnonumbers"/>
                    <w:framePr w:hSpace="180" w:wrap="around" w:vAnchor="text" w:hAnchor="text" w:y="237"/>
                    <w:numPr>
                      <w:ilvl w:val="0"/>
                      <w:numId w:val="21"/>
                    </w:numPr>
                    <w:spacing w:before="240"/>
                    <w:rPr>
                      <w:rFonts w:cs="Arial"/>
                      <w:sz w:val="32"/>
                      <w:szCs w:val="32"/>
                    </w:rPr>
                  </w:pPr>
                  <w:r w:rsidRPr="007D1372">
                    <w:rPr>
                      <w:rFonts w:cs="Arial"/>
                      <w:sz w:val="32"/>
                      <w:szCs w:val="32"/>
                    </w:rPr>
                    <w:t xml:space="preserve">large font or audio versions for a population with sight loss; </w:t>
                  </w:r>
                </w:p>
                <w:p w:rsidR="00FF5113" w:rsidRPr="007D1372" w:rsidRDefault="00FF5113" w:rsidP="00FF5113">
                  <w:pPr>
                    <w:pStyle w:val="Paragraphnonumbers"/>
                    <w:framePr w:hSpace="180" w:wrap="around" w:vAnchor="text" w:hAnchor="text" w:y="237"/>
                    <w:numPr>
                      <w:ilvl w:val="0"/>
                      <w:numId w:val="21"/>
                    </w:numPr>
                    <w:spacing w:before="240"/>
                    <w:rPr>
                      <w:rFonts w:cs="Arial"/>
                      <w:sz w:val="32"/>
                      <w:szCs w:val="32"/>
                    </w:rPr>
                  </w:pPr>
                  <w:r w:rsidRPr="007D1372">
                    <w:rPr>
                      <w:rFonts w:cs="Arial"/>
                      <w:sz w:val="32"/>
                      <w:szCs w:val="32"/>
                    </w:rPr>
                    <w:t xml:space="preserve">British Sign Language videos for a population who are deaf from birth; </w:t>
                  </w:r>
                </w:p>
                <w:p w:rsidR="00FF5113" w:rsidRPr="007D1372" w:rsidRDefault="00FF5113" w:rsidP="00FF5113">
                  <w:pPr>
                    <w:pStyle w:val="Paragraphnonumbers"/>
                    <w:framePr w:hSpace="180" w:wrap="around" w:vAnchor="text" w:hAnchor="text" w:y="237"/>
                    <w:numPr>
                      <w:ilvl w:val="0"/>
                      <w:numId w:val="21"/>
                    </w:numPr>
                    <w:spacing w:before="240"/>
                    <w:rPr>
                      <w:rFonts w:cs="Arial"/>
                      <w:sz w:val="32"/>
                      <w:szCs w:val="32"/>
                    </w:rPr>
                  </w:pPr>
                  <w:r w:rsidRPr="007D1372">
                    <w:rPr>
                      <w:rFonts w:cs="Arial"/>
                      <w:sz w:val="32"/>
                      <w:szCs w:val="32"/>
                    </w:rPr>
                    <w:t>‘Easy read’ versions for people with learning disabilities or cognitive impairment.</w:t>
                  </w:r>
                </w:p>
              </w:tc>
            </w:tr>
          </w:tbl>
          <w:p w:rsidR="00FF5113" w:rsidRPr="007D1372" w:rsidRDefault="00FF5113" w:rsidP="009C1745">
            <w:pPr>
              <w:pStyle w:val="Default"/>
              <w:spacing w:line="276" w:lineRule="auto"/>
              <w:rPr>
                <w:rFonts w:ascii="Arial" w:hAnsi="Arial" w:cs="Arial"/>
                <w:sz w:val="32"/>
                <w:szCs w:val="32"/>
              </w:rPr>
            </w:pPr>
          </w:p>
        </w:tc>
      </w:tr>
      <w:tr w:rsidR="00FF5113" w:rsidRPr="007D1372" w:rsidTr="009C1745">
        <w:tc>
          <w:tcPr>
            <w:tcW w:w="9242" w:type="dxa"/>
            <w:shd w:val="clear" w:color="auto" w:fill="auto"/>
          </w:tcPr>
          <w:p w:rsidR="00FF5113" w:rsidRPr="007D1372" w:rsidRDefault="00FF5113" w:rsidP="009C1745">
            <w:pPr>
              <w:pStyle w:val="Default"/>
              <w:spacing w:line="276" w:lineRule="auto"/>
              <w:rPr>
                <w:rFonts w:ascii="Arial" w:hAnsi="Arial" w:cs="Arial"/>
                <w:sz w:val="32"/>
                <w:szCs w:val="32"/>
              </w:rPr>
            </w:pPr>
          </w:p>
          <w:p w:rsidR="00FF5113" w:rsidRPr="007D1372" w:rsidRDefault="00FF5113" w:rsidP="00FF5113">
            <w:pPr>
              <w:pStyle w:val="Default"/>
              <w:spacing w:line="276" w:lineRule="auto"/>
              <w:rPr>
                <w:rFonts w:ascii="Arial" w:hAnsi="Arial" w:cs="Arial"/>
                <w:sz w:val="32"/>
                <w:szCs w:val="32"/>
              </w:rPr>
            </w:pPr>
            <w:r w:rsidRPr="007D1372">
              <w:rPr>
                <w:rFonts w:ascii="Arial" w:hAnsi="Arial" w:cs="Arial"/>
                <w:sz w:val="32"/>
                <w:szCs w:val="32"/>
              </w:rPr>
              <w:t>As the guideline is focused on a population with a diagnosed visual impairment, it is recommended that an alternative version of the ‘Information for the Public’ document should be produced in large font.  Additional detailed suggestions made through the consultation process, regarding accessibility of the guideline, will be forwarded to the relevant communications teams within NICE for consideration.</w:t>
            </w:r>
          </w:p>
          <w:p w:rsidR="00FF5113" w:rsidRPr="007D1372" w:rsidRDefault="00FF5113" w:rsidP="00FF5113">
            <w:pPr>
              <w:pStyle w:val="Default"/>
              <w:spacing w:line="276" w:lineRule="auto"/>
              <w:rPr>
                <w:rFonts w:ascii="Arial" w:hAnsi="Arial" w:cs="Arial"/>
                <w:sz w:val="32"/>
                <w:szCs w:val="32"/>
              </w:rPr>
            </w:pPr>
          </w:p>
        </w:tc>
      </w:tr>
    </w:tbl>
    <w:p w:rsidR="00443081" w:rsidRPr="007D1372" w:rsidRDefault="00FF5113" w:rsidP="00FF5113">
      <w:pPr>
        <w:pStyle w:val="Paragraphnonumbers"/>
        <w:rPr>
          <w:sz w:val="32"/>
          <w:szCs w:val="32"/>
        </w:rPr>
      </w:pPr>
      <w:r w:rsidRPr="007D1372">
        <w:rPr>
          <w:sz w:val="32"/>
          <w:szCs w:val="32"/>
        </w:rPr>
        <w:t xml:space="preserve"> </w:t>
      </w:r>
      <w:bookmarkStart w:id="0" w:name="_GoBack"/>
      <w:bookmarkEnd w:id="0"/>
    </w:p>
    <w:sectPr w:rsidR="00443081" w:rsidRPr="007D1372" w:rsidSect="001714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13" w:rsidRDefault="00FF5113" w:rsidP="00446BEE">
      <w:r>
        <w:separator/>
      </w:r>
    </w:p>
  </w:endnote>
  <w:endnote w:type="continuationSeparator" w:id="0">
    <w:p w:rsidR="00FF5113" w:rsidRDefault="00FF511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EE" w:rsidRDefault="00446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13" w:rsidRDefault="00FF5113" w:rsidP="00446BEE">
      <w:r>
        <w:separator/>
      </w:r>
    </w:p>
  </w:footnote>
  <w:footnote w:type="continuationSeparator" w:id="0">
    <w:p w:rsidR="00FF5113" w:rsidRDefault="00FF5113" w:rsidP="00446BEE">
      <w:r>
        <w:continuationSeparator/>
      </w:r>
    </w:p>
  </w:footnote>
  <w:footnote w:id="1">
    <w:p w:rsidR="00FF5113" w:rsidRPr="007D1372" w:rsidRDefault="00FF5113" w:rsidP="00FF5113">
      <w:pPr>
        <w:pStyle w:val="FootnoteText"/>
        <w:rPr>
          <w:sz w:val="32"/>
          <w:szCs w:val="32"/>
        </w:rPr>
      </w:pPr>
      <w:r w:rsidRPr="007D1372">
        <w:rPr>
          <w:rStyle w:val="FootnoteReference"/>
          <w:sz w:val="32"/>
          <w:szCs w:val="32"/>
        </w:rPr>
        <w:footnoteRef/>
      </w:r>
      <w:r w:rsidRPr="007D1372">
        <w:rPr>
          <w:sz w:val="32"/>
          <w:szCs w:val="32"/>
        </w:rPr>
        <w:t xml:space="preserve"> </w:t>
      </w:r>
      <w:r w:rsidRPr="007D1372">
        <w:rPr>
          <w:sz w:val="32"/>
          <w:szCs w:val="32"/>
        </w:rPr>
        <w:tab/>
        <w:t>There is limited evidence from age-adjusted studies to indicate that there is a higher prevalence of age-related cataracts in women than men.  However, given that there is no difference in the care pathway and the management that men and women would receive, this specific subgroup will not be considered separately within the guideline.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7D"/>
    <w:multiLevelType w:val="singleLevel"/>
    <w:tmpl w:val="CF50E61E"/>
    <w:lvl w:ilvl="0">
      <w:start w:val="1"/>
      <w:numFmt w:val="decimal"/>
      <w:lvlText w:val="%1."/>
      <w:lvlJc w:val="left"/>
      <w:pPr>
        <w:tabs>
          <w:tab w:val="num" w:pos="1209"/>
        </w:tabs>
        <w:ind w:left="1209" w:hanging="360"/>
      </w:pPr>
    </w:lvl>
  </w:abstractNum>
  <w:abstractNum w:abstractNumId="2">
    <w:nsid w:val="FFFFFF7E"/>
    <w:multiLevelType w:val="singleLevel"/>
    <w:tmpl w:val="4786549A"/>
    <w:lvl w:ilvl="0">
      <w:start w:val="1"/>
      <w:numFmt w:val="decimal"/>
      <w:lvlText w:val="%1."/>
      <w:lvlJc w:val="left"/>
      <w:pPr>
        <w:tabs>
          <w:tab w:val="num" w:pos="926"/>
        </w:tabs>
        <w:ind w:left="926" w:hanging="360"/>
      </w:pPr>
    </w:lvl>
  </w:abstractNum>
  <w:abstractNum w:abstractNumId="3">
    <w:nsid w:val="FFFFFF7F"/>
    <w:multiLevelType w:val="singleLevel"/>
    <w:tmpl w:val="1C6E25A4"/>
    <w:lvl w:ilvl="0">
      <w:start w:val="1"/>
      <w:numFmt w:val="decimal"/>
      <w:lvlText w:val="%1."/>
      <w:lvlJc w:val="left"/>
      <w:pPr>
        <w:tabs>
          <w:tab w:val="num" w:pos="643"/>
        </w:tabs>
        <w:ind w:left="643" w:hanging="360"/>
      </w:pPr>
    </w:lvl>
  </w:abstractNum>
  <w:abstractNum w:abstractNumId="4">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DCE19C"/>
    <w:lvl w:ilvl="0">
      <w:start w:val="1"/>
      <w:numFmt w:val="decimal"/>
      <w:lvlText w:val="%1."/>
      <w:lvlJc w:val="left"/>
      <w:pPr>
        <w:tabs>
          <w:tab w:val="num" w:pos="360"/>
        </w:tabs>
        <w:ind w:left="360" w:hanging="360"/>
      </w:pPr>
    </w:lvl>
  </w:abstractNum>
  <w:abstractNum w:abstractNumId="9">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nsid w:val="03627462"/>
    <w:multiLevelType w:val="multilevel"/>
    <w:tmpl w:val="44CEF71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0AAD3218"/>
    <w:multiLevelType w:val="hybridMultilevel"/>
    <w:tmpl w:val="09D81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0FAF4CBB"/>
    <w:multiLevelType w:val="hybridMultilevel"/>
    <w:tmpl w:val="B4E8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115C86"/>
    <w:multiLevelType w:val="hybridMultilevel"/>
    <w:tmpl w:val="77BA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5303376"/>
    <w:multiLevelType w:val="hybridMultilevel"/>
    <w:tmpl w:val="88D4B2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F83410C"/>
    <w:multiLevelType w:val="hybridMultilevel"/>
    <w:tmpl w:val="329E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B96495"/>
    <w:multiLevelType w:val="multilevel"/>
    <w:tmpl w:val="C45477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3"/>
  </w:num>
  <w:num w:numId="21">
    <w:abstractNumId w:val="11"/>
  </w:num>
  <w:num w:numId="22">
    <w:abstractNumId w:val="19"/>
  </w:num>
  <w:num w:numId="23">
    <w:abstractNumId w:val="10"/>
  </w:num>
  <w:num w:numId="24">
    <w:abstractNumId w:val="17"/>
  </w:num>
  <w:num w:numId="25">
    <w:abstractNumId w:val="22"/>
  </w:num>
  <w:num w:numId="26">
    <w:abstractNumId w:val="15"/>
  </w:num>
  <w:num w:numId="27">
    <w:abstractNumId w:val="21"/>
  </w:num>
  <w:num w:numId="28">
    <w:abstractNumId w:val="18"/>
  </w:num>
  <w:num w:numId="29">
    <w:abstractNumId w:val="20"/>
  </w:num>
  <w:num w:numId="30">
    <w:abstractNumId w:val="1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cryptProviderType="rsaFull" w:cryptAlgorithmClass="hash" w:cryptAlgorithmType="typeAny" w:cryptAlgorithmSid="4" w:cryptSpinCount="100000" w:hash="+U3VXluRD2+TP4Etdyjl4Z4iNwY=" w:salt="aAkssQt6M3Bw1zp5Rj5GD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13"/>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D1372"/>
    <w:rsid w:val="007F238D"/>
    <w:rsid w:val="00861B92"/>
    <w:rsid w:val="008814FB"/>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511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FF5113"/>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FF5113"/>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rsid w:val="00FF5113"/>
    <w:rPr>
      <w:rFonts w:ascii="Arial" w:hAnsi="Arial" w:cs="Arial"/>
      <w:spacing w:val="-3"/>
      <w:sz w:val="20"/>
      <w:szCs w:val="20"/>
      <w:lang w:eastAsia="en-US"/>
    </w:rPr>
  </w:style>
  <w:style w:type="character" w:customStyle="1" w:styleId="FootnoteTextChar">
    <w:name w:val="Footnote Text Char"/>
    <w:basedOn w:val="DefaultParagraphFont"/>
    <w:link w:val="FootnoteText"/>
    <w:semiHidden/>
    <w:rsid w:val="00FF5113"/>
    <w:rPr>
      <w:rFonts w:ascii="Arial" w:hAnsi="Arial" w:cs="Arial"/>
      <w:spacing w:val="-3"/>
      <w:lang w:eastAsia="en-US"/>
    </w:rPr>
  </w:style>
  <w:style w:type="character" w:styleId="FootnoteReference">
    <w:name w:val="footnote reference"/>
    <w:semiHidden/>
    <w:rsid w:val="00FF51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FF5113"/>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FF5113"/>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rsid w:val="00FF5113"/>
    <w:rPr>
      <w:rFonts w:ascii="Arial" w:hAnsi="Arial" w:cs="Arial"/>
      <w:spacing w:val="-3"/>
      <w:sz w:val="20"/>
      <w:szCs w:val="20"/>
      <w:lang w:eastAsia="en-US"/>
    </w:rPr>
  </w:style>
  <w:style w:type="character" w:customStyle="1" w:styleId="FootnoteTextChar">
    <w:name w:val="Footnote Text Char"/>
    <w:basedOn w:val="DefaultParagraphFont"/>
    <w:link w:val="FootnoteText"/>
    <w:semiHidden/>
    <w:rsid w:val="00FF5113"/>
    <w:rPr>
      <w:rFonts w:ascii="Arial" w:hAnsi="Arial" w:cs="Arial"/>
      <w:spacing w:val="-3"/>
      <w:lang w:eastAsia="en-US"/>
    </w:rPr>
  </w:style>
  <w:style w:type="character" w:styleId="FootnoteReference">
    <w:name w:val="footnote reference"/>
    <w:semiHidden/>
    <w:rsid w:val="00FF5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3DB4CF9A</Template>
  <TotalTime>7</TotalTime>
  <Pages>6</Pages>
  <Words>939</Words>
  <Characters>5357</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Pye</dc:creator>
  <cp:lastModifiedBy>Rebecca Pye</cp:lastModifiedBy>
  <cp:revision>2</cp:revision>
  <dcterms:created xsi:type="dcterms:W3CDTF">2015-11-10T12:24:00Z</dcterms:created>
  <dcterms:modified xsi:type="dcterms:W3CDTF">2015-11-13T16:44:00Z</dcterms:modified>
</cp:coreProperties>
</file>