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E772F" w14:textId="77777777" w:rsidR="009A415C" w:rsidRPr="009A415C" w:rsidRDefault="009A415C" w:rsidP="003F19B1">
      <w:pPr>
        <w:pStyle w:val="Title"/>
      </w:pPr>
      <w:r w:rsidRPr="009A415C">
        <w:t>NATIONAL INSTITUTE FOR HEALTH AND CARE EXCELLENCE</w:t>
      </w:r>
    </w:p>
    <w:p w14:paraId="700F21D6" w14:textId="13FAC778" w:rsidR="002B7354" w:rsidRDefault="002B2C97" w:rsidP="001D4AC0">
      <w:pPr>
        <w:pStyle w:val="Title1"/>
      </w:pPr>
      <w:r>
        <w:t>T</w:t>
      </w:r>
      <w:r w:rsidR="0057245F">
        <w:t>ransition from children’s to adults’ services</w:t>
      </w:r>
    </w:p>
    <w:p w14:paraId="3586643D" w14:textId="77777777" w:rsidR="009A415C" w:rsidRDefault="009A415C" w:rsidP="009A415C">
      <w:pPr>
        <w:pStyle w:val="Title1"/>
      </w:pPr>
      <w:r w:rsidRPr="000C37A0">
        <w:t>NICE quality standard</w:t>
      </w:r>
    </w:p>
    <w:p w14:paraId="21880847" w14:textId="2CB17F28" w:rsidR="009A415C" w:rsidRPr="000C37A0" w:rsidRDefault="009A415C" w:rsidP="003F19B1">
      <w:pPr>
        <w:pStyle w:val="Title2"/>
      </w:pPr>
      <w:r w:rsidRPr="000C37A0">
        <w:t>Draft for consultation</w:t>
      </w:r>
    </w:p>
    <w:p w14:paraId="1A97A547" w14:textId="3FA0C808" w:rsidR="00E65FB1" w:rsidRDefault="00986938" w:rsidP="001979A9">
      <w:pPr>
        <w:pStyle w:val="Guidanceissuedate"/>
      </w:pPr>
      <w:r>
        <w:t>21 </w:t>
      </w:r>
      <w:r w:rsidR="0057245F">
        <w:t>December</w:t>
      </w:r>
      <w:r>
        <w:t> </w:t>
      </w:r>
      <w:r w:rsidR="0057245F">
        <w:t>2016</w:t>
      </w:r>
    </w:p>
    <w:p w14:paraId="6F8AEBF7" w14:textId="085E927D" w:rsidR="005D4A77" w:rsidRPr="003F19B1" w:rsidRDefault="005D4A77" w:rsidP="005D4A77">
      <w:pPr>
        <w:pStyle w:val="Guidanceissuedate"/>
      </w:pPr>
      <w:r w:rsidRPr="003F19B1">
        <w:t xml:space="preserve">28 </w:t>
      </w:r>
      <w:r>
        <w:t>September 2023</w:t>
      </w:r>
    </w:p>
    <w:tbl>
      <w:tblPr>
        <w:tblStyle w:val="PanelPrimary"/>
        <w:tblW w:w="0" w:type="auto"/>
        <w:tblLook w:val="0000" w:firstRow="0" w:lastRow="0" w:firstColumn="0" w:lastColumn="0" w:noHBand="0" w:noVBand="0"/>
        <w:tblDescription w:val="&#10;"/>
      </w:tblPr>
      <w:tblGrid>
        <w:gridCol w:w="8253"/>
      </w:tblGrid>
      <w:tr w:rsidR="005D4A77" w14:paraId="34BAD679" w14:textId="77777777" w:rsidTr="00334E2E">
        <w:tc>
          <w:tcPr>
            <w:tcW w:w="8253" w:type="dxa"/>
          </w:tcPr>
          <w:p w14:paraId="2ECA453D" w14:textId="1F8BF9BB" w:rsidR="005D4A77" w:rsidRDefault="005D4A77" w:rsidP="00334E2E">
            <w:pPr>
              <w:pStyle w:val="NICEnormal"/>
            </w:pPr>
            <w:r w:rsidRPr="00E57EE0">
              <w:rPr>
                <w:b/>
              </w:rPr>
              <w:t>This quality standard covers</w:t>
            </w:r>
            <w:r>
              <w:t xml:space="preserve"> </w:t>
            </w:r>
            <w:r w:rsidRPr="005D4A77">
              <w:t>the period before, during and after a young person moves from children</w:t>
            </w:r>
            <w:r w:rsidR="009D4BFE">
              <w:t>’</w:t>
            </w:r>
            <w:r w:rsidRPr="005D4A77">
              <w:t>s to adults</w:t>
            </w:r>
            <w:r w:rsidR="009D4BFE">
              <w:t>’</w:t>
            </w:r>
            <w:r w:rsidRPr="005D4A77">
              <w:t xml:space="preserve"> services in all settings where transitions from children’s to adults’ health or social care services take place. It covers all young people (aged up to 25) using children’s health and social care services who are due to make the transition to adults’ services. This includes young people with mental health problems, disabilities and long-term, life-limiting or complex needs, </w:t>
            </w:r>
            <w:r w:rsidR="009D4BFE">
              <w:t xml:space="preserve">rare diseases </w:t>
            </w:r>
            <w:r w:rsidRPr="005D4A77">
              <w:t>and those in secure settings or under the care of local authorities</w:t>
            </w:r>
            <w:r>
              <w:t xml:space="preserve">. It describes high-quality care in priority areas for improvement. </w:t>
            </w:r>
          </w:p>
          <w:p w14:paraId="59C5B31D" w14:textId="2C0F993C" w:rsidR="005D4A77" w:rsidRDefault="005D4A77" w:rsidP="00075390">
            <w:pPr>
              <w:pStyle w:val="NICEnormal"/>
            </w:pPr>
            <w:r>
              <w:t xml:space="preserve">This quality standard will update the existing quality standard on </w:t>
            </w:r>
            <w:r w:rsidR="00075390">
              <w:t>transition from children’s to adults’ services</w:t>
            </w:r>
            <w:r w:rsidRPr="00965E85">
              <w:t xml:space="preserve"> (published </w:t>
            </w:r>
            <w:r w:rsidR="00075390">
              <w:t>December 2016</w:t>
            </w:r>
            <w:r w:rsidRPr="00965E85">
              <w:t>)</w:t>
            </w:r>
            <w:r>
              <w:t xml:space="preserve">. The </w:t>
            </w:r>
            <w:r w:rsidR="00075390">
              <w:t xml:space="preserve">quality standard </w:t>
            </w:r>
            <w:r>
              <w:t xml:space="preserve">was identified for update following </w:t>
            </w:r>
            <w:r w:rsidR="00075390">
              <w:t>stakeholder feedback</w:t>
            </w:r>
            <w:r>
              <w:t xml:space="preserve">. </w:t>
            </w:r>
          </w:p>
          <w:p w14:paraId="1AC07020" w14:textId="497D742B" w:rsidR="00075390" w:rsidRDefault="00075390" w:rsidP="00E74F63">
            <w:pPr>
              <w:pStyle w:val="Heading4"/>
            </w:pPr>
            <w:r w:rsidRPr="003F19B1">
              <w:t xml:space="preserve">New </w:t>
            </w:r>
            <w:r>
              <w:t>and updated quality statements</w:t>
            </w:r>
          </w:p>
          <w:p w14:paraId="083E37F7" w14:textId="7C8BA520" w:rsidR="00E74F63" w:rsidRDefault="0028284D" w:rsidP="00E74F63">
            <w:pPr>
              <w:pStyle w:val="NICEnormal"/>
            </w:pPr>
            <w:r>
              <w:t xml:space="preserve">You are invited to comment on </w:t>
            </w:r>
            <w:r w:rsidR="00282AB4">
              <w:t>a</w:t>
            </w:r>
            <w:r>
              <w:t xml:space="preserve"> new and updated statement. </w:t>
            </w:r>
            <w:r w:rsidR="00E74F63">
              <w:t xml:space="preserve">We have added a new statement on having a transition plan </w:t>
            </w:r>
            <w:r w:rsidR="006C1153">
              <w:t xml:space="preserve">(statement 2) </w:t>
            </w:r>
            <w:r w:rsidR="00E74F63">
              <w:t>and amended the statement on missed appointments after transfer to adults’ services</w:t>
            </w:r>
            <w:r w:rsidR="006C1153">
              <w:t xml:space="preserve"> (statement 6)</w:t>
            </w:r>
            <w:r w:rsidR="00E74F63">
              <w:t xml:space="preserve">. </w:t>
            </w:r>
            <w:r w:rsidR="006C1153" w:rsidRPr="006C1153">
              <w:t>Please note that sta</w:t>
            </w:r>
            <w:r w:rsidR="006C1153">
              <w:t xml:space="preserve">tement numbers have been updated to incorporate the new statement. </w:t>
            </w:r>
          </w:p>
          <w:p w14:paraId="7CC678BA" w14:textId="497F394D" w:rsidR="00520C3A" w:rsidRDefault="002540EB" w:rsidP="00334E2E">
            <w:pPr>
              <w:pStyle w:val="NICEnormal"/>
            </w:pPr>
            <w:r>
              <w:lastRenderedPageBreak/>
              <w:t xml:space="preserve">We have not updated statements </w:t>
            </w:r>
            <w:r w:rsidR="00FD6A8C">
              <w:t>1, 3, 4 and 5</w:t>
            </w:r>
            <w:r>
              <w:t xml:space="preserve"> </w:t>
            </w:r>
            <w:r w:rsidR="009F1869">
              <w:t xml:space="preserve">(shaded in grey) </w:t>
            </w:r>
            <w:r>
              <w:t>and cannot accept comments on them. In some cases, we have made minor wording changes for clarification</w:t>
            </w:r>
            <w:r w:rsidR="00520C3A">
              <w:t>.</w:t>
            </w:r>
          </w:p>
          <w:p w14:paraId="10755420" w14:textId="2D2B9A2D" w:rsidR="005D4A77" w:rsidRDefault="005D4A77" w:rsidP="00334E2E">
            <w:pPr>
              <w:pStyle w:val="NICEnormal"/>
            </w:pPr>
            <w:r>
              <w:t xml:space="preserve">For more information </w:t>
            </w:r>
            <w:r w:rsidRPr="00BA5F37">
              <w:t xml:space="preserve">see </w:t>
            </w:r>
            <w:hyperlink w:anchor="Update_info" w:history="1">
              <w:r w:rsidR="00E91A29" w:rsidRPr="00E91A29">
                <w:rPr>
                  <w:rStyle w:val="Hyperlink"/>
                </w:rPr>
                <w:t>update information</w:t>
              </w:r>
            </w:hyperlink>
            <w:r>
              <w:t>.</w:t>
            </w:r>
          </w:p>
          <w:p w14:paraId="165ACEC3" w14:textId="0CB8C49C" w:rsidR="005D4A77" w:rsidRPr="00BB32FB" w:rsidRDefault="005D4A77" w:rsidP="003F19B1">
            <w:pPr>
              <w:pStyle w:val="NICEnormal"/>
            </w:pPr>
            <w:r>
              <w:t>This is the draft quality standard for consultation (f</w:t>
            </w:r>
            <w:r w:rsidRPr="00684B03">
              <w:t xml:space="preserve">rom </w:t>
            </w:r>
            <w:r w:rsidR="002540EB">
              <w:t>28 September</w:t>
            </w:r>
            <w:r w:rsidRPr="00684B03">
              <w:t xml:space="preserve"> to </w:t>
            </w:r>
            <w:r w:rsidR="002540EB">
              <w:t>26 October 2023</w:t>
            </w:r>
            <w:r>
              <w:t xml:space="preserve">). The final quality standard is expected to publish in </w:t>
            </w:r>
            <w:r w:rsidR="002540EB">
              <w:t>December 2023.</w:t>
            </w:r>
          </w:p>
        </w:tc>
      </w:tr>
    </w:tbl>
    <w:p w14:paraId="524858A2" w14:textId="77777777" w:rsidR="005D4A77" w:rsidRDefault="005D4A77">
      <w:pPr>
        <w:rPr>
          <w:rFonts w:ascii="Arial" w:hAnsi="Arial" w:cs="Arial"/>
          <w:b/>
          <w:bCs/>
          <w:kern w:val="32"/>
          <w:sz w:val="32"/>
          <w:szCs w:val="32"/>
        </w:rPr>
      </w:pPr>
      <w:r>
        <w:lastRenderedPageBreak/>
        <w:br w:type="page"/>
      </w:r>
    </w:p>
    <w:p w14:paraId="46AC4473" w14:textId="01DB39E3" w:rsidR="009C399D" w:rsidRPr="000C37A0" w:rsidRDefault="00A14DDD" w:rsidP="00804468">
      <w:pPr>
        <w:pStyle w:val="Heading1"/>
      </w:pPr>
      <w:r>
        <w:lastRenderedPageBreak/>
        <w:t>Q</w:t>
      </w:r>
      <w:r w:rsidR="009C399D" w:rsidRPr="000C37A0">
        <w:t>uality statements</w:t>
      </w:r>
    </w:p>
    <w:bookmarkStart w:id="0" w:name="_Quality_statement_1:"/>
    <w:bookmarkEnd w:id="0"/>
    <w:p w14:paraId="59CAB755" w14:textId="39EEE4F4" w:rsidR="0034762F" w:rsidRDefault="00982881" w:rsidP="0034762F">
      <w:pPr>
        <w:pStyle w:val="NICEnormal"/>
      </w:pPr>
      <w:r>
        <w:fldChar w:fldCharType="begin"/>
      </w:r>
      <w:r w:rsidR="003C3B68">
        <w:instrText>HYPERLINK  \l "_Quality_statement_1:_1"</w:instrText>
      </w:r>
      <w:r>
        <w:fldChar w:fldCharType="separate"/>
      </w:r>
      <w:r w:rsidR="0034762F" w:rsidRPr="00982881">
        <w:rPr>
          <w:rStyle w:val="Hyperlink"/>
        </w:rPr>
        <w:t>Statement 1</w:t>
      </w:r>
      <w:r>
        <w:fldChar w:fldCharType="end"/>
      </w:r>
      <w:r w:rsidR="0034762F" w:rsidRPr="00C31E1F">
        <w:t xml:space="preserve"> </w:t>
      </w:r>
      <w:r w:rsidR="0027596A" w:rsidRPr="007D7755">
        <w:t xml:space="preserve">Young people who will move </w:t>
      </w:r>
      <w:r w:rsidR="0027596A">
        <w:t xml:space="preserve">from children’s </w:t>
      </w:r>
      <w:r w:rsidR="0027596A" w:rsidRPr="007D7755">
        <w:t xml:space="preserve">to adults’ services start planning </w:t>
      </w:r>
      <w:r w:rsidR="0027596A">
        <w:t xml:space="preserve">their </w:t>
      </w:r>
      <w:r w:rsidR="0027596A" w:rsidRPr="007D7755">
        <w:t xml:space="preserve">transition </w:t>
      </w:r>
      <w:r w:rsidR="0027596A">
        <w:t xml:space="preserve">with health and social care practitioners </w:t>
      </w:r>
      <w:r w:rsidR="0027596A" w:rsidRPr="007D7755">
        <w:t xml:space="preserve">by </w:t>
      </w:r>
      <w:r w:rsidR="0027596A">
        <w:t xml:space="preserve">school </w:t>
      </w:r>
      <w:r w:rsidR="0027596A" w:rsidRPr="007D7755">
        <w:t>year</w:t>
      </w:r>
      <w:r w:rsidR="0027596A">
        <w:t> </w:t>
      </w:r>
      <w:r w:rsidR="0027596A" w:rsidRPr="007D7755">
        <w:t>9</w:t>
      </w:r>
      <w:r w:rsidR="0027596A">
        <w:t xml:space="preserve"> (aged 13 to 14 years), or immediately if they enter children’s services after school year 9</w:t>
      </w:r>
      <w:r w:rsidR="006B16DF" w:rsidRPr="007D7755">
        <w:t>.</w:t>
      </w:r>
      <w:r w:rsidR="00B75B86">
        <w:t xml:space="preserve"> </w:t>
      </w:r>
      <w:r w:rsidR="00B75B86" w:rsidRPr="003F19B1">
        <w:rPr>
          <w:b/>
          <w:bCs/>
        </w:rPr>
        <w:t>[</w:t>
      </w:r>
      <w:r w:rsidR="00B75B86" w:rsidRPr="00117409">
        <w:rPr>
          <w:b/>
          <w:bCs/>
        </w:rPr>
        <w:t>2016]</w:t>
      </w:r>
    </w:p>
    <w:p w14:paraId="6BF59ACC" w14:textId="43F7F392" w:rsidR="000D6F16" w:rsidRPr="00C31E1F" w:rsidRDefault="003A2E89" w:rsidP="0034762F">
      <w:pPr>
        <w:pStyle w:val="NICEnormal"/>
      </w:pPr>
      <w:hyperlink w:anchor="_Quality_statement_1:_2" w:history="1">
        <w:r w:rsidR="00D22543" w:rsidRPr="003C3B68">
          <w:rPr>
            <w:rStyle w:val="Hyperlink"/>
          </w:rPr>
          <w:t>Statement 2</w:t>
        </w:r>
      </w:hyperlink>
      <w:r w:rsidR="00D22543" w:rsidRPr="00C31E1F">
        <w:t xml:space="preserve"> </w:t>
      </w:r>
      <w:bookmarkStart w:id="1" w:name="_Hlk143174040"/>
      <w:r w:rsidR="00D22543" w:rsidRPr="007D7755">
        <w:t xml:space="preserve">Young people who will move </w:t>
      </w:r>
      <w:r w:rsidR="00D22543">
        <w:t xml:space="preserve">from children’s </w:t>
      </w:r>
      <w:r w:rsidR="00D22543" w:rsidRPr="007D7755">
        <w:t>to adults’ services</w:t>
      </w:r>
      <w:r w:rsidR="00D22543">
        <w:t xml:space="preserve"> </w:t>
      </w:r>
      <w:r w:rsidR="00D22543" w:rsidRPr="00D22543">
        <w:t>have a co-ordinated transition plan</w:t>
      </w:r>
      <w:r w:rsidR="00D22543">
        <w:t>.</w:t>
      </w:r>
      <w:r w:rsidR="00B75B86">
        <w:t xml:space="preserve"> </w:t>
      </w:r>
      <w:r w:rsidR="00B75B86" w:rsidRPr="002F5309">
        <w:rPr>
          <w:b/>
          <w:bCs/>
        </w:rPr>
        <w:t>[new 2023]</w:t>
      </w:r>
      <w:bookmarkEnd w:id="1"/>
    </w:p>
    <w:p w14:paraId="50E823A0" w14:textId="24E34D4A" w:rsidR="0034762F" w:rsidRPr="00C31E1F" w:rsidRDefault="003A2E89" w:rsidP="0034762F">
      <w:pPr>
        <w:pStyle w:val="NICEnormal"/>
      </w:pPr>
      <w:hyperlink w:anchor="_Quality_statement_23:" w:history="1">
        <w:r w:rsidR="0034762F" w:rsidRPr="003C3B68">
          <w:rPr>
            <w:rStyle w:val="Hyperlink"/>
          </w:rPr>
          <w:t xml:space="preserve">Statement </w:t>
        </w:r>
        <w:r w:rsidR="00D22543" w:rsidRPr="003C3B68">
          <w:rPr>
            <w:rStyle w:val="Hyperlink"/>
          </w:rPr>
          <w:t>3</w:t>
        </w:r>
      </w:hyperlink>
      <w:r w:rsidR="0034762F" w:rsidRPr="00C31E1F">
        <w:t xml:space="preserve"> </w:t>
      </w:r>
      <w:r w:rsidR="0027596A">
        <w:t xml:space="preserve">Young people who will move from children’s to adults’ services have an </w:t>
      </w:r>
      <w:r w:rsidR="0027596A" w:rsidRPr="00EF110A">
        <w:t>annual meeting to</w:t>
      </w:r>
      <w:r w:rsidR="0027596A">
        <w:t xml:space="preserve"> review transition planning</w:t>
      </w:r>
      <w:r w:rsidR="0034762F">
        <w:t>.</w:t>
      </w:r>
      <w:r w:rsidR="00467CBB">
        <w:t xml:space="preserve"> </w:t>
      </w:r>
      <w:r w:rsidR="00467CBB" w:rsidRPr="003F19B1">
        <w:rPr>
          <w:b/>
          <w:bCs/>
        </w:rPr>
        <w:t>[2016]</w:t>
      </w:r>
    </w:p>
    <w:p w14:paraId="74AB929B" w14:textId="3F18DE68" w:rsidR="0034762F" w:rsidRPr="0011350F" w:rsidRDefault="003A2E89" w:rsidP="0034762F">
      <w:pPr>
        <w:pStyle w:val="NICEnormal"/>
      </w:pPr>
      <w:hyperlink w:anchor="_Quality_statement_34:" w:history="1">
        <w:r w:rsidR="0034762F" w:rsidRPr="00A6123A">
          <w:rPr>
            <w:rStyle w:val="Hyperlink"/>
          </w:rPr>
          <w:t xml:space="preserve">Statement </w:t>
        </w:r>
        <w:r w:rsidR="00D22543" w:rsidRPr="00A6123A">
          <w:rPr>
            <w:rStyle w:val="Hyperlink"/>
          </w:rPr>
          <w:t>4</w:t>
        </w:r>
      </w:hyperlink>
      <w:r w:rsidR="0034762F" w:rsidRPr="00006A0A">
        <w:t xml:space="preserve"> </w:t>
      </w:r>
      <w:r w:rsidR="0027596A">
        <w:t xml:space="preserve">Young people </w:t>
      </w:r>
      <w:r w:rsidR="0027596A" w:rsidRPr="007D7755">
        <w:t xml:space="preserve">who </w:t>
      </w:r>
      <w:r w:rsidR="0027596A">
        <w:t>are moving from children’s</w:t>
      </w:r>
      <w:r w:rsidR="0027596A" w:rsidRPr="007D7755">
        <w:t xml:space="preserve"> </w:t>
      </w:r>
      <w:r w:rsidR="0027596A" w:rsidRPr="00C23686">
        <w:t xml:space="preserve">to </w:t>
      </w:r>
      <w:r w:rsidR="0027596A">
        <w:t>adults’ services have a named worker to coordinate care and support before, during and after transfer</w:t>
      </w:r>
      <w:r w:rsidR="00726CCA">
        <w:t>.</w:t>
      </w:r>
      <w:r w:rsidR="00467CBB">
        <w:t xml:space="preserve"> </w:t>
      </w:r>
      <w:r w:rsidR="00467CBB" w:rsidRPr="003F19B1">
        <w:rPr>
          <w:b/>
          <w:bCs/>
        </w:rPr>
        <w:t>[2016]</w:t>
      </w:r>
    </w:p>
    <w:p w14:paraId="75242A35" w14:textId="5307D3FD" w:rsidR="0034762F" w:rsidRPr="007D7755" w:rsidRDefault="003A2E89" w:rsidP="0034762F">
      <w:pPr>
        <w:pStyle w:val="NICEnormal"/>
      </w:pPr>
      <w:hyperlink w:anchor="_Quality_statement_4:" w:history="1">
        <w:r w:rsidR="0034762F" w:rsidRPr="00A6123A">
          <w:rPr>
            <w:rStyle w:val="Hyperlink"/>
          </w:rPr>
          <w:t xml:space="preserve">Statement </w:t>
        </w:r>
        <w:r w:rsidR="00D22543" w:rsidRPr="00A6123A">
          <w:rPr>
            <w:rStyle w:val="Hyperlink"/>
          </w:rPr>
          <w:t>5</w:t>
        </w:r>
      </w:hyperlink>
      <w:r w:rsidR="0034762F" w:rsidRPr="00C31E1F">
        <w:t xml:space="preserve"> </w:t>
      </w:r>
      <w:r w:rsidR="0027596A">
        <w:t xml:space="preserve">Young people </w:t>
      </w:r>
      <w:r w:rsidR="0027596A" w:rsidRPr="007D7755">
        <w:t>who</w:t>
      </w:r>
      <w:r w:rsidR="00D22543">
        <w:t xml:space="preserve"> are</w:t>
      </w:r>
      <w:r w:rsidR="0027596A" w:rsidRPr="007D7755">
        <w:t xml:space="preserve"> mov</w:t>
      </w:r>
      <w:r w:rsidR="00D22543">
        <w:t>ing</w:t>
      </w:r>
      <w:r w:rsidR="0027596A">
        <w:t xml:space="preserve"> from children’s to adults’ services meet a practitioner from </w:t>
      </w:r>
      <w:r w:rsidR="0027596A" w:rsidRPr="000E57E8">
        <w:t xml:space="preserve">each adults’ service they will move to </w:t>
      </w:r>
      <w:r w:rsidR="0027596A">
        <w:t>before they transfer</w:t>
      </w:r>
      <w:r w:rsidR="0034762F">
        <w:t>.</w:t>
      </w:r>
      <w:r w:rsidR="00467CBB">
        <w:t xml:space="preserve"> </w:t>
      </w:r>
      <w:r w:rsidR="00467CBB" w:rsidRPr="00AC0818">
        <w:rPr>
          <w:b/>
          <w:bCs/>
        </w:rPr>
        <w:t>[2016, updated 2023]</w:t>
      </w:r>
    </w:p>
    <w:p w14:paraId="077434A9" w14:textId="454C804B" w:rsidR="0034762F" w:rsidRDefault="003A2E89" w:rsidP="0034762F">
      <w:pPr>
        <w:pStyle w:val="NICEnormal"/>
      </w:pPr>
      <w:hyperlink w:anchor="_Quality_statement_56:" w:history="1">
        <w:r w:rsidR="0034762F" w:rsidRPr="00A6123A">
          <w:rPr>
            <w:rStyle w:val="Hyperlink"/>
          </w:rPr>
          <w:t xml:space="preserve">Statement </w:t>
        </w:r>
        <w:r w:rsidR="00D22543" w:rsidRPr="00A6123A">
          <w:rPr>
            <w:rStyle w:val="Hyperlink"/>
          </w:rPr>
          <w:t>6</w:t>
        </w:r>
      </w:hyperlink>
      <w:r w:rsidR="0034762F" w:rsidRPr="007D7755">
        <w:t xml:space="preserve"> </w:t>
      </w:r>
      <w:r w:rsidR="0027596A" w:rsidRPr="007D7755">
        <w:t xml:space="preserve">Young people who have moved </w:t>
      </w:r>
      <w:r w:rsidR="0027596A">
        <w:t xml:space="preserve">from children’s </w:t>
      </w:r>
      <w:r w:rsidR="0027596A" w:rsidRPr="007D7755">
        <w:t xml:space="preserve">to adults’ services but do not attend their </w:t>
      </w:r>
      <w:r w:rsidR="00D22543">
        <w:t>initial</w:t>
      </w:r>
      <w:r w:rsidR="0027596A" w:rsidRPr="007D7755">
        <w:t xml:space="preserve"> meeting</w:t>
      </w:r>
      <w:r w:rsidR="00D22543">
        <w:t>s</w:t>
      </w:r>
      <w:r w:rsidR="0027596A" w:rsidRPr="007D7755">
        <w:t xml:space="preserve"> or appointment</w:t>
      </w:r>
      <w:r w:rsidR="00D22543">
        <w:t>s</w:t>
      </w:r>
      <w:r w:rsidR="0027596A" w:rsidRPr="007D7755">
        <w:t xml:space="preserve"> are contacted by adults’ services and </w:t>
      </w:r>
      <w:r w:rsidR="0027596A">
        <w:t>given</w:t>
      </w:r>
      <w:r w:rsidR="0027596A" w:rsidRPr="007D7755">
        <w:t xml:space="preserve"> </w:t>
      </w:r>
      <w:r w:rsidR="0027596A">
        <w:t>further</w:t>
      </w:r>
      <w:r w:rsidR="0027596A" w:rsidRPr="007D7755">
        <w:t xml:space="preserve"> opportunities to engage</w:t>
      </w:r>
      <w:r w:rsidR="0034762F" w:rsidRPr="007D7755">
        <w:t>.</w:t>
      </w:r>
      <w:r w:rsidR="00467CBB">
        <w:t xml:space="preserve"> </w:t>
      </w:r>
      <w:r w:rsidR="00467CBB" w:rsidRPr="00334E2E">
        <w:rPr>
          <w:b/>
          <w:bCs/>
        </w:rPr>
        <w:t>[2016, updated 2023]</w:t>
      </w:r>
    </w:p>
    <w:p w14:paraId="44FCB6F9" w14:textId="45CD0EDD" w:rsidR="00986938" w:rsidRDefault="00FD589F" w:rsidP="00282AB4">
      <w:pPr>
        <w:pStyle w:val="NICEnormal"/>
      </w:pPr>
      <w:r w:rsidRPr="00FD589F">
        <w:t>In 20</w:t>
      </w:r>
      <w:r>
        <w:t>23</w:t>
      </w:r>
      <w:r w:rsidRPr="00FD589F">
        <w:t xml:space="preserve"> this quality standard was updated and </w:t>
      </w:r>
      <w:r>
        <w:t xml:space="preserve">some </w:t>
      </w:r>
      <w:r w:rsidRPr="00FD589F">
        <w:t>statements prioritised in [20</w:t>
      </w:r>
      <w:r>
        <w:t>16</w:t>
      </w:r>
      <w:r w:rsidRPr="00FD589F">
        <w:t xml:space="preserve">] were updated </w:t>
      </w:r>
      <w:r w:rsidR="009F1869">
        <w:t>[</w:t>
      </w:r>
      <w:r w:rsidRPr="00FD589F">
        <w:t>20</w:t>
      </w:r>
      <w:r>
        <w:t>16</w:t>
      </w:r>
      <w:r w:rsidRPr="00FD589F">
        <w:t>, updated 20</w:t>
      </w:r>
      <w:r>
        <w:t>23</w:t>
      </w:r>
      <w:r w:rsidR="009F1869">
        <w:t>]</w:t>
      </w:r>
      <w:r>
        <w:t>. A new statement was also added [new 2023]</w:t>
      </w:r>
      <w:r w:rsidRPr="00FD589F">
        <w:t xml:space="preserve">. For more information, see </w:t>
      </w:r>
      <w:hyperlink w:anchor="Update_info" w:history="1">
        <w:r w:rsidRPr="00E91A29">
          <w:rPr>
            <w:rStyle w:val="Hyperlink"/>
          </w:rPr>
          <w:t>update information</w:t>
        </w:r>
      </w:hyperlink>
      <w:r w:rsidRPr="00FD589F">
        <w:t>.</w:t>
      </w:r>
      <w:r w:rsidR="00986938">
        <w:br w:type="page"/>
      </w:r>
    </w:p>
    <w:tbl>
      <w:tblPr>
        <w:tblStyle w:val="PanelPrimary"/>
        <w:tblW w:w="0" w:type="auto"/>
        <w:tblLook w:val="0000" w:firstRow="0" w:lastRow="0" w:firstColumn="0" w:lastColumn="0" w:noHBand="0" w:noVBand="0"/>
        <w:tblDescription w:val="&#10;"/>
      </w:tblPr>
      <w:tblGrid>
        <w:gridCol w:w="8253"/>
      </w:tblGrid>
      <w:tr w:rsidR="00D371C9" w14:paraId="22BE5AF7" w14:textId="77777777" w:rsidTr="003D4A9C">
        <w:tc>
          <w:tcPr>
            <w:tcW w:w="8253" w:type="dxa"/>
          </w:tcPr>
          <w:p w14:paraId="402715A7" w14:textId="77777777" w:rsidR="00D371C9" w:rsidRPr="000C37A0" w:rsidRDefault="00D371C9" w:rsidP="003D4A9C">
            <w:pPr>
              <w:pStyle w:val="Heading2"/>
            </w:pPr>
            <w:r w:rsidRPr="000C37A0">
              <w:lastRenderedPageBreak/>
              <w:t xml:space="preserve">Questions for consultation </w:t>
            </w:r>
          </w:p>
          <w:p w14:paraId="731BBE33" w14:textId="77777777" w:rsidR="00D371C9" w:rsidRDefault="00D371C9" w:rsidP="003D4A9C">
            <w:pPr>
              <w:pStyle w:val="NICEnormal"/>
              <w:rPr>
                <w:rFonts w:cs="Arial"/>
                <w:b/>
                <w:bCs/>
                <w:sz w:val="26"/>
                <w:szCs w:val="26"/>
              </w:rPr>
            </w:pPr>
            <w:r w:rsidRPr="00D371C9">
              <w:rPr>
                <w:rFonts w:cs="Arial"/>
                <w:b/>
                <w:bCs/>
                <w:sz w:val="26"/>
                <w:szCs w:val="26"/>
              </w:rPr>
              <w:t xml:space="preserve">Questions about the individual quality statements </w:t>
            </w:r>
          </w:p>
          <w:p w14:paraId="1CE8EC9F" w14:textId="612F84F1" w:rsidR="00D371C9" w:rsidRPr="000C37A0" w:rsidRDefault="00D371C9" w:rsidP="003D4A9C">
            <w:pPr>
              <w:pStyle w:val="NICEnormal"/>
            </w:pPr>
            <w:r w:rsidRPr="000C37A0">
              <w:rPr>
                <w:b/>
              </w:rPr>
              <w:t>Question 1</w:t>
            </w:r>
            <w:r w:rsidRPr="000C37A0">
              <w:t xml:space="preserve"> </w:t>
            </w:r>
            <w:r>
              <w:t xml:space="preserve">For </w:t>
            </w:r>
            <w:r w:rsidR="00E91A29">
              <w:t xml:space="preserve">draft </w:t>
            </w:r>
            <w:r>
              <w:t xml:space="preserve">quality statement 2: </w:t>
            </w:r>
            <w:r w:rsidRPr="000C37A0">
              <w:t xml:space="preserve">Does this quality </w:t>
            </w:r>
            <w:r>
              <w:t>statement</w:t>
            </w:r>
            <w:r w:rsidRPr="000C37A0">
              <w:t xml:space="preserve"> accurately reflect </w:t>
            </w:r>
            <w:r>
              <w:t>a</w:t>
            </w:r>
            <w:r w:rsidRPr="000C37A0">
              <w:t xml:space="preserve"> key area for quality improvement?</w:t>
            </w:r>
          </w:p>
          <w:p w14:paraId="2ECA50BA" w14:textId="371753F1" w:rsidR="00D371C9" w:rsidRDefault="00D371C9" w:rsidP="003D4A9C">
            <w:pPr>
              <w:pStyle w:val="NICEnormal"/>
            </w:pPr>
            <w:r w:rsidRPr="000C37A0">
              <w:rPr>
                <w:b/>
              </w:rPr>
              <w:t>Question 2</w:t>
            </w:r>
            <w:r w:rsidRPr="000C37A0">
              <w:t xml:space="preserve"> </w:t>
            </w:r>
            <w:r>
              <w:t xml:space="preserve">For </w:t>
            </w:r>
            <w:r w:rsidR="00E91A29">
              <w:t xml:space="preserve">draft </w:t>
            </w:r>
            <w:r>
              <w:t xml:space="preserve">quality statement 2: </w:t>
            </w:r>
            <w:r w:rsidRPr="00162829">
              <w:t>Can data for the proposed quality measures be collected locally? Please include in your answer any data sources that can be used or reasons why data cannot be collected.</w:t>
            </w:r>
          </w:p>
          <w:p w14:paraId="2287B58E" w14:textId="76EB2AB0" w:rsidR="00D371C9" w:rsidRPr="000C37A0" w:rsidRDefault="00D371C9" w:rsidP="003D4A9C">
            <w:pPr>
              <w:pStyle w:val="NICEnormal"/>
            </w:pPr>
            <w:r w:rsidRPr="00E96396">
              <w:rPr>
                <w:b/>
              </w:rPr>
              <w:t xml:space="preserve">Question </w:t>
            </w:r>
            <w:r>
              <w:rPr>
                <w:b/>
              </w:rPr>
              <w:t xml:space="preserve">3 </w:t>
            </w:r>
            <w:r w:rsidRPr="00FD6A8C">
              <w:rPr>
                <w:bCs/>
              </w:rPr>
              <w:t xml:space="preserve">For </w:t>
            </w:r>
            <w:r w:rsidR="00E91A29">
              <w:rPr>
                <w:bCs/>
              </w:rPr>
              <w:t xml:space="preserve">draft </w:t>
            </w:r>
            <w:r w:rsidRPr="00FD6A8C">
              <w:rPr>
                <w:bCs/>
              </w:rPr>
              <w:t xml:space="preserve">quality statement </w:t>
            </w:r>
            <w:r w:rsidR="00FD6A8C" w:rsidRPr="00FD6A8C">
              <w:rPr>
                <w:bCs/>
              </w:rPr>
              <w:t>2</w:t>
            </w:r>
            <w:r w:rsidRPr="00FD6A8C">
              <w:rPr>
                <w:bCs/>
              </w:rPr>
              <w:t>:</w:t>
            </w:r>
            <w:r w:rsidRPr="00E96396">
              <w:t xml:space="preserve"> </w:t>
            </w:r>
            <w:r w:rsidRPr="00123C16">
              <w:t xml:space="preserve">Do you think </w:t>
            </w:r>
            <w:r>
              <w:t>this</w:t>
            </w:r>
            <w:r w:rsidRPr="00123C16">
              <w:t xml:space="preserve"> statement would be achievable by local services given the net resources </w:t>
            </w:r>
            <w:r>
              <w:t>need</w:t>
            </w:r>
            <w:r w:rsidRPr="00123C16">
              <w:t xml:space="preserve">ed to deliver </w:t>
            </w:r>
            <w:r>
              <w:t>it</w:t>
            </w:r>
            <w:r w:rsidRPr="00123C16">
              <w:t xml:space="preserve">? Please describe any resource requirements that you think would be necessary for </w:t>
            </w:r>
            <w:r>
              <w:t>this</w:t>
            </w:r>
            <w:r w:rsidRPr="00123C16">
              <w:t xml:space="preserve"> </w:t>
            </w:r>
            <w:r>
              <w:t>statement</w:t>
            </w:r>
            <w:r w:rsidRPr="00123C16">
              <w:t>. Please describe any potential cost savings or opportunities for disinvestment.</w:t>
            </w:r>
          </w:p>
          <w:p w14:paraId="1BBA2CEC" w14:textId="1EBCD249" w:rsidR="00D371C9" w:rsidRDefault="00D371C9" w:rsidP="003D4A9C">
            <w:pPr>
              <w:pStyle w:val="NICEnormal"/>
            </w:pPr>
            <w:r w:rsidRPr="000C37A0">
              <w:rPr>
                <w:b/>
              </w:rPr>
              <w:t xml:space="preserve">Question </w:t>
            </w:r>
            <w:r>
              <w:rPr>
                <w:b/>
              </w:rPr>
              <w:t>4</w:t>
            </w:r>
            <w:r w:rsidRPr="000C37A0">
              <w:t xml:space="preserve"> For draft quality statement </w:t>
            </w:r>
            <w:r w:rsidR="00FD6A8C">
              <w:t>6</w:t>
            </w:r>
            <w:r w:rsidRPr="000C37A0">
              <w:t xml:space="preserve">: </w:t>
            </w:r>
            <w:r w:rsidRPr="00D371C9">
              <w:t>We have suggested that this statement could be measured based on attendance at any of the first 3 meetings or appointments in adults’ services. Is this a helpful definition of initial appointments?</w:t>
            </w:r>
            <w:r w:rsidR="00AD173C">
              <w:t xml:space="preserve"> If not, please suggest an alternative.</w:t>
            </w:r>
          </w:p>
          <w:p w14:paraId="701D7D4E" w14:textId="1503BDD3" w:rsidR="002D7965" w:rsidRDefault="002D7965" w:rsidP="003D4A9C">
            <w:pPr>
              <w:pStyle w:val="NICEnormal"/>
            </w:pPr>
            <w:r w:rsidRPr="009F1869">
              <w:rPr>
                <w:b/>
                <w:bCs/>
              </w:rPr>
              <w:t>Question 5</w:t>
            </w:r>
            <w:r>
              <w:t xml:space="preserve"> For draft quality statement 6: </w:t>
            </w:r>
            <w:r w:rsidRPr="002D7965">
              <w:t>Can structure measure a) on arrangements to monitor and assure transitions from children’s to adults’ services be measured in practice? If so, how? Please let us know of any examples where this is already collected.</w:t>
            </w:r>
          </w:p>
          <w:p w14:paraId="4DFE1908" w14:textId="4E2FDF87" w:rsidR="00B9229A" w:rsidRDefault="00B9229A" w:rsidP="003D4A9C">
            <w:pPr>
              <w:pStyle w:val="NICEnormal"/>
            </w:pPr>
            <w:r w:rsidRPr="00533364">
              <w:rPr>
                <w:b/>
                <w:bCs/>
              </w:rPr>
              <w:t xml:space="preserve">Question </w:t>
            </w:r>
            <w:r w:rsidR="002D7965">
              <w:rPr>
                <w:b/>
                <w:bCs/>
              </w:rPr>
              <w:t>6</w:t>
            </w:r>
            <w:r>
              <w:t xml:space="preserve"> For draft quality statement 6: </w:t>
            </w:r>
            <w:r w:rsidRPr="00B9229A">
              <w:t xml:space="preserve">Is it helpful to include the new outcome measure </w:t>
            </w:r>
            <w:r w:rsidR="002D7965">
              <w:t xml:space="preserve">b) </w:t>
            </w:r>
            <w:r w:rsidRPr="00B9229A">
              <w:t>to capture ongoing engagement with adults’ services</w:t>
            </w:r>
            <w:r w:rsidR="00533364">
              <w:t xml:space="preserve"> (</w:t>
            </w:r>
            <w:r w:rsidRPr="00B9229A">
              <w:t>1 year after transfer</w:t>
            </w:r>
            <w:r w:rsidR="00533364">
              <w:t>)</w:t>
            </w:r>
            <w:r w:rsidRPr="00B9229A">
              <w:t xml:space="preserve"> for this statement?</w:t>
            </w:r>
          </w:p>
          <w:p w14:paraId="68811965" w14:textId="2966BAB3" w:rsidR="00D371C9" w:rsidRDefault="00D371C9" w:rsidP="003D4A9C">
            <w:pPr>
              <w:pStyle w:val="Heading3"/>
            </w:pPr>
            <w:r>
              <w:t>Implementing NICE guidelines</w:t>
            </w:r>
            <w:r w:rsidR="00AD173C">
              <w:t xml:space="preserve"> and quality standards</w:t>
            </w:r>
          </w:p>
          <w:p w14:paraId="71910694" w14:textId="6F9A2197" w:rsidR="00AD173C" w:rsidRDefault="00AD173C" w:rsidP="003D4A9C">
            <w:pPr>
              <w:pStyle w:val="NICEnormal"/>
              <w:rPr>
                <w:b/>
              </w:rPr>
            </w:pPr>
            <w:r>
              <w:rPr>
                <w:b/>
              </w:rPr>
              <w:t xml:space="preserve">Question </w:t>
            </w:r>
            <w:r w:rsidR="002D7965">
              <w:rPr>
                <w:b/>
              </w:rPr>
              <w:t>7</w:t>
            </w:r>
            <w:r>
              <w:rPr>
                <w:b/>
              </w:rPr>
              <w:t xml:space="preserve"> </w:t>
            </w:r>
            <w:r w:rsidRPr="00AD173C">
              <w:rPr>
                <w:bCs/>
              </w:rPr>
              <w:t>Please</w:t>
            </w:r>
            <w:r>
              <w:rPr>
                <w:bCs/>
              </w:rPr>
              <w:t xml:space="preserve"> let us know about any practical resources that have been developed to improve awareness of this quality standard among young people and their families and carers.</w:t>
            </w:r>
            <w:r>
              <w:rPr>
                <w:b/>
              </w:rPr>
              <w:t xml:space="preserve"> </w:t>
            </w:r>
          </w:p>
          <w:p w14:paraId="3BB82709" w14:textId="07078509" w:rsidR="00D371C9" w:rsidRPr="00BB32FB" w:rsidRDefault="00D371C9" w:rsidP="003D4A9C">
            <w:pPr>
              <w:pStyle w:val="NICEnormal"/>
            </w:pPr>
            <w:r w:rsidRPr="00E96396">
              <w:rPr>
                <w:b/>
              </w:rPr>
              <w:lastRenderedPageBreak/>
              <w:t xml:space="preserve">Question </w:t>
            </w:r>
            <w:r w:rsidR="002D7965">
              <w:rPr>
                <w:b/>
              </w:rPr>
              <w:t>8</w:t>
            </w:r>
            <w:r>
              <w:rPr>
                <w:b/>
              </w:rPr>
              <w:t xml:space="preserve"> </w:t>
            </w:r>
            <w:r w:rsidRPr="00EF6F93">
              <w:t>What are the challenges to implementing the NICE guidance underpinning this quality standard? Please say why and for whom. Please include any suggestions that could help users overcome these challenges (for example, existing practical resources or national initiatives).</w:t>
            </w:r>
            <w:r w:rsidR="00AD173C">
              <w:t xml:space="preserve"> </w:t>
            </w:r>
          </w:p>
        </w:tc>
      </w:tr>
    </w:tbl>
    <w:p w14:paraId="7DFA4F4F" w14:textId="73E0DE90" w:rsidR="00D371C9" w:rsidRDefault="00D371C9">
      <w:pPr>
        <w:rPr>
          <w:rFonts w:ascii="Arial" w:hAnsi="Arial" w:cs="Arial"/>
          <w:b/>
          <w:bCs/>
          <w:kern w:val="32"/>
          <w:sz w:val="32"/>
          <w:szCs w:val="32"/>
        </w:rPr>
      </w:pPr>
      <w:r>
        <w:lastRenderedPageBreak/>
        <w:br w:type="page"/>
      </w:r>
    </w:p>
    <w:p w14:paraId="1014DF2F" w14:textId="2A2C3BAE" w:rsidR="009C399D" w:rsidRPr="00587DE7" w:rsidRDefault="009C399D" w:rsidP="00A40D68">
      <w:pPr>
        <w:pStyle w:val="Heading1"/>
        <w:rPr>
          <w:highlight w:val="lightGray"/>
        </w:rPr>
      </w:pPr>
      <w:r w:rsidRPr="00587DE7">
        <w:rPr>
          <w:highlight w:val="lightGray"/>
        </w:rPr>
        <w:lastRenderedPageBreak/>
        <w:t xml:space="preserve">Quality statement 1: </w:t>
      </w:r>
      <w:r w:rsidR="0057245F" w:rsidRPr="00587DE7">
        <w:rPr>
          <w:highlight w:val="lightGray"/>
        </w:rPr>
        <w:t>Planning transition</w:t>
      </w:r>
    </w:p>
    <w:p w14:paraId="0BC2D2DD" w14:textId="77777777" w:rsidR="0057245F" w:rsidRPr="00587DE7" w:rsidRDefault="0057245F" w:rsidP="0057245F">
      <w:pPr>
        <w:pStyle w:val="Heading2"/>
        <w:rPr>
          <w:highlight w:val="lightGray"/>
        </w:rPr>
      </w:pPr>
      <w:r w:rsidRPr="00587DE7">
        <w:rPr>
          <w:highlight w:val="lightGray"/>
        </w:rPr>
        <w:t>Quality statement</w:t>
      </w:r>
    </w:p>
    <w:p w14:paraId="4C201205" w14:textId="38313F1C" w:rsidR="007A7730" w:rsidRPr="00587DE7" w:rsidRDefault="007A7730" w:rsidP="007A7730">
      <w:pPr>
        <w:pStyle w:val="NICEnormal"/>
        <w:rPr>
          <w:highlight w:val="lightGray"/>
        </w:rPr>
      </w:pPr>
      <w:bookmarkStart w:id="2" w:name="qs1_planning"/>
      <w:bookmarkEnd w:id="2"/>
      <w:r w:rsidRPr="00587DE7">
        <w:rPr>
          <w:highlight w:val="lightGray"/>
        </w:rPr>
        <w:t xml:space="preserve">Young people who will move from children’s to adults’ services start planning their transition with </w:t>
      </w:r>
      <w:r w:rsidR="003900F2" w:rsidRPr="00587DE7">
        <w:rPr>
          <w:highlight w:val="lightGray"/>
        </w:rPr>
        <w:t xml:space="preserve">health and social care </w:t>
      </w:r>
      <w:r w:rsidRPr="00587DE7">
        <w:rPr>
          <w:highlight w:val="lightGray"/>
        </w:rPr>
        <w:t>practitioner</w:t>
      </w:r>
      <w:r w:rsidR="003900F2" w:rsidRPr="00587DE7">
        <w:rPr>
          <w:highlight w:val="lightGray"/>
        </w:rPr>
        <w:t>s</w:t>
      </w:r>
      <w:r w:rsidRPr="00587DE7">
        <w:rPr>
          <w:highlight w:val="lightGray"/>
        </w:rPr>
        <w:t xml:space="preserve"> by </w:t>
      </w:r>
      <w:r w:rsidR="00CB2E30" w:rsidRPr="00587DE7">
        <w:rPr>
          <w:highlight w:val="lightGray"/>
        </w:rPr>
        <w:t xml:space="preserve">school </w:t>
      </w:r>
      <w:r w:rsidRPr="00587DE7">
        <w:rPr>
          <w:highlight w:val="lightGray"/>
        </w:rPr>
        <w:t>year</w:t>
      </w:r>
      <w:r w:rsidR="006B5267" w:rsidRPr="00587DE7">
        <w:rPr>
          <w:highlight w:val="lightGray"/>
        </w:rPr>
        <w:t> </w:t>
      </w:r>
      <w:r w:rsidRPr="00587DE7">
        <w:rPr>
          <w:highlight w:val="lightGray"/>
        </w:rPr>
        <w:t>9 (aged 13 to 14</w:t>
      </w:r>
      <w:r w:rsidR="004E6631" w:rsidRPr="00587DE7">
        <w:rPr>
          <w:highlight w:val="lightGray"/>
        </w:rPr>
        <w:t> </w:t>
      </w:r>
      <w:r w:rsidRPr="00587DE7">
        <w:rPr>
          <w:highlight w:val="lightGray"/>
        </w:rPr>
        <w:t xml:space="preserve">years), or immediately if they enter </w:t>
      </w:r>
      <w:r w:rsidR="006B16DF" w:rsidRPr="00587DE7">
        <w:rPr>
          <w:highlight w:val="lightGray"/>
        </w:rPr>
        <w:t>children’s</w:t>
      </w:r>
      <w:r w:rsidRPr="00587DE7">
        <w:rPr>
          <w:highlight w:val="lightGray"/>
        </w:rPr>
        <w:t xml:space="preserve"> service</w:t>
      </w:r>
      <w:r w:rsidR="006B16DF" w:rsidRPr="00587DE7">
        <w:rPr>
          <w:highlight w:val="lightGray"/>
        </w:rPr>
        <w:t>s</w:t>
      </w:r>
      <w:r w:rsidRPr="00587DE7">
        <w:rPr>
          <w:highlight w:val="lightGray"/>
        </w:rPr>
        <w:t xml:space="preserve"> </w:t>
      </w:r>
      <w:r w:rsidR="00B62606" w:rsidRPr="00587DE7">
        <w:rPr>
          <w:highlight w:val="lightGray"/>
        </w:rPr>
        <w:t xml:space="preserve">after </w:t>
      </w:r>
      <w:r w:rsidR="00CB2E30" w:rsidRPr="00587DE7">
        <w:rPr>
          <w:highlight w:val="lightGray"/>
        </w:rPr>
        <w:t xml:space="preserve">school </w:t>
      </w:r>
      <w:r w:rsidR="00B62606" w:rsidRPr="00587DE7">
        <w:rPr>
          <w:highlight w:val="lightGray"/>
        </w:rPr>
        <w:t>year</w:t>
      </w:r>
      <w:r w:rsidR="004E6631" w:rsidRPr="00587DE7">
        <w:rPr>
          <w:highlight w:val="lightGray"/>
        </w:rPr>
        <w:t> </w:t>
      </w:r>
      <w:r w:rsidR="00B62606" w:rsidRPr="00587DE7">
        <w:rPr>
          <w:highlight w:val="lightGray"/>
        </w:rPr>
        <w:t>9</w:t>
      </w:r>
      <w:r w:rsidRPr="00587DE7">
        <w:rPr>
          <w:highlight w:val="lightGray"/>
        </w:rPr>
        <w:t xml:space="preserve">. </w:t>
      </w:r>
      <w:bookmarkStart w:id="3" w:name="_Hlk144820745"/>
      <w:r w:rsidR="004E0CA7" w:rsidRPr="00587DE7">
        <w:rPr>
          <w:b/>
          <w:bCs/>
          <w:highlight w:val="lightGray"/>
        </w:rPr>
        <w:t>[2016]</w:t>
      </w:r>
      <w:bookmarkEnd w:id="3"/>
    </w:p>
    <w:p w14:paraId="05602A54" w14:textId="3903915F" w:rsidR="0057245F" w:rsidRPr="00587DE7" w:rsidRDefault="0057245F" w:rsidP="0057245F">
      <w:pPr>
        <w:pStyle w:val="Heading2"/>
        <w:rPr>
          <w:highlight w:val="lightGray"/>
        </w:rPr>
      </w:pPr>
      <w:r w:rsidRPr="00587DE7">
        <w:rPr>
          <w:highlight w:val="lightGray"/>
        </w:rPr>
        <w:t>Rationale</w:t>
      </w:r>
    </w:p>
    <w:p w14:paraId="55448A31" w14:textId="33D4D127" w:rsidR="0057245F" w:rsidRPr="00587DE7" w:rsidRDefault="0057245F" w:rsidP="0057245F">
      <w:pPr>
        <w:pStyle w:val="NICEnormal"/>
        <w:rPr>
          <w:highlight w:val="lightGray"/>
        </w:rPr>
      </w:pPr>
      <w:r w:rsidRPr="00587DE7">
        <w:rPr>
          <w:highlight w:val="lightGray"/>
        </w:rPr>
        <w:t xml:space="preserve">Starting </w:t>
      </w:r>
      <w:r w:rsidR="006B5267" w:rsidRPr="00587DE7">
        <w:rPr>
          <w:highlight w:val="lightGray"/>
        </w:rPr>
        <w:t xml:space="preserve">to </w:t>
      </w:r>
      <w:r w:rsidRPr="00587DE7">
        <w:rPr>
          <w:highlight w:val="lightGray"/>
        </w:rPr>
        <w:t xml:space="preserve">plan </w:t>
      </w:r>
      <w:r w:rsidR="005E2D16" w:rsidRPr="00587DE7">
        <w:rPr>
          <w:highlight w:val="lightGray"/>
        </w:rPr>
        <w:t xml:space="preserve">their </w:t>
      </w:r>
      <w:r w:rsidR="007F28AA" w:rsidRPr="00587DE7">
        <w:rPr>
          <w:highlight w:val="lightGray"/>
        </w:rPr>
        <w:t xml:space="preserve">transition </w:t>
      </w:r>
      <w:r w:rsidRPr="00587DE7">
        <w:rPr>
          <w:highlight w:val="lightGray"/>
        </w:rPr>
        <w:t>as early as possible can lead to a better experience for young people</w:t>
      </w:r>
      <w:r w:rsidR="004E6631" w:rsidRPr="00587DE7">
        <w:rPr>
          <w:highlight w:val="lightGray"/>
        </w:rPr>
        <w:t xml:space="preserve"> moving from children’s to adults’ services</w:t>
      </w:r>
      <w:r w:rsidRPr="00587DE7">
        <w:rPr>
          <w:highlight w:val="lightGray"/>
        </w:rPr>
        <w:t xml:space="preserve">. </w:t>
      </w:r>
      <w:r w:rsidR="004E6631" w:rsidRPr="00587DE7">
        <w:rPr>
          <w:highlight w:val="lightGray"/>
        </w:rPr>
        <w:t>Early planning</w:t>
      </w:r>
      <w:r w:rsidRPr="00587DE7">
        <w:rPr>
          <w:highlight w:val="lightGray"/>
        </w:rPr>
        <w:t xml:space="preserve"> allows a more gradual process. A sudden move to adults’ services with no time for preparation or support can lead to young people</w:t>
      </w:r>
      <w:r w:rsidR="00122C8A" w:rsidRPr="00587DE7">
        <w:rPr>
          <w:highlight w:val="lightGray"/>
        </w:rPr>
        <w:t>,</w:t>
      </w:r>
      <w:r w:rsidRPr="00587DE7">
        <w:rPr>
          <w:highlight w:val="lightGray"/>
        </w:rPr>
        <w:t xml:space="preserve"> and their families</w:t>
      </w:r>
      <w:r w:rsidR="00122C8A" w:rsidRPr="00587DE7">
        <w:rPr>
          <w:highlight w:val="lightGray"/>
        </w:rPr>
        <w:t xml:space="preserve"> and carers,</w:t>
      </w:r>
      <w:r w:rsidRPr="00587DE7">
        <w:rPr>
          <w:highlight w:val="lightGray"/>
        </w:rPr>
        <w:t xml:space="preserve"> losing confidence and disengaging</w:t>
      </w:r>
      <w:r w:rsidR="004E6631" w:rsidRPr="00587DE7">
        <w:rPr>
          <w:highlight w:val="lightGray"/>
        </w:rPr>
        <w:t xml:space="preserve"> with services</w:t>
      </w:r>
      <w:r w:rsidRPr="00587DE7">
        <w:rPr>
          <w:highlight w:val="lightGray"/>
        </w:rPr>
        <w:t xml:space="preserve">. Early planning, led by the </w:t>
      </w:r>
      <w:r w:rsidR="007F28AA" w:rsidRPr="00587DE7">
        <w:rPr>
          <w:highlight w:val="lightGray"/>
        </w:rPr>
        <w:t xml:space="preserve">health and social care </w:t>
      </w:r>
      <w:r w:rsidRPr="00587DE7">
        <w:rPr>
          <w:highlight w:val="lightGray"/>
        </w:rPr>
        <w:t>practitioner</w:t>
      </w:r>
      <w:r w:rsidR="007F28AA" w:rsidRPr="00587DE7">
        <w:rPr>
          <w:highlight w:val="lightGray"/>
        </w:rPr>
        <w:t>s</w:t>
      </w:r>
      <w:r w:rsidRPr="00587DE7">
        <w:rPr>
          <w:highlight w:val="lightGray"/>
        </w:rPr>
        <w:t xml:space="preserve"> but with full involvement from the young person</w:t>
      </w:r>
      <w:r w:rsidR="00122C8A" w:rsidRPr="00587DE7">
        <w:rPr>
          <w:highlight w:val="lightGray"/>
        </w:rPr>
        <w:t xml:space="preserve"> and their families and carers</w:t>
      </w:r>
      <w:r w:rsidR="004E6631" w:rsidRPr="00587DE7">
        <w:rPr>
          <w:highlight w:val="lightGray"/>
        </w:rPr>
        <w:t>,</w:t>
      </w:r>
      <w:r w:rsidRPr="00587DE7">
        <w:rPr>
          <w:highlight w:val="lightGray"/>
        </w:rPr>
        <w:t xml:space="preserve"> allows </w:t>
      </w:r>
      <w:r w:rsidR="00122C8A" w:rsidRPr="00587DE7">
        <w:rPr>
          <w:highlight w:val="lightGray"/>
        </w:rPr>
        <w:t>them</w:t>
      </w:r>
      <w:r w:rsidRPr="00587DE7">
        <w:rPr>
          <w:highlight w:val="lightGray"/>
        </w:rPr>
        <w:t xml:space="preserve"> more time to be involved in decisions and </w:t>
      </w:r>
      <w:r w:rsidR="004E6631" w:rsidRPr="00587DE7">
        <w:rPr>
          <w:highlight w:val="lightGray"/>
        </w:rPr>
        <w:t xml:space="preserve">to </w:t>
      </w:r>
      <w:r w:rsidRPr="00587DE7">
        <w:rPr>
          <w:highlight w:val="lightGray"/>
        </w:rPr>
        <w:t xml:space="preserve">adjust to changes to their future care. </w:t>
      </w:r>
      <w:r w:rsidR="00CB2E30" w:rsidRPr="00587DE7">
        <w:rPr>
          <w:highlight w:val="lightGray"/>
        </w:rPr>
        <w:t>It is recognised that f</w:t>
      </w:r>
      <w:r w:rsidRPr="00587DE7">
        <w:rPr>
          <w:highlight w:val="lightGray"/>
        </w:rPr>
        <w:t>or some young people, those covered by health and social care or education legislation, early transition planning is already a legal requirement.</w:t>
      </w:r>
      <w:r w:rsidR="009840B1" w:rsidRPr="00587DE7">
        <w:rPr>
          <w:highlight w:val="lightGray"/>
        </w:rPr>
        <w:t xml:space="preserve"> </w:t>
      </w:r>
    </w:p>
    <w:p w14:paraId="4176640D" w14:textId="77777777" w:rsidR="0057245F" w:rsidRPr="00587DE7" w:rsidRDefault="0057245F" w:rsidP="0057245F">
      <w:pPr>
        <w:pStyle w:val="Heading2"/>
        <w:rPr>
          <w:highlight w:val="lightGray"/>
        </w:rPr>
      </w:pPr>
      <w:r w:rsidRPr="00587DE7">
        <w:rPr>
          <w:highlight w:val="lightGray"/>
        </w:rPr>
        <w:t>Quality measures</w:t>
      </w:r>
    </w:p>
    <w:p w14:paraId="3D02824C" w14:textId="071314FD" w:rsidR="00785D19" w:rsidRPr="00587DE7" w:rsidRDefault="00785D19" w:rsidP="003F19B1">
      <w:pPr>
        <w:pStyle w:val="NICEnormal"/>
        <w:rPr>
          <w:highlight w:val="lightGray"/>
        </w:rPr>
      </w:pPr>
      <w:r w:rsidRPr="00587DE7">
        <w:rPr>
          <w:color w:val="000000" w:themeColor="text1"/>
          <w:highlight w:val="lightGray"/>
        </w:rPr>
        <w:t xml:space="preserve">The following measures can be used to assess the quality of care or service provision specified in the statement. They are examples of how the statement can be measured, and can be adapted and used flexibly. </w:t>
      </w:r>
    </w:p>
    <w:p w14:paraId="7FADD165" w14:textId="77777777" w:rsidR="0057245F" w:rsidRPr="00587DE7" w:rsidRDefault="0057245F" w:rsidP="0057245F">
      <w:pPr>
        <w:pStyle w:val="Heading3"/>
        <w:rPr>
          <w:highlight w:val="lightGray"/>
        </w:rPr>
      </w:pPr>
      <w:r w:rsidRPr="00587DE7">
        <w:rPr>
          <w:highlight w:val="lightGray"/>
        </w:rPr>
        <w:t>Process</w:t>
      </w:r>
    </w:p>
    <w:p w14:paraId="4A471058" w14:textId="58ECB291" w:rsidR="0057245F" w:rsidRPr="00587DE7" w:rsidRDefault="0057245F" w:rsidP="0057245F">
      <w:pPr>
        <w:pStyle w:val="NICEnormal"/>
        <w:rPr>
          <w:highlight w:val="lightGray"/>
        </w:rPr>
      </w:pPr>
      <w:r w:rsidRPr="00587DE7">
        <w:rPr>
          <w:highlight w:val="lightGray"/>
        </w:rPr>
        <w:t xml:space="preserve">a) Proportion of young people in </w:t>
      </w:r>
      <w:r w:rsidR="00CB2E30" w:rsidRPr="00587DE7">
        <w:rPr>
          <w:highlight w:val="lightGray"/>
        </w:rPr>
        <w:t xml:space="preserve">school </w:t>
      </w:r>
      <w:r w:rsidRPr="00587DE7">
        <w:rPr>
          <w:highlight w:val="lightGray"/>
        </w:rPr>
        <w:t>year</w:t>
      </w:r>
      <w:r w:rsidR="004E6631" w:rsidRPr="00587DE7">
        <w:rPr>
          <w:highlight w:val="lightGray"/>
        </w:rPr>
        <w:t> </w:t>
      </w:r>
      <w:r w:rsidRPr="00587DE7">
        <w:rPr>
          <w:highlight w:val="lightGray"/>
        </w:rPr>
        <w:t>9 (aged 13 to 14</w:t>
      </w:r>
      <w:r w:rsidR="004E6631" w:rsidRPr="00587DE7">
        <w:rPr>
          <w:highlight w:val="lightGray"/>
        </w:rPr>
        <w:t> </w:t>
      </w:r>
      <w:r w:rsidRPr="00587DE7">
        <w:rPr>
          <w:highlight w:val="lightGray"/>
        </w:rPr>
        <w:t>years) who will move from children’s to adults’ services who have started planning their transition.</w:t>
      </w:r>
    </w:p>
    <w:p w14:paraId="234AE0B4" w14:textId="77777777" w:rsidR="0057245F" w:rsidRPr="00587DE7" w:rsidRDefault="0057245F" w:rsidP="0057245F">
      <w:pPr>
        <w:pStyle w:val="NICEnormal"/>
        <w:rPr>
          <w:highlight w:val="lightGray"/>
        </w:rPr>
      </w:pPr>
      <w:r w:rsidRPr="00587DE7">
        <w:rPr>
          <w:highlight w:val="lightGray"/>
        </w:rPr>
        <w:t>Numerator – the number in the denominator who have started planning their transition.</w:t>
      </w:r>
    </w:p>
    <w:p w14:paraId="0A9B1FFA" w14:textId="2AB8E689" w:rsidR="0057245F" w:rsidRPr="00587DE7" w:rsidRDefault="0057245F" w:rsidP="0057245F">
      <w:pPr>
        <w:pStyle w:val="NICEnormal"/>
        <w:rPr>
          <w:highlight w:val="lightGray"/>
        </w:rPr>
      </w:pPr>
      <w:r w:rsidRPr="00587DE7">
        <w:rPr>
          <w:highlight w:val="lightGray"/>
        </w:rPr>
        <w:t xml:space="preserve">Denominator – the number of young people in </w:t>
      </w:r>
      <w:r w:rsidR="00CB2E30" w:rsidRPr="00587DE7">
        <w:rPr>
          <w:highlight w:val="lightGray"/>
        </w:rPr>
        <w:t xml:space="preserve">school </w:t>
      </w:r>
      <w:r w:rsidRPr="00587DE7">
        <w:rPr>
          <w:highlight w:val="lightGray"/>
        </w:rPr>
        <w:t>year</w:t>
      </w:r>
      <w:r w:rsidR="003123E3" w:rsidRPr="00587DE7">
        <w:rPr>
          <w:highlight w:val="lightGray"/>
        </w:rPr>
        <w:t> </w:t>
      </w:r>
      <w:r w:rsidRPr="00587DE7">
        <w:rPr>
          <w:highlight w:val="lightGray"/>
        </w:rPr>
        <w:t>9 (aged 13 to 14</w:t>
      </w:r>
      <w:r w:rsidR="003123E3" w:rsidRPr="00587DE7">
        <w:rPr>
          <w:highlight w:val="lightGray"/>
        </w:rPr>
        <w:t> </w:t>
      </w:r>
      <w:r w:rsidRPr="00587DE7">
        <w:rPr>
          <w:highlight w:val="lightGray"/>
        </w:rPr>
        <w:t>years) who will move from children’s to adults’ services.</w:t>
      </w:r>
    </w:p>
    <w:p w14:paraId="7C267157" w14:textId="6B6F4E4C" w:rsidR="0057245F" w:rsidRPr="00587DE7" w:rsidRDefault="0057245F" w:rsidP="0057245F">
      <w:pPr>
        <w:pStyle w:val="NICEnormal"/>
        <w:rPr>
          <w:highlight w:val="lightGray"/>
        </w:rPr>
      </w:pPr>
      <w:r w:rsidRPr="00587DE7">
        <w:rPr>
          <w:b/>
          <w:iCs/>
          <w:highlight w:val="lightGray"/>
        </w:rPr>
        <w:lastRenderedPageBreak/>
        <w:t>Data source:</w:t>
      </w:r>
      <w:r w:rsidRPr="00587DE7">
        <w:rPr>
          <w:highlight w:val="lightGray"/>
        </w:rPr>
        <w:t xml:space="preserve"> </w:t>
      </w:r>
      <w:r w:rsidR="005E0EA1" w:rsidRPr="00587DE7">
        <w:rPr>
          <w:highlight w:val="lightGray"/>
        </w:rPr>
        <w:t>Data can be collected from information recorded locally by healthcare professionals and provider organisations, for example from patient records</w:t>
      </w:r>
      <w:r w:rsidRPr="00587DE7">
        <w:rPr>
          <w:highlight w:val="lightGray"/>
        </w:rPr>
        <w:t>.</w:t>
      </w:r>
    </w:p>
    <w:p w14:paraId="69D7074C" w14:textId="0F3B0127" w:rsidR="0057245F" w:rsidRPr="00587DE7" w:rsidRDefault="0057245F" w:rsidP="0057245F">
      <w:pPr>
        <w:pStyle w:val="NICEnormal"/>
        <w:rPr>
          <w:highlight w:val="lightGray"/>
        </w:rPr>
      </w:pPr>
      <w:r w:rsidRPr="00587DE7">
        <w:rPr>
          <w:highlight w:val="lightGray"/>
        </w:rPr>
        <w:t xml:space="preserve">b) Proportion of young people entering </w:t>
      </w:r>
      <w:r w:rsidR="006B16DF" w:rsidRPr="00587DE7">
        <w:rPr>
          <w:highlight w:val="lightGray"/>
        </w:rPr>
        <w:t xml:space="preserve">children’s services </w:t>
      </w:r>
      <w:r w:rsidRPr="00587DE7">
        <w:rPr>
          <w:highlight w:val="lightGray"/>
        </w:rPr>
        <w:t xml:space="preserve">after </w:t>
      </w:r>
      <w:r w:rsidR="00CB2E30" w:rsidRPr="00587DE7">
        <w:rPr>
          <w:highlight w:val="lightGray"/>
        </w:rPr>
        <w:t xml:space="preserve">school </w:t>
      </w:r>
      <w:r w:rsidRPr="00587DE7">
        <w:rPr>
          <w:highlight w:val="lightGray"/>
        </w:rPr>
        <w:t>year</w:t>
      </w:r>
      <w:r w:rsidR="003123E3" w:rsidRPr="00587DE7">
        <w:rPr>
          <w:highlight w:val="lightGray"/>
        </w:rPr>
        <w:t> </w:t>
      </w:r>
      <w:r w:rsidRPr="00587DE7">
        <w:rPr>
          <w:highlight w:val="lightGray"/>
        </w:rPr>
        <w:t xml:space="preserve">9 </w:t>
      </w:r>
      <w:r w:rsidR="00DC1407" w:rsidRPr="00587DE7">
        <w:rPr>
          <w:highlight w:val="lightGray"/>
        </w:rPr>
        <w:t xml:space="preserve">and who will move to adults’ services </w:t>
      </w:r>
      <w:r w:rsidRPr="00587DE7">
        <w:rPr>
          <w:highlight w:val="lightGray"/>
        </w:rPr>
        <w:t xml:space="preserve">who started planning their transition immediately. </w:t>
      </w:r>
    </w:p>
    <w:p w14:paraId="793FCFA3" w14:textId="77777777" w:rsidR="0057245F" w:rsidRPr="00587DE7" w:rsidRDefault="0057245F" w:rsidP="0057245F">
      <w:pPr>
        <w:pStyle w:val="NICEnormal"/>
        <w:rPr>
          <w:highlight w:val="lightGray"/>
        </w:rPr>
      </w:pPr>
      <w:r w:rsidRPr="00587DE7">
        <w:rPr>
          <w:highlight w:val="lightGray"/>
        </w:rPr>
        <w:t>Numerator – the number in the denominator who started planning their transition immediately.</w:t>
      </w:r>
    </w:p>
    <w:p w14:paraId="200DA909" w14:textId="1270DF81" w:rsidR="0057245F" w:rsidRPr="00587DE7" w:rsidRDefault="0057245F" w:rsidP="0057245F">
      <w:pPr>
        <w:pStyle w:val="NICEnormal"/>
        <w:rPr>
          <w:highlight w:val="lightGray"/>
        </w:rPr>
      </w:pPr>
      <w:r w:rsidRPr="00587DE7">
        <w:rPr>
          <w:highlight w:val="lightGray"/>
        </w:rPr>
        <w:t xml:space="preserve">Denominator – the number of young people entering </w:t>
      </w:r>
      <w:r w:rsidR="006B16DF" w:rsidRPr="00587DE7">
        <w:rPr>
          <w:highlight w:val="lightGray"/>
        </w:rPr>
        <w:t xml:space="preserve">children’s services </w:t>
      </w:r>
      <w:r w:rsidRPr="00587DE7">
        <w:rPr>
          <w:highlight w:val="lightGray"/>
        </w:rPr>
        <w:t xml:space="preserve">after </w:t>
      </w:r>
      <w:r w:rsidR="00CB2E30" w:rsidRPr="00587DE7">
        <w:rPr>
          <w:highlight w:val="lightGray"/>
        </w:rPr>
        <w:t xml:space="preserve">school </w:t>
      </w:r>
      <w:r w:rsidRPr="00587DE7">
        <w:rPr>
          <w:highlight w:val="lightGray"/>
        </w:rPr>
        <w:t>year</w:t>
      </w:r>
      <w:r w:rsidR="003123E3" w:rsidRPr="00587DE7">
        <w:rPr>
          <w:highlight w:val="lightGray"/>
        </w:rPr>
        <w:t> </w:t>
      </w:r>
      <w:r w:rsidRPr="00587DE7">
        <w:rPr>
          <w:highlight w:val="lightGray"/>
        </w:rPr>
        <w:t>9</w:t>
      </w:r>
      <w:r w:rsidR="00DC1407" w:rsidRPr="00587DE7">
        <w:rPr>
          <w:highlight w:val="lightGray"/>
        </w:rPr>
        <w:t xml:space="preserve"> and who will move to adults’ services</w:t>
      </w:r>
      <w:r w:rsidRPr="00587DE7">
        <w:rPr>
          <w:highlight w:val="lightGray"/>
        </w:rPr>
        <w:t>.</w:t>
      </w:r>
    </w:p>
    <w:p w14:paraId="17AC18E4" w14:textId="281BB039" w:rsidR="009B7411" w:rsidRPr="00587DE7" w:rsidRDefault="009B7411" w:rsidP="009B7411">
      <w:pPr>
        <w:pStyle w:val="NICEnormal"/>
        <w:rPr>
          <w:highlight w:val="lightGray"/>
        </w:rPr>
      </w:pPr>
      <w:r w:rsidRPr="00587DE7">
        <w:rPr>
          <w:b/>
          <w:iCs/>
          <w:highlight w:val="lightGray"/>
        </w:rPr>
        <w:t>Data source:</w:t>
      </w:r>
      <w:r w:rsidRPr="00587DE7">
        <w:rPr>
          <w:highlight w:val="lightGray"/>
        </w:rPr>
        <w:t xml:space="preserve"> </w:t>
      </w:r>
      <w:r w:rsidR="00810CC4" w:rsidRPr="00587DE7">
        <w:rPr>
          <w:highlight w:val="lightGray"/>
        </w:rPr>
        <w:t>Data can be collected from information recorded locally by healthcare professionals and provider organisations, for example from patient records</w:t>
      </w:r>
      <w:r w:rsidRPr="00587DE7">
        <w:rPr>
          <w:highlight w:val="lightGray"/>
        </w:rPr>
        <w:t>.</w:t>
      </w:r>
    </w:p>
    <w:p w14:paraId="471A8BD2" w14:textId="77777777" w:rsidR="0057245F" w:rsidRPr="00587DE7" w:rsidRDefault="0057245F" w:rsidP="0057245F">
      <w:pPr>
        <w:pStyle w:val="Heading3"/>
        <w:rPr>
          <w:highlight w:val="lightGray"/>
        </w:rPr>
      </w:pPr>
      <w:r w:rsidRPr="00587DE7">
        <w:rPr>
          <w:highlight w:val="lightGray"/>
        </w:rPr>
        <w:t>Outcome</w:t>
      </w:r>
    </w:p>
    <w:p w14:paraId="082A20E7" w14:textId="46B5229A" w:rsidR="001C6759" w:rsidRPr="00587DE7" w:rsidRDefault="00E23914" w:rsidP="00E23914">
      <w:pPr>
        <w:pStyle w:val="NICEnormal"/>
        <w:rPr>
          <w:rStyle w:val="NICEnormalChar"/>
          <w:highlight w:val="lightGray"/>
        </w:rPr>
      </w:pPr>
      <w:bookmarkStart w:id="4" w:name="_Hlk143254248"/>
      <w:r w:rsidRPr="00587DE7">
        <w:rPr>
          <w:highlight w:val="lightGray"/>
        </w:rPr>
        <w:t xml:space="preserve">a) </w:t>
      </w:r>
      <w:r w:rsidR="00810CC4" w:rsidRPr="00587DE7">
        <w:rPr>
          <w:highlight w:val="lightGray"/>
        </w:rPr>
        <w:t>Proportion of young people</w:t>
      </w:r>
      <w:r w:rsidR="00F05899" w:rsidRPr="00587DE7">
        <w:rPr>
          <w:highlight w:val="lightGray"/>
        </w:rPr>
        <w:t xml:space="preserve"> (</w:t>
      </w:r>
      <w:r w:rsidR="00810CC4" w:rsidRPr="00587DE7">
        <w:rPr>
          <w:highlight w:val="lightGray"/>
        </w:rPr>
        <w:t>and their family and carers</w:t>
      </w:r>
      <w:r w:rsidR="00F05899" w:rsidRPr="00587DE7">
        <w:rPr>
          <w:highlight w:val="lightGray"/>
        </w:rPr>
        <w:t>)</w:t>
      </w:r>
      <w:r w:rsidR="00AB6E55" w:rsidRPr="00587DE7">
        <w:rPr>
          <w:highlight w:val="lightGray"/>
        </w:rPr>
        <w:t xml:space="preserve">, who have transferred from children’s </w:t>
      </w:r>
      <w:r w:rsidR="003B1CF6" w:rsidRPr="00587DE7">
        <w:rPr>
          <w:highlight w:val="lightGray"/>
        </w:rPr>
        <w:t xml:space="preserve">to adults’ </w:t>
      </w:r>
      <w:r w:rsidR="00AB6E55" w:rsidRPr="00587DE7">
        <w:rPr>
          <w:highlight w:val="lightGray"/>
        </w:rPr>
        <w:t xml:space="preserve">services, </w:t>
      </w:r>
      <w:r w:rsidR="00810CC4" w:rsidRPr="00587DE7">
        <w:rPr>
          <w:highlight w:val="lightGray"/>
        </w:rPr>
        <w:t xml:space="preserve">who </w:t>
      </w:r>
      <w:r w:rsidR="00AB6E55" w:rsidRPr="00587DE7">
        <w:rPr>
          <w:highlight w:val="lightGray"/>
        </w:rPr>
        <w:t xml:space="preserve">were satisfied </w:t>
      </w:r>
      <w:r w:rsidR="00E75175" w:rsidRPr="00587DE7">
        <w:rPr>
          <w:rStyle w:val="NICEnormalChar"/>
          <w:highlight w:val="lightGray"/>
        </w:rPr>
        <w:t>with planning for transition and transfer</w:t>
      </w:r>
      <w:r w:rsidR="00AB6E55" w:rsidRPr="00587DE7">
        <w:rPr>
          <w:rStyle w:val="NICEnormalChar"/>
          <w:highlight w:val="lightGray"/>
        </w:rPr>
        <w:t>.</w:t>
      </w:r>
    </w:p>
    <w:p w14:paraId="6B758780" w14:textId="215D0E8C" w:rsidR="00AB6E55" w:rsidRPr="00587DE7" w:rsidRDefault="00AB6E55" w:rsidP="00AB6E55">
      <w:pPr>
        <w:pStyle w:val="NICEnormal"/>
        <w:rPr>
          <w:highlight w:val="lightGray"/>
        </w:rPr>
      </w:pPr>
      <w:bookmarkStart w:id="5" w:name="_Hlk143172532"/>
      <w:r w:rsidRPr="00587DE7">
        <w:rPr>
          <w:highlight w:val="lightGray"/>
        </w:rPr>
        <w:t>Numerator – the number in the denominator who were satisfied with planning for transition and transfer.</w:t>
      </w:r>
    </w:p>
    <w:p w14:paraId="346FEF42" w14:textId="19B7F7A0" w:rsidR="00AB6E55" w:rsidRPr="00587DE7" w:rsidRDefault="00AB6E55" w:rsidP="00AB6E55">
      <w:pPr>
        <w:pStyle w:val="NICEnormal"/>
        <w:rPr>
          <w:rStyle w:val="NICEnormalChar"/>
          <w:highlight w:val="lightGray"/>
        </w:rPr>
      </w:pPr>
      <w:r w:rsidRPr="00587DE7">
        <w:rPr>
          <w:highlight w:val="lightGray"/>
        </w:rPr>
        <w:t>Denominator – the number of young people</w:t>
      </w:r>
      <w:r w:rsidR="008F7D0A" w:rsidRPr="00587DE7">
        <w:rPr>
          <w:highlight w:val="lightGray"/>
        </w:rPr>
        <w:t xml:space="preserve"> (</w:t>
      </w:r>
      <w:r w:rsidRPr="00587DE7">
        <w:rPr>
          <w:highlight w:val="lightGray"/>
        </w:rPr>
        <w:t>and their famil</w:t>
      </w:r>
      <w:r w:rsidR="008F7D0A" w:rsidRPr="00587DE7">
        <w:rPr>
          <w:highlight w:val="lightGray"/>
        </w:rPr>
        <w:t>ies</w:t>
      </w:r>
      <w:r w:rsidRPr="00587DE7">
        <w:rPr>
          <w:highlight w:val="lightGray"/>
        </w:rPr>
        <w:t xml:space="preserve"> and carers</w:t>
      </w:r>
      <w:r w:rsidR="008F7D0A" w:rsidRPr="00587DE7">
        <w:rPr>
          <w:highlight w:val="lightGray"/>
        </w:rPr>
        <w:t>)</w:t>
      </w:r>
      <w:r w:rsidRPr="00587DE7">
        <w:rPr>
          <w:highlight w:val="lightGray"/>
        </w:rPr>
        <w:t xml:space="preserve"> who have transferred from children’s </w:t>
      </w:r>
      <w:r w:rsidR="003B1CF6" w:rsidRPr="00587DE7">
        <w:rPr>
          <w:highlight w:val="lightGray"/>
        </w:rPr>
        <w:t xml:space="preserve">to adults’ </w:t>
      </w:r>
      <w:r w:rsidRPr="00587DE7">
        <w:rPr>
          <w:highlight w:val="lightGray"/>
        </w:rPr>
        <w:t>services.</w:t>
      </w:r>
    </w:p>
    <w:bookmarkEnd w:id="5"/>
    <w:p w14:paraId="2FCAD0CA" w14:textId="371CD50B" w:rsidR="006378C6" w:rsidRPr="00587DE7" w:rsidRDefault="006378C6" w:rsidP="006378C6">
      <w:pPr>
        <w:pStyle w:val="NICEnormal"/>
        <w:rPr>
          <w:rStyle w:val="NICEnormalChar"/>
          <w:highlight w:val="lightGray"/>
        </w:rPr>
      </w:pPr>
      <w:r w:rsidRPr="00587DE7">
        <w:rPr>
          <w:b/>
          <w:bCs/>
          <w:highlight w:val="lightGray"/>
        </w:rPr>
        <w:t>Data source:</w:t>
      </w:r>
      <w:r w:rsidRPr="00587DE7">
        <w:rPr>
          <w:highlight w:val="lightGray"/>
        </w:rPr>
        <w:t xml:space="preserve"> </w:t>
      </w:r>
      <w:r w:rsidR="00810CC4" w:rsidRPr="00587DE7">
        <w:rPr>
          <w:rStyle w:val="NICEnormalChar"/>
          <w:highlight w:val="lightGray"/>
        </w:rPr>
        <w:t xml:space="preserve">Data can be collected from information recorded locally by healthcare professionals and provider organisations, for example from </w:t>
      </w:r>
      <w:r w:rsidR="00F843AD" w:rsidRPr="00587DE7">
        <w:rPr>
          <w:rStyle w:val="NICEnormalChar"/>
          <w:highlight w:val="lightGray"/>
        </w:rPr>
        <w:t xml:space="preserve">a </w:t>
      </w:r>
      <w:r w:rsidR="00810CC4" w:rsidRPr="00587DE7">
        <w:rPr>
          <w:rStyle w:val="NICEnormalChar"/>
          <w:highlight w:val="lightGray"/>
        </w:rPr>
        <w:t>patient survey</w:t>
      </w:r>
      <w:r w:rsidRPr="00587DE7">
        <w:rPr>
          <w:rStyle w:val="NICEnormalChar"/>
          <w:highlight w:val="lightGray"/>
        </w:rPr>
        <w:t>.</w:t>
      </w:r>
      <w:r w:rsidR="00F843AD" w:rsidRPr="00587DE7">
        <w:rPr>
          <w:rStyle w:val="NICEnormalChar"/>
          <w:highlight w:val="lightGray"/>
        </w:rPr>
        <w:t xml:space="preserve"> Resources to support this include</w:t>
      </w:r>
      <w:r w:rsidR="001169B6" w:rsidRPr="00587DE7">
        <w:rPr>
          <w:rStyle w:val="NICEnormalChar"/>
          <w:highlight w:val="lightGray"/>
        </w:rPr>
        <w:t xml:space="preserve"> </w:t>
      </w:r>
      <w:bookmarkStart w:id="6" w:name="_Hlk143601688"/>
      <w:r w:rsidR="00F843AD" w:rsidRPr="00587DE7">
        <w:rPr>
          <w:rStyle w:val="NICEnormalChar"/>
          <w:highlight w:val="lightGray"/>
        </w:rPr>
        <w:t>t</w:t>
      </w:r>
      <w:r w:rsidR="001169B6" w:rsidRPr="00587DE7">
        <w:rPr>
          <w:rStyle w:val="NICEnormalChar"/>
          <w:highlight w:val="lightGray"/>
        </w:rPr>
        <w:t xml:space="preserve">he </w:t>
      </w:r>
      <w:hyperlink r:id="rId8" w:history="1">
        <w:r w:rsidR="000933B8" w:rsidRPr="00587DE7">
          <w:rPr>
            <w:rStyle w:val="Hyperlink"/>
            <w:highlight w:val="lightGray"/>
          </w:rPr>
          <w:t xml:space="preserve">TIER </w:t>
        </w:r>
        <w:r w:rsidR="001169B6" w:rsidRPr="00587DE7">
          <w:rPr>
            <w:rStyle w:val="Hyperlink"/>
            <w:highlight w:val="lightGray"/>
          </w:rPr>
          <w:t>Ready, Steady, Go programme</w:t>
        </w:r>
      </w:hyperlink>
      <w:r w:rsidR="001169B6" w:rsidRPr="00587DE7">
        <w:rPr>
          <w:rStyle w:val="NICEnormalChar"/>
          <w:highlight w:val="lightGray"/>
        </w:rPr>
        <w:t xml:space="preserve"> </w:t>
      </w:r>
      <w:r w:rsidR="00F843AD" w:rsidRPr="00587DE7">
        <w:rPr>
          <w:rStyle w:val="NICEnormalChar"/>
          <w:highlight w:val="lightGray"/>
        </w:rPr>
        <w:t xml:space="preserve">which </w:t>
      </w:r>
      <w:r w:rsidR="001169B6" w:rsidRPr="00587DE7">
        <w:rPr>
          <w:rStyle w:val="NICEnormalChar"/>
          <w:highlight w:val="lightGray"/>
        </w:rPr>
        <w:t xml:space="preserve">includes feedback on transition planning in its questionnaires for young people and their </w:t>
      </w:r>
      <w:r w:rsidR="0043715C" w:rsidRPr="00587DE7">
        <w:rPr>
          <w:rStyle w:val="NICEnormalChar"/>
          <w:highlight w:val="lightGray"/>
        </w:rPr>
        <w:t xml:space="preserve">families and </w:t>
      </w:r>
      <w:r w:rsidR="001169B6" w:rsidRPr="00587DE7">
        <w:rPr>
          <w:rStyle w:val="NICEnormalChar"/>
          <w:highlight w:val="lightGray"/>
        </w:rPr>
        <w:t>carers.</w:t>
      </w:r>
      <w:r w:rsidR="00A120FC" w:rsidRPr="00587DE7">
        <w:rPr>
          <w:rStyle w:val="NICEnormalChar"/>
          <w:highlight w:val="lightGray"/>
        </w:rPr>
        <w:t xml:space="preserve"> </w:t>
      </w:r>
      <w:r w:rsidR="00F843AD" w:rsidRPr="00587DE7">
        <w:rPr>
          <w:rStyle w:val="NICEnormalChar"/>
          <w:highlight w:val="lightGray"/>
        </w:rPr>
        <w:t>Also, t</w:t>
      </w:r>
      <w:r w:rsidR="008A4D82" w:rsidRPr="00587DE7">
        <w:rPr>
          <w:highlight w:val="lightGray"/>
        </w:rPr>
        <w:t xml:space="preserve">he </w:t>
      </w:r>
      <w:hyperlink r:id="rId9" w:history="1">
        <w:r w:rsidR="008A4D82" w:rsidRPr="00587DE7">
          <w:rPr>
            <w:rStyle w:val="Hyperlink"/>
            <w:highlight w:val="lightGray"/>
          </w:rPr>
          <w:t xml:space="preserve">National Confidential Enquiry into Patient Outcome and Death transition from child into adult healthcare </w:t>
        </w:r>
        <w:r w:rsidR="002F1814" w:rsidRPr="00587DE7">
          <w:rPr>
            <w:rStyle w:val="Hyperlink"/>
            <w:highlight w:val="lightGray"/>
          </w:rPr>
          <w:t>young person and parent carer survey</w:t>
        </w:r>
      </w:hyperlink>
      <w:r w:rsidR="002F1814" w:rsidRPr="00587DE7">
        <w:rPr>
          <w:highlight w:val="lightGray"/>
        </w:rPr>
        <w:t xml:space="preserve"> includes questions on transition planning.</w:t>
      </w:r>
      <w:bookmarkEnd w:id="6"/>
    </w:p>
    <w:bookmarkEnd w:id="4"/>
    <w:p w14:paraId="3C485FE3" w14:textId="1D0ED642" w:rsidR="001F2814" w:rsidRPr="00587DE7" w:rsidRDefault="001F2814" w:rsidP="001F2814">
      <w:pPr>
        <w:pStyle w:val="NICEnormal"/>
        <w:rPr>
          <w:highlight w:val="lightGray"/>
        </w:rPr>
      </w:pPr>
      <w:r w:rsidRPr="00587DE7">
        <w:rPr>
          <w:highlight w:val="lightGray"/>
        </w:rPr>
        <w:t>b) Proportion of young people who have transferred from children’s to adults’ services, who do not attend their initial meetings or appointments with each adults’ service.</w:t>
      </w:r>
    </w:p>
    <w:p w14:paraId="3F93553E" w14:textId="77777777" w:rsidR="001F2814" w:rsidRPr="00587DE7" w:rsidRDefault="001F2814" w:rsidP="001F2814">
      <w:pPr>
        <w:pStyle w:val="NICEnormal"/>
        <w:rPr>
          <w:highlight w:val="lightGray"/>
        </w:rPr>
      </w:pPr>
      <w:r w:rsidRPr="00587DE7">
        <w:rPr>
          <w:highlight w:val="lightGray"/>
        </w:rPr>
        <w:lastRenderedPageBreak/>
        <w:t>Numerator – the number in the denominator who do not attend their initial meetings or appointments with each adults’ service.</w:t>
      </w:r>
    </w:p>
    <w:p w14:paraId="1239F3D5" w14:textId="77777777" w:rsidR="001F2814" w:rsidRPr="00587DE7" w:rsidRDefault="001F2814" w:rsidP="001F2814">
      <w:pPr>
        <w:pStyle w:val="NICEnormal"/>
        <w:rPr>
          <w:highlight w:val="lightGray"/>
        </w:rPr>
      </w:pPr>
      <w:r w:rsidRPr="00587DE7">
        <w:rPr>
          <w:highlight w:val="lightGray"/>
        </w:rPr>
        <w:t>Denominator – the number of young people who have transferred from children’s to adults’ services.</w:t>
      </w:r>
    </w:p>
    <w:p w14:paraId="544BF0B8" w14:textId="7DD5EE06" w:rsidR="001F2814" w:rsidRPr="00587DE7" w:rsidRDefault="001F2814" w:rsidP="001F2814">
      <w:pPr>
        <w:pStyle w:val="NICEnormal"/>
        <w:rPr>
          <w:rStyle w:val="NICEnormalChar"/>
          <w:highlight w:val="lightGray"/>
        </w:rPr>
      </w:pPr>
      <w:r w:rsidRPr="00587DE7">
        <w:rPr>
          <w:b/>
          <w:bCs/>
          <w:highlight w:val="lightGray"/>
        </w:rPr>
        <w:t>Data source:</w:t>
      </w:r>
      <w:r w:rsidRPr="00587DE7">
        <w:rPr>
          <w:highlight w:val="lightGray"/>
        </w:rPr>
        <w:t xml:space="preserve"> </w:t>
      </w:r>
      <w:r w:rsidRPr="00587DE7">
        <w:rPr>
          <w:rStyle w:val="NICEnormalChar"/>
          <w:highlight w:val="lightGray"/>
        </w:rPr>
        <w:t xml:space="preserve">Data can be collected from information recorded locally by healthcare professionals and provider organisations, for example from patient records. For measurement purposes this could be defined as </w:t>
      </w:r>
      <w:r w:rsidR="00BB53BA" w:rsidRPr="00587DE7">
        <w:rPr>
          <w:rStyle w:val="NICEnormalChar"/>
          <w:highlight w:val="lightGray"/>
        </w:rPr>
        <w:t xml:space="preserve">any of </w:t>
      </w:r>
      <w:r w:rsidRPr="00587DE7">
        <w:rPr>
          <w:rStyle w:val="NICEnormalChar"/>
          <w:highlight w:val="lightGray"/>
        </w:rPr>
        <w:t xml:space="preserve">the first </w:t>
      </w:r>
      <w:r w:rsidR="0071435E" w:rsidRPr="00587DE7">
        <w:rPr>
          <w:rStyle w:val="NICEnormalChar"/>
          <w:highlight w:val="lightGray"/>
        </w:rPr>
        <w:t xml:space="preserve">3 </w:t>
      </w:r>
      <w:r w:rsidRPr="00587DE7">
        <w:rPr>
          <w:rStyle w:val="NICEnormalChar"/>
          <w:highlight w:val="lightGray"/>
        </w:rPr>
        <w:t>meetings</w:t>
      </w:r>
      <w:r w:rsidR="00AA0C12" w:rsidRPr="00587DE7">
        <w:rPr>
          <w:rStyle w:val="NICEnormalChar"/>
          <w:highlight w:val="lightGray"/>
        </w:rPr>
        <w:t xml:space="preserve"> or appointments </w:t>
      </w:r>
      <w:r w:rsidRPr="00587DE7">
        <w:rPr>
          <w:rStyle w:val="NICEnormalChar"/>
          <w:highlight w:val="lightGray"/>
        </w:rPr>
        <w:t>in</w:t>
      </w:r>
      <w:r w:rsidR="0071435E" w:rsidRPr="00587DE7">
        <w:rPr>
          <w:rStyle w:val="NICEnormalChar"/>
          <w:highlight w:val="lightGray"/>
        </w:rPr>
        <w:t xml:space="preserve"> each</w:t>
      </w:r>
      <w:r w:rsidRPr="00587DE7">
        <w:rPr>
          <w:rStyle w:val="NICEnormalChar"/>
          <w:highlight w:val="lightGray"/>
        </w:rPr>
        <w:t xml:space="preserve"> adults’ service.</w:t>
      </w:r>
    </w:p>
    <w:p w14:paraId="0942CB40" w14:textId="436402BB" w:rsidR="00163B74" w:rsidRPr="00587DE7" w:rsidRDefault="001F2814" w:rsidP="006378C6">
      <w:pPr>
        <w:pStyle w:val="NICEnormal"/>
        <w:rPr>
          <w:highlight w:val="lightGray"/>
        </w:rPr>
      </w:pPr>
      <w:r w:rsidRPr="00587DE7">
        <w:rPr>
          <w:highlight w:val="lightGray"/>
        </w:rPr>
        <w:t>c</w:t>
      </w:r>
      <w:r w:rsidR="00163B74" w:rsidRPr="00587DE7">
        <w:rPr>
          <w:highlight w:val="lightGray"/>
        </w:rPr>
        <w:t xml:space="preserve">) </w:t>
      </w:r>
      <w:r w:rsidR="00AB7302" w:rsidRPr="00587DE7">
        <w:rPr>
          <w:highlight w:val="lightGray"/>
        </w:rPr>
        <w:t>Proportion</w:t>
      </w:r>
      <w:r w:rsidR="00163B74" w:rsidRPr="00587DE7">
        <w:rPr>
          <w:highlight w:val="lightGray"/>
        </w:rPr>
        <w:t xml:space="preserve"> of young people attending adults’ services </w:t>
      </w:r>
      <w:r w:rsidR="0050312B" w:rsidRPr="00587DE7">
        <w:rPr>
          <w:highlight w:val="lightGray"/>
        </w:rPr>
        <w:t>after</w:t>
      </w:r>
      <w:r w:rsidR="00163B74" w:rsidRPr="00587DE7">
        <w:rPr>
          <w:highlight w:val="lightGray"/>
        </w:rPr>
        <w:t xml:space="preserve"> transfer from children’s services who continue to engage</w:t>
      </w:r>
      <w:r w:rsidR="004B39D7" w:rsidRPr="00587DE7">
        <w:rPr>
          <w:highlight w:val="lightGray"/>
        </w:rPr>
        <w:t xml:space="preserve"> with services</w:t>
      </w:r>
      <w:r w:rsidR="000E6607" w:rsidRPr="00587DE7">
        <w:rPr>
          <w:highlight w:val="lightGray"/>
        </w:rPr>
        <w:t>.</w:t>
      </w:r>
      <w:r w:rsidR="00163B74" w:rsidRPr="00587DE7">
        <w:rPr>
          <w:highlight w:val="lightGray"/>
        </w:rPr>
        <w:t xml:space="preserve"> </w:t>
      </w:r>
    </w:p>
    <w:p w14:paraId="6A29B240" w14:textId="67AA0AEA" w:rsidR="00AB6E55" w:rsidRPr="00587DE7" w:rsidRDefault="00AB6E55" w:rsidP="00AB6E55">
      <w:pPr>
        <w:pStyle w:val="NICEnormal"/>
        <w:rPr>
          <w:highlight w:val="lightGray"/>
        </w:rPr>
      </w:pPr>
      <w:r w:rsidRPr="00587DE7">
        <w:rPr>
          <w:highlight w:val="lightGray"/>
        </w:rPr>
        <w:t xml:space="preserve">Numerator – the number in the denominator who </w:t>
      </w:r>
      <w:r w:rsidR="003B1CF6" w:rsidRPr="00587DE7">
        <w:rPr>
          <w:highlight w:val="lightGray"/>
        </w:rPr>
        <w:t>continue to engage with services</w:t>
      </w:r>
      <w:r w:rsidRPr="00587DE7">
        <w:rPr>
          <w:highlight w:val="lightGray"/>
        </w:rPr>
        <w:t>.</w:t>
      </w:r>
    </w:p>
    <w:p w14:paraId="1855D9B9" w14:textId="0FE0F4FE" w:rsidR="00AB6E55" w:rsidRPr="00587DE7" w:rsidRDefault="00AB6E55" w:rsidP="006378C6">
      <w:pPr>
        <w:pStyle w:val="NICEnormal"/>
        <w:rPr>
          <w:highlight w:val="lightGray"/>
        </w:rPr>
      </w:pPr>
      <w:r w:rsidRPr="00587DE7">
        <w:rPr>
          <w:highlight w:val="lightGray"/>
        </w:rPr>
        <w:t>Denominator – the number of young people</w:t>
      </w:r>
      <w:r w:rsidR="003B1CF6" w:rsidRPr="00587DE7">
        <w:rPr>
          <w:highlight w:val="lightGray"/>
        </w:rPr>
        <w:t xml:space="preserve"> attending adults’ services after transfer from children’s services</w:t>
      </w:r>
      <w:r w:rsidRPr="00587DE7">
        <w:rPr>
          <w:highlight w:val="lightGray"/>
        </w:rPr>
        <w:t>.</w:t>
      </w:r>
    </w:p>
    <w:p w14:paraId="56347A45" w14:textId="70B66CA6" w:rsidR="0057245F" w:rsidRPr="00587DE7" w:rsidRDefault="0057245F" w:rsidP="0057245F">
      <w:pPr>
        <w:pStyle w:val="NICEnormal"/>
        <w:rPr>
          <w:rStyle w:val="NICEnormalChar"/>
          <w:highlight w:val="lightGray"/>
        </w:rPr>
      </w:pPr>
      <w:r w:rsidRPr="00587DE7">
        <w:rPr>
          <w:b/>
          <w:bCs/>
          <w:highlight w:val="lightGray"/>
        </w:rPr>
        <w:t>Data source:</w:t>
      </w:r>
      <w:r w:rsidRPr="00587DE7">
        <w:rPr>
          <w:rStyle w:val="NICEnormalChar"/>
          <w:highlight w:val="lightGray"/>
        </w:rPr>
        <w:t xml:space="preserve"> </w:t>
      </w:r>
      <w:r w:rsidR="003B1CF6" w:rsidRPr="00587DE7">
        <w:rPr>
          <w:rStyle w:val="NICEnormalChar"/>
          <w:highlight w:val="lightGray"/>
        </w:rPr>
        <w:t>Data can be collected from information recorded locally by healthcare professionals and provider organisations, for example from patient records. For measurement purposes this could be defined as engagement at 1 year after transfer.</w:t>
      </w:r>
    </w:p>
    <w:p w14:paraId="364389A6" w14:textId="77777777" w:rsidR="0057245F" w:rsidRPr="00587DE7" w:rsidRDefault="0057245F" w:rsidP="0057245F">
      <w:pPr>
        <w:pStyle w:val="Heading2"/>
        <w:rPr>
          <w:highlight w:val="lightGray"/>
        </w:rPr>
      </w:pPr>
      <w:r w:rsidRPr="00587DE7">
        <w:rPr>
          <w:highlight w:val="lightGray"/>
        </w:rPr>
        <w:t xml:space="preserve">What the quality statement means for </w:t>
      </w:r>
      <w:r w:rsidR="00E65FB1" w:rsidRPr="00587DE7">
        <w:rPr>
          <w:highlight w:val="lightGray"/>
        </w:rPr>
        <w:t>different audiences</w:t>
      </w:r>
      <w:r w:rsidRPr="00587DE7">
        <w:rPr>
          <w:highlight w:val="lightGray"/>
        </w:rPr>
        <w:t xml:space="preserve"> </w:t>
      </w:r>
    </w:p>
    <w:p w14:paraId="58048450" w14:textId="3CBF12CF" w:rsidR="0057245F" w:rsidRPr="00587DE7" w:rsidRDefault="0057245F" w:rsidP="0057245F">
      <w:pPr>
        <w:pStyle w:val="NICEnormal"/>
        <w:rPr>
          <w:highlight w:val="lightGray"/>
        </w:rPr>
      </w:pPr>
      <w:r w:rsidRPr="00587DE7">
        <w:rPr>
          <w:b/>
          <w:highlight w:val="lightGray"/>
        </w:rPr>
        <w:t>Service providers</w:t>
      </w:r>
      <w:r w:rsidRPr="00587DE7">
        <w:rPr>
          <w:highlight w:val="lightGray"/>
        </w:rPr>
        <w:t xml:space="preserve"> (children’s and adults’ health, mental health and social care providers) ensure that systems are in place to identify young people who will move from children’s to adults’ services </w:t>
      </w:r>
      <w:r w:rsidR="003123E3" w:rsidRPr="00587DE7">
        <w:rPr>
          <w:highlight w:val="lightGray"/>
        </w:rPr>
        <w:t xml:space="preserve">and </w:t>
      </w:r>
      <w:r w:rsidR="005E2D16" w:rsidRPr="00587DE7">
        <w:rPr>
          <w:highlight w:val="lightGray"/>
        </w:rPr>
        <w:t>to</w:t>
      </w:r>
      <w:r w:rsidRPr="00587DE7">
        <w:rPr>
          <w:highlight w:val="lightGray"/>
        </w:rPr>
        <w:t xml:space="preserve"> start</w:t>
      </w:r>
      <w:r w:rsidR="00F62065" w:rsidRPr="00587DE7">
        <w:rPr>
          <w:highlight w:val="lightGray"/>
        </w:rPr>
        <w:t xml:space="preserve"> involving them and their families and carers in</w:t>
      </w:r>
      <w:r w:rsidRPr="00587DE7">
        <w:rPr>
          <w:highlight w:val="lightGray"/>
        </w:rPr>
        <w:t xml:space="preserve"> planning </w:t>
      </w:r>
      <w:r w:rsidR="005E2D16" w:rsidRPr="00587DE7">
        <w:rPr>
          <w:highlight w:val="lightGray"/>
        </w:rPr>
        <w:t xml:space="preserve">their </w:t>
      </w:r>
      <w:r w:rsidRPr="00587DE7">
        <w:rPr>
          <w:highlight w:val="lightGray"/>
        </w:rPr>
        <w:t xml:space="preserve">transition by </w:t>
      </w:r>
      <w:r w:rsidR="00CB2E30" w:rsidRPr="00587DE7">
        <w:rPr>
          <w:highlight w:val="lightGray"/>
        </w:rPr>
        <w:t xml:space="preserve">school </w:t>
      </w:r>
      <w:r w:rsidRPr="00587DE7">
        <w:rPr>
          <w:highlight w:val="lightGray"/>
        </w:rPr>
        <w:t>year</w:t>
      </w:r>
      <w:r w:rsidR="003123E3" w:rsidRPr="00587DE7">
        <w:rPr>
          <w:highlight w:val="lightGray"/>
        </w:rPr>
        <w:t> </w:t>
      </w:r>
      <w:r w:rsidRPr="00587DE7">
        <w:rPr>
          <w:highlight w:val="lightGray"/>
        </w:rPr>
        <w:t>9 (aged 13 to 14</w:t>
      </w:r>
      <w:r w:rsidR="003123E3" w:rsidRPr="00587DE7">
        <w:rPr>
          <w:highlight w:val="lightGray"/>
        </w:rPr>
        <w:t> </w:t>
      </w:r>
      <w:r w:rsidRPr="00587DE7">
        <w:rPr>
          <w:highlight w:val="lightGray"/>
        </w:rPr>
        <w:t xml:space="preserve">years), or immediately if they enter </w:t>
      </w:r>
      <w:r w:rsidR="003123E3" w:rsidRPr="00587DE7">
        <w:rPr>
          <w:highlight w:val="lightGray"/>
        </w:rPr>
        <w:t>children’s</w:t>
      </w:r>
      <w:r w:rsidRPr="00587DE7">
        <w:rPr>
          <w:highlight w:val="lightGray"/>
        </w:rPr>
        <w:t xml:space="preserve"> service</w:t>
      </w:r>
      <w:r w:rsidR="003123E3" w:rsidRPr="00587DE7">
        <w:rPr>
          <w:highlight w:val="lightGray"/>
        </w:rPr>
        <w:t>s</w:t>
      </w:r>
      <w:r w:rsidRPr="00587DE7">
        <w:rPr>
          <w:highlight w:val="lightGray"/>
        </w:rPr>
        <w:t xml:space="preserve"> </w:t>
      </w:r>
      <w:r w:rsidR="006F59A2" w:rsidRPr="00587DE7">
        <w:rPr>
          <w:highlight w:val="lightGray"/>
        </w:rPr>
        <w:t xml:space="preserve">after </w:t>
      </w:r>
      <w:r w:rsidR="00CB2E30" w:rsidRPr="00587DE7">
        <w:rPr>
          <w:highlight w:val="lightGray"/>
        </w:rPr>
        <w:t xml:space="preserve">school </w:t>
      </w:r>
      <w:r w:rsidR="006F59A2" w:rsidRPr="00587DE7">
        <w:rPr>
          <w:highlight w:val="lightGray"/>
        </w:rPr>
        <w:t>year</w:t>
      </w:r>
      <w:r w:rsidR="003123E3" w:rsidRPr="00587DE7">
        <w:rPr>
          <w:highlight w:val="lightGray"/>
        </w:rPr>
        <w:t> </w:t>
      </w:r>
      <w:r w:rsidR="006F59A2" w:rsidRPr="00587DE7">
        <w:rPr>
          <w:highlight w:val="lightGray"/>
        </w:rPr>
        <w:t>9</w:t>
      </w:r>
      <w:r w:rsidRPr="00587DE7">
        <w:rPr>
          <w:highlight w:val="lightGray"/>
        </w:rPr>
        <w:t>.</w:t>
      </w:r>
      <w:r w:rsidR="003D60D8" w:rsidRPr="00587DE7">
        <w:rPr>
          <w:highlight w:val="lightGray"/>
        </w:rPr>
        <w:t xml:space="preserve"> </w:t>
      </w:r>
    </w:p>
    <w:p w14:paraId="4054D731" w14:textId="16C6E18E" w:rsidR="0057245F" w:rsidRPr="00587DE7" w:rsidRDefault="0057245F" w:rsidP="0057245F">
      <w:pPr>
        <w:pStyle w:val="NICEnormal"/>
        <w:rPr>
          <w:highlight w:val="lightGray"/>
        </w:rPr>
      </w:pPr>
      <w:r w:rsidRPr="00587DE7">
        <w:rPr>
          <w:b/>
          <w:highlight w:val="lightGray"/>
        </w:rPr>
        <w:t>Health and social care practitioners</w:t>
      </w:r>
      <w:r w:rsidRPr="00587DE7">
        <w:rPr>
          <w:highlight w:val="lightGray"/>
        </w:rPr>
        <w:t xml:space="preserve"> (such as hospital consultants, nurses, social workers and mental health workers) involve children and young people</w:t>
      </w:r>
      <w:r w:rsidR="00F62065" w:rsidRPr="00587DE7">
        <w:rPr>
          <w:highlight w:val="lightGray"/>
        </w:rPr>
        <w:t>, and their families and carers,</w:t>
      </w:r>
      <w:r w:rsidRPr="00587DE7">
        <w:rPr>
          <w:highlight w:val="lightGray"/>
        </w:rPr>
        <w:t xml:space="preserve"> in planning their transition from children’s to adults’ services by </w:t>
      </w:r>
      <w:r w:rsidR="00CB2E30" w:rsidRPr="00587DE7">
        <w:rPr>
          <w:highlight w:val="lightGray"/>
        </w:rPr>
        <w:t xml:space="preserve">school </w:t>
      </w:r>
      <w:r w:rsidRPr="00587DE7">
        <w:rPr>
          <w:highlight w:val="lightGray"/>
        </w:rPr>
        <w:t>year</w:t>
      </w:r>
      <w:r w:rsidR="003123E3" w:rsidRPr="00587DE7">
        <w:rPr>
          <w:highlight w:val="lightGray"/>
        </w:rPr>
        <w:t> </w:t>
      </w:r>
      <w:r w:rsidRPr="00587DE7">
        <w:rPr>
          <w:highlight w:val="lightGray"/>
        </w:rPr>
        <w:t>9 (aged 13 to 14</w:t>
      </w:r>
      <w:r w:rsidR="003123E3" w:rsidRPr="00587DE7">
        <w:rPr>
          <w:highlight w:val="lightGray"/>
        </w:rPr>
        <w:t> </w:t>
      </w:r>
      <w:r w:rsidRPr="00587DE7">
        <w:rPr>
          <w:highlight w:val="lightGray"/>
        </w:rPr>
        <w:t xml:space="preserve">years), or immediately if </w:t>
      </w:r>
      <w:r w:rsidR="003123E3" w:rsidRPr="00587DE7">
        <w:rPr>
          <w:highlight w:val="lightGray"/>
        </w:rPr>
        <w:t xml:space="preserve">they </w:t>
      </w:r>
      <w:r w:rsidRPr="00587DE7">
        <w:rPr>
          <w:highlight w:val="lightGray"/>
        </w:rPr>
        <w:t>ent</w:t>
      </w:r>
      <w:r w:rsidR="003123E3" w:rsidRPr="00587DE7">
        <w:rPr>
          <w:highlight w:val="lightGray"/>
        </w:rPr>
        <w:t>e</w:t>
      </w:r>
      <w:r w:rsidRPr="00587DE7">
        <w:rPr>
          <w:highlight w:val="lightGray"/>
        </w:rPr>
        <w:t xml:space="preserve">r </w:t>
      </w:r>
      <w:r w:rsidR="003123E3" w:rsidRPr="00587DE7">
        <w:rPr>
          <w:highlight w:val="lightGray"/>
        </w:rPr>
        <w:t>children’s</w:t>
      </w:r>
      <w:r w:rsidRPr="00587DE7">
        <w:rPr>
          <w:highlight w:val="lightGray"/>
        </w:rPr>
        <w:t xml:space="preserve"> service</w:t>
      </w:r>
      <w:r w:rsidR="003123E3" w:rsidRPr="00587DE7">
        <w:rPr>
          <w:highlight w:val="lightGray"/>
        </w:rPr>
        <w:t>s</w:t>
      </w:r>
      <w:r w:rsidRPr="00587DE7">
        <w:rPr>
          <w:highlight w:val="lightGray"/>
        </w:rPr>
        <w:t xml:space="preserve"> </w:t>
      </w:r>
      <w:r w:rsidR="006F59A2" w:rsidRPr="00587DE7">
        <w:rPr>
          <w:highlight w:val="lightGray"/>
        </w:rPr>
        <w:t xml:space="preserve">after </w:t>
      </w:r>
      <w:r w:rsidR="00CB2E30" w:rsidRPr="00587DE7">
        <w:rPr>
          <w:highlight w:val="lightGray"/>
        </w:rPr>
        <w:t xml:space="preserve">school </w:t>
      </w:r>
      <w:r w:rsidR="006F59A2" w:rsidRPr="00587DE7">
        <w:rPr>
          <w:highlight w:val="lightGray"/>
        </w:rPr>
        <w:t>year</w:t>
      </w:r>
      <w:r w:rsidR="003123E3" w:rsidRPr="00587DE7">
        <w:rPr>
          <w:highlight w:val="lightGray"/>
        </w:rPr>
        <w:t> </w:t>
      </w:r>
      <w:r w:rsidR="006F59A2" w:rsidRPr="00587DE7">
        <w:rPr>
          <w:highlight w:val="lightGray"/>
        </w:rPr>
        <w:t>9</w:t>
      </w:r>
      <w:r w:rsidRPr="00587DE7">
        <w:rPr>
          <w:highlight w:val="lightGray"/>
        </w:rPr>
        <w:t>.</w:t>
      </w:r>
      <w:r w:rsidR="00AE5BDA" w:rsidRPr="00587DE7">
        <w:rPr>
          <w:highlight w:val="lightGray"/>
        </w:rPr>
        <w:t xml:space="preserve"> </w:t>
      </w:r>
    </w:p>
    <w:p w14:paraId="11D03C62" w14:textId="2B645EF6" w:rsidR="00E65FB1" w:rsidRPr="00587DE7" w:rsidRDefault="0057245F" w:rsidP="001979A9">
      <w:pPr>
        <w:pStyle w:val="NICEnormal"/>
        <w:rPr>
          <w:highlight w:val="lightGray"/>
        </w:rPr>
      </w:pPr>
      <w:r w:rsidRPr="00587DE7">
        <w:rPr>
          <w:b/>
          <w:highlight w:val="lightGray"/>
        </w:rPr>
        <w:lastRenderedPageBreak/>
        <w:t>Commissioners</w:t>
      </w:r>
      <w:r w:rsidRPr="00587DE7">
        <w:rPr>
          <w:highlight w:val="lightGray"/>
        </w:rPr>
        <w:t xml:space="preserve"> ensure that they commission services that identify young people who will move from children’s to adults’ services and start planning their transition by </w:t>
      </w:r>
      <w:r w:rsidR="00CB2E30" w:rsidRPr="00587DE7">
        <w:rPr>
          <w:highlight w:val="lightGray"/>
        </w:rPr>
        <w:t xml:space="preserve">school </w:t>
      </w:r>
      <w:r w:rsidRPr="00587DE7">
        <w:rPr>
          <w:highlight w:val="lightGray"/>
        </w:rPr>
        <w:t>year</w:t>
      </w:r>
      <w:r w:rsidR="003123E3" w:rsidRPr="00587DE7">
        <w:rPr>
          <w:highlight w:val="lightGray"/>
        </w:rPr>
        <w:t> </w:t>
      </w:r>
      <w:r w:rsidRPr="00587DE7">
        <w:rPr>
          <w:highlight w:val="lightGray"/>
        </w:rPr>
        <w:t>9 (aged 13 to 14</w:t>
      </w:r>
      <w:r w:rsidR="003123E3" w:rsidRPr="00587DE7">
        <w:rPr>
          <w:highlight w:val="lightGray"/>
        </w:rPr>
        <w:t> </w:t>
      </w:r>
      <w:r w:rsidRPr="00587DE7">
        <w:rPr>
          <w:highlight w:val="lightGray"/>
        </w:rPr>
        <w:t xml:space="preserve">years), or immediately if they enter </w:t>
      </w:r>
      <w:r w:rsidR="003123E3" w:rsidRPr="00587DE7">
        <w:rPr>
          <w:highlight w:val="lightGray"/>
        </w:rPr>
        <w:t>children’s</w:t>
      </w:r>
      <w:r w:rsidRPr="00587DE7">
        <w:rPr>
          <w:highlight w:val="lightGray"/>
        </w:rPr>
        <w:t xml:space="preserve"> service</w:t>
      </w:r>
      <w:r w:rsidR="003123E3" w:rsidRPr="00587DE7">
        <w:rPr>
          <w:highlight w:val="lightGray"/>
        </w:rPr>
        <w:t>s</w:t>
      </w:r>
      <w:r w:rsidRPr="00587DE7">
        <w:rPr>
          <w:highlight w:val="lightGray"/>
        </w:rPr>
        <w:t xml:space="preserve"> </w:t>
      </w:r>
      <w:r w:rsidR="006F59A2" w:rsidRPr="00587DE7">
        <w:rPr>
          <w:highlight w:val="lightGray"/>
        </w:rPr>
        <w:t>after</w:t>
      </w:r>
      <w:r w:rsidR="00CB2E30" w:rsidRPr="00587DE7">
        <w:rPr>
          <w:highlight w:val="lightGray"/>
        </w:rPr>
        <w:t xml:space="preserve"> school</w:t>
      </w:r>
      <w:r w:rsidR="006F59A2" w:rsidRPr="00587DE7">
        <w:rPr>
          <w:highlight w:val="lightGray"/>
        </w:rPr>
        <w:t xml:space="preserve"> year</w:t>
      </w:r>
      <w:r w:rsidR="003123E3" w:rsidRPr="00587DE7">
        <w:rPr>
          <w:highlight w:val="lightGray"/>
        </w:rPr>
        <w:t> </w:t>
      </w:r>
      <w:r w:rsidR="006F59A2" w:rsidRPr="00587DE7">
        <w:rPr>
          <w:highlight w:val="lightGray"/>
        </w:rPr>
        <w:t>9</w:t>
      </w:r>
      <w:r w:rsidRPr="00587DE7">
        <w:rPr>
          <w:highlight w:val="lightGray"/>
        </w:rPr>
        <w:t xml:space="preserve">. Commissioners should ensure </w:t>
      </w:r>
      <w:r w:rsidR="003123E3" w:rsidRPr="00587DE7">
        <w:rPr>
          <w:highlight w:val="lightGray"/>
        </w:rPr>
        <w:t xml:space="preserve">that </w:t>
      </w:r>
      <w:r w:rsidRPr="00587DE7">
        <w:rPr>
          <w:highlight w:val="lightGray"/>
        </w:rPr>
        <w:t xml:space="preserve">the planning </w:t>
      </w:r>
      <w:r w:rsidR="00F06E86" w:rsidRPr="00587DE7">
        <w:rPr>
          <w:highlight w:val="lightGray"/>
        </w:rPr>
        <w:t>involves</w:t>
      </w:r>
      <w:r w:rsidRPr="00587DE7">
        <w:rPr>
          <w:highlight w:val="lightGray"/>
        </w:rPr>
        <w:t xml:space="preserve"> the young person and their </w:t>
      </w:r>
      <w:r w:rsidR="00F62065" w:rsidRPr="00587DE7">
        <w:rPr>
          <w:highlight w:val="lightGray"/>
        </w:rPr>
        <w:t xml:space="preserve">families </w:t>
      </w:r>
      <w:r w:rsidRPr="00587DE7">
        <w:rPr>
          <w:highlight w:val="lightGray"/>
        </w:rPr>
        <w:t>and carers</w:t>
      </w:r>
      <w:r w:rsidR="00F06E86" w:rsidRPr="00587DE7">
        <w:rPr>
          <w:highlight w:val="lightGray"/>
        </w:rPr>
        <w:t>, as well as the practitioner</w:t>
      </w:r>
      <w:r w:rsidRPr="00587DE7">
        <w:rPr>
          <w:highlight w:val="lightGray"/>
        </w:rPr>
        <w:t>.</w:t>
      </w:r>
      <w:r w:rsidR="00AE5BDA" w:rsidRPr="00587DE7">
        <w:rPr>
          <w:highlight w:val="lightGray"/>
        </w:rPr>
        <w:t xml:space="preserve"> </w:t>
      </w:r>
    </w:p>
    <w:p w14:paraId="7CA93D4F" w14:textId="6AB156EE" w:rsidR="0057245F" w:rsidRPr="00587DE7" w:rsidRDefault="0057245F" w:rsidP="003A5F5F">
      <w:pPr>
        <w:pStyle w:val="NICEnormal"/>
        <w:rPr>
          <w:highlight w:val="lightGray"/>
        </w:rPr>
      </w:pPr>
      <w:r w:rsidRPr="00587DE7">
        <w:rPr>
          <w:b/>
          <w:bCs/>
          <w:highlight w:val="lightGray"/>
        </w:rPr>
        <w:t>Young people who will move from children’s to adults’ services</w:t>
      </w:r>
      <w:r w:rsidRPr="00587DE7">
        <w:rPr>
          <w:highlight w:val="lightGray"/>
        </w:rPr>
        <w:t xml:space="preserve"> </w:t>
      </w:r>
      <w:r w:rsidR="0040675F" w:rsidRPr="00587DE7">
        <w:rPr>
          <w:highlight w:val="lightGray"/>
        </w:rPr>
        <w:t xml:space="preserve">work with their health or social care practitioners to </w:t>
      </w:r>
      <w:r w:rsidRPr="00587DE7">
        <w:rPr>
          <w:highlight w:val="lightGray"/>
        </w:rPr>
        <w:t xml:space="preserve">start planning for the move by </w:t>
      </w:r>
      <w:r w:rsidR="00CB2E30" w:rsidRPr="00587DE7">
        <w:rPr>
          <w:highlight w:val="lightGray"/>
        </w:rPr>
        <w:t xml:space="preserve">school </w:t>
      </w:r>
      <w:r w:rsidRPr="00587DE7">
        <w:rPr>
          <w:highlight w:val="lightGray"/>
        </w:rPr>
        <w:t>year</w:t>
      </w:r>
      <w:r w:rsidR="00A263FE" w:rsidRPr="00587DE7">
        <w:rPr>
          <w:highlight w:val="lightGray"/>
        </w:rPr>
        <w:t> </w:t>
      </w:r>
      <w:r w:rsidRPr="00587DE7">
        <w:rPr>
          <w:highlight w:val="lightGray"/>
        </w:rPr>
        <w:t xml:space="preserve">9. For young people </w:t>
      </w:r>
      <w:r w:rsidR="00A263FE" w:rsidRPr="00587DE7">
        <w:rPr>
          <w:highlight w:val="lightGray"/>
        </w:rPr>
        <w:t xml:space="preserve">who </w:t>
      </w:r>
      <w:r w:rsidRPr="00587DE7">
        <w:rPr>
          <w:highlight w:val="lightGray"/>
        </w:rPr>
        <w:t xml:space="preserve">enter </w:t>
      </w:r>
      <w:r w:rsidR="00A263FE" w:rsidRPr="00587DE7">
        <w:rPr>
          <w:highlight w:val="lightGray"/>
        </w:rPr>
        <w:t>children’s</w:t>
      </w:r>
      <w:r w:rsidRPr="00587DE7">
        <w:rPr>
          <w:highlight w:val="lightGray"/>
        </w:rPr>
        <w:t xml:space="preserve"> service</w:t>
      </w:r>
      <w:r w:rsidR="00A263FE" w:rsidRPr="00587DE7">
        <w:rPr>
          <w:highlight w:val="lightGray"/>
        </w:rPr>
        <w:t>s</w:t>
      </w:r>
      <w:r w:rsidRPr="00587DE7">
        <w:rPr>
          <w:highlight w:val="lightGray"/>
        </w:rPr>
        <w:t xml:space="preserve"> after year</w:t>
      </w:r>
      <w:r w:rsidR="00A263FE" w:rsidRPr="00587DE7">
        <w:rPr>
          <w:highlight w:val="lightGray"/>
        </w:rPr>
        <w:t> </w:t>
      </w:r>
      <w:r w:rsidRPr="00587DE7">
        <w:rPr>
          <w:highlight w:val="lightGray"/>
        </w:rPr>
        <w:t xml:space="preserve">9, planning </w:t>
      </w:r>
      <w:r w:rsidR="00A263FE" w:rsidRPr="00587DE7">
        <w:rPr>
          <w:highlight w:val="lightGray"/>
        </w:rPr>
        <w:t xml:space="preserve">for the move </w:t>
      </w:r>
      <w:r w:rsidRPr="00587DE7">
        <w:rPr>
          <w:highlight w:val="lightGray"/>
        </w:rPr>
        <w:t xml:space="preserve">should start immediately. </w:t>
      </w:r>
      <w:r w:rsidR="00A263FE" w:rsidRPr="00587DE7">
        <w:rPr>
          <w:highlight w:val="lightGray"/>
        </w:rPr>
        <w:t>Early planning</w:t>
      </w:r>
      <w:r w:rsidRPr="00587DE7">
        <w:rPr>
          <w:highlight w:val="lightGray"/>
        </w:rPr>
        <w:t xml:space="preserve"> gives </w:t>
      </w:r>
      <w:r w:rsidR="00A263FE" w:rsidRPr="00587DE7">
        <w:rPr>
          <w:highlight w:val="lightGray"/>
        </w:rPr>
        <w:t>young people</w:t>
      </w:r>
      <w:r w:rsidRPr="00587DE7">
        <w:rPr>
          <w:highlight w:val="lightGray"/>
        </w:rPr>
        <w:t xml:space="preserve"> time to be involved in decisions and </w:t>
      </w:r>
      <w:r w:rsidR="00A263FE" w:rsidRPr="00587DE7">
        <w:rPr>
          <w:highlight w:val="lightGray"/>
        </w:rPr>
        <w:t xml:space="preserve">to </w:t>
      </w:r>
      <w:r w:rsidRPr="00587DE7">
        <w:rPr>
          <w:highlight w:val="lightGray"/>
        </w:rPr>
        <w:t>understand and adapt to changes in their future care.</w:t>
      </w:r>
      <w:r w:rsidR="0003384E" w:rsidRPr="00587DE7">
        <w:rPr>
          <w:highlight w:val="lightGray"/>
        </w:rPr>
        <w:t xml:space="preserve"> </w:t>
      </w:r>
    </w:p>
    <w:p w14:paraId="03A20B5F" w14:textId="449BBB90" w:rsidR="0057245F" w:rsidRPr="00587DE7" w:rsidRDefault="00161EF7" w:rsidP="0057245F">
      <w:pPr>
        <w:pStyle w:val="NICEnormal"/>
        <w:rPr>
          <w:highlight w:val="lightGray"/>
        </w:rPr>
      </w:pPr>
      <w:r w:rsidRPr="00587DE7">
        <w:rPr>
          <w:b/>
          <w:highlight w:val="lightGray"/>
        </w:rPr>
        <w:t xml:space="preserve">Families </w:t>
      </w:r>
      <w:r w:rsidR="0057245F" w:rsidRPr="00587DE7">
        <w:rPr>
          <w:b/>
          <w:highlight w:val="lightGray"/>
        </w:rPr>
        <w:t>and carers of young people</w:t>
      </w:r>
      <w:r w:rsidR="0057245F" w:rsidRPr="00587DE7">
        <w:rPr>
          <w:highlight w:val="lightGray"/>
        </w:rPr>
        <w:t xml:space="preserve"> </w:t>
      </w:r>
      <w:r w:rsidR="0057245F" w:rsidRPr="00587DE7">
        <w:rPr>
          <w:b/>
          <w:highlight w:val="lightGray"/>
        </w:rPr>
        <w:t xml:space="preserve">who will move from children’s to adults’ services </w:t>
      </w:r>
      <w:r w:rsidR="0057245F" w:rsidRPr="00587DE7">
        <w:rPr>
          <w:highlight w:val="lightGray"/>
        </w:rPr>
        <w:t xml:space="preserve">are involved from the start in planning </w:t>
      </w:r>
      <w:r w:rsidR="00A263FE" w:rsidRPr="00587DE7">
        <w:rPr>
          <w:highlight w:val="lightGray"/>
        </w:rPr>
        <w:t>for the move</w:t>
      </w:r>
      <w:r w:rsidR="0057245F" w:rsidRPr="00587DE7">
        <w:rPr>
          <w:highlight w:val="lightGray"/>
        </w:rPr>
        <w:t xml:space="preserve">. This gives them time to understand and </w:t>
      </w:r>
      <w:r w:rsidR="00204058" w:rsidRPr="00587DE7">
        <w:rPr>
          <w:highlight w:val="lightGray"/>
        </w:rPr>
        <w:t xml:space="preserve">to </w:t>
      </w:r>
      <w:r w:rsidR="0057245F" w:rsidRPr="00587DE7">
        <w:rPr>
          <w:highlight w:val="lightGray"/>
        </w:rPr>
        <w:t xml:space="preserve">adapt to changes in the </w:t>
      </w:r>
      <w:r w:rsidR="00204058" w:rsidRPr="00587DE7">
        <w:rPr>
          <w:highlight w:val="lightGray"/>
        </w:rPr>
        <w:t xml:space="preserve">young person’s </w:t>
      </w:r>
      <w:r w:rsidR="0057245F" w:rsidRPr="00587DE7">
        <w:rPr>
          <w:highlight w:val="lightGray"/>
        </w:rPr>
        <w:t>future care. The</w:t>
      </w:r>
      <w:r w:rsidR="00CF18FF" w:rsidRPr="00587DE7">
        <w:rPr>
          <w:highlight w:val="lightGray"/>
        </w:rPr>
        <w:t>ir</w:t>
      </w:r>
      <w:r w:rsidR="0057245F" w:rsidRPr="00587DE7">
        <w:rPr>
          <w:highlight w:val="lightGray"/>
        </w:rPr>
        <w:t xml:space="preserve"> level of involvement will depend on the needs and preferences of the young person.</w:t>
      </w:r>
      <w:r w:rsidR="00A92102" w:rsidRPr="00587DE7">
        <w:rPr>
          <w:highlight w:val="lightGray"/>
        </w:rPr>
        <w:t xml:space="preserve"> </w:t>
      </w:r>
    </w:p>
    <w:p w14:paraId="7A9ADECD" w14:textId="77777777" w:rsidR="0057245F" w:rsidRPr="00587DE7" w:rsidRDefault="0057245F" w:rsidP="0057245F">
      <w:pPr>
        <w:pStyle w:val="Heading2"/>
        <w:rPr>
          <w:highlight w:val="lightGray"/>
        </w:rPr>
      </w:pPr>
      <w:r w:rsidRPr="00587DE7">
        <w:rPr>
          <w:highlight w:val="lightGray"/>
        </w:rPr>
        <w:t>Source guidance</w:t>
      </w:r>
    </w:p>
    <w:p w14:paraId="22624D85" w14:textId="02C5D440" w:rsidR="0057245F" w:rsidRPr="00587DE7" w:rsidRDefault="003A2E89" w:rsidP="001979A9">
      <w:pPr>
        <w:pStyle w:val="NICEnormal"/>
        <w:rPr>
          <w:highlight w:val="lightGray"/>
        </w:rPr>
      </w:pPr>
      <w:hyperlink r:id="rId10" w:history="1">
        <w:r w:rsidR="0057245F" w:rsidRPr="00587DE7">
          <w:rPr>
            <w:rStyle w:val="Hyperlink"/>
            <w:highlight w:val="lightGray"/>
          </w:rPr>
          <w:t>Transition from children’s to adults’ services for young people using health or social care services</w:t>
        </w:r>
        <w:r w:rsidR="003A5F5F" w:rsidRPr="00587DE7">
          <w:rPr>
            <w:rStyle w:val="Hyperlink"/>
            <w:highlight w:val="lightGray"/>
          </w:rPr>
          <w:t>.</w:t>
        </w:r>
        <w:r w:rsidR="0057245F" w:rsidRPr="00587DE7">
          <w:rPr>
            <w:rStyle w:val="Hyperlink"/>
            <w:highlight w:val="lightGray"/>
          </w:rPr>
          <w:t xml:space="preserve"> NICE guideline NG43</w:t>
        </w:r>
      </w:hyperlink>
      <w:r w:rsidR="003A5F5F" w:rsidRPr="00587DE7">
        <w:rPr>
          <w:highlight w:val="lightGray"/>
        </w:rPr>
        <w:t xml:space="preserve"> (2016)</w:t>
      </w:r>
      <w:r w:rsidR="0057245F" w:rsidRPr="00587DE7">
        <w:rPr>
          <w:highlight w:val="lightGray"/>
        </w:rPr>
        <w:t>, recommendation</w:t>
      </w:r>
      <w:r w:rsidR="003A5F5F" w:rsidRPr="00587DE7">
        <w:rPr>
          <w:highlight w:val="lightGray"/>
        </w:rPr>
        <w:t> </w:t>
      </w:r>
      <w:r w:rsidR="0057245F" w:rsidRPr="00587DE7">
        <w:rPr>
          <w:highlight w:val="lightGray"/>
        </w:rPr>
        <w:t>1.2.1</w:t>
      </w:r>
    </w:p>
    <w:p w14:paraId="629F45B9" w14:textId="77777777" w:rsidR="00F022EE" w:rsidRPr="00587DE7" w:rsidRDefault="00F022EE" w:rsidP="00F022EE">
      <w:pPr>
        <w:pStyle w:val="Heading2"/>
        <w:rPr>
          <w:highlight w:val="lightGray"/>
        </w:rPr>
      </w:pPr>
      <w:bookmarkStart w:id="7" w:name="_Quality_statement_1:_2"/>
      <w:bookmarkEnd w:id="7"/>
      <w:r w:rsidRPr="00587DE7">
        <w:rPr>
          <w:highlight w:val="lightGray"/>
        </w:rPr>
        <w:t>Equality and diversity considerations</w:t>
      </w:r>
    </w:p>
    <w:p w14:paraId="03749A23" w14:textId="28632F4A" w:rsidR="00DF1228" w:rsidRPr="00587DE7" w:rsidRDefault="009B4830" w:rsidP="0062568A">
      <w:pPr>
        <w:pStyle w:val="NICEnormal"/>
        <w:rPr>
          <w:highlight w:val="lightGray"/>
        </w:rPr>
      </w:pPr>
      <w:r w:rsidRPr="00587DE7">
        <w:rPr>
          <w:highlight w:val="lightGray"/>
        </w:rPr>
        <w:t xml:space="preserve">It will be important to adapt the timing and approach to transition to reflect the needs of young people with learning disabilities or developmental needs. </w:t>
      </w:r>
      <w:r w:rsidR="00F022EE" w:rsidRPr="00587DE7">
        <w:rPr>
          <w:highlight w:val="lightGray"/>
        </w:rPr>
        <w:t xml:space="preserve">Health and social care professionals should ensure that </w:t>
      </w:r>
      <w:r w:rsidR="00DF7DE6" w:rsidRPr="00587DE7">
        <w:rPr>
          <w:highlight w:val="lightGray"/>
        </w:rPr>
        <w:t xml:space="preserve">the starting point for </w:t>
      </w:r>
      <w:r w:rsidR="00F022EE" w:rsidRPr="00587DE7">
        <w:rPr>
          <w:highlight w:val="lightGray"/>
        </w:rPr>
        <w:t xml:space="preserve">transition planning is developmentally appropriate and </w:t>
      </w:r>
      <w:r w:rsidR="009F2855" w:rsidRPr="00587DE7">
        <w:rPr>
          <w:highlight w:val="lightGray"/>
        </w:rPr>
        <w:t>considers</w:t>
      </w:r>
      <w:r w:rsidR="00F022EE" w:rsidRPr="00587DE7">
        <w:rPr>
          <w:highlight w:val="lightGray"/>
        </w:rPr>
        <w:t xml:space="preserve"> each young person's capabilities, needs and hopes for the future</w:t>
      </w:r>
      <w:r w:rsidR="004F635E" w:rsidRPr="00587DE7">
        <w:rPr>
          <w:highlight w:val="lightGray"/>
        </w:rPr>
        <w:t xml:space="preserve">, </w:t>
      </w:r>
      <w:r w:rsidR="00785D19" w:rsidRPr="00587DE7">
        <w:rPr>
          <w:highlight w:val="lightGray"/>
        </w:rPr>
        <w:t xml:space="preserve">addressing their biological, psychological and social development in the broadest terms. </w:t>
      </w:r>
    </w:p>
    <w:p w14:paraId="6CEE5334" w14:textId="3C0EE884" w:rsidR="00DF1228" w:rsidRPr="00587DE7" w:rsidRDefault="009F2855" w:rsidP="0062568A">
      <w:pPr>
        <w:pStyle w:val="NICEnormal"/>
        <w:rPr>
          <w:highlight w:val="lightGray"/>
        </w:rPr>
      </w:pPr>
      <w:r w:rsidRPr="00587DE7">
        <w:rPr>
          <w:highlight w:val="lightGray"/>
        </w:rPr>
        <w:t>Transition support should take into account the young person’s maturity</w:t>
      </w:r>
      <w:r w:rsidR="00DF1228" w:rsidRPr="00587DE7">
        <w:rPr>
          <w:highlight w:val="lightGray"/>
        </w:rPr>
        <w:t>,</w:t>
      </w:r>
      <w:r w:rsidRPr="00587DE7">
        <w:rPr>
          <w:highlight w:val="lightGray"/>
        </w:rPr>
        <w:t xml:space="preserve"> cognitive abilities</w:t>
      </w:r>
      <w:r w:rsidR="00DF1228" w:rsidRPr="00587DE7">
        <w:rPr>
          <w:highlight w:val="lightGray"/>
        </w:rPr>
        <w:t>,</w:t>
      </w:r>
      <w:r w:rsidRPr="00587DE7">
        <w:rPr>
          <w:highlight w:val="lightGray"/>
        </w:rPr>
        <w:t xml:space="preserve"> psychological status</w:t>
      </w:r>
      <w:r w:rsidR="00DF1228" w:rsidRPr="00587DE7">
        <w:rPr>
          <w:highlight w:val="lightGray"/>
        </w:rPr>
        <w:t>,</w:t>
      </w:r>
      <w:r w:rsidRPr="00587DE7">
        <w:rPr>
          <w:highlight w:val="lightGray"/>
        </w:rPr>
        <w:t xml:space="preserve"> needs in respect of long-term conditions</w:t>
      </w:r>
      <w:r w:rsidR="00DF1228" w:rsidRPr="00587DE7">
        <w:rPr>
          <w:highlight w:val="lightGray"/>
        </w:rPr>
        <w:t>,</w:t>
      </w:r>
      <w:r w:rsidRPr="00587DE7">
        <w:rPr>
          <w:highlight w:val="lightGray"/>
        </w:rPr>
        <w:t xml:space="preserve"> social and personal circumstances</w:t>
      </w:r>
      <w:r w:rsidR="002025DC" w:rsidRPr="00587DE7">
        <w:rPr>
          <w:highlight w:val="lightGray"/>
        </w:rPr>
        <w:t xml:space="preserve"> (including culture and beliefs)</w:t>
      </w:r>
      <w:r w:rsidR="00DF1228" w:rsidRPr="00587DE7">
        <w:rPr>
          <w:highlight w:val="lightGray"/>
        </w:rPr>
        <w:t>,</w:t>
      </w:r>
      <w:r w:rsidRPr="00587DE7">
        <w:rPr>
          <w:highlight w:val="lightGray"/>
        </w:rPr>
        <w:t xml:space="preserve"> caring responsibilities and communication needs</w:t>
      </w:r>
      <w:r w:rsidR="00F62065" w:rsidRPr="00587DE7">
        <w:rPr>
          <w:highlight w:val="lightGray"/>
        </w:rPr>
        <w:t xml:space="preserve">. </w:t>
      </w:r>
    </w:p>
    <w:p w14:paraId="4A544E8C" w14:textId="42EF2F17" w:rsidR="00161EF7" w:rsidRDefault="009F2855" w:rsidP="0062568A">
      <w:pPr>
        <w:pStyle w:val="NICEnormal"/>
        <w:rPr>
          <w:rFonts w:cs="Arial"/>
          <w:b/>
          <w:bCs/>
          <w:kern w:val="32"/>
          <w:sz w:val="32"/>
          <w:szCs w:val="32"/>
        </w:rPr>
      </w:pPr>
      <w:r w:rsidRPr="00587DE7">
        <w:rPr>
          <w:highlight w:val="lightGray"/>
        </w:rPr>
        <w:lastRenderedPageBreak/>
        <w:t>[</w:t>
      </w:r>
      <w:hyperlink r:id="rId11" w:history="1">
        <w:r w:rsidRPr="00587DE7">
          <w:rPr>
            <w:rStyle w:val="Hyperlink"/>
            <w:highlight w:val="lightGray"/>
          </w:rPr>
          <w:t>NICE’s guideline on transition from children’s to adults’ services</w:t>
        </w:r>
      </w:hyperlink>
      <w:r w:rsidRPr="00587DE7">
        <w:rPr>
          <w:highlight w:val="lightGray"/>
        </w:rPr>
        <w:t>, recommendations 1.1.2 and 1.2.3</w:t>
      </w:r>
      <w:r w:rsidR="002025DC" w:rsidRPr="00587DE7">
        <w:rPr>
          <w:highlight w:val="lightGray"/>
        </w:rPr>
        <w:t>,</w:t>
      </w:r>
      <w:r w:rsidR="0066230B" w:rsidRPr="00587DE7">
        <w:rPr>
          <w:highlight w:val="lightGray"/>
        </w:rPr>
        <w:t xml:space="preserve"> terms used in this guideline</w:t>
      </w:r>
      <w:r w:rsidR="002025DC" w:rsidRPr="00587DE7">
        <w:rPr>
          <w:highlight w:val="lightGray"/>
        </w:rPr>
        <w:t xml:space="preserve"> and expert opinion</w:t>
      </w:r>
      <w:r w:rsidRPr="00587DE7">
        <w:rPr>
          <w:highlight w:val="lightGray"/>
        </w:rPr>
        <w:t>]</w:t>
      </w:r>
      <w:r w:rsidR="00161EF7">
        <w:br w:type="page"/>
      </w:r>
    </w:p>
    <w:p w14:paraId="62A916AC" w14:textId="18072F4D" w:rsidR="00D81871" w:rsidRPr="000C37A0" w:rsidRDefault="00D81871" w:rsidP="00D81871">
      <w:pPr>
        <w:pStyle w:val="Heading1"/>
      </w:pPr>
      <w:r w:rsidRPr="000C37A0">
        <w:lastRenderedPageBreak/>
        <w:t xml:space="preserve">Quality statement </w:t>
      </w:r>
      <w:r w:rsidR="007E0D1E">
        <w:t>2</w:t>
      </w:r>
      <w:r w:rsidRPr="000C37A0">
        <w:t xml:space="preserve">: </w:t>
      </w:r>
      <w:r w:rsidR="007E0D1E">
        <w:t>Co-ordinated transition plan</w:t>
      </w:r>
      <w:r>
        <w:t xml:space="preserve"> </w:t>
      </w:r>
    </w:p>
    <w:p w14:paraId="16E9FDF4" w14:textId="77777777" w:rsidR="00D81871" w:rsidRPr="000C37A0" w:rsidRDefault="00D81871" w:rsidP="00D81871">
      <w:pPr>
        <w:pStyle w:val="Heading2"/>
      </w:pPr>
      <w:r w:rsidRPr="000C37A0">
        <w:t>Quality statement</w:t>
      </w:r>
    </w:p>
    <w:p w14:paraId="29C03B48" w14:textId="3BC18F33" w:rsidR="00D81871" w:rsidRDefault="007E0D1E" w:rsidP="00D81871">
      <w:pPr>
        <w:pStyle w:val="NICEnormal"/>
      </w:pPr>
      <w:r w:rsidRPr="007E0D1E">
        <w:t>Young people who will move from children’s to adults’ services have a co-ordinated transition plan. [</w:t>
      </w:r>
      <w:r w:rsidRPr="00CA1F22">
        <w:rPr>
          <w:b/>
          <w:bCs/>
        </w:rPr>
        <w:t>new 2023</w:t>
      </w:r>
      <w:r w:rsidRPr="007E0D1E">
        <w:t>]</w:t>
      </w:r>
    </w:p>
    <w:p w14:paraId="28654CC4" w14:textId="77777777" w:rsidR="00D81871" w:rsidRPr="000C37A0" w:rsidRDefault="00D81871" w:rsidP="00D81871">
      <w:pPr>
        <w:pStyle w:val="Heading2"/>
      </w:pPr>
      <w:r w:rsidRPr="000C37A0">
        <w:t xml:space="preserve">Rationale </w:t>
      </w:r>
    </w:p>
    <w:p w14:paraId="513EC382" w14:textId="3083B40B" w:rsidR="00D81871" w:rsidRPr="000C37A0" w:rsidRDefault="00A72417" w:rsidP="00D81871">
      <w:pPr>
        <w:pStyle w:val="NICEnormal"/>
      </w:pPr>
      <w:r>
        <w:t xml:space="preserve">Having a transition plan </w:t>
      </w:r>
      <w:r w:rsidR="00587DE7">
        <w:t xml:space="preserve">that is co-ordinated across all services </w:t>
      </w:r>
      <w:r>
        <w:t xml:space="preserve">will make it clear </w:t>
      </w:r>
      <w:r w:rsidR="00E47159">
        <w:t xml:space="preserve">when </w:t>
      </w:r>
      <w:r>
        <w:t xml:space="preserve">the care and support provided to a young person will </w:t>
      </w:r>
      <w:r w:rsidR="00140861">
        <w:t>move from children’s</w:t>
      </w:r>
      <w:r w:rsidR="00CF65C3">
        <w:t xml:space="preserve"> </w:t>
      </w:r>
      <w:r>
        <w:t>to adult services</w:t>
      </w:r>
      <w:r w:rsidR="00140861">
        <w:t xml:space="preserve"> and how it will be delivered</w:t>
      </w:r>
      <w:r>
        <w:t xml:space="preserve">. </w:t>
      </w:r>
      <w:r w:rsidR="0035107C">
        <w:t xml:space="preserve">Services should work together to </w:t>
      </w:r>
      <w:r w:rsidR="00170976">
        <w:t xml:space="preserve">develop </w:t>
      </w:r>
      <w:r w:rsidR="0035107C">
        <w:t xml:space="preserve">a coordinated transition plan that is practical to implement and </w:t>
      </w:r>
      <w:r w:rsidR="00AA3C6B">
        <w:t>avoids creating gaps in services due to variation in the age for transition</w:t>
      </w:r>
      <w:r w:rsidR="006D14CE">
        <w:t xml:space="preserve"> between</w:t>
      </w:r>
      <w:r w:rsidR="00AA3C6B">
        <w:t xml:space="preserve"> different services. </w:t>
      </w:r>
      <w:r w:rsidR="00170976">
        <w:t xml:space="preserve">This </w:t>
      </w:r>
      <w:r w:rsidR="00AA3C6B">
        <w:t xml:space="preserve">will help young people and their families and carers to know what to </w:t>
      </w:r>
      <w:r w:rsidR="00E8229D">
        <w:t>expect and</w:t>
      </w:r>
      <w:r w:rsidR="00AA3C6B">
        <w:t xml:space="preserve"> reduce uncertainty and stress.</w:t>
      </w:r>
    </w:p>
    <w:p w14:paraId="6FDF36ED" w14:textId="77777777" w:rsidR="00D81871" w:rsidRPr="000C37A0" w:rsidRDefault="00D81871" w:rsidP="00D81871">
      <w:pPr>
        <w:pStyle w:val="Heading2"/>
      </w:pPr>
      <w:r w:rsidRPr="000C37A0">
        <w:t xml:space="preserve">Quality </w:t>
      </w:r>
      <w:r w:rsidRPr="00945D72">
        <w:t>measures</w:t>
      </w:r>
    </w:p>
    <w:p w14:paraId="614B2718" w14:textId="77777777" w:rsidR="00D81871" w:rsidRDefault="00D81871" w:rsidP="00D81871">
      <w:pPr>
        <w:pStyle w:val="NICEnormal"/>
        <w:rPr>
          <w:color w:val="000000" w:themeColor="text1"/>
        </w:rPr>
      </w:pPr>
      <w:r w:rsidRPr="00011C9B">
        <w:rPr>
          <w:color w:val="000000" w:themeColor="text1"/>
        </w:rPr>
        <w:t>The following measures can be used to assess the quality of care or service provision specified in the statement. They are examples of how the statement can be measured</w:t>
      </w:r>
      <w:r>
        <w:rPr>
          <w:color w:val="000000" w:themeColor="text1"/>
        </w:rPr>
        <w:t>,</w:t>
      </w:r>
      <w:r w:rsidRPr="00011C9B">
        <w:rPr>
          <w:color w:val="000000" w:themeColor="text1"/>
        </w:rPr>
        <w:t xml:space="preserve"> and can be adapted and used flexibly.</w:t>
      </w:r>
      <w:r w:rsidRPr="00CD3AAA">
        <w:rPr>
          <w:color w:val="000000" w:themeColor="text1"/>
        </w:rPr>
        <w:t xml:space="preserve"> </w:t>
      </w:r>
    </w:p>
    <w:p w14:paraId="3F2FBBF5" w14:textId="77777777" w:rsidR="00D81871" w:rsidRPr="000C37A0" w:rsidRDefault="00D81871" w:rsidP="00D81871">
      <w:pPr>
        <w:pStyle w:val="Heading3"/>
      </w:pPr>
      <w:r w:rsidRPr="000C37A0">
        <w:t>Process</w:t>
      </w:r>
    </w:p>
    <w:p w14:paraId="341EBB24" w14:textId="08012A2B" w:rsidR="00C56AE5" w:rsidRDefault="00C56AE5" w:rsidP="00D81871">
      <w:pPr>
        <w:pStyle w:val="NICEnormal"/>
      </w:pPr>
      <w:r w:rsidRPr="00C56AE5">
        <w:t>Proportion of young people</w:t>
      </w:r>
      <w:r w:rsidR="008F7D0A">
        <w:t xml:space="preserve"> from </w:t>
      </w:r>
      <w:r w:rsidRPr="00C56AE5">
        <w:t>school year 9</w:t>
      </w:r>
      <w:r w:rsidR="008F7D0A">
        <w:t xml:space="preserve"> and above</w:t>
      </w:r>
      <w:r w:rsidRPr="00C56AE5">
        <w:t>, who will move from children’s to adults’ services</w:t>
      </w:r>
      <w:r w:rsidR="002027E6">
        <w:t>,</w:t>
      </w:r>
      <w:r w:rsidRPr="00C56AE5">
        <w:t xml:space="preserve"> who </w:t>
      </w:r>
      <w:r>
        <w:t>have a co-ordinated transition plan</w:t>
      </w:r>
      <w:r w:rsidR="00E8229D">
        <w:t>.</w:t>
      </w:r>
    </w:p>
    <w:p w14:paraId="338DB05F" w14:textId="4A1F16A5" w:rsidR="00D81871" w:rsidRPr="000C37A0" w:rsidRDefault="00D81871" w:rsidP="00D81871">
      <w:pPr>
        <w:pStyle w:val="NICEnormal"/>
      </w:pPr>
      <w:r w:rsidRPr="000C37A0">
        <w:t xml:space="preserve">Numerator – </w:t>
      </w:r>
      <w:r w:rsidR="00BC6F6A">
        <w:t xml:space="preserve">the number in the denominator who have a co-ordinated transition plan. </w:t>
      </w:r>
      <w:r>
        <w:t xml:space="preserve"> </w:t>
      </w:r>
    </w:p>
    <w:p w14:paraId="5DB3EA2D" w14:textId="74DDEBC8" w:rsidR="00D81871" w:rsidRPr="000C37A0" w:rsidRDefault="00D81871" w:rsidP="00D81871">
      <w:pPr>
        <w:pStyle w:val="NICEnormal"/>
      </w:pPr>
      <w:r w:rsidRPr="000C37A0">
        <w:t xml:space="preserve">Denominator – </w:t>
      </w:r>
      <w:r w:rsidR="00BC6F6A">
        <w:t xml:space="preserve">the number </w:t>
      </w:r>
      <w:r w:rsidR="00BC6F6A" w:rsidRPr="00BC6F6A">
        <w:t xml:space="preserve">of young people </w:t>
      </w:r>
      <w:r w:rsidR="008F7D0A">
        <w:t>from school year 9 and above</w:t>
      </w:r>
      <w:r w:rsidR="00BC6F6A" w:rsidRPr="00BC6F6A">
        <w:t>, who will move from children’s to adults’ services</w:t>
      </w:r>
      <w:r w:rsidR="005175E3">
        <w:t>.</w:t>
      </w:r>
      <w:r>
        <w:t xml:space="preserve"> </w:t>
      </w:r>
    </w:p>
    <w:p w14:paraId="5A2BACFE" w14:textId="0ED8B880" w:rsidR="00D81871" w:rsidRDefault="00D81871" w:rsidP="00D81871">
      <w:pPr>
        <w:pStyle w:val="NICEnormal"/>
      </w:pPr>
      <w:r w:rsidRPr="00B4696C">
        <w:rPr>
          <w:b/>
          <w:iCs/>
        </w:rPr>
        <w:t>Data source:</w:t>
      </w:r>
      <w:r w:rsidRPr="000C37A0">
        <w:t xml:space="preserve"> </w:t>
      </w:r>
      <w:bookmarkStart w:id="8" w:name="_Hlk143266934"/>
      <w:r w:rsidR="00E41D5C" w:rsidRPr="00E41D5C">
        <w:t>Data can be collected from information recorded locally by healthcare professionals and provider organisations, for example from patient records</w:t>
      </w:r>
      <w:bookmarkEnd w:id="8"/>
      <w:r w:rsidR="00E41D5C">
        <w:t>.</w:t>
      </w:r>
      <w:r w:rsidR="008C6826">
        <w:t xml:space="preserve"> </w:t>
      </w:r>
      <w:bookmarkStart w:id="9" w:name="_Hlk143601474"/>
      <w:r w:rsidR="00807DED">
        <w:t xml:space="preserve">From school year 9 and above is included for measurement purposes, although it is recognised that the starting time may vary in different services. </w:t>
      </w:r>
      <w:r w:rsidR="008C6826">
        <w:t xml:space="preserve">Data on a personalised transition plan </w:t>
      </w:r>
      <w:r w:rsidR="00DB5769">
        <w:t xml:space="preserve">and coordination of age of start of transition </w:t>
      </w:r>
      <w:r w:rsidR="008C6826">
        <w:t xml:space="preserve">is included </w:t>
      </w:r>
      <w:r w:rsidR="008C6826">
        <w:lastRenderedPageBreak/>
        <w:t xml:space="preserve">in the </w:t>
      </w:r>
      <w:hyperlink r:id="rId12" w:history="1">
        <w:r w:rsidR="008C6826" w:rsidRPr="00DB5769">
          <w:rPr>
            <w:rStyle w:val="Hyperlink"/>
          </w:rPr>
          <w:t xml:space="preserve">National Confidential </w:t>
        </w:r>
        <w:r w:rsidR="00E87051" w:rsidRPr="00DB5769">
          <w:rPr>
            <w:rStyle w:val="Hyperlink"/>
          </w:rPr>
          <w:t>Enquiry into Patient Outcome and Death transition from child into adult healthcare</w:t>
        </w:r>
        <w:r w:rsidR="00DB5769" w:rsidRPr="00DB5769">
          <w:rPr>
            <w:rStyle w:val="Hyperlink"/>
          </w:rPr>
          <w:t xml:space="preserve"> audit toolkit</w:t>
        </w:r>
      </w:hyperlink>
      <w:bookmarkEnd w:id="9"/>
      <w:r w:rsidR="00F05897">
        <w:t xml:space="preserve"> which can be implemented locally.</w:t>
      </w:r>
    </w:p>
    <w:p w14:paraId="55DB6CD4" w14:textId="77777777" w:rsidR="00D81871" w:rsidRPr="000C37A0" w:rsidRDefault="00D81871" w:rsidP="00D81871">
      <w:pPr>
        <w:pStyle w:val="Heading3"/>
      </w:pPr>
      <w:r w:rsidRPr="000C37A0">
        <w:t>Outcome</w:t>
      </w:r>
    </w:p>
    <w:p w14:paraId="03357AF0" w14:textId="47FDA246" w:rsidR="002027E6" w:rsidRDefault="002027E6" w:rsidP="002027E6">
      <w:pPr>
        <w:pStyle w:val="NICEnormal"/>
      </w:pPr>
      <w:r>
        <w:t xml:space="preserve">a) Proportion of young people </w:t>
      </w:r>
      <w:r w:rsidR="008F7D0A">
        <w:t xml:space="preserve">(and their families and carers) </w:t>
      </w:r>
      <w:r>
        <w:t>who have transferred from children’s to adults’ services, who were satisfied with planning for transition and transfer.</w:t>
      </w:r>
    </w:p>
    <w:p w14:paraId="35B9FA44" w14:textId="77777777" w:rsidR="002027E6" w:rsidRDefault="002027E6" w:rsidP="002027E6">
      <w:pPr>
        <w:pStyle w:val="NICEnormal"/>
      </w:pPr>
      <w:r>
        <w:t>Numerator – the number in the denominator who were satisfied with planning for transition and transfer.</w:t>
      </w:r>
    </w:p>
    <w:p w14:paraId="3AC2DB92" w14:textId="72894A08" w:rsidR="002027E6" w:rsidRDefault="002027E6" w:rsidP="002027E6">
      <w:pPr>
        <w:pStyle w:val="NICEnormal"/>
      </w:pPr>
      <w:r>
        <w:t xml:space="preserve">Denominator – the number of young people </w:t>
      </w:r>
      <w:r w:rsidR="008F7D0A">
        <w:t xml:space="preserve">(and their families and carers) </w:t>
      </w:r>
      <w:r>
        <w:t>who have transferred from children’s to adults’ services.</w:t>
      </w:r>
    </w:p>
    <w:p w14:paraId="5DEAE797" w14:textId="3894A56B" w:rsidR="00D81871" w:rsidRDefault="002027E6" w:rsidP="002027E6">
      <w:pPr>
        <w:pStyle w:val="NICEnormal"/>
      </w:pPr>
      <w:r w:rsidRPr="00FC35B2">
        <w:rPr>
          <w:b/>
          <w:bCs/>
        </w:rPr>
        <w:t>Data source:</w:t>
      </w:r>
      <w:r>
        <w:t xml:space="preserve"> Data can be collected from information recorded locally by healthcare professionals and provider organisations, for example from </w:t>
      </w:r>
      <w:r w:rsidR="00BD0888">
        <w:t xml:space="preserve">a </w:t>
      </w:r>
      <w:r>
        <w:t xml:space="preserve">patient </w:t>
      </w:r>
      <w:r w:rsidR="00F05899">
        <w:t>survey.</w:t>
      </w:r>
      <w:r w:rsidR="002F1814" w:rsidRPr="002F1814">
        <w:rPr>
          <w:rStyle w:val="NICEnormalChar"/>
        </w:rPr>
        <w:t xml:space="preserve"> </w:t>
      </w:r>
      <w:r w:rsidR="00F05897" w:rsidRPr="00F05897">
        <w:rPr>
          <w:rStyle w:val="NICEnormalChar"/>
        </w:rPr>
        <w:t xml:space="preserve">Resources to support this include the </w:t>
      </w:r>
      <w:hyperlink r:id="rId13" w:history="1">
        <w:r w:rsidR="002F1814" w:rsidRPr="000933B8">
          <w:rPr>
            <w:rStyle w:val="Hyperlink"/>
          </w:rPr>
          <w:t>TIER Ready, Steady, Go programme</w:t>
        </w:r>
      </w:hyperlink>
      <w:r w:rsidR="002F1814">
        <w:rPr>
          <w:rStyle w:val="NICEnormalChar"/>
        </w:rPr>
        <w:t xml:space="preserve"> </w:t>
      </w:r>
      <w:r w:rsidR="00F05897">
        <w:rPr>
          <w:rStyle w:val="NICEnormalChar"/>
        </w:rPr>
        <w:t xml:space="preserve">which </w:t>
      </w:r>
      <w:r w:rsidR="002F1814">
        <w:rPr>
          <w:rStyle w:val="NICEnormalChar"/>
        </w:rPr>
        <w:t xml:space="preserve">includes feedback on transition planning in its questionnaires for young people and their </w:t>
      </w:r>
      <w:r w:rsidR="0043715C">
        <w:rPr>
          <w:rStyle w:val="NICEnormalChar"/>
        </w:rPr>
        <w:t xml:space="preserve">families and </w:t>
      </w:r>
      <w:r w:rsidR="002F1814">
        <w:rPr>
          <w:rStyle w:val="NICEnormalChar"/>
        </w:rPr>
        <w:t xml:space="preserve">carers. </w:t>
      </w:r>
      <w:r w:rsidR="00F05897">
        <w:rPr>
          <w:rStyle w:val="NICEnormalChar"/>
        </w:rPr>
        <w:t>Also, t</w:t>
      </w:r>
      <w:r w:rsidR="002F1814">
        <w:t xml:space="preserve">he </w:t>
      </w:r>
      <w:hyperlink r:id="rId14" w:history="1">
        <w:r w:rsidR="002F1814" w:rsidRPr="002F1814">
          <w:rPr>
            <w:rStyle w:val="Hyperlink"/>
          </w:rPr>
          <w:t>National Confidential Enquiry into Patient Outcome and Death transition from child into adult healthcare young person and parent carer survey</w:t>
        </w:r>
      </w:hyperlink>
      <w:r w:rsidR="002F1814">
        <w:t xml:space="preserve"> includes questions on transition planning.</w:t>
      </w:r>
    </w:p>
    <w:p w14:paraId="161FD3B9" w14:textId="46D0C2DD" w:rsidR="00F05899" w:rsidRDefault="00F05899" w:rsidP="00F05899">
      <w:pPr>
        <w:pStyle w:val="NICEnormal"/>
      </w:pPr>
      <w:r>
        <w:t>b) Proportion of young people who have transferred from children’s to adults’ services, who do not attend their initial meetings or appointments with each adults’ service.</w:t>
      </w:r>
    </w:p>
    <w:p w14:paraId="5E0A2BF5" w14:textId="55736D37" w:rsidR="00F05899" w:rsidRDefault="00F05899" w:rsidP="00F05899">
      <w:pPr>
        <w:pStyle w:val="NICEnormal"/>
      </w:pPr>
      <w:r>
        <w:t xml:space="preserve">Numerator – the number in the denominator who </w:t>
      </w:r>
      <w:r w:rsidRPr="00F022EE">
        <w:t>do not attend their initial meetings or appointments with each adults’ service</w:t>
      </w:r>
      <w:r>
        <w:t>.</w:t>
      </w:r>
    </w:p>
    <w:p w14:paraId="47454858" w14:textId="77777777" w:rsidR="00F05899" w:rsidRPr="00980606" w:rsidRDefault="00F05899" w:rsidP="00F05899">
      <w:pPr>
        <w:pStyle w:val="NICEnormal"/>
      </w:pPr>
      <w:r>
        <w:t>Denominator – the number of young people who have transferred from children’s to adults’ services.</w:t>
      </w:r>
    </w:p>
    <w:p w14:paraId="47F538DA" w14:textId="78C39957" w:rsidR="00F05899" w:rsidRDefault="00F05899" w:rsidP="00F05899">
      <w:pPr>
        <w:pStyle w:val="NICEnormal"/>
        <w:rPr>
          <w:rStyle w:val="NICEnormalChar"/>
        </w:rPr>
      </w:pPr>
      <w:r w:rsidRPr="003A5F5F">
        <w:rPr>
          <w:b/>
          <w:bCs/>
        </w:rPr>
        <w:t>Data source:</w:t>
      </w:r>
      <w:r w:rsidRPr="003A5F5F">
        <w:t xml:space="preserve"> </w:t>
      </w:r>
      <w:r w:rsidRPr="003B1CF6">
        <w:rPr>
          <w:rStyle w:val="NICEnormalChar"/>
        </w:rPr>
        <w:t>Data can be collected from information recorded locally by healthcare professionals and provider organisations, for example from patient records</w:t>
      </w:r>
      <w:r>
        <w:rPr>
          <w:rStyle w:val="NICEnormalChar"/>
        </w:rPr>
        <w:t>. For measurement purposes</w:t>
      </w:r>
      <w:r w:rsidR="00836EA4">
        <w:rPr>
          <w:rStyle w:val="NICEnormalChar"/>
        </w:rPr>
        <w:t>,</w:t>
      </w:r>
      <w:r>
        <w:rPr>
          <w:rStyle w:val="NICEnormalChar"/>
        </w:rPr>
        <w:t xml:space="preserve"> this could be defined as </w:t>
      </w:r>
      <w:r w:rsidR="00BB53BA">
        <w:rPr>
          <w:rStyle w:val="NICEnormalChar"/>
        </w:rPr>
        <w:t xml:space="preserve">any of </w:t>
      </w:r>
      <w:r>
        <w:rPr>
          <w:rStyle w:val="NICEnormalChar"/>
        </w:rPr>
        <w:t xml:space="preserve">the first </w:t>
      </w:r>
      <w:r w:rsidR="005E3735">
        <w:rPr>
          <w:rStyle w:val="NICEnormalChar"/>
        </w:rPr>
        <w:t>3</w:t>
      </w:r>
      <w:r>
        <w:rPr>
          <w:rStyle w:val="NICEnormalChar"/>
        </w:rPr>
        <w:t xml:space="preserve"> meetings </w:t>
      </w:r>
      <w:r w:rsidR="00A20F54">
        <w:rPr>
          <w:rStyle w:val="NICEnormalChar"/>
        </w:rPr>
        <w:t xml:space="preserve">or appointments </w:t>
      </w:r>
      <w:r>
        <w:rPr>
          <w:rStyle w:val="NICEnormalChar"/>
        </w:rPr>
        <w:t xml:space="preserve">in </w:t>
      </w:r>
      <w:r w:rsidR="00836EA4">
        <w:rPr>
          <w:rStyle w:val="NICEnormalChar"/>
        </w:rPr>
        <w:t xml:space="preserve">each </w:t>
      </w:r>
      <w:r>
        <w:rPr>
          <w:rStyle w:val="NICEnormalChar"/>
        </w:rPr>
        <w:t>adults’ service.</w:t>
      </w:r>
    </w:p>
    <w:p w14:paraId="33F915B9" w14:textId="152A8EFB" w:rsidR="00F05899" w:rsidRDefault="00F05899" w:rsidP="00F05899">
      <w:pPr>
        <w:pStyle w:val="NICEnormal"/>
      </w:pPr>
      <w:r>
        <w:lastRenderedPageBreak/>
        <w:t xml:space="preserve">c) Proportion of young people attending adults’ services after transfer from children’s services who continue to engage with services. </w:t>
      </w:r>
    </w:p>
    <w:p w14:paraId="75C33564" w14:textId="7535B87B" w:rsidR="00F05899" w:rsidRPr="000C37A0" w:rsidRDefault="00F05899" w:rsidP="00F05899">
      <w:pPr>
        <w:pStyle w:val="NICEnormal"/>
      </w:pPr>
      <w:r w:rsidRPr="000C37A0">
        <w:t xml:space="preserve">Numerator – </w:t>
      </w:r>
      <w:r>
        <w:t>the number in the denominator who continue to engage with services.</w:t>
      </w:r>
    </w:p>
    <w:p w14:paraId="5CE43FB4" w14:textId="7052DA40" w:rsidR="00F05899" w:rsidRDefault="00F05899" w:rsidP="00F05899">
      <w:pPr>
        <w:pStyle w:val="NICEnormal"/>
      </w:pPr>
      <w:r w:rsidRPr="000C37A0">
        <w:t xml:space="preserve">Denominator – </w:t>
      </w:r>
      <w:r>
        <w:t>the number of young people attending adults’ services after transfer from children’s services.</w:t>
      </w:r>
    </w:p>
    <w:p w14:paraId="3B6CB854" w14:textId="1999104B" w:rsidR="00F05899" w:rsidRDefault="00F05899" w:rsidP="00F05899">
      <w:pPr>
        <w:pStyle w:val="NICEnormal"/>
        <w:rPr>
          <w:rStyle w:val="NICEnormalChar"/>
        </w:rPr>
      </w:pPr>
      <w:r w:rsidRPr="003A5F5F">
        <w:rPr>
          <w:b/>
          <w:bCs/>
        </w:rPr>
        <w:t>Data source:</w:t>
      </w:r>
      <w:r w:rsidRPr="003A5F5F">
        <w:rPr>
          <w:rStyle w:val="NICEnormalChar"/>
        </w:rPr>
        <w:t xml:space="preserve"> </w:t>
      </w:r>
      <w:r w:rsidRPr="003B1CF6">
        <w:rPr>
          <w:rStyle w:val="NICEnormalChar"/>
        </w:rPr>
        <w:t>Data can be collected from information recorded locally by healthcare professionals and provider organisations, for example from patient records</w:t>
      </w:r>
      <w:r>
        <w:rPr>
          <w:rStyle w:val="NICEnormalChar"/>
        </w:rPr>
        <w:t>. F</w:t>
      </w:r>
      <w:r w:rsidRPr="003B1CF6">
        <w:rPr>
          <w:rStyle w:val="NICEnormalChar"/>
        </w:rPr>
        <w:t>or measurement purposes</w:t>
      </w:r>
      <w:r w:rsidR="007E2086">
        <w:rPr>
          <w:rStyle w:val="NICEnormalChar"/>
        </w:rPr>
        <w:t>,</w:t>
      </w:r>
      <w:r w:rsidRPr="003B1CF6">
        <w:rPr>
          <w:rStyle w:val="NICEnormalChar"/>
        </w:rPr>
        <w:t xml:space="preserve"> this could be </w:t>
      </w:r>
      <w:r>
        <w:rPr>
          <w:rStyle w:val="NICEnormalChar"/>
        </w:rPr>
        <w:t xml:space="preserve">defined as </w:t>
      </w:r>
      <w:r w:rsidRPr="003B1CF6">
        <w:rPr>
          <w:rStyle w:val="NICEnormalChar"/>
        </w:rPr>
        <w:t>engagement at 1 year after transfer</w:t>
      </w:r>
      <w:r>
        <w:rPr>
          <w:rStyle w:val="NICEnormalChar"/>
        </w:rPr>
        <w:t>.</w:t>
      </w:r>
    </w:p>
    <w:p w14:paraId="02CE1D39" w14:textId="77777777" w:rsidR="00D81871" w:rsidRDefault="00D81871" w:rsidP="00D81871">
      <w:pPr>
        <w:pStyle w:val="Heading2"/>
      </w:pPr>
      <w:r w:rsidRPr="000C37A0">
        <w:t xml:space="preserve">What the quality statement means for </w:t>
      </w:r>
      <w:r>
        <w:t>different audiences</w:t>
      </w:r>
    </w:p>
    <w:p w14:paraId="1D25D1C4" w14:textId="6139383B" w:rsidR="00D81871" w:rsidRPr="000C37A0" w:rsidRDefault="00D81871" w:rsidP="00D81871">
      <w:pPr>
        <w:pStyle w:val="NICEnormal"/>
      </w:pPr>
      <w:r w:rsidRPr="000C37A0">
        <w:rPr>
          <w:b/>
        </w:rPr>
        <w:t>Service providers</w:t>
      </w:r>
      <w:r>
        <w:t xml:space="preserve"> (</w:t>
      </w:r>
      <w:r w:rsidR="007E471D" w:rsidRPr="007E471D">
        <w:rPr>
          <w:rStyle w:val="NICEnormalChar"/>
        </w:rPr>
        <w:t>children’s and adults’ health, mental health and social care providers</w:t>
      </w:r>
      <w:r>
        <w:rPr>
          <w:rStyle w:val="NICEnormalChar"/>
        </w:rPr>
        <w:t>)</w:t>
      </w:r>
      <w:r w:rsidRPr="00F616AD">
        <w:t xml:space="preserve"> </w:t>
      </w:r>
      <w:r w:rsidR="003B0C20">
        <w:t xml:space="preserve">work together to develop and agree a co-ordinated transition plan with </w:t>
      </w:r>
      <w:r w:rsidR="004E18FD">
        <w:t>young people who will transition from children’s to adults’ services</w:t>
      </w:r>
      <w:r w:rsidR="003B0C20">
        <w:t>, and their families and carers.</w:t>
      </w:r>
      <w:r w:rsidR="007E471D">
        <w:t xml:space="preserve"> </w:t>
      </w:r>
    </w:p>
    <w:p w14:paraId="4EED0C31" w14:textId="70B5D41E" w:rsidR="00D81871" w:rsidRPr="000C37A0" w:rsidRDefault="00D81871" w:rsidP="00D81871">
      <w:pPr>
        <w:pStyle w:val="NICEnormal"/>
      </w:pPr>
      <w:r w:rsidRPr="000C37A0">
        <w:rPr>
          <w:b/>
        </w:rPr>
        <w:t>Health</w:t>
      </w:r>
      <w:r>
        <w:rPr>
          <w:b/>
        </w:rPr>
        <w:t xml:space="preserve"> and social </w:t>
      </w:r>
      <w:r w:rsidRPr="000C37A0">
        <w:rPr>
          <w:b/>
        </w:rPr>
        <w:t xml:space="preserve">care </w:t>
      </w:r>
      <w:r>
        <w:rPr>
          <w:b/>
        </w:rPr>
        <w:t>practitioners</w:t>
      </w:r>
      <w:r w:rsidRPr="00F50622">
        <w:t xml:space="preserve"> </w:t>
      </w:r>
      <w:r>
        <w:t>(</w:t>
      </w:r>
      <w:r w:rsidR="003B0C20" w:rsidRPr="00AE2E58">
        <w:t xml:space="preserve">such as </w:t>
      </w:r>
      <w:r w:rsidR="003B0C20">
        <w:t>hospital</w:t>
      </w:r>
      <w:r w:rsidR="003B0C20" w:rsidRPr="000F4C7B">
        <w:t xml:space="preserve"> consultants</w:t>
      </w:r>
      <w:r w:rsidR="003B0C20">
        <w:t>, nurses, social workers and mental health workers</w:t>
      </w:r>
      <w:r>
        <w:rPr>
          <w:rStyle w:val="NICEnormalChar"/>
        </w:rPr>
        <w:t>)</w:t>
      </w:r>
      <w:r w:rsidR="00063DE8">
        <w:t xml:space="preserve"> </w:t>
      </w:r>
      <w:r w:rsidR="004E18FD">
        <w:t xml:space="preserve">involve young people, and their families and carers, in developing a </w:t>
      </w:r>
      <w:r w:rsidR="00063DE8" w:rsidRPr="00063DE8">
        <w:t>transition plan</w:t>
      </w:r>
      <w:r w:rsidR="004E18FD">
        <w:t xml:space="preserve"> for the move to adults’ services</w:t>
      </w:r>
      <w:r w:rsidR="00063DE8">
        <w:t>.</w:t>
      </w:r>
      <w:r w:rsidR="00063DE8" w:rsidRPr="00063DE8">
        <w:t xml:space="preserve"> </w:t>
      </w:r>
      <w:r w:rsidR="00063DE8">
        <w:t xml:space="preserve">They </w:t>
      </w:r>
      <w:r w:rsidR="00063DE8" w:rsidRPr="00063DE8">
        <w:t>read the sections of the plan produced by other practitioners, to make sure the plan works as a whole</w:t>
      </w:r>
      <w:r w:rsidR="00063DE8">
        <w:t>.</w:t>
      </w:r>
    </w:p>
    <w:p w14:paraId="76F99248" w14:textId="2A6E558E" w:rsidR="00D81871" w:rsidRPr="000C37A0" w:rsidRDefault="00D81871" w:rsidP="00D81871">
      <w:pPr>
        <w:pStyle w:val="NICEnormal"/>
      </w:pPr>
      <w:r w:rsidRPr="000C37A0">
        <w:rPr>
          <w:b/>
        </w:rPr>
        <w:t>Commissioners</w:t>
      </w:r>
      <w:r>
        <w:t xml:space="preserve"> </w:t>
      </w:r>
      <w:r w:rsidR="00063DE8">
        <w:t>ensure they commission services</w:t>
      </w:r>
      <w:r w:rsidR="00063DE8" w:rsidRPr="00063DE8">
        <w:t xml:space="preserve"> </w:t>
      </w:r>
      <w:r w:rsidR="00063DE8">
        <w:t xml:space="preserve">that </w:t>
      </w:r>
      <w:r w:rsidR="00063DE8" w:rsidRPr="00063DE8">
        <w:t>work together</w:t>
      </w:r>
      <w:r w:rsidR="007E2086">
        <w:t>,</w:t>
      </w:r>
      <w:r w:rsidR="0056791F">
        <w:t xml:space="preserve"> and </w:t>
      </w:r>
      <w:r w:rsidR="00E4587E">
        <w:t>with young people, and their families and carers,</w:t>
      </w:r>
      <w:r w:rsidR="00063DE8" w:rsidRPr="00063DE8">
        <w:t xml:space="preserve"> to develop and agree a co-ordinated transition plan </w:t>
      </w:r>
      <w:r w:rsidR="004E18FD">
        <w:t>for the move to adult services.</w:t>
      </w:r>
    </w:p>
    <w:p w14:paraId="5F6DD63B" w14:textId="565902FB" w:rsidR="00D81871" w:rsidRDefault="00063DE8" w:rsidP="00D81871">
      <w:pPr>
        <w:pStyle w:val="NICEnormal"/>
      </w:pPr>
      <w:r w:rsidRPr="00D50B09">
        <w:rPr>
          <w:b/>
        </w:rPr>
        <w:t>Y</w:t>
      </w:r>
      <w:r w:rsidR="00D81871" w:rsidRPr="00D50B09">
        <w:rPr>
          <w:b/>
        </w:rPr>
        <w:t xml:space="preserve">oung people </w:t>
      </w:r>
      <w:r w:rsidR="00D50B09" w:rsidRPr="00807DED">
        <w:rPr>
          <w:b/>
        </w:rPr>
        <w:t>who will move from children’s to adults’ services</w:t>
      </w:r>
      <w:r w:rsidR="00D50B09">
        <w:t xml:space="preserve"> </w:t>
      </w:r>
      <w:r w:rsidR="004822A6">
        <w:t xml:space="preserve">are involved in developing </w:t>
      </w:r>
      <w:r w:rsidR="004E18FD">
        <w:t>a</w:t>
      </w:r>
      <w:r w:rsidR="00C379B8">
        <w:t xml:space="preserve"> </w:t>
      </w:r>
      <w:r w:rsidR="004822A6">
        <w:t>plan</w:t>
      </w:r>
      <w:r w:rsidR="00AB2B23">
        <w:t xml:space="preserve"> for </w:t>
      </w:r>
      <w:r w:rsidR="004E18FD">
        <w:t xml:space="preserve">moving that covers </w:t>
      </w:r>
      <w:r w:rsidR="00807E17">
        <w:t xml:space="preserve">all </w:t>
      </w:r>
      <w:r w:rsidR="004E18FD">
        <w:t xml:space="preserve">the services </w:t>
      </w:r>
      <w:r w:rsidR="00807E17">
        <w:t>they use</w:t>
      </w:r>
      <w:r w:rsidR="00C379B8">
        <w:t>.</w:t>
      </w:r>
      <w:r w:rsidR="00483785">
        <w:t xml:space="preserve"> This will set out what changes there will be, as well as when and how those changes will happen.</w:t>
      </w:r>
    </w:p>
    <w:p w14:paraId="3AE16586" w14:textId="7F4F3C8B" w:rsidR="00785D19" w:rsidRDefault="00807DED" w:rsidP="00785D19">
      <w:pPr>
        <w:pStyle w:val="NICEnormal"/>
      </w:pPr>
      <w:r>
        <w:rPr>
          <w:b/>
        </w:rPr>
        <w:t>Families</w:t>
      </w:r>
      <w:r w:rsidR="004822A6">
        <w:rPr>
          <w:b/>
        </w:rPr>
        <w:t xml:space="preserve"> and carers of y</w:t>
      </w:r>
      <w:r w:rsidR="004822A6" w:rsidRPr="00C23686">
        <w:rPr>
          <w:b/>
        </w:rPr>
        <w:t xml:space="preserve">oung people </w:t>
      </w:r>
      <w:r w:rsidR="004822A6" w:rsidRPr="007D7755">
        <w:rPr>
          <w:b/>
        </w:rPr>
        <w:t>who will move</w:t>
      </w:r>
      <w:r w:rsidR="004822A6" w:rsidRPr="00C23686">
        <w:rPr>
          <w:b/>
        </w:rPr>
        <w:t xml:space="preserve"> </w:t>
      </w:r>
      <w:r w:rsidR="004822A6" w:rsidRPr="00CC43F2">
        <w:rPr>
          <w:b/>
        </w:rPr>
        <w:t>from children’s</w:t>
      </w:r>
      <w:r w:rsidR="004822A6">
        <w:t xml:space="preserve"> </w:t>
      </w:r>
      <w:r w:rsidR="004822A6" w:rsidRPr="00C23686">
        <w:rPr>
          <w:b/>
        </w:rPr>
        <w:t>to adults’ services</w:t>
      </w:r>
      <w:r w:rsidR="004822A6">
        <w:rPr>
          <w:b/>
        </w:rPr>
        <w:t xml:space="preserve"> </w:t>
      </w:r>
      <w:r w:rsidR="004822A6" w:rsidRPr="00807DED">
        <w:rPr>
          <w:bCs/>
        </w:rPr>
        <w:t xml:space="preserve">are </w:t>
      </w:r>
      <w:r w:rsidR="004822A6">
        <w:rPr>
          <w:bCs/>
        </w:rPr>
        <w:t xml:space="preserve">involved in developing the plan for </w:t>
      </w:r>
      <w:r w:rsidR="00483785">
        <w:rPr>
          <w:bCs/>
        </w:rPr>
        <w:t xml:space="preserve">the move. This will set out </w:t>
      </w:r>
      <w:r w:rsidR="004822A6" w:rsidRPr="00807DED">
        <w:rPr>
          <w:bCs/>
        </w:rPr>
        <w:t>future changes to services and care that the young person will receive</w:t>
      </w:r>
      <w:r w:rsidR="00785D19" w:rsidRPr="00785D19">
        <w:t>.</w:t>
      </w:r>
      <w:r w:rsidR="00785D19" w:rsidRPr="00AC1DF5">
        <w:t xml:space="preserve"> </w:t>
      </w:r>
    </w:p>
    <w:p w14:paraId="5E409D7B" w14:textId="77777777" w:rsidR="00D81871" w:rsidRPr="00F30C41" w:rsidRDefault="00D81871" w:rsidP="00D81871">
      <w:pPr>
        <w:pStyle w:val="Heading2"/>
      </w:pPr>
      <w:r w:rsidRPr="00F30C41">
        <w:lastRenderedPageBreak/>
        <w:t>Source guidance</w:t>
      </w:r>
    </w:p>
    <w:p w14:paraId="658FB991" w14:textId="38DB0601" w:rsidR="00BD22A3" w:rsidRDefault="003A2E89" w:rsidP="00F30C41">
      <w:pPr>
        <w:pStyle w:val="Bulletleft1"/>
      </w:pPr>
      <w:hyperlink r:id="rId15" w:history="1">
        <w:r w:rsidR="00BD22A3" w:rsidRPr="003F342D">
          <w:rPr>
            <w:rStyle w:val="Hyperlink"/>
          </w:rPr>
          <w:t>Disabled children and young people up to 25 with severe complex needs: integrated service delivery and organisation across health, social care and education. NICE guideline NG213</w:t>
        </w:r>
      </w:hyperlink>
      <w:r w:rsidR="00BD22A3">
        <w:t xml:space="preserve"> (2022), recommendations </w:t>
      </w:r>
      <w:r w:rsidR="00E47159">
        <w:t xml:space="preserve">1.8.5, 1.8.6 and </w:t>
      </w:r>
      <w:r w:rsidR="00BD22A3">
        <w:t>1.8.7</w:t>
      </w:r>
    </w:p>
    <w:p w14:paraId="6D221C3F" w14:textId="1F2C8A99" w:rsidR="00F30C41" w:rsidRPr="00807DED" w:rsidRDefault="003A2E89" w:rsidP="00807DED">
      <w:pPr>
        <w:pStyle w:val="Bulletleft1last"/>
      </w:pPr>
      <w:hyperlink r:id="rId16" w:history="1">
        <w:r w:rsidR="003F6F30" w:rsidRPr="003F6F30">
          <w:rPr>
            <w:rStyle w:val="Hyperlink"/>
          </w:rPr>
          <w:t>Transition from children’s to adults’ services for young people using health or social care</w:t>
        </w:r>
        <w:r w:rsidR="00662E3F">
          <w:rPr>
            <w:rStyle w:val="Hyperlink"/>
          </w:rPr>
          <w:t xml:space="preserve"> services</w:t>
        </w:r>
        <w:r w:rsidR="003F6F30" w:rsidRPr="003F6F30">
          <w:rPr>
            <w:rStyle w:val="Hyperlink"/>
          </w:rPr>
          <w:t>. NICE guideline NG43</w:t>
        </w:r>
      </w:hyperlink>
      <w:r w:rsidR="003F6F30">
        <w:t xml:space="preserve"> (2016), recommendations 1.1.6 and 1.2.4</w:t>
      </w:r>
    </w:p>
    <w:p w14:paraId="2EA67625" w14:textId="77777777" w:rsidR="00D96BC1" w:rsidRPr="000C37A0" w:rsidRDefault="00D96BC1" w:rsidP="00807DED">
      <w:pPr>
        <w:pStyle w:val="Heading2"/>
      </w:pPr>
      <w:r w:rsidRPr="000C37A0">
        <w:t>Definitions of terms used in this quality statement</w:t>
      </w:r>
    </w:p>
    <w:p w14:paraId="79B6CB25" w14:textId="7E609202" w:rsidR="00B72827" w:rsidRDefault="00D96BC1" w:rsidP="00807DED">
      <w:pPr>
        <w:pStyle w:val="Heading3"/>
      </w:pPr>
      <w:r>
        <w:t>Co-ordinated transition plan</w:t>
      </w:r>
    </w:p>
    <w:p w14:paraId="646FEF18" w14:textId="70566BBF" w:rsidR="00423E61" w:rsidRDefault="008831FE" w:rsidP="00D96BC1">
      <w:pPr>
        <w:pStyle w:val="NICEnormal"/>
      </w:pPr>
      <w:r>
        <w:t>Children’s and adults’ services</w:t>
      </w:r>
      <w:r w:rsidR="00D96BC1" w:rsidRPr="00D96BC1">
        <w:t xml:space="preserve"> should work together to </w:t>
      </w:r>
      <w:r w:rsidR="0082056F">
        <w:t xml:space="preserve">develop a transition </w:t>
      </w:r>
      <w:r w:rsidR="00D96BC1" w:rsidRPr="00D96BC1">
        <w:t xml:space="preserve">plan for each young person. </w:t>
      </w:r>
      <w:r w:rsidR="00807E17">
        <w:t>Planning</w:t>
      </w:r>
      <w:r w:rsidR="00AB2B23">
        <w:t xml:space="preserve"> should include all services and interagency teams providing support to the young person.</w:t>
      </w:r>
      <w:r w:rsidR="00423E61">
        <w:t xml:space="preserve"> The transition plan should:</w:t>
      </w:r>
    </w:p>
    <w:p w14:paraId="3AABBF67" w14:textId="24BF4ABB" w:rsidR="00D96BC1" w:rsidRDefault="00807E17" w:rsidP="00423E61">
      <w:pPr>
        <w:pStyle w:val="Bulletleft1"/>
      </w:pPr>
      <w:r>
        <w:t>c</w:t>
      </w:r>
      <w:r w:rsidR="00D96BC1" w:rsidRPr="00D96BC1">
        <w:t>oordinate the age of non-statutory transitions to adults</w:t>
      </w:r>
      <w:r w:rsidR="008831FE">
        <w:t>’</w:t>
      </w:r>
      <w:r w:rsidR="00D96BC1" w:rsidRPr="00D96BC1">
        <w:t xml:space="preserve"> services, to ensure a consistent approach</w:t>
      </w:r>
    </w:p>
    <w:p w14:paraId="369C024E" w14:textId="55CA2067" w:rsidR="00423E61" w:rsidRDefault="00807E17" w:rsidP="00423E61">
      <w:pPr>
        <w:pStyle w:val="Bulletleft1"/>
      </w:pPr>
      <w:r>
        <w:t>i</w:t>
      </w:r>
      <w:r w:rsidR="00423E61">
        <w:t>nclude the</w:t>
      </w:r>
      <w:r w:rsidR="00423E61" w:rsidRPr="00423E61">
        <w:t xml:space="preserve"> services </w:t>
      </w:r>
      <w:r w:rsidR="00423E61">
        <w:t xml:space="preserve">that </w:t>
      </w:r>
      <w:r w:rsidR="00423E61" w:rsidRPr="00423E61">
        <w:t>are available locall</w:t>
      </w:r>
      <w:r w:rsidR="00423E61">
        <w:t>y to support transition</w:t>
      </w:r>
    </w:p>
    <w:p w14:paraId="550381F7" w14:textId="1CA5F93A" w:rsidR="008831FE" w:rsidRDefault="00807E17" w:rsidP="00D32DBF">
      <w:pPr>
        <w:pStyle w:val="Bulletleft1"/>
      </w:pPr>
      <w:r>
        <w:t>b</w:t>
      </w:r>
      <w:r w:rsidR="008831FE">
        <w:t xml:space="preserve">e agreed with the </w:t>
      </w:r>
      <w:r w:rsidR="008831FE" w:rsidRPr="00D96BC1">
        <w:t>young person and their family and carers</w:t>
      </w:r>
      <w:r w:rsidR="00AB30EA">
        <w:t xml:space="preserve"> (</w:t>
      </w:r>
      <w:r w:rsidR="00AB30EA" w:rsidRPr="00AB30EA">
        <w:t>for example, by including a section for their comments and views)</w:t>
      </w:r>
    </w:p>
    <w:p w14:paraId="534F13A5" w14:textId="7221FE1E" w:rsidR="00423E61" w:rsidRDefault="00807E17" w:rsidP="00DD13B7">
      <w:pPr>
        <w:pStyle w:val="Bulletleft1last"/>
      </w:pPr>
      <w:r>
        <w:t>l</w:t>
      </w:r>
      <w:r w:rsidR="00423E61">
        <w:t>i</w:t>
      </w:r>
      <w:r w:rsidR="00423E61" w:rsidRPr="00423E61">
        <w:t>nk to other plans the young person has in respect of their care and support.</w:t>
      </w:r>
    </w:p>
    <w:p w14:paraId="0D1FB6F2" w14:textId="43EB150A" w:rsidR="00DD13B7" w:rsidRDefault="00DD13B7" w:rsidP="00DD13B7">
      <w:pPr>
        <w:pStyle w:val="NICEnormal"/>
      </w:pPr>
      <w:r>
        <w:t>[</w:t>
      </w:r>
      <w:hyperlink r:id="rId17" w:history="1">
        <w:r w:rsidRPr="003F342D">
          <w:rPr>
            <w:rStyle w:val="Hyperlink"/>
          </w:rPr>
          <w:t xml:space="preserve">NICE’s guideline on </w:t>
        </w:r>
        <w:r w:rsidR="003F342D" w:rsidRPr="003F342D">
          <w:rPr>
            <w:rStyle w:val="Hyperlink"/>
          </w:rPr>
          <w:t>disabled children and young people up to 25 with severe complex needs</w:t>
        </w:r>
      </w:hyperlink>
      <w:r w:rsidR="003F342D">
        <w:t xml:space="preserve">, recommendations </w:t>
      </w:r>
      <w:r w:rsidR="003F342D" w:rsidRPr="003F342D">
        <w:t>1.8.5, 1.8.6 and 1.8.7</w:t>
      </w:r>
      <w:r w:rsidR="003F342D">
        <w:t xml:space="preserve"> and </w:t>
      </w:r>
      <w:hyperlink r:id="rId18" w:history="1">
        <w:r w:rsidR="003F342D" w:rsidRPr="003F342D">
          <w:rPr>
            <w:rStyle w:val="Hyperlink"/>
          </w:rPr>
          <w:t>NICE’s guideline on transition from children’s to adults’ services</w:t>
        </w:r>
      </w:hyperlink>
      <w:r w:rsidR="003F342D">
        <w:t>, recommendation 1.2.4</w:t>
      </w:r>
      <w:r w:rsidR="008831FE">
        <w:t xml:space="preserve"> and expert opinion</w:t>
      </w:r>
      <w:r w:rsidR="003F342D">
        <w:t>]</w:t>
      </w:r>
    </w:p>
    <w:p w14:paraId="69957BA9" w14:textId="29FA12FA" w:rsidR="00785D19" w:rsidRDefault="00785D19" w:rsidP="00785D19">
      <w:pPr>
        <w:pStyle w:val="Heading2"/>
      </w:pPr>
      <w:r w:rsidRPr="00F022EE">
        <w:t>Equality and diversity considerations</w:t>
      </w:r>
    </w:p>
    <w:p w14:paraId="07E64E44" w14:textId="77777777" w:rsidR="00836EA4" w:rsidRDefault="009B4830" w:rsidP="0035107C">
      <w:pPr>
        <w:pStyle w:val="NICEnormal"/>
      </w:pPr>
      <w:r>
        <w:t>It will be important to adapt the transition</w:t>
      </w:r>
      <w:r w:rsidR="00836EA4">
        <w:t xml:space="preserve"> plan</w:t>
      </w:r>
      <w:r>
        <w:t xml:space="preserve"> to reflect the needs of young people with learning disabilities or developmental needs. </w:t>
      </w:r>
      <w:r w:rsidR="0035107C">
        <w:t>Health and social care professionals should ensure that transition planning is developmentally appropriate and considers each young person's capabilities, needs and hopes for the future</w:t>
      </w:r>
      <w:r w:rsidR="0035107C" w:rsidRPr="00785D19">
        <w:t xml:space="preserve">, addressing their biological, psychological and social development in the broadest terms. </w:t>
      </w:r>
    </w:p>
    <w:p w14:paraId="513B8947" w14:textId="13FD8527" w:rsidR="0035107C" w:rsidRDefault="0035107C" w:rsidP="0035107C">
      <w:pPr>
        <w:pStyle w:val="NICEnormal"/>
      </w:pPr>
      <w:r>
        <w:lastRenderedPageBreak/>
        <w:t>Transition support should take into account the young person’s: maturity; cognitive abilities; psychological status; needs in respect of long-term conditions; social and personal circumstances</w:t>
      </w:r>
      <w:r w:rsidR="008E0E05">
        <w:t xml:space="preserve"> (including culture and beliefs)</w:t>
      </w:r>
      <w:r>
        <w:t>; caring responsibilities and communication needs</w:t>
      </w:r>
      <w:r w:rsidRPr="00785D19">
        <w:t>.</w:t>
      </w:r>
      <w:r w:rsidRPr="0035107C">
        <w:t xml:space="preserve"> </w:t>
      </w:r>
      <w:r w:rsidR="00836EA4">
        <w:t>The plan should ensure that t</w:t>
      </w:r>
      <w:r>
        <w:t xml:space="preserve">he point of transfer </w:t>
      </w:r>
      <w:r w:rsidR="00836EA4">
        <w:t>is</w:t>
      </w:r>
      <w:r>
        <w:t xml:space="preserve"> not based on a rigid age threshold and take</w:t>
      </w:r>
      <w:r w:rsidR="00836EA4">
        <w:t>s</w:t>
      </w:r>
      <w:r>
        <w:t xml:space="preserve"> place at a time of relative stability for the young person.  [</w:t>
      </w:r>
      <w:hyperlink r:id="rId19" w:history="1">
        <w:r w:rsidRPr="009F2855">
          <w:rPr>
            <w:rStyle w:val="Hyperlink"/>
          </w:rPr>
          <w:t>NICE’s guideline on transition from children’s to adults’ services</w:t>
        </w:r>
      </w:hyperlink>
      <w:r>
        <w:t>, recommendations 1.1.2 and 1.2.3 and terms used in this guideline]</w:t>
      </w:r>
    </w:p>
    <w:p w14:paraId="2969DD2A" w14:textId="77777777" w:rsidR="00F42B40" w:rsidRDefault="00F42B40" w:rsidP="00F42B40">
      <w:pPr>
        <w:pStyle w:val="Heading2"/>
      </w:pPr>
      <w:r w:rsidRPr="004F4A36">
        <w:t>Question</w:t>
      </w:r>
      <w:r>
        <w:t>s</w:t>
      </w:r>
      <w:r w:rsidRPr="004F4A36">
        <w:t xml:space="preserve"> for consultation </w:t>
      </w:r>
    </w:p>
    <w:p w14:paraId="7E8005FA" w14:textId="77777777" w:rsidR="00F42B40" w:rsidRDefault="00F42B40" w:rsidP="00F42B40">
      <w:pPr>
        <w:pStyle w:val="NICEnormal"/>
      </w:pPr>
      <w:r>
        <w:t>Does this quality statement accurately reflect a key area for quality improvement?</w:t>
      </w:r>
    </w:p>
    <w:p w14:paraId="10724E9F" w14:textId="0A5A2B98" w:rsidR="00F42B40" w:rsidRDefault="00F42B40" w:rsidP="00F42B40">
      <w:pPr>
        <w:pStyle w:val="NICEnormal"/>
      </w:pPr>
      <w:r>
        <w:t>Can data for the proposed quality measures be collected locally? Please include in your answer any data sources that can be used or reasons why data cannot be collected.</w:t>
      </w:r>
    </w:p>
    <w:p w14:paraId="69280456" w14:textId="4CC0FE31" w:rsidR="00F42B40" w:rsidRDefault="00F42B40" w:rsidP="00F42B40">
      <w:pPr>
        <w:pStyle w:val="NICEnormal"/>
      </w:pPr>
      <w:r>
        <w:t>Do you think this statement would be achievable by local services given the net resources needed to deliver it? Please describe any resource requirements that you think would be necessary for this statement. Please describe any potential cost savings or opportunities for disinvestment.</w:t>
      </w:r>
    </w:p>
    <w:p w14:paraId="75BA9D68" w14:textId="188DDD11" w:rsidR="00940778" w:rsidRDefault="00940778">
      <w:pPr>
        <w:rPr>
          <w:rFonts w:ascii="Arial" w:hAnsi="Arial"/>
        </w:rPr>
      </w:pPr>
      <w:r>
        <w:br w:type="page"/>
      </w:r>
    </w:p>
    <w:p w14:paraId="5412A27C" w14:textId="02BE3377" w:rsidR="0057245F" w:rsidRPr="00587DE7" w:rsidRDefault="0057245F" w:rsidP="0057245F">
      <w:pPr>
        <w:pStyle w:val="Heading1"/>
        <w:rPr>
          <w:highlight w:val="lightGray"/>
        </w:rPr>
      </w:pPr>
      <w:bookmarkStart w:id="10" w:name="qs2_annualmeeting"/>
      <w:bookmarkStart w:id="11" w:name="_Quality_statement_23:"/>
      <w:bookmarkEnd w:id="10"/>
      <w:bookmarkEnd w:id="11"/>
      <w:r w:rsidRPr="00587DE7">
        <w:rPr>
          <w:highlight w:val="lightGray"/>
        </w:rPr>
        <w:lastRenderedPageBreak/>
        <w:t xml:space="preserve">Quality statement </w:t>
      </w:r>
      <w:r w:rsidR="00236760" w:rsidRPr="00587DE7">
        <w:rPr>
          <w:highlight w:val="lightGray"/>
        </w:rPr>
        <w:t>3</w:t>
      </w:r>
      <w:r w:rsidRPr="00587DE7">
        <w:rPr>
          <w:highlight w:val="lightGray"/>
        </w:rPr>
        <w:t>: Annual meeting</w:t>
      </w:r>
    </w:p>
    <w:p w14:paraId="69F05253" w14:textId="77777777" w:rsidR="0057245F" w:rsidRPr="00587DE7" w:rsidRDefault="0057245F" w:rsidP="0057245F">
      <w:pPr>
        <w:pStyle w:val="Heading2"/>
        <w:rPr>
          <w:highlight w:val="lightGray"/>
        </w:rPr>
      </w:pPr>
      <w:r w:rsidRPr="00587DE7">
        <w:rPr>
          <w:highlight w:val="lightGray"/>
        </w:rPr>
        <w:t>Quality statement</w:t>
      </w:r>
    </w:p>
    <w:p w14:paraId="43932DD7" w14:textId="3E3429A4" w:rsidR="0057245F" w:rsidRPr="00587DE7" w:rsidRDefault="0057245F" w:rsidP="0057245F">
      <w:pPr>
        <w:pStyle w:val="NICEnormal"/>
        <w:rPr>
          <w:highlight w:val="lightGray"/>
        </w:rPr>
      </w:pPr>
      <w:r w:rsidRPr="00587DE7">
        <w:rPr>
          <w:highlight w:val="lightGray"/>
        </w:rPr>
        <w:t>Young people who will move from children’s to adults’ services have an annual meeting to review transition planning.</w:t>
      </w:r>
      <w:r w:rsidR="0039233A" w:rsidRPr="00587DE7">
        <w:rPr>
          <w:b/>
          <w:bCs/>
          <w:highlight w:val="lightGray"/>
        </w:rPr>
        <w:t xml:space="preserve"> [2016]</w:t>
      </w:r>
    </w:p>
    <w:p w14:paraId="00527C55" w14:textId="1EC67D51" w:rsidR="0057245F" w:rsidRPr="00587DE7" w:rsidRDefault="0057245F" w:rsidP="0057245F">
      <w:pPr>
        <w:pStyle w:val="Heading2"/>
        <w:rPr>
          <w:highlight w:val="lightGray"/>
        </w:rPr>
      </w:pPr>
      <w:r w:rsidRPr="00587DE7">
        <w:rPr>
          <w:highlight w:val="lightGray"/>
        </w:rPr>
        <w:t>Rationale</w:t>
      </w:r>
    </w:p>
    <w:p w14:paraId="77787994" w14:textId="521FFF2A" w:rsidR="0057245F" w:rsidRPr="00587DE7" w:rsidRDefault="0057245F" w:rsidP="0057245F">
      <w:pPr>
        <w:pStyle w:val="NICEnormal"/>
        <w:rPr>
          <w:highlight w:val="lightGray"/>
        </w:rPr>
      </w:pPr>
      <w:r w:rsidRPr="00587DE7">
        <w:rPr>
          <w:highlight w:val="lightGray"/>
        </w:rPr>
        <w:t xml:space="preserve">Transition is a lengthy process that starts early, by </w:t>
      </w:r>
      <w:r w:rsidR="00CB2E30" w:rsidRPr="00587DE7">
        <w:rPr>
          <w:highlight w:val="lightGray"/>
        </w:rPr>
        <w:t xml:space="preserve">school </w:t>
      </w:r>
      <w:r w:rsidRPr="00587DE7">
        <w:rPr>
          <w:highlight w:val="lightGray"/>
        </w:rPr>
        <w:t>year</w:t>
      </w:r>
      <w:r w:rsidR="00204058" w:rsidRPr="00587DE7">
        <w:rPr>
          <w:highlight w:val="lightGray"/>
        </w:rPr>
        <w:t> </w:t>
      </w:r>
      <w:r w:rsidRPr="00587DE7">
        <w:rPr>
          <w:highlight w:val="lightGray"/>
        </w:rPr>
        <w:t>9 (aged 13 to 14</w:t>
      </w:r>
      <w:r w:rsidR="00204058" w:rsidRPr="00587DE7">
        <w:rPr>
          <w:highlight w:val="lightGray"/>
        </w:rPr>
        <w:t> </w:t>
      </w:r>
      <w:r w:rsidRPr="00587DE7">
        <w:rPr>
          <w:highlight w:val="lightGray"/>
        </w:rPr>
        <w:t>years</w:t>
      </w:r>
      <w:r w:rsidR="0039233A" w:rsidRPr="00587DE7">
        <w:rPr>
          <w:highlight w:val="lightGray"/>
        </w:rPr>
        <w:t>) and</w:t>
      </w:r>
      <w:r w:rsidRPr="00587DE7">
        <w:rPr>
          <w:highlight w:val="lightGray"/>
        </w:rPr>
        <w:t xml:space="preserve"> continues past the point of transfer. </w:t>
      </w:r>
      <w:r w:rsidR="00F5610A" w:rsidRPr="00587DE7">
        <w:rPr>
          <w:highlight w:val="lightGray"/>
        </w:rPr>
        <w:t xml:space="preserve">Regular review of </w:t>
      </w:r>
      <w:r w:rsidRPr="00587DE7">
        <w:rPr>
          <w:highlight w:val="lightGray"/>
        </w:rPr>
        <w:t xml:space="preserve">transition planning </w:t>
      </w:r>
      <w:r w:rsidR="00F5610A" w:rsidRPr="00587DE7">
        <w:rPr>
          <w:highlight w:val="lightGray"/>
        </w:rPr>
        <w:t>ensure</w:t>
      </w:r>
      <w:r w:rsidR="0040126D" w:rsidRPr="00587DE7">
        <w:rPr>
          <w:highlight w:val="lightGray"/>
        </w:rPr>
        <w:t>s</w:t>
      </w:r>
      <w:r w:rsidR="00F5610A" w:rsidRPr="00587DE7">
        <w:rPr>
          <w:highlight w:val="lightGray"/>
        </w:rPr>
        <w:t xml:space="preserve"> that</w:t>
      </w:r>
      <w:r w:rsidRPr="00587DE7">
        <w:rPr>
          <w:highlight w:val="lightGray"/>
        </w:rPr>
        <w:t xml:space="preserve"> a young person’s changing needs</w:t>
      </w:r>
      <w:r w:rsidR="00F5610A" w:rsidRPr="00587DE7">
        <w:rPr>
          <w:highlight w:val="lightGray"/>
        </w:rPr>
        <w:t xml:space="preserve"> are taken into account</w:t>
      </w:r>
      <w:r w:rsidRPr="00587DE7">
        <w:rPr>
          <w:highlight w:val="lightGray"/>
        </w:rPr>
        <w:t xml:space="preserve">. </w:t>
      </w:r>
      <w:r w:rsidR="007C5FEC" w:rsidRPr="00587DE7">
        <w:rPr>
          <w:highlight w:val="lightGray"/>
        </w:rPr>
        <w:t>T</w:t>
      </w:r>
      <w:r w:rsidR="00F5610A" w:rsidRPr="00587DE7">
        <w:rPr>
          <w:highlight w:val="lightGray"/>
        </w:rPr>
        <w:t xml:space="preserve">ransition planning should be reviewed at least annually, </w:t>
      </w:r>
      <w:r w:rsidR="007C5FEC" w:rsidRPr="00587DE7">
        <w:rPr>
          <w:highlight w:val="lightGray"/>
        </w:rPr>
        <w:t xml:space="preserve">but </w:t>
      </w:r>
      <w:r w:rsidR="00F5610A" w:rsidRPr="00587DE7">
        <w:rPr>
          <w:highlight w:val="lightGray"/>
        </w:rPr>
        <w:t>f</w:t>
      </w:r>
      <w:r w:rsidRPr="00587DE7">
        <w:rPr>
          <w:highlight w:val="lightGray"/>
        </w:rPr>
        <w:t>or some young people</w:t>
      </w:r>
      <w:r w:rsidR="004E0C59" w:rsidRPr="00587DE7">
        <w:rPr>
          <w:highlight w:val="lightGray"/>
        </w:rPr>
        <w:t>, and their families and carers,</w:t>
      </w:r>
      <w:r w:rsidRPr="00587DE7">
        <w:rPr>
          <w:highlight w:val="lightGray"/>
        </w:rPr>
        <w:t xml:space="preserve"> the meetings may need to be more frequent</w:t>
      </w:r>
      <w:r w:rsidR="00204058" w:rsidRPr="00587DE7">
        <w:rPr>
          <w:highlight w:val="lightGray"/>
        </w:rPr>
        <w:t>,</w:t>
      </w:r>
      <w:r w:rsidRPr="00587DE7">
        <w:rPr>
          <w:highlight w:val="lightGray"/>
        </w:rPr>
        <w:t xml:space="preserve"> depending on their individual needs.</w:t>
      </w:r>
    </w:p>
    <w:p w14:paraId="63DD2584" w14:textId="77777777" w:rsidR="0057245F" w:rsidRPr="00587DE7" w:rsidRDefault="0057245F" w:rsidP="0057245F">
      <w:pPr>
        <w:pStyle w:val="Heading2"/>
        <w:rPr>
          <w:highlight w:val="lightGray"/>
        </w:rPr>
      </w:pPr>
      <w:r w:rsidRPr="00587DE7">
        <w:rPr>
          <w:highlight w:val="lightGray"/>
        </w:rPr>
        <w:t>Quality measures</w:t>
      </w:r>
    </w:p>
    <w:p w14:paraId="320D6D75" w14:textId="77777777" w:rsidR="00A65AB1" w:rsidRPr="00587DE7" w:rsidRDefault="00496F63" w:rsidP="00A65AB1">
      <w:pPr>
        <w:pStyle w:val="NICEnormal"/>
        <w:rPr>
          <w:highlight w:val="lightGray"/>
        </w:rPr>
      </w:pPr>
      <w:r w:rsidRPr="00587DE7">
        <w:rPr>
          <w:highlight w:val="lightGray"/>
        </w:rPr>
        <w:t>The following measures can be used to assess the quality of care or service provision specified in the statement. They are examples of how the statement can be measured, and can be adapted and used flexibly.</w:t>
      </w:r>
    </w:p>
    <w:p w14:paraId="19D4B4D9" w14:textId="77777777" w:rsidR="0057245F" w:rsidRPr="00587DE7" w:rsidRDefault="0057245F" w:rsidP="0057245F">
      <w:pPr>
        <w:pStyle w:val="Heading3"/>
        <w:rPr>
          <w:highlight w:val="lightGray"/>
        </w:rPr>
      </w:pPr>
      <w:r w:rsidRPr="00587DE7">
        <w:rPr>
          <w:highlight w:val="lightGray"/>
        </w:rPr>
        <w:t>Process</w:t>
      </w:r>
    </w:p>
    <w:p w14:paraId="102AB5A3" w14:textId="7F1E2FA5" w:rsidR="0057245F" w:rsidRPr="00587DE7" w:rsidRDefault="0057245F" w:rsidP="0057245F">
      <w:pPr>
        <w:pStyle w:val="NICEnormal"/>
        <w:rPr>
          <w:highlight w:val="lightGray"/>
        </w:rPr>
      </w:pPr>
      <w:r w:rsidRPr="00587DE7">
        <w:rPr>
          <w:highlight w:val="lightGray"/>
        </w:rPr>
        <w:t>Proportion of young people</w:t>
      </w:r>
      <w:r w:rsidR="005C5A25" w:rsidRPr="00587DE7">
        <w:rPr>
          <w:highlight w:val="lightGray"/>
        </w:rPr>
        <w:t xml:space="preserve"> older than </w:t>
      </w:r>
      <w:r w:rsidR="00CB2E30" w:rsidRPr="00587DE7">
        <w:rPr>
          <w:highlight w:val="lightGray"/>
        </w:rPr>
        <w:t xml:space="preserve">school </w:t>
      </w:r>
      <w:r w:rsidR="005C5A25" w:rsidRPr="00587DE7">
        <w:rPr>
          <w:highlight w:val="lightGray"/>
        </w:rPr>
        <w:t>year</w:t>
      </w:r>
      <w:r w:rsidR="00D53BA3" w:rsidRPr="00587DE7">
        <w:rPr>
          <w:highlight w:val="lightGray"/>
        </w:rPr>
        <w:t> </w:t>
      </w:r>
      <w:r w:rsidR="005C5A25" w:rsidRPr="00587DE7">
        <w:rPr>
          <w:highlight w:val="lightGray"/>
        </w:rPr>
        <w:t xml:space="preserve">9, </w:t>
      </w:r>
      <w:r w:rsidRPr="00587DE7">
        <w:rPr>
          <w:highlight w:val="lightGray"/>
        </w:rPr>
        <w:t>who will move from children’s to adults’ services</w:t>
      </w:r>
      <w:r w:rsidR="008F7D0A" w:rsidRPr="00587DE7">
        <w:rPr>
          <w:highlight w:val="lightGray"/>
        </w:rPr>
        <w:t>,</w:t>
      </w:r>
      <w:r w:rsidRPr="00587DE7">
        <w:rPr>
          <w:highlight w:val="lightGray"/>
        </w:rPr>
        <w:t xml:space="preserve"> who have had a meeting </w:t>
      </w:r>
      <w:r w:rsidR="00FC4D50" w:rsidRPr="00587DE7">
        <w:rPr>
          <w:highlight w:val="lightGray"/>
        </w:rPr>
        <w:t>in the p</w:t>
      </w:r>
      <w:r w:rsidR="0043276C" w:rsidRPr="00587DE7">
        <w:rPr>
          <w:highlight w:val="lightGray"/>
        </w:rPr>
        <w:t>revious</w:t>
      </w:r>
      <w:r w:rsidR="00FC4D50" w:rsidRPr="00587DE7">
        <w:rPr>
          <w:highlight w:val="lightGray"/>
        </w:rPr>
        <w:t xml:space="preserve"> 12 months </w:t>
      </w:r>
      <w:r w:rsidRPr="00587DE7">
        <w:rPr>
          <w:highlight w:val="lightGray"/>
        </w:rPr>
        <w:t>to review transition planning.</w:t>
      </w:r>
    </w:p>
    <w:p w14:paraId="5186E8A8" w14:textId="21DF9F97" w:rsidR="0057245F" w:rsidRPr="00587DE7" w:rsidRDefault="0057245F" w:rsidP="0057245F">
      <w:pPr>
        <w:pStyle w:val="NICEnormal"/>
        <w:rPr>
          <w:highlight w:val="lightGray"/>
        </w:rPr>
      </w:pPr>
      <w:r w:rsidRPr="00587DE7">
        <w:rPr>
          <w:highlight w:val="lightGray"/>
        </w:rPr>
        <w:t xml:space="preserve">Numerator – the number in the denominator who have had a meeting </w:t>
      </w:r>
      <w:r w:rsidR="00D53BA3" w:rsidRPr="00587DE7">
        <w:rPr>
          <w:highlight w:val="lightGray"/>
        </w:rPr>
        <w:t>in the p</w:t>
      </w:r>
      <w:r w:rsidR="0043276C" w:rsidRPr="00587DE7">
        <w:rPr>
          <w:highlight w:val="lightGray"/>
        </w:rPr>
        <w:t>revious</w:t>
      </w:r>
      <w:r w:rsidR="00D53BA3" w:rsidRPr="00587DE7">
        <w:rPr>
          <w:highlight w:val="lightGray"/>
        </w:rPr>
        <w:t xml:space="preserve"> 12 months </w:t>
      </w:r>
      <w:r w:rsidRPr="00587DE7">
        <w:rPr>
          <w:highlight w:val="lightGray"/>
        </w:rPr>
        <w:t>to review transition planning.</w:t>
      </w:r>
    </w:p>
    <w:p w14:paraId="3F9868F2" w14:textId="0EB1F64B" w:rsidR="0057245F" w:rsidRPr="00587DE7" w:rsidRDefault="0057245F" w:rsidP="0057245F">
      <w:pPr>
        <w:pStyle w:val="NICEnormal"/>
        <w:rPr>
          <w:highlight w:val="lightGray"/>
        </w:rPr>
      </w:pPr>
      <w:r w:rsidRPr="00587DE7">
        <w:rPr>
          <w:highlight w:val="lightGray"/>
        </w:rPr>
        <w:t xml:space="preserve">Denominator – the number of young people </w:t>
      </w:r>
      <w:r w:rsidR="005C5A25" w:rsidRPr="00587DE7">
        <w:rPr>
          <w:highlight w:val="lightGray"/>
        </w:rPr>
        <w:t xml:space="preserve">older than </w:t>
      </w:r>
      <w:r w:rsidR="00CB2E30" w:rsidRPr="00587DE7">
        <w:rPr>
          <w:highlight w:val="lightGray"/>
        </w:rPr>
        <w:t xml:space="preserve">school </w:t>
      </w:r>
      <w:r w:rsidR="005C5A25" w:rsidRPr="00587DE7">
        <w:rPr>
          <w:highlight w:val="lightGray"/>
        </w:rPr>
        <w:t>year</w:t>
      </w:r>
      <w:r w:rsidR="007C5FEC" w:rsidRPr="00587DE7">
        <w:rPr>
          <w:highlight w:val="lightGray"/>
        </w:rPr>
        <w:t> </w:t>
      </w:r>
      <w:r w:rsidR="005C5A25" w:rsidRPr="00587DE7">
        <w:rPr>
          <w:highlight w:val="lightGray"/>
        </w:rPr>
        <w:t xml:space="preserve">9 </w:t>
      </w:r>
      <w:r w:rsidRPr="00587DE7">
        <w:rPr>
          <w:highlight w:val="lightGray"/>
        </w:rPr>
        <w:t>who will move from children’s to adults’ services.</w:t>
      </w:r>
    </w:p>
    <w:p w14:paraId="54FEE5AD" w14:textId="79151B9D" w:rsidR="0057245F" w:rsidRPr="00587DE7" w:rsidRDefault="0057245F" w:rsidP="0057245F">
      <w:pPr>
        <w:pStyle w:val="NICEnormal"/>
        <w:rPr>
          <w:highlight w:val="lightGray"/>
        </w:rPr>
      </w:pPr>
      <w:r w:rsidRPr="00587DE7">
        <w:rPr>
          <w:b/>
          <w:bCs/>
          <w:highlight w:val="lightGray"/>
        </w:rPr>
        <w:t>Data source:</w:t>
      </w:r>
      <w:r w:rsidRPr="00587DE7">
        <w:rPr>
          <w:highlight w:val="lightGray"/>
        </w:rPr>
        <w:t xml:space="preserve"> </w:t>
      </w:r>
      <w:r w:rsidR="008F7D0A" w:rsidRPr="00587DE7">
        <w:rPr>
          <w:highlight w:val="lightGray"/>
        </w:rPr>
        <w:t>Data can be collected from information recorded locally by healthcare professionals and provider organisations, for example from patient records</w:t>
      </w:r>
      <w:r w:rsidRPr="00587DE7">
        <w:rPr>
          <w:highlight w:val="lightGray"/>
        </w:rPr>
        <w:t>.</w:t>
      </w:r>
    </w:p>
    <w:p w14:paraId="51BE0EEA" w14:textId="77777777" w:rsidR="006378C6" w:rsidRPr="00587DE7" w:rsidRDefault="006378C6" w:rsidP="006378C6">
      <w:pPr>
        <w:pStyle w:val="Heading3"/>
        <w:rPr>
          <w:highlight w:val="lightGray"/>
        </w:rPr>
      </w:pPr>
      <w:r w:rsidRPr="00587DE7">
        <w:rPr>
          <w:highlight w:val="lightGray"/>
        </w:rPr>
        <w:lastRenderedPageBreak/>
        <w:t>Outcome</w:t>
      </w:r>
    </w:p>
    <w:p w14:paraId="1B08B5EA" w14:textId="77777777" w:rsidR="00F41BB8" w:rsidRPr="00587DE7" w:rsidRDefault="00F41BB8" w:rsidP="00F41BB8">
      <w:pPr>
        <w:pStyle w:val="NICEnormal"/>
        <w:rPr>
          <w:highlight w:val="lightGray"/>
        </w:rPr>
      </w:pPr>
      <w:r w:rsidRPr="00587DE7">
        <w:rPr>
          <w:highlight w:val="lightGray"/>
        </w:rPr>
        <w:t>a) Proportion of young people (and their families and carers) who have transferred from children’s to adults’ services, who were satisfied with planning for transition and transfer.</w:t>
      </w:r>
    </w:p>
    <w:p w14:paraId="383781D0" w14:textId="77777777" w:rsidR="00F41BB8" w:rsidRPr="00587DE7" w:rsidRDefault="00F41BB8" w:rsidP="00F41BB8">
      <w:pPr>
        <w:pStyle w:val="NICEnormal"/>
        <w:rPr>
          <w:highlight w:val="lightGray"/>
        </w:rPr>
      </w:pPr>
      <w:r w:rsidRPr="00587DE7">
        <w:rPr>
          <w:highlight w:val="lightGray"/>
        </w:rPr>
        <w:t>Numerator – the number in the denominator who were satisfied with planning for transition and transfer.</w:t>
      </w:r>
    </w:p>
    <w:p w14:paraId="447BDE0E" w14:textId="77777777" w:rsidR="00F41BB8" w:rsidRPr="00587DE7" w:rsidRDefault="00F41BB8" w:rsidP="00F41BB8">
      <w:pPr>
        <w:pStyle w:val="NICEnormal"/>
        <w:rPr>
          <w:highlight w:val="lightGray"/>
        </w:rPr>
      </w:pPr>
      <w:r w:rsidRPr="00587DE7">
        <w:rPr>
          <w:highlight w:val="lightGray"/>
        </w:rPr>
        <w:t>Denominator – the number of young people (and their families and carers) who have transferred from children’s to adults’ services.</w:t>
      </w:r>
    </w:p>
    <w:p w14:paraId="5F02A297" w14:textId="02583027" w:rsidR="00F41BB8" w:rsidRPr="00587DE7" w:rsidRDefault="00F41BB8" w:rsidP="00F41BB8">
      <w:pPr>
        <w:pStyle w:val="NICEnormal"/>
        <w:rPr>
          <w:highlight w:val="lightGray"/>
        </w:rPr>
      </w:pPr>
      <w:r w:rsidRPr="00587DE7">
        <w:rPr>
          <w:b/>
          <w:bCs/>
          <w:highlight w:val="lightGray"/>
        </w:rPr>
        <w:t>Data source:</w:t>
      </w:r>
      <w:r w:rsidRPr="00587DE7">
        <w:rPr>
          <w:highlight w:val="lightGray"/>
        </w:rPr>
        <w:t xml:space="preserve"> Data can be collected from information recorded locally by healthcare professionals and provider organisations, for example from </w:t>
      </w:r>
      <w:r w:rsidR="00BD0888" w:rsidRPr="00587DE7">
        <w:rPr>
          <w:highlight w:val="lightGray"/>
        </w:rPr>
        <w:t xml:space="preserve">a </w:t>
      </w:r>
      <w:r w:rsidRPr="00587DE7">
        <w:rPr>
          <w:highlight w:val="lightGray"/>
        </w:rPr>
        <w:t>patient survey.</w:t>
      </w:r>
      <w:r w:rsidR="002F1814" w:rsidRPr="00587DE7">
        <w:rPr>
          <w:rStyle w:val="NICEnormalChar"/>
          <w:highlight w:val="lightGray"/>
        </w:rPr>
        <w:t xml:space="preserve"> </w:t>
      </w:r>
      <w:r w:rsidR="00BD0888" w:rsidRPr="00587DE7">
        <w:rPr>
          <w:rStyle w:val="NICEnormalChar"/>
          <w:highlight w:val="lightGray"/>
        </w:rPr>
        <w:t xml:space="preserve">Resources to support this include the </w:t>
      </w:r>
      <w:hyperlink r:id="rId20" w:history="1">
        <w:r w:rsidR="002F1814" w:rsidRPr="00587DE7">
          <w:rPr>
            <w:rStyle w:val="Hyperlink"/>
            <w:highlight w:val="lightGray"/>
          </w:rPr>
          <w:t>TIER Ready, Steady, Go programme</w:t>
        </w:r>
      </w:hyperlink>
      <w:r w:rsidR="002F1814" w:rsidRPr="00587DE7">
        <w:rPr>
          <w:rStyle w:val="NICEnormalChar"/>
          <w:highlight w:val="lightGray"/>
        </w:rPr>
        <w:t xml:space="preserve"> </w:t>
      </w:r>
      <w:r w:rsidR="00BD0888" w:rsidRPr="00587DE7">
        <w:rPr>
          <w:rStyle w:val="NICEnormalChar"/>
          <w:highlight w:val="lightGray"/>
        </w:rPr>
        <w:t xml:space="preserve">which </w:t>
      </w:r>
      <w:r w:rsidR="002F1814" w:rsidRPr="00587DE7">
        <w:rPr>
          <w:rStyle w:val="NICEnormalChar"/>
          <w:highlight w:val="lightGray"/>
        </w:rPr>
        <w:t xml:space="preserve">includes feedback on transition planning in its questionnaires for young people and their </w:t>
      </w:r>
      <w:r w:rsidR="0043715C" w:rsidRPr="00587DE7">
        <w:rPr>
          <w:rStyle w:val="NICEnormalChar"/>
          <w:highlight w:val="lightGray"/>
        </w:rPr>
        <w:t xml:space="preserve">families and </w:t>
      </w:r>
      <w:r w:rsidR="002F1814" w:rsidRPr="00587DE7">
        <w:rPr>
          <w:rStyle w:val="NICEnormalChar"/>
          <w:highlight w:val="lightGray"/>
        </w:rPr>
        <w:t xml:space="preserve">carers. </w:t>
      </w:r>
      <w:r w:rsidR="00BD0888" w:rsidRPr="00587DE7">
        <w:rPr>
          <w:rStyle w:val="NICEnormalChar"/>
          <w:highlight w:val="lightGray"/>
        </w:rPr>
        <w:t>Also, t</w:t>
      </w:r>
      <w:r w:rsidR="002F1814" w:rsidRPr="00587DE7">
        <w:rPr>
          <w:highlight w:val="lightGray"/>
        </w:rPr>
        <w:t xml:space="preserve">he </w:t>
      </w:r>
      <w:hyperlink r:id="rId21" w:history="1">
        <w:r w:rsidR="002F1814" w:rsidRPr="00587DE7">
          <w:rPr>
            <w:rStyle w:val="Hyperlink"/>
            <w:highlight w:val="lightGray"/>
          </w:rPr>
          <w:t>National Confidential Enquiry into Patient Outcome and Death transition from child into adult healthcare young person and parent carer survey</w:t>
        </w:r>
      </w:hyperlink>
      <w:r w:rsidR="002F1814" w:rsidRPr="00587DE7">
        <w:rPr>
          <w:highlight w:val="lightGray"/>
        </w:rPr>
        <w:t xml:space="preserve"> includes questions on transition planning.</w:t>
      </w:r>
    </w:p>
    <w:p w14:paraId="622D3EF5" w14:textId="77777777" w:rsidR="00F41BB8" w:rsidRPr="00587DE7" w:rsidRDefault="00F41BB8" w:rsidP="00F41BB8">
      <w:pPr>
        <w:pStyle w:val="NICEnormal"/>
        <w:rPr>
          <w:highlight w:val="lightGray"/>
        </w:rPr>
      </w:pPr>
      <w:r w:rsidRPr="00587DE7">
        <w:rPr>
          <w:highlight w:val="lightGray"/>
        </w:rPr>
        <w:t>b) Proportion of young people who have transferred from children’s to adults’ services, who do not attend their initial meetings or appointments with each adults’ service.</w:t>
      </w:r>
    </w:p>
    <w:p w14:paraId="7CD53184" w14:textId="77777777" w:rsidR="00F41BB8" w:rsidRPr="00587DE7" w:rsidRDefault="00F41BB8" w:rsidP="00F41BB8">
      <w:pPr>
        <w:pStyle w:val="NICEnormal"/>
        <w:rPr>
          <w:highlight w:val="lightGray"/>
        </w:rPr>
      </w:pPr>
      <w:r w:rsidRPr="00587DE7">
        <w:rPr>
          <w:highlight w:val="lightGray"/>
        </w:rPr>
        <w:t>Numerator – the number in the denominator who do not attend their initial meetings or appointments with each adults’ service.</w:t>
      </w:r>
    </w:p>
    <w:p w14:paraId="19D9971B" w14:textId="77777777" w:rsidR="00F41BB8" w:rsidRPr="00587DE7" w:rsidRDefault="00F41BB8" w:rsidP="00F41BB8">
      <w:pPr>
        <w:pStyle w:val="NICEnormal"/>
        <w:rPr>
          <w:highlight w:val="lightGray"/>
        </w:rPr>
      </w:pPr>
      <w:r w:rsidRPr="00587DE7">
        <w:rPr>
          <w:highlight w:val="lightGray"/>
        </w:rPr>
        <w:t>Denominator – the number of young people who have transferred from children’s to adults’ services.</w:t>
      </w:r>
    </w:p>
    <w:p w14:paraId="4B86ADEA" w14:textId="360DE6FD" w:rsidR="00F41BB8" w:rsidRPr="00587DE7" w:rsidRDefault="00F41BB8" w:rsidP="00F41BB8">
      <w:pPr>
        <w:pStyle w:val="NICEnormal"/>
        <w:rPr>
          <w:rStyle w:val="NICEnormalChar"/>
          <w:highlight w:val="lightGray"/>
        </w:rPr>
      </w:pPr>
      <w:r w:rsidRPr="00587DE7">
        <w:rPr>
          <w:b/>
          <w:bCs/>
          <w:highlight w:val="lightGray"/>
        </w:rPr>
        <w:t>Data source:</w:t>
      </w:r>
      <w:r w:rsidRPr="00587DE7">
        <w:rPr>
          <w:highlight w:val="lightGray"/>
        </w:rPr>
        <w:t xml:space="preserve"> </w:t>
      </w:r>
      <w:r w:rsidRPr="00587DE7">
        <w:rPr>
          <w:rStyle w:val="NICEnormalChar"/>
          <w:highlight w:val="lightGray"/>
        </w:rPr>
        <w:t>Data can be collected from information recorded locally by healthcare professionals and provider organisations, for example from patient records. For measurement purposes</w:t>
      </w:r>
      <w:r w:rsidR="00BD0888" w:rsidRPr="00587DE7">
        <w:rPr>
          <w:rStyle w:val="NICEnormalChar"/>
          <w:highlight w:val="lightGray"/>
        </w:rPr>
        <w:t>,</w:t>
      </w:r>
      <w:r w:rsidRPr="00587DE7">
        <w:rPr>
          <w:rStyle w:val="NICEnormalChar"/>
          <w:highlight w:val="lightGray"/>
        </w:rPr>
        <w:t xml:space="preserve"> this could be defined as the first </w:t>
      </w:r>
      <w:r w:rsidR="00BD0888" w:rsidRPr="00587DE7">
        <w:rPr>
          <w:rStyle w:val="NICEnormalChar"/>
          <w:highlight w:val="lightGray"/>
        </w:rPr>
        <w:t>3</w:t>
      </w:r>
      <w:r w:rsidRPr="00587DE7">
        <w:rPr>
          <w:rStyle w:val="NICEnormalChar"/>
          <w:highlight w:val="lightGray"/>
        </w:rPr>
        <w:t xml:space="preserve"> meetings</w:t>
      </w:r>
      <w:r w:rsidR="00BD0888" w:rsidRPr="00587DE7">
        <w:rPr>
          <w:rStyle w:val="NICEnormalChar"/>
          <w:highlight w:val="lightGray"/>
        </w:rPr>
        <w:t xml:space="preserve"> or appointments in each </w:t>
      </w:r>
      <w:r w:rsidRPr="00587DE7">
        <w:rPr>
          <w:rStyle w:val="NICEnormalChar"/>
          <w:highlight w:val="lightGray"/>
        </w:rPr>
        <w:t>adults’ service.</w:t>
      </w:r>
    </w:p>
    <w:p w14:paraId="08CAD250" w14:textId="77777777" w:rsidR="00F41BB8" w:rsidRPr="00587DE7" w:rsidRDefault="00F41BB8" w:rsidP="00F41BB8">
      <w:pPr>
        <w:pStyle w:val="NICEnormal"/>
        <w:rPr>
          <w:highlight w:val="lightGray"/>
        </w:rPr>
      </w:pPr>
      <w:r w:rsidRPr="00587DE7">
        <w:rPr>
          <w:highlight w:val="lightGray"/>
        </w:rPr>
        <w:t xml:space="preserve">c) Proportion of young people attending adults’ services after transfer from children’s services who continue to engage with services. </w:t>
      </w:r>
    </w:p>
    <w:p w14:paraId="67F2F48B" w14:textId="77777777" w:rsidR="00F41BB8" w:rsidRPr="00587DE7" w:rsidRDefault="00F41BB8" w:rsidP="00F41BB8">
      <w:pPr>
        <w:pStyle w:val="NICEnormal"/>
        <w:rPr>
          <w:highlight w:val="lightGray"/>
        </w:rPr>
      </w:pPr>
      <w:r w:rsidRPr="00587DE7">
        <w:rPr>
          <w:highlight w:val="lightGray"/>
        </w:rPr>
        <w:lastRenderedPageBreak/>
        <w:t>Numerator – the number in the denominator who continue to engage with services.</w:t>
      </w:r>
    </w:p>
    <w:p w14:paraId="6E9C5C26" w14:textId="77777777" w:rsidR="00F41BB8" w:rsidRPr="00587DE7" w:rsidRDefault="00F41BB8" w:rsidP="00F41BB8">
      <w:pPr>
        <w:pStyle w:val="NICEnormal"/>
        <w:rPr>
          <w:highlight w:val="lightGray"/>
        </w:rPr>
      </w:pPr>
      <w:r w:rsidRPr="00587DE7">
        <w:rPr>
          <w:highlight w:val="lightGray"/>
        </w:rPr>
        <w:t>Denominator – the number of young people attending adults’ services after transfer from children’s services.</w:t>
      </w:r>
    </w:p>
    <w:p w14:paraId="7F880DF8" w14:textId="78F0676E" w:rsidR="00F41BB8" w:rsidRPr="00587DE7" w:rsidRDefault="00F41BB8" w:rsidP="00F41BB8">
      <w:pPr>
        <w:pStyle w:val="NICEnormal"/>
        <w:rPr>
          <w:rStyle w:val="NICEnormalChar"/>
          <w:highlight w:val="lightGray"/>
        </w:rPr>
      </w:pPr>
      <w:r w:rsidRPr="00587DE7">
        <w:rPr>
          <w:b/>
          <w:bCs/>
          <w:highlight w:val="lightGray"/>
        </w:rPr>
        <w:t>Data source:</w:t>
      </w:r>
      <w:r w:rsidRPr="00587DE7">
        <w:rPr>
          <w:rStyle w:val="NICEnormalChar"/>
          <w:highlight w:val="lightGray"/>
        </w:rPr>
        <w:t xml:space="preserve"> Data can be collected from information recorded locally by healthcare professionals and provider organisations, for example from patient records. For measurement purposes</w:t>
      </w:r>
      <w:r w:rsidR="00BD0888" w:rsidRPr="00587DE7">
        <w:rPr>
          <w:rStyle w:val="NICEnormalChar"/>
          <w:highlight w:val="lightGray"/>
        </w:rPr>
        <w:t>,</w:t>
      </w:r>
      <w:r w:rsidRPr="00587DE7">
        <w:rPr>
          <w:rStyle w:val="NICEnormalChar"/>
          <w:highlight w:val="lightGray"/>
        </w:rPr>
        <w:t xml:space="preserve"> this could be defined as engagement at 1 year after transfer.</w:t>
      </w:r>
    </w:p>
    <w:p w14:paraId="4506A439" w14:textId="2A591653" w:rsidR="0057245F" w:rsidRPr="00587DE7" w:rsidRDefault="0057245F" w:rsidP="0057245F">
      <w:pPr>
        <w:pStyle w:val="Heading2"/>
        <w:rPr>
          <w:highlight w:val="lightGray"/>
        </w:rPr>
      </w:pPr>
      <w:r w:rsidRPr="00587DE7">
        <w:rPr>
          <w:highlight w:val="lightGray"/>
        </w:rPr>
        <w:t xml:space="preserve">What the quality statement means for </w:t>
      </w:r>
      <w:r w:rsidR="00E65FB1" w:rsidRPr="00587DE7">
        <w:rPr>
          <w:highlight w:val="lightGray"/>
        </w:rPr>
        <w:t>different audiences</w:t>
      </w:r>
    </w:p>
    <w:p w14:paraId="2AD70390" w14:textId="363F2E9D" w:rsidR="0057245F" w:rsidRPr="00587DE7" w:rsidRDefault="0057245F" w:rsidP="0057245F">
      <w:pPr>
        <w:pStyle w:val="NICEnormal"/>
        <w:rPr>
          <w:highlight w:val="lightGray"/>
        </w:rPr>
      </w:pPr>
      <w:r w:rsidRPr="00587DE7">
        <w:rPr>
          <w:b/>
          <w:highlight w:val="lightGray"/>
        </w:rPr>
        <w:t>Service providers</w:t>
      </w:r>
      <w:r w:rsidRPr="00587DE7">
        <w:rPr>
          <w:highlight w:val="lightGray"/>
        </w:rPr>
        <w:t xml:space="preserve"> (children’s and adults’ health, mental health and social care providers) ensure that systems are in place for young people who will move from children’s to adults’ services</w:t>
      </w:r>
      <w:r w:rsidR="00900AF9" w:rsidRPr="00587DE7">
        <w:rPr>
          <w:highlight w:val="lightGray"/>
        </w:rPr>
        <w:t>, and their families and carers,</w:t>
      </w:r>
      <w:r w:rsidRPr="00587DE7">
        <w:rPr>
          <w:highlight w:val="lightGray"/>
        </w:rPr>
        <w:t xml:space="preserve"> to have an annual meeting to review transition planning</w:t>
      </w:r>
      <w:r w:rsidR="00B21096" w:rsidRPr="00587DE7">
        <w:rPr>
          <w:highlight w:val="lightGray"/>
        </w:rPr>
        <w:t xml:space="preserve"> with all practitioners providing support</w:t>
      </w:r>
      <w:r w:rsidRPr="00587DE7">
        <w:rPr>
          <w:highlight w:val="lightGray"/>
        </w:rPr>
        <w:t>.</w:t>
      </w:r>
      <w:r w:rsidR="00B21096" w:rsidRPr="00587DE7">
        <w:rPr>
          <w:highlight w:val="lightGray"/>
        </w:rPr>
        <w:t xml:space="preserve"> </w:t>
      </w:r>
    </w:p>
    <w:p w14:paraId="15B07186" w14:textId="3466796F" w:rsidR="0057245F" w:rsidRPr="00587DE7" w:rsidRDefault="0057245F" w:rsidP="0057245F">
      <w:pPr>
        <w:pStyle w:val="NICEnormal"/>
        <w:rPr>
          <w:highlight w:val="lightGray"/>
        </w:rPr>
      </w:pPr>
      <w:r w:rsidRPr="00587DE7">
        <w:rPr>
          <w:b/>
          <w:highlight w:val="lightGray"/>
        </w:rPr>
        <w:t>Health and social care practitioners support</w:t>
      </w:r>
      <w:r w:rsidR="00BA69FE" w:rsidRPr="00587DE7">
        <w:rPr>
          <w:b/>
          <w:highlight w:val="lightGray"/>
        </w:rPr>
        <w:t>ing</w:t>
      </w:r>
      <w:r w:rsidRPr="00587DE7">
        <w:rPr>
          <w:b/>
          <w:highlight w:val="lightGray"/>
        </w:rPr>
        <w:t xml:space="preserve"> </w:t>
      </w:r>
      <w:r w:rsidR="00BA69FE" w:rsidRPr="00587DE7">
        <w:rPr>
          <w:b/>
          <w:highlight w:val="lightGray"/>
        </w:rPr>
        <w:t>transition</w:t>
      </w:r>
      <w:r w:rsidRPr="00587DE7">
        <w:rPr>
          <w:highlight w:val="lightGray"/>
        </w:rPr>
        <w:t xml:space="preserve"> (such as</w:t>
      </w:r>
      <w:r w:rsidR="00BA69FE" w:rsidRPr="00587DE7">
        <w:rPr>
          <w:highlight w:val="lightGray"/>
        </w:rPr>
        <w:t xml:space="preserve"> </w:t>
      </w:r>
      <w:r w:rsidR="00B21096" w:rsidRPr="00587DE7">
        <w:rPr>
          <w:highlight w:val="lightGray"/>
        </w:rPr>
        <w:t>hospital consultants, nurses, social workers, mental health workers</w:t>
      </w:r>
      <w:r w:rsidRPr="00587DE7">
        <w:rPr>
          <w:highlight w:val="lightGray"/>
        </w:rPr>
        <w:t xml:space="preserve"> </w:t>
      </w:r>
      <w:r w:rsidR="00B21096" w:rsidRPr="00587DE7">
        <w:rPr>
          <w:highlight w:val="lightGray"/>
        </w:rPr>
        <w:t xml:space="preserve">GPs, </w:t>
      </w:r>
      <w:r w:rsidRPr="00587DE7">
        <w:rPr>
          <w:highlight w:val="lightGray"/>
        </w:rPr>
        <w:t>care coordinator</w:t>
      </w:r>
      <w:r w:rsidR="00B21096" w:rsidRPr="00587DE7">
        <w:rPr>
          <w:highlight w:val="lightGray"/>
        </w:rPr>
        <w:t>s</w:t>
      </w:r>
      <w:r w:rsidRPr="00587DE7">
        <w:rPr>
          <w:highlight w:val="lightGray"/>
        </w:rPr>
        <w:t xml:space="preserve"> or named worker</w:t>
      </w:r>
      <w:r w:rsidR="00B21096" w:rsidRPr="00587DE7">
        <w:rPr>
          <w:highlight w:val="lightGray"/>
        </w:rPr>
        <w:t>s</w:t>
      </w:r>
      <w:r w:rsidRPr="00587DE7">
        <w:rPr>
          <w:highlight w:val="lightGray"/>
        </w:rPr>
        <w:t xml:space="preserve">) take part in </w:t>
      </w:r>
      <w:r w:rsidR="00E476F2" w:rsidRPr="00587DE7">
        <w:rPr>
          <w:highlight w:val="lightGray"/>
        </w:rPr>
        <w:t>an</w:t>
      </w:r>
      <w:r w:rsidRPr="00587DE7">
        <w:rPr>
          <w:highlight w:val="lightGray"/>
        </w:rPr>
        <w:t xml:space="preserve"> annual meeting to review transition planning for young people who will move from children’s to adults’ services.</w:t>
      </w:r>
      <w:r w:rsidR="005B778B" w:rsidRPr="00587DE7">
        <w:rPr>
          <w:highlight w:val="lightGray"/>
        </w:rPr>
        <w:t xml:space="preserve"> They </w:t>
      </w:r>
      <w:r w:rsidR="00A65AB1" w:rsidRPr="00587DE7">
        <w:rPr>
          <w:highlight w:val="lightGray"/>
        </w:rPr>
        <w:t xml:space="preserve">ensure that they </w:t>
      </w:r>
      <w:r w:rsidR="005B778B" w:rsidRPr="00587DE7">
        <w:rPr>
          <w:highlight w:val="lightGray"/>
        </w:rPr>
        <w:t xml:space="preserve">share the updated plan with young people and their families and carers after the meeting. </w:t>
      </w:r>
    </w:p>
    <w:p w14:paraId="2CFFDCBA" w14:textId="368F5188" w:rsidR="0057245F" w:rsidRPr="00587DE7" w:rsidRDefault="0057245F" w:rsidP="0057245F">
      <w:pPr>
        <w:pStyle w:val="NICEnormal"/>
        <w:rPr>
          <w:highlight w:val="lightGray"/>
        </w:rPr>
      </w:pPr>
      <w:r w:rsidRPr="00587DE7">
        <w:rPr>
          <w:b/>
          <w:highlight w:val="lightGray"/>
        </w:rPr>
        <w:t>Commissioners</w:t>
      </w:r>
      <w:r w:rsidRPr="00587DE7">
        <w:rPr>
          <w:highlight w:val="lightGray"/>
        </w:rPr>
        <w:t xml:space="preserve"> ensure that they commission services that </w:t>
      </w:r>
      <w:r w:rsidR="00E476F2" w:rsidRPr="00587DE7">
        <w:rPr>
          <w:highlight w:val="lightGray"/>
        </w:rPr>
        <w:t>arrange</w:t>
      </w:r>
      <w:r w:rsidRPr="00587DE7">
        <w:rPr>
          <w:highlight w:val="lightGray"/>
        </w:rPr>
        <w:t xml:space="preserve"> an annual meeting </w:t>
      </w:r>
      <w:r w:rsidR="00B21096" w:rsidRPr="00587DE7">
        <w:rPr>
          <w:highlight w:val="lightGray"/>
        </w:rPr>
        <w:t xml:space="preserve">with </w:t>
      </w:r>
      <w:r w:rsidR="00A65AB1" w:rsidRPr="00587DE7">
        <w:rPr>
          <w:highlight w:val="lightGray"/>
        </w:rPr>
        <w:t xml:space="preserve">all </w:t>
      </w:r>
      <w:r w:rsidR="00B21096" w:rsidRPr="00587DE7">
        <w:rPr>
          <w:highlight w:val="lightGray"/>
        </w:rPr>
        <w:t xml:space="preserve">practitioners </w:t>
      </w:r>
      <w:r w:rsidRPr="00587DE7">
        <w:rPr>
          <w:highlight w:val="lightGray"/>
        </w:rPr>
        <w:t>to review transition planning</w:t>
      </w:r>
      <w:r w:rsidR="00E476F2" w:rsidRPr="00587DE7">
        <w:rPr>
          <w:highlight w:val="lightGray"/>
        </w:rPr>
        <w:t xml:space="preserve"> for young people who will move from children’s to adults’ services</w:t>
      </w:r>
      <w:r w:rsidRPr="00587DE7">
        <w:rPr>
          <w:highlight w:val="lightGray"/>
        </w:rPr>
        <w:t>.</w:t>
      </w:r>
    </w:p>
    <w:p w14:paraId="6EC38423" w14:textId="496E2A19" w:rsidR="0057245F" w:rsidRPr="00587DE7" w:rsidRDefault="0057245F" w:rsidP="0057245F">
      <w:pPr>
        <w:pStyle w:val="NICEnormal"/>
        <w:rPr>
          <w:highlight w:val="lightGray"/>
        </w:rPr>
      </w:pPr>
      <w:r w:rsidRPr="00587DE7">
        <w:rPr>
          <w:b/>
          <w:highlight w:val="lightGray"/>
        </w:rPr>
        <w:t>Young people who will move from children’s</w:t>
      </w:r>
      <w:r w:rsidRPr="00587DE7">
        <w:rPr>
          <w:highlight w:val="lightGray"/>
        </w:rPr>
        <w:t xml:space="preserve"> </w:t>
      </w:r>
      <w:r w:rsidRPr="00587DE7">
        <w:rPr>
          <w:b/>
          <w:highlight w:val="lightGray"/>
        </w:rPr>
        <w:t>to adults’ services</w:t>
      </w:r>
      <w:r w:rsidRPr="00587DE7">
        <w:rPr>
          <w:highlight w:val="lightGray"/>
        </w:rPr>
        <w:t xml:space="preserve"> have a meeting </w:t>
      </w:r>
      <w:r w:rsidR="00E476F2" w:rsidRPr="00587DE7">
        <w:rPr>
          <w:highlight w:val="lightGray"/>
        </w:rPr>
        <w:t xml:space="preserve">each year </w:t>
      </w:r>
      <w:r w:rsidRPr="00587DE7">
        <w:rPr>
          <w:highlight w:val="lightGray"/>
        </w:rPr>
        <w:t xml:space="preserve">to </w:t>
      </w:r>
      <w:r w:rsidR="00E476F2" w:rsidRPr="00587DE7">
        <w:rPr>
          <w:highlight w:val="lightGray"/>
        </w:rPr>
        <w:t>talk about</w:t>
      </w:r>
      <w:r w:rsidRPr="00587DE7">
        <w:rPr>
          <w:highlight w:val="lightGray"/>
        </w:rPr>
        <w:t xml:space="preserve"> planning </w:t>
      </w:r>
      <w:r w:rsidR="003C6CB4" w:rsidRPr="00587DE7">
        <w:rPr>
          <w:highlight w:val="lightGray"/>
        </w:rPr>
        <w:t xml:space="preserve">for the move </w:t>
      </w:r>
      <w:r w:rsidRPr="00587DE7">
        <w:rPr>
          <w:highlight w:val="lightGray"/>
        </w:rPr>
        <w:t>and check that the plans are still suitable for them.</w:t>
      </w:r>
      <w:r w:rsidR="00E476F2" w:rsidRPr="00587DE7">
        <w:rPr>
          <w:highlight w:val="lightGray"/>
        </w:rPr>
        <w:t xml:space="preserve"> The meeting should involve </w:t>
      </w:r>
      <w:r w:rsidR="00B21096" w:rsidRPr="00587DE7">
        <w:rPr>
          <w:highlight w:val="lightGray"/>
        </w:rPr>
        <w:t xml:space="preserve">all </w:t>
      </w:r>
      <w:r w:rsidR="00E476F2" w:rsidRPr="00587DE7">
        <w:rPr>
          <w:highlight w:val="lightGray"/>
        </w:rPr>
        <w:t xml:space="preserve">practitioners supporting the </w:t>
      </w:r>
      <w:r w:rsidR="003C6CB4" w:rsidRPr="00587DE7">
        <w:rPr>
          <w:highlight w:val="lightGray"/>
        </w:rPr>
        <w:t>young person,</w:t>
      </w:r>
      <w:r w:rsidR="00E476F2" w:rsidRPr="00587DE7">
        <w:rPr>
          <w:highlight w:val="lightGray"/>
        </w:rPr>
        <w:t xml:space="preserve"> and parents and carers.</w:t>
      </w:r>
      <w:r w:rsidR="005B778B" w:rsidRPr="00587DE7">
        <w:rPr>
          <w:highlight w:val="lightGray"/>
        </w:rPr>
        <w:t xml:space="preserve"> </w:t>
      </w:r>
    </w:p>
    <w:p w14:paraId="5DB1383C" w14:textId="03C7B5BD" w:rsidR="0057245F" w:rsidRPr="00587DE7" w:rsidRDefault="005F6721" w:rsidP="0057245F">
      <w:pPr>
        <w:pStyle w:val="NICEnormal"/>
        <w:rPr>
          <w:highlight w:val="lightGray"/>
        </w:rPr>
      </w:pPr>
      <w:r w:rsidRPr="00587DE7">
        <w:rPr>
          <w:b/>
          <w:highlight w:val="lightGray"/>
        </w:rPr>
        <w:t xml:space="preserve">Families </w:t>
      </w:r>
      <w:r w:rsidR="0057245F" w:rsidRPr="00587DE7">
        <w:rPr>
          <w:b/>
          <w:highlight w:val="lightGray"/>
        </w:rPr>
        <w:t>and carers of young people who will move from children’s</w:t>
      </w:r>
      <w:r w:rsidR="0057245F" w:rsidRPr="00587DE7">
        <w:rPr>
          <w:highlight w:val="lightGray"/>
        </w:rPr>
        <w:t xml:space="preserve"> </w:t>
      </w:r>
      <w:r w:rsidR="0057245F" w:rsidRPr="00587DE7">
        <w:rPr>
          <w:b/>
          <w:highlight w:val="lightGray"/>
        </w:rPr>
        <w:t>to adults’ services</w:t>
      </w:r>
      <w:r w:rsidR="0057245F" w:rsidRPr="00587DE7">
        <w:rPr>
          <w:highlight w:val="lightGray"/>
        </w:rPr>
        <w:t xml:space="preserve"> are involved in </w:t>
      </w:r>
      <w:r w:rsidR="00E476F2" w:rsidRPr="00587DE7">
        <w:rPr>
          <w:highlight w:val="lightGray"/>
        </w:rPr>
        <w:t xml:space="preserve">a </w:t>
      </w:r>
      <w:r w:rsidR="0057245F" w:rsidRPr="00587DE7">
        <w:rPr>
          <w:highlight w:val="lightGray"/>
        </w:rPr>
        <w:t xml:space="preserve">meeting </w:t>
      </w:r>
      <w:r w:rsidR="00E476F2" w:rsidRPr="00587DE7">
        <w:rPr>
          <w:highlight w:val="lightGray"/>
        </w:rPr>
        <w:t xml:space="preserve">each year </w:t>
      </w:r>
      <w:r w:rsidR="0057245F" w:rsidRPr="00587DE7">
        <w:rPr>
          <w:highlight w:val="lightGray"/>
        </w:rPr>
        <w:t>to review planning</w:t>
      </w:r>
      <w:r w:rsidR="003C6CB4" w:rsidRPr="00587DE7">
        <w:rPr>
          <w:highlight w:val="lightGray"/>
        </w:rPr>
        <w:t xml:space="preserve"> for the move</w:t>
      </w:r>
      <w:r w:rsidR="0057245F" w:rsidRPr="00587DE7">
        <w:rPr>
          <w:highlight w:val="lightGray"/>
        </w:rPr>
        <w:t>. The meeting ensure</w:t>
      </w:r>
      <w:r w:rsidR="003C6CB4" w:rsidRPr="00587DE7">
        <w:rPr>
          <w:highlight w:val="lightGray"/>
        </w:rPr>
        <w:t>s</w:t>
      </w:r>
      <w:r w:rsidR="0057245F" w:rsidRPr="00587DE7">
        <w:rPr>
          <w:highlight w:val="lightGray"/>
        </w:rPr>
        <w:t xml:space="preserve"> </w:t>
      </w:r>
      <w:r w:rsidR="003C6CB4" w:rsidRPr="00587DE7">
        <w:rPr>
          <w:highlight w:val="lightGray"/>
        </w:rPr>
        <w:t>that parents and carers</w:t>
      </w:r>
      <w:r w:rsidR="0057245F" w:rsidRPr="00587DE7">
        <w:rPr>
          <w:highlight w:val="lightGray"/>
        </w:rPr>
        <w:t xml:space="preserve"> feel involved </w:t>
      </w:r>
      <w:r w:rsidR="003C6CB4" w:rsidRPr="00587DE7">
        <w:rPr>
          <w:highlight w:val="lightGray"/>
        </w:rPr>
        <w:t xml:space="preserve">and know about future </w:t>
      </w:r>
      <w:r w:rsidR="0057245F" w:rsidRPr="00587DE7">
        <w:rPr>
          <w:highlight w:val="lightGray"/>
        </w:rPr>
        <w:t xml:space="preserve">changes </w:t>
      </w:r>
      <w:r w:rsidR="003C6CB4" w:rsidRPr="00587DE7">
        <w:rPr>
          <w:highlight w:val="lightGray"/>
        </w:rPr>
        <w:t>to</w:t>
      </w:r>
      <w:r w:rsidR="0057245F" w:rsidRPr="00587DE7">
        <w:rPr>
          <w:highlight w:val="lightGray"/>
        </w:rPr>
        <w:t xml:space="preserve"> service</w:t>
      </w:r>
      <w:r w:rsidR="003C6CB4" w:rsidRPr="00587DE7">
        <w:rPr>
          <w:highlight w:val="lightGray"/>
        </w:rPr>
        <w:t>s</w:t>
      </w:r>
      <w:r w:rsidR="0057245F" w:rsidRPr="00587DE7">
        <w:rPr>
          <w:highlight w:val="lightGray"/>
        </w:rPr>
        <w:t xml:space="preserve"> and care </w:t>
      </w:r>
      <w:r w:rsidR="003C6CB4" w:rsidRPr="00587DE7">
        <w:rPr>
          <w:highlight w:val="lightGray"/>
        </w:rPr>
        <w:t xml:space="preserve">that </w:t>
      </w:r>
      <w:r w:rsidR="0057245F" w:rsidRPr="00587DE7">
        <w:rPr>
          <w:highlight w:val="lightGray"/>
        </w:rPr>
        <w:t xml:space="preserve">the </w:t>
      </w:r>
      <w:r w:rsidR="003C6CB4" w:rsidRPr="00587DE7">
        <w:rPr>
          <w:highlight w:val="lightGray"/>
        </w:rPr>
        <w:t>young person</w:t>
      </w:r>
      <w:r w:rsidR="0057245F" w:rsidRPr="00587DE7">
        <w:rPr>
          <w:highlight w:val="lightGray"/>
        </w:rPr>
        <w:t xml:space="preserve"> will receive.</w:t>
      </w:r>
    </w:p>
    <w:p w14:paraId="72C74A02" w14:textId="77777777" w:rsidR="0057245F" w:rsidRPr="00587DE7" w:rsidRDefault="0057245F" w:rsidP="0057245F">
      <w:pPr>
        <w:pStyle w:val="Heading2"/>
        <w:rPr>
          <w:highlight w:val="lightGray"/>
        </w:rPr>
      </w:pPr>
      <w:r w:rsidRPr="00587DE7">
        <w:rPr>
          <w:highlight w:val="lightGray"/>
        </w:rPr>
        <w:lastRenderedPageBreak/>
        <w:t>Source guidance</w:t>
      </w:r>
    </w:p>
    <w:p w14:paraId="626F245D" w14:textId="0339D133" w:rsidR="0057245F" w:rsidRPr="00587DE7" w:rsidRDefault="003A2E89" w:rsidP="001979A9">
      <w:pPr>
        <w:pStyle w:val="NICEnormal"/>
        <w:rPr>
          <w:highlight w:val="lightGray"/>
        </w:rPr>
      </w:pPr>
      <w:hyperlink r:id="rId22" w:history="1">
        <w:r w:rsidR="0057245F" w:rsidRPr="00587DE7">
          <w:rPr>
            <w:rStyle w:val="Hyperlink"/>
            <w:highlight w:val="lightGray"/>
          </w:rPr>
          <w:t>Transition from children’s to adults’ services for young people using health or social care services</w:t>
        </w:r>
        <w:r w:rsidR="003A5F5F" w:rsidRPr="00587DE7">
          <w:rPr>
            <w:rStyle w:val="Hyperlink"/>
            <w:highlight w:val="lightGray"/>
          </w:rPr>
          <w:t>.</w:t>
        </w:r>
        <w:r w:rsidR="0057245F" w:rsidRPr="00587DE7">
          <w:rPr>
            <w:rStyle w:val="Hyperlink"/>
            <w:highlight w:val="lightGray"/>
          </w:rPr>
          <w:t xml:space="preserve"> NICE guide</w:t>
        </w:r>
        <w:r w:rsidR="001979A9" w:rsidRPr="00587DE7">
          <w:rPr>
            <w:rStyle w:val="Hyperlink"/>
            <w:highlight w:val="lightGray"/>
          </w:rPr>
          <w:t>line NG43</w:t>
        </w:r>
      </w:hyperlink>
      <w:r w:rsidR="003A5F5F" w:rsidRPr="00587DE7">
        <w:rPr>
          <w:highlight w:val="lightGray"/>
        </w:rPr>
        <w:t xml:space="preserve"> (2016)</w:t>
      </w:r>
      <w:r w:rsidR="001979A9" w:rsidRPr="00587DE7">
        <w:rPr>
          <w:highlight w:val="lightGray"/>
        </w:rPr>
        <w:t>, recommendation</w:t>
      </w:r>
      <w:r w:rsidR="003A5F5F" w:rsidRPr="00587DE7">
        <w:rPr>
          <w:highlight w:val="lightGray"/>
        </w:rPr>
        <w:t> </w:t>
      </w:r>
      <w:r w:rsidR="001979A9" w:rsidRPr="00587DE7">
        <w:rPr>
          <w:highlight w:val="lightGray"/>
        </w:rPr>
        <w:t>1.2.4</w:t>
      </w:r>
    </w:p>
    <w:p w14:paraId="5CD2E484" w14:textId="77777777" w:rsidR="0057245F" w:rsidRPr="00587DE7" w:rsidRDefault="0057245F" w:rsidP="0057245F">
      <w:pPr>
        <w:pStyle w:val="Heading2"/>
        <w:rPr>
          <w:highlight w:val="lightGray"/>
        </w:rPr>
      </w:pPr>
      <w:r w:rsidRPr="00587DE7">
        <w:rPr>
          <w:highlight w:val="lightGray"/>
        </w:rPr>
        <w:t>Definitions of terms used in this quality statement</w:t>
      </w:r>
    </w:p>
    <w:p w14:paraId="219588E7" w14:textId="77777777" w:rsidR="0057245F" w:rsidRPr="00587DE7" w:rsidRDefault="0057245F" w:rsidP="0057245F">
      <w:pPr>
        <w:pStyle w:val="Heading3"/>
        <w:rPr>
          <w:highlight w:val="lightGray"/>
        </w:rPr>
      </w:pPr>
      <w:r w:rsidRPr="00587DE7">
        <w:rPr>
          <w:highlight w:val="lightGray"/>
        </w:rPr>
        <w:t>Annual meeting</w:t>
      </w:r>
    </w:p>
    <w:p w14:paraId="00B1BD72" w14:textId="448D1F01" w:rsidR="0057245F" w:rsidRPr="00587DE7" w:rsidRDefault="0057245F" w:rsidP="0057245F">
      <w:pPr>
        <w:pStyle w:val="NICEnormal"/>
        <w:rPr>
          <w:highlight w:val="lightGray"/>
        </w:rPr>
      </w:pPr>
      <w:r w:rsidRPr="00587DE7">
        <w:rPr>
          <w:highlight w:val="lightGray"/>
        </w:rPr>
        <w:t xml:space="preserve">The annual meeting should involve the young person, their parents or carers and </w:t>
      </w:r>
      <w:r w:rsidR="00A21BF6" w:rsidRPr="00587DE7">
        <w:rPr>
          <w:highlight w:val="lightGray"/>
        </w:rPr>
        <w:t xml:space="preserve">input from </w:t>
      </w:r>
      <w:r w:rsidR="00B21096" w:rsidRPr="00587DE7">
        <w:rPr>
          <w:highlight w:val="lightGray"/>
        </w:rPr>
        <w:t>all</w:t>
      </w:r>
      <w:r w:rsidR="00A21BF6" w:rsidRPr="00587DE7">
        <w:rPr>
          <w:highlight w:val="lightGray"/>
        </w:rPr>
        <w:t xml:space="preserve"> </w:t>
      </w:r>
      <w:r w:rsidRPr="00587DE7">
        <w:rPr>
          <w:highlight w:val="lightGray"/>
        </w:rPr>
        <w:t>practitioners providing support.</w:t>
      </w:r>
    </w:p>
    <w:p w14:paraId="3DBD6261" w14:textId="77777777" w:rsidR="0057245F" w:rsidRPr="00587DE7" w:rsidRDefault="0057245F" w:rsidP="0057245F">
      <w:pPr>
        <w:pStyle w:val="NICEnormal"/>
        <w:rPr>
          <w:highlight w:val="lightGray"/>
        </w:rPr>
      </w:pPr>
      <w:r w:rsidRPr="00587DE7">
        <w:rPr>
          <w:highlight w:val="lightGray"/>
        </w:rPr>
        <w:t>The meeting can take place either in person or via teleconferencing or video.</w:t>
      </w:r>
    </w:p>
    <w:p w14:paraId="25740446" w14:textId="473633D5" w:rsidR="0057245F" w:rsidRPr="00587DE7" w:rsidRDefault="0057245F" w:rsidP="0057245F">
      <w:pPr>
        <w:pStyle w:val="NICEnormal"/>
        <w:rPr>
          <w:highlight w:val="lightGray"/>
        </w:rPr>
      </w:pPr>
      <w:r w:rsidRPr="00587DE7">
        <w:rPr>
          <w:highlight w:val="lightGray"/>
        </w:rPr>
        <w:t xml:space="preserve">The meeting should identify what is working well in the transition planning and what can be improved. </w:t>
      </w:r>
      <w:r w:rsidR="003C6CB4" w:rsidRPr="00587DE7">
        <w:rPr>
          <w:highlight w:val="lightGray"/>
        </w:rPr>
        <w:t>T</w:t>
      </w:r>
      <w:r w:rsidR="00A30716" w:rsidRPr="00587DE7">
        <w:rPr>
          <w:highlight w:val="lightGray"/>
        </w:rPr>
        <w:t xml:space="preserve">he young person </w:t>
      </w:r>
      <w:r w:rsidR="003C6CB4" w:rsidRPr="00587DE7">
        <w:rPr>
          <w:highlight w:val="lightGray"/>
        </w:rPr>
        <w:t xml:space="preserve">should be treated </w:t>
      </w:r>
      <w:r w:rsidR="00A30716" w:rsidRPr="00587DE7">
        <w:rPr>
          <w:highlight w:val="lightGray"/>
        </w:rPr>
        <w:t>as an equal partner and their views</w:t>
      </w:r>
      <w:r w:rsidR="003C6CB4" w:rsidRPr="00587DE7">
        <w:rPr>
          <w:highlight w:val="lightGray"/>
        </w:rPr>
        <w:t xml:space="preserve"> taken into account</w:t>
      </w:r>
      <w:r w:rsidR="00A30716" w:rsidRPr="00587DE7">
        <w:rPr>
          <w:highlight w:val="lightGray"/>
        </w:rPr>
        <w:t xml:space="preserve">. </w:t>
      </w:r>
      <w:r w:rsidR="000332DA" w:rsidRPr="00587DE7">
        <w:rPr>
          <w:highlight w:val="lightGray"/>
        </w:rPr>
        <w:t xml:space="preserve">They should be supported to make decisions and build their confidence to direct their own care and support over time. </w:t>
      </w:r>
      <w:r w:rsidR="00793178" w:rsidRPr="00587DE7">
        <w:rPr>
          <w:highlight w:val="lightGray"/>
        </w:rPr>
        <w:t>At the meeting there</w:t>
      </w:r>
      <w:r w:rsidRPr="00587DE7">
        <w:rPr>
          <w:highlight w:val="lightGray"/>
        </w:rPr>
        <w:t xml:space="preserve"> should </w:t>
      </w:r>
      <w:r w:rsidR="00793178" w:rsidRPr="00587DE7">
        <w:rPr>
          <w:highlight w:val="lightGray"/>
        </w:rPr>
        <w:t xml:space="preserve">be a </w:t>
      </w:r>
      <w:r w:rsidRPr="00587DE7">
        <w:rPr>
          <w:highlight w:val="lightGray"/>
        </w:rPr>
        <w:t xml:space="preserve">review </w:t>
      </w:r>
      <w:r w:rsidR="00793178" w:rsidRPr="00587DE7">
        <w:rPr>
          <w:highlight w:val="lightGray"/>
        </w:rPr>
        <w:t xml:space="preserve">of </w:t>
      </w:r>
      <w:r w:rsidRPr="00587DE7">
        <w:rPr>
          <w:highlight w:val="lightGray"/>
        </w:rPr>
        <w:t>the young person’s current:</w:t>
      </w:r>
    </w:p>
    <w:p w14:paraId="6ED4B8FC" w14:textId="77777777" w:rsidR="0057245F" w:rsidRPr="00587DE7" w:rsidRDefault="0057245F" w:rsidP="001C6759">
      <w:pPr>
        <w:pStyle w:val="Bulletleft1"/>
        <w:numPr>
          <w:ilvl w:val="0"/>
          <w:numId w:val="3"/>
        </w:numPr>
        <w:rPr>
          <w:highlight w:val="lightGray"/>
        </w:rPr>
      </w:pPr>
      <w:r w:rsidRPr="00587DE7">
        <w:rPr>
          <w:highlight w:val="lightGray"/>
        </w:rPr>
        <w:t>clinical needs</w:t>
      </w:r>
    </w:p>
    <w:p w14:paraId="71C9874B" w14:textId="77777777" w:rsidR="0057245F" w:rsidRPr="00587DE7" w:rsidRDefault="0057245F" w:rsidP="001C6759">
      <w:pPr>
        <w:pStyle w:val="Bulletleft1"/>
        <w:numPr>
          <w:ilvl w:val="0"/>
          <w:numId w:val="3"/>
        </w:numPr>
        <w:rPr>
          <w:highlight w:val="lightGray"/>
        </w:rPr>
      </w:pPr>
      <w:r w:rsidRPr="00587DE7">
        <w:rPr>
          <w:highlight w:val="lightGray"/>
        </w:rPr>
        <w:t>psychological status</w:t>
      </w:r>
    </w:p>
    <w:p w14:paraId="5B5829E0" w14:textId="49B1BEEF" w:rsidR="0057245F" w:rsidRPr="00587DE7" w:rsidRDefault="0057245F" w:rsidP="001C6759">
      <w:pPr>
        <w:pStyle w:val="Bulletleft1"/>
        <w:numPr>
          <w:ilvl w:val="0"/>
          <w:numId w:val="3"/>
        </w:numPr>
        <w:rPr>
          <w:highlight w:val="lightGray"/>
        </w:rPr>
      </w:pPr>
      <w:r w:rsidRPr="00587DE7">
        <w:rPr>
          <w:highlight w:val="lightGray"/>
        </w:rPr>
        <w:t>social and personal circumstances</w:t>
      </w:r>
    </w:p>
    <w:p w14:paraId="604B6A4A" w14:textId="42F6A9B2" w:rsidR="0057245F" w:rsidRPr="00587DE7" w:rsidRDefault="0057245F" w:rsidP="001C6759">
      <w:pPr>
        <w:pStyle w:val="Bulletleft1"/>
        <w:numPr>
          <w:ilvl w:val="0"/>
          <w:numId w:val="3"/>
        </w:numPr>
        <w:rPr>
          <w:highlight w:val="lightGray"/>
        </w:rPr>
      </w:pPr>
      <w:r w:rsidRPr="00587DE7">
        <w:rPr>
          <w:highlight w:val="lightGray"/>
        </w:rPr>
        <w:t>caring responsibilities</w:t>
      </w:r>
    </w:p>
    <w:p w14:paraId="483972A6" w14:textId="77777777" w:rsidR="0057245F" w:rsidRPr="00587DE7" w:rsidRDefault="0057245F" w:rsidP="001C6759">
      <w:pPr>
        <w:pStyle w:val="Bulletleft1"/>
        <w:numPr>
          <w:ilvl w:val="0"/>
          <w:numId w:val="3"/>
        </w:numPr>
        <w:rPr>
          <w:highlight w:val="lightGray"/>
        </w:rPr>
      </w:pPr>
      <w:r w:rsidRPr="00587DE7">
        <w:rPr>
          <w:highlight w:val="lightGray"/>
        </w:rPr>
        <w:t>educational and vocational needs</w:t>
      </w:r>
    </w:p>
    <w:p w14:paraId="5EF01502" w14:textId="77777777" w:rsidR="0057245F" w:rsidRPr="00587DE7" w:rsidRDefault="0057245F" w:rsidP="001C6759">
      <w:pPr>
        <w:pStyle w:val="Bulletleft1"/>
        <w:numPr>
          <w:ilvl w:val="0"/>
          <w:numId w:val="3"/>
        </w:numPr>
        <w:rPr>
          <w:highlight w:val="lightGray"/>
        </w:rPr>
      </w:pPr>
      <w:r w:rsidRPr="00587DE7">
        <w:rPr>
          <w:highlight w:val="lightGray"/>
        </w:rPr>
        <w:t>cognitive abilities, and</w:t>
      </w:r>
    </w:p>
    <w:p w14:paraId="5EA4F57E" w14:textId="77777777" w:rsidR="005A2C30" w:rsidRPr="00587DE7" w:rsidRDefault="001979A9" w:rsidP="001979A9">
      <w:pPr>
        <w:pStyle w:val="Bulletleft1last"/>
        <w:rPr>
          <w:highlight w:val="lightGray"/>
        </w:rPr>
      </w:pPr>
      <w:r w:rsidRPr="00587DE7">
        <w:rPr>
          <w:highlight w:val="lightGray"/>
        </w:rPr>
        <w:t>communication needs.</w:t>
      </w:r>
    </w:p>
    <w:p w14:paraId="581BB102" w14:textId="02E89CF1" w:rsidR="0057245F" w:rsidRPr="00587DE7" w:rsidRDefault="0057245F" w:rsidP="005A2C30">
      <w:pPr>
        <w:pStyle w:val="NICEnormal"/>
        <w:rPr>
          <w:highlight w:val="lightGray"/>
        </w:rPr>
      </w:pPr>
      <w:r w:rsidRPr="00587DE7">
        <w:rPr>
          <w:highlight w:val="lightGray"/>
        </w:rPr>
        <w:t>[</w:t>
      </w:r>
      <w:hyperlink r:id="rId23" w:history="1">
        <w:r w:rsidR="00270CB3" w:rsidRPr="00587DE7">
          <w:rPr>
            <w:rStyle w:val="Hyperlink"/>
            <w:highlight w:val="lightGray"/>
          </w:rPr>
          <w:t>NICE’s guideline on transition from children’s to adults’ services for young people using health or social care services</w:t>
        </w:r>
      </w:hyperlink>
      <w:r w:rsidR="003A5F5F" w:rsidRPr="00587DE7">
        <w:rPr>
          <w:highlight w:val="lightGray"/>
        </w:rPr>
        <w:t xml:space="preserve">, </w:t>
      </w:r>
      <w:r w:rsidRPr="00587DE7">
        <w:rPr>
          <w:highlight w:val="lightGray"/>
        </w:rPr>
        <w:t>recommendations</w:t>
      </w:r>
      <w:r w:rsidR="003A5F5F" w:rsidRPr="00587DE7">
        <w:rPr>
          <w:highlight w:val="lightGray"/>
        </w:rPr>
        <w:t> </w:t>
      </w:r>
      <w:r w:rsidRPr="00587DE7">
        <w:rPr>
          <w:highlight w:val="lightGray"/>
        </w:rPr>
        <w:t xml:space="preserve">1.1.2, </w:t>
      </w:r>
      <w:r w:rsidR="00A30716" w:rsidRPr="00587DE7">
        <w:rPr>
          <w:highlight w:val="lightGray"/>
        </w:rPr>
        <w:t xml:space="preserve">1.1.4, </w:t>
      </w:r>
      <w:r w:rsidRPr="00587DE7">
        <w:rPr>
          <w:highlight w:val="lightGray"/>
        </w:rPr>
        <w:t>1.2.4 and expert opinion]</w:t>
      </w:r>
    </w:p>
    <w:p w14:paraId="5AF9CB5C" w14:textId="77777777" w:rsidR="00D0018D" w:rsidRPr="00587DE7" w:rsidRDefault="00D0018D" w:rsidP="00D0018D">
      <w:pPr>
        <w:pStyle w:val="Heading2"/>
        <w:rPr>
          <w:highlight w:val="lightGray"/>
        </w:rPr>
      </w:pPr>
      <w:bookmarkStart w:id="12" w:name="qs3_namedworker"/>
      <w:bookmarkEnd w:id="12"/>
      <w:r w:rsidRPr="00587DE7">
        <w:rPr>
          <w:highlight w:val="lightGray"/>
        </w:rPr>
        <w:t>Equality and diversity considerations</w:t>
      </w:r>
    </w:p>
    <w:p w14:paraId="53CC247C" w14:textId="209B3589" w:rsidR="005F3083" w:rsidRPr="00587DE7" w:rsidRDefault="005F3083" w:rsidP="005F3083">
      <w:pPr>
        <w:pStyle w:val="NICEnormal"/>
        <w:rPr>
          <w:highlight w:val="lightGray"/>
        </w:rPr>
      </w:pPr>
      <w:r w:rsidRPr="00587DE7">
        <w:rPr>
          <w:highlight w:val="lightGray"/>
        </w:rPr>
        <w:t xml:space="preserve">Service managers should ensure a range of </w:t>
      </w:r>
      <w:r w:rsidR="00E31494" w:rsidRPr="00587DE7">
        <w:rPr>
          <w:highlight w:val="lightGray"/>
        </w:rPr>
        <w:t xml:space="preserve">support </w:t>
      </w:r>
      <w:r w:rsidRPr="00587DE7">
        <w:rPr>
          <w:highlight w:val="lightGray"/>
        </w:rPr>
        <w:t>is available, and used, to help young people communicate effectively at the annual meeting. This could include</w:t>
      </w:r>
      <w:r w:rsidR="004C5815" w:rsidRPr="00587DE7">
        <w:rPr>
          <w:highlight w:val="lightGray"/>
        </w:rPr>
        <w:t xml:space="preserve"> </w:t>
      </w:r>
      <w:r w:rsidRPr="00587DE7">
        <w:rPr>
          <w:highlight w:val="lightGray"/>
        </w:rPr>
        <w:t xml:space="preserve">having a written record of how a young person communicates, </w:t>
      </w:r>
      <w:r w:rsidR="008B01A8" w:rsidRPr="00587DE7">
        <w:rPr>
          <w:highlight w:val="lightGray"/>
        </w:rPr>
        <w:t>such as a communication passport or 1-page profile</w:t>
      </w:r>
      <w:r w:rsidR="004C5815" w:rsidRPr="00587DE7">
        <w:rPr>
          <w:highlight w:val="lightGray"/>
        </w:rPr>
        <w:t>, and</w:t>
      </w:r>
      <w:r w:rsidR="008B01A8" w:rsidRPr="00587DE7">
        <w:rPr>
          <w:highlight w:val="lightGray"/>
        </w:rPr>
        <w:t xml:space="preserve"> different ways to </w:t>
      </w:r>
      <w:r w:rsidRPr="00587DE7">
        <w:rPr>
          <w:highlight w:val="lightGray"/>
        </w:rPr>
        <w:t xml:space="preserve">help the young </w:t>
      </w:r>
      <w:r w:rsidRPr="00587DE7">
        <w:rPr>
          <w:highlight w:val="lightGray"/>
        </w:rPr>
        <w:lastRenderedPageBreak/>
        <w:t>person communicate</w:t>
      </w:r>
      <w:r w:rsidR="00AE5DD2" w:rsidRPr="00587DE7">
        <w:rPr>
          <w:highlight w:val="lightGray"/>
        </w:rPr>
        <w:t>,</w:t>
      </w:r>
      <w:r w:rsidR="008B01A8" w:rsidRPr="00587DE7">
        <w:rPr>
          <w:highlight w:val="lightGray"/>
        </w:rPr>
        <w:t xml:space="preserve"> such as </w:t>
      </w:r>
      <w:r w:rsidRPr="00587DE7">
        <w:rPr>
          <w:highlight w:val="lightGray"/>
        </w:rPr>
        <w:t>communication boards and digital communication tools.</w:t>
      </w:r>
      <w:r w:rsidR="008B01A8" w:rsidRPr="00587DE7">
        <w:rPr>
          <w:highlight w:val="lightGray"/>
        </w:rPr>
        <w:t xml:space="preserve"> [</w:t>
      </w:r>
      <w:hyperlink r:id="rId24" w:history="1">
        <w:r w:rsidR="008B01A8" w:rsidRPr="00587DE7">
          <w:rPr>
            <w:rStyle w:val="Hyperlink"/>
            <w:highlight w:val="lightGray"/>
          </w:rPr>
          <w:t>NICE’s guideline on transition from children’s to adults’ services for young people using health or social care services</w:t>
        </w:r>
      </w:hyperlink>
      <w:r w:rsidR="008B01A8" w:rsidRPr="00587DE7">
        <w:rPr>
          <w:highlight w:val="lightGray"/>
        </w:rPr>
        <w:t>, recommendation 1.2.12]</w:t>
      </w:r>
    </w:p>
    <w:p w14:paraId="39628F5D" w14:textId="397AFC40" w:rsidR="0057245F" w:rsidRDefault="003C3351" w:rsidP="00505F82">
      <w:pPr>
        <w:pStyle w:val="NICEnormal"/>
        <w:rPr>
          <w:rFonts w:cs="Arial"/>
          <w:b/>
          <w:bCs/>
          <w:kern w:val="32"/>
          <w:sz w:val="32"/>
          <w:szCs w:val="32"/>
        </w:rPr>
      </w:pPr>
      <w:r w:rsidRPr="00587DE7">
        <w:rPr>
          <w:highlight w:val="lightGray"/>
        </w:rPr>
        <w:t>Service providers should consider the best way to ensure that young people</w:t>
      </w:r>
      <w:r w:rsidR="003C764B" w:rsidRPr="00587DE7">
        <w:rPr>
          <w:highlight w:val="lightGray"/>
        </w:rPr>
        <w:t>,</w:t>
      </w:r>
      <w:r w:rsidRPr="00587DE7">
        <w:rPr>
          <w:highlight w:val="lightGray"/>
        </w:rPr>
        <w:t xml:space="preserve"> </w:t>
      </w:r>
      <w:r w:rsidR="003C764B" w:rsidRPr="00587DE7">
        <w:rPr>
          <w:highlight w:val="lightGray"/>
        </w:rPr>
        <w:t xml:space="preserve">especially </w:t>
      </w:r>
      <w:r w:rsidRPr="00587DE7">
        <w:rPr>
          <w:highlight w:val="lightGray"/>
        </w:rPr>
        <w:t xml:space="preserve">those with complex needs, do not have to re-tell their story at each transition meeting. This could include making sure the </w:t>
      </w:r>
      <w:r w:rsidR="0028524C" w:rsidRPr="00587DE7">
        <w:rPr>
          <w:highlight w:val="lightGray"/>
        </w:rPr>
        <w:t xml:space="preserve">same </w:t>
      </w:r>
      <w:r w:rsidRPr="00587DE7">
        <w:rPr>
          <w:highlight w:val="lightGray"/>
        </w:rPr>
        <w:t xml:space="preserve">practitioners </w:t>
      </w:r>
      <w:r w:rsidR="0028524C" w:rsidRPr="00587DE7">
        <w:rPr>
          <w:highlight w:val="lightGray"/>
        </w:rPr>
        <w:t>attend each</w:t>
      </w:r>
      <w:r w:rsidRPr="00587DE7">
        <w:rPr>
          <w:highlight w:val="lightGray"/>
        </w:rPr>
        <w:t xml:space="preserve"> meeting</w:t>
      </w:r>
      <w:r w:rsidR="005B778B" w:rsidRPr="00587DE7">
        <w:rPr>
          <w:highlight w:val="lightGray"/>
        </w:rPr>
        <w:t xml:space="preserve"> and</w:t>
      </w:r>
      <w:r w:rsidR="008B01A8" w:rsidRPr="00587DE7">
        <w:rPr>
          <w:highlight w:val="lightGray"/>
        </w:rPr>
        <w:t>/or</w:t>
      </w:r>
      <w:r w:rsidR="005B778B" w:rsidRPr="00587DE7">
        <w:rPr>
          <w:highlight w:val="lightGray"/>
        </w:rPr>
        <w:t xml:space="preserve"> </w:t>
      </w:r>
      <w:r w:rsidRPr="00587DE7">
        <w:rPr>
          <w:highlight w:val="lightGray"/>
        </w:rPr>
        <w:t xml:space="preserve">developing </w:t>
      </w:r>
      <w:r w:rsidR="005B778B" w:rsidRPr="00587DE7">
        <w:rPr>
          <w:highlight w:val="lightGray"/>
        </w:rPr>
        <w:t xml:space="preserve">and sharing </w:t>
      </w:r>
      <w:r w:rsidRPr="00587DE7">
        <w:rPr>
          <w:highlight w:val="lightGray"/>
        </w:rPr>
        <w:t>a personal folder</w:t>
      </w:r>
      <w:r w:rsidR="005B778B" w:rsidRPr="00587DE7">
        <w:rPr>
          <w:highlight w:val="lightGray"/>
        </w:rPr>
        <w:t xml:space="preserve"> </w:t>
      </w:r>
      <w:r w:rsidR="003C764B" w:rsidRPr="00587DE7">
        <w:rPr>
          <w:highlight w:val="lightGray"/>
        </w:rPr>
        <w:t>that includes</w:t>
      </w:r>
      <w:r w:rsidR="005B778B" w:rsidRPr="00587DE7">
        <w:rPr>
          <w:highlight w:val="lightGray"/>
        </w:rPr>
        <w:t xml:space="preserve"> key information</w:t>
      </w:r>
      <w:r w:rsidR="0028524C" w:rsidRPr="00587DE7">
        <w:rPr>
          <w:highlight w:val="lightGray"/>
        </w:rPr>
        <w:t xml:space="preserve"> about the young person</w:t>
      </w:r>
      <w:r w:rsidR="005B778B" w:rsidRPr="00587DE7">
        <w:rPr>
          <w:highlight w:val="lightGray"/>
        </w:rPr>
        <w:t>.</w:t>
      </w:r>
      <w:r w:rsidR="00B86112" w:rsidRPr="00587DE7">
        <w:rPr>
          <w:highlight w:val="lightGray"/>
        </w:rPr>
        <w:t xml:space="preserve"> [</w:t>
      </w:r>
      <w:hyperlink r:id="rId25" w:history="1">
        <w:r w:rsidR="00B86112" w:rsidRPr="00587DE7">
          <w:rPr>
            <w:rStyle w:val="Hyperlink"/>
            <w:highlight w:val="lightGray"/>
          </w:rPr>
          <w:t>NICE’s guideline on transition from children’s to adults’ services for young people using health or social care services</w:t>
        </w:r>
      </w:hyperlink>
      <w:r w:rsidR="00B86112" w:rsidRPr="00587DE7">
        <w:rPr>
          <w:highlight w:val="lightGray"/>
        </w:rPr>
        <w:t>, recommendation 1.3.3]</w:t>
      </w:r>
      <w:r w:rsidR="0057245F">
        <w:br w:type="page"/>
      </w:r>
    </w:p>
    <w:p w14:paraId="1522C35F" w14:textId="5F37F016" w:rsidR="0057245F" w:rsidRPr="00587DE7" w:rsidRDefault="0057245F" w:rsidP="0057245F">
      <w:pPr>
        <w:pStyle w:val="Heading1"/>
        <w:rPr>
          <w:highlight w:val="lightGray"/>
        </w:rPr>
      </w:pPr>
      <w:bookmarkStart w:id="13" w:name="qs5_adultserv"/>
      <w:bookmarkStart w:id="14" w:name="_Quality_statement_3:"/>
      <w:bookmarkStart w:id="15" w:name="_Quality_statement_34:"/>
      <w:bookmarkEnd w:id="13"/>
      <w:bookmarkEnd w:id="14"/>
      <w:bookmarkEnd w:id="15"/>
      <w:r w:rsidRPr="00587DE7">
        <w:rPr>
          <w:highlight w:val="lightGray"/>
        </w:rPr>
        <w:lastRenderedPageBreak/>
        <w:t xml:space="preserve">Quality statement </w:t>
      </w:r>
      <w:r w:rsidR="00236760" w:rsidRPr="00587DE7">
        <w:rPr>
          <w:highlight w:val="lightGray"/>
        </w:rPr>
        <w:t>4</w:t>
      </w:r>
      <w:r w:rsidRPr="00587DE7">
        <w:rPr>
          <w:highlight w:val="lightGray"/>
        </w:rPr>
        <w:t>: Named worker</w:t>
      </w:r>
    </w:p>
    <w:p w14:paraId="71ADCC28" w14:textId="77777777" w:rsidR="0057245F" w:rsidRPr="00587DE7" w:rsidRDefault="0057245F" w:rsidP="0057245F">
      <w:pPr>
        <w:pStyle w:val="Heading2"/>
        <w:rPr>
          <w:highlight w:val="lightGray"/>
        </w:rPr>
      </w:pPr>
      <w:r w:rsidRPr="00587DE7">
        <w:rPr>
          <w:highlight w:val="lightGray"/>
        </w:rPr>
        <w:t>Quality statement</w:t>
      </w:r>
    </w:p>
    <w:p w14:paraId="337E00A9" w14:textId="0E978009" w:rsidR="0057245F" w:rsidRPr="00587DE7" w:rsidRDefault="0057245F" w:rsidP="0057245F">
      <w:pPr>
        <w:pStyle w:val="NICEnormal"/>
        <w:rPr>
          <w:highlight w:val="lightGray"/>
        </w:rPr>
      </w:pPr>
      <w:r w:rsidRPr="00587DE7">
        <w:rPr>
          <w:highlight w:val="lightGray"/>
        </w:rPr>
        <w:t>Young people who are moving from children’s to adults’ services have a named worker to coordinate care and support before</w:t>
      </w:r>
      <w:r w:rsidR="00CB2E30" w:rsidRPr="00587DE7">
        <w:rPr>
          <w:highlight w:val="lightGray"/>
        </w:rPr>
        <w:t>, during</w:t>
      </w:r>
      <w:r w:rsidRPr="00587DE7">
        <w:rPr>
          <w:highlight w:val="lightGray"/>
        </w:rPr>
        <w:t xml:space="preserve"> and after transfer.</w:t>
      </w:r>
      <w:r w:rsidR="000B5B29" w:rsidRPr="00587DE7">
        <w:rPr>
          <w:highlight w:val="lightGray"/>
        </w:rPr>
        <w:t xml:space="preserve"> </w:t>
      </w:r>
      <w:r w:rsidR="000B5B29" w:rsidRPr="00587DE7">
        <w:rPr>
          <w:b/>
          <w:bCs/>
          <w:highlight w:val="lightGray"/>
        </w:rPr>
        <w:t>[2016]</w:t>
      </w:r>
    </w:p>
    <w:p w14:paraId="03EC1D0E" w14:textId="1B344C85" w:rsidR="0057245F" w:rsidRPr="00587DE7" w:rsidRDefault="0057245F" w:rsidP="0057245F">
      <w:pPr>
        <w:pStyle w:val="Heading2"/>
        <w:rPr>
          <w:highlight w:val="lightGray"/>
        </w:rPr>
      </w:pPr>
      <w:r w:rsidRPr="00587DE7">
        <w:rPr>
          <w:highlight w:val="lightGray"/>
        </w:rPr>
        <w:t>Rationale</w:t>
      </w:r>
    </w:p>
    <w:p w14:paraId="14234468" w14:textId="14611412" w:rsidR="0057245F" w:rsidRPr="00587DE7" w:rsidRDefault="0057245F" w:rsidP="0057245F">
      <w:pPr>
        <w:pStyle w:val="NICEnormal"/>
        <w:rPr>
          <w:highlight w:val="lightGray"/>
        </w:rPr>
      </w:pPr>
      <w:r w:rsidRPr="00587DE7">
        <w:rPr>
          <w:highlight w:val="lightGray"/>
        </w:rPr>
        <w:t xml:space="preserve">Transition can be a difficult time for young people and their families, </w:t>
      </w:r>
      <w:r w:rsidR="006320DB" w:rsidRPr="00587DE7">
        <w:rPr>
          <w:highlight w:val="lightGray"/>
        </w:rPr>
        <w:t>bec</w:t>
      </w:r>
      <w:r w:rsidRPr="00587DE7">
        <w:rPr>
          <w:highlight w:val="lightGray"/>
        </w:rPr>
        <w:t>a</w:t>
      </w:r>
      <w:r w:rsidR="006320DB" w:rsidRPr="00587DE7">
        <w:rPr>
          <w:highlight w:val="lightGray"/>
        </w:rPr>
        <w:t>u</w:t>
      </w:r>
      <w:r w:rsidRPr="00587DE7">
        <w:rPr>
          <w:highlight w:val="lightGray"/>
        </w:rPr>
        <w:t>s</w:t>
      </w:r>
      <w:r w:rsidR="006320DB" w:rsidRPr="00587DE7">
        <w:rPr>
          <w:highlight w:val="lightGray"/>
        </w:rPr>
        <w:t>e</w:t>
      </w:r>
      <w:r w:rsidRPr="00587DE7">
        <w:rPr>
          <w:highlight w:val="lightGray"/>
        </w:rPr>
        <w:t xml:space="preserve"> it is a lengthy process and involves various professionals and </w:t>
      </w:r>
      <w:r w:rsidR="009A123B" w:rsidRPr="00587DE7">
        <w:rPr>
          <w:highlight w:val="lightGray"/>
        </w:rPr>
        <w:t xml:space="preserve">sometimes, </w:t>
      </w:r>
      <w:r w:rsidR="00BD0888" w:rsidRPr="00587DE7">
        <w:rPr>
          <w:highlight w:val="lightGray"/>
        </w:rPr>
        <w:t>several</w:t>
      </w:r>
      <w:r w:rsidR="009A123B" w:rsidRPr="00587DE7">
        <w:rPr>
          <w:highlight w:val="lightGray"/>
        </w:rPr>
        <w:t xml:space="preserve"> </w:t>
      </w:r>
      <w:r w:rsidRPr="00587DE7">
        <w:rPr>
          <w:highlight w:val="lightGray"/>
        </w:rPr>
        <w:t>services</w:t>
      </w:r>
      <w:r w:rsidR="00F80DCD" w:rsidRPr="00587DE7">
        <w:rPr>
          <w:highlight w:val="lightGray"/>
        </w:rPr>
        <w:t xml:space="preserve"> with different timescales</w:t>
      </w:r>
      <w:r w:rsidRPr="00587DE7">
        <w:rPr>
          <w:highlight w:val="lightGray"/>
        </w:rPr>
        <w:t xml:space="preserve">. A single point of contact – preferably a person that the young person knows and trusts – can coordinate care and signpost to appropriate support. This can </w:t>
      </w:r>
      <w:r w:rsidR="001F04AB" w:rsidRPr="00587DE7">
        <w:rPr>
          <w:highlight w:val="lightGray"/>
        </w:rPr>
        <w:t>increase</w:t>
      </w:r>
      <w:r w:rsidRPr="00587DE7">
        <w:rPr>
          <w:highlight w:val="lightGray"/>
        </w:rPr>
        <w:t xml:space="preserve"> attendance in adult services and </w:t>
      </w:r>
      <w:r w:rsidR="001F04AB" w:rsidRPr="00587DE7">
        <w:rPr>
          <w:highlight w:val="lightGray"/>
        </w:rPr>
        <w:t xml:space="preserve">lead to </w:t>
      </w:r>
      <w:r w:rsidRPr="00587DE7">
        <w:rPr>
          <w:highlight w:val="lightGray"/>
        </w:rPr>
        <w:t>a better experience of care</w:t>
      </w:r>
      <w:r w:rsidR="00230E8A" w:rsidRPr="00587DE7">
        <w:rPr>
          <w:highlight w:val="lightGray"/>
        </w:rPr>
        <w:t xml:space="preserve"> and better outcomes</w:t>
      </w:r>
      <w:r w:rsidRPr="00587DE7">
        <w:rPr>
          <w:highlight w:val="lightGray"/>
        </w:rPr>
        <w:t>.</w:t>
      </w:r>
    </w:p>
    <w:p w14:paraId="2804049A" w14:textId="77777777" w:rsidR="0057245F" w:rsidRPr="00587DE7" w:rsidRDefault="0057245F" w:rsidP="0057245F">
      <w:pPr>
        <w:pStyle w:val="Heading2"/>
        <w:rPr>
          <w:highlight w:val="lightGray"/>
        </w:rPr>
      </w:pPr>
      <w:r w:rsidRPr="00587DE7">
        <w:rPr>
          <w:highlight w:val="lightGray"/>
        </w:rPr>
        <w:t>Quality measures</w:t>
      </w:r>
    </w:p>
    <w:p w14:paraId="16D047CF" w14:textId="33344778" w:rsidR="00C11C89" w:rsidRPr="00587DE7" w:rsidRDefault="00C11C89" w:rsidP="00B86112">
      <w:pPr>
        <w:pStyle w:val="NICEnormal"/>
        <w:rPr>
          <w:highlight w:val="lightGray"/>
        </w:rPr>
      </w:pPr>
      <w:r w:rsidRPr="00587DE7">
        <w:rPr>
          <w:highlight w:val="lightGray"/>
        </w:rPr>
        <w:t>The following measures can be used to assess the quality of care or service provision specified in the statement. They are examples of how the statement can be measured, and can be adapted and used flexibly.</w:t>
      </w:r>
    </w:p>
    <w:p w14:paraId="694E11BD" w14:textId="77777777" w:rsidR="0057245F" w:rsidRPr="00587DE7" w:rsidRDefault="0057245F" w:rsidP="0057245F">
      <w:pPr>
        <w:pStyle w:val="Heading3"/>
        <w:rPr>
          <w:highlight w:val="lightGray"/>
        </w:rPr>
      </w:pPr>
      <w:r w:rsidRPr="00587DE7">
        <w:rPr>
          <w:highlight w:val="lightGray"/>
        </w:rPr>
        <w:t>Process</w:t>
      </w:r>
    </w:p>
    <w:p w14:paraId="730B7FEF" w14:textId="7CBCF790" w:rsidR="0057245F" w:rsidRPr="00587DE7" w:rsidRDefault="0057245F" w:rsidP="0057245F">
      <w:pPr>
        <w:pStyle w:val="NICEnormal"/>
        <w:rPr>
          <w:bCs/>
          <w:highlight w:val="lightGray"/>
        </w:rPr>
      </w:pPr>
      <w:r w:rsidRPr="00587DE7">
        <w:rPr>
          <w:highlight w:val="lightGray"/>
        </w:rPr>
        <w:t xml:space="preserve">Proportion of </w:t>
      </w:r>
      <w:r w:rsidRPr="00587DE7">
        <w:rPr>
          <w:bCs/>
          <w:highlight w:val="lightGray"/>
        </w:rPr>
        <w:t xml:space="preserve">young people </w:t>
      </w:r>
      <w:r w:rsidRPr="00587DE7">
        <w:rPr>
          <w:highlight w:val="lightGray"/>
        </w:rPr>
        <w:t xml:space="preserve">who are moving from children’s to </w:t>
      </w:r>
      <w:r w:rsidRPr="00587DE7">
        <w:rPr>
          <w:bCs/>
          <w:highlight w:val="lightGray"/>
        </w:rPr>
        <w:t xml:space="preserve">adults’ services who have a </w:t>
      </w:r>
      <w:r w:rsidRPr="00587DE7">
        <w:rPr>
          <w:highlight w:val="lightGray"/>
        </w:rPr>
        <w:t>named worker to coordinate care and support before</w:t>
      </w:r>
      <w:r w:rsidR="006279A1" w:rsidRPr="00587DE7">
        <w:rPr>
          <w:highlight w:val="lightGray"/>
        </w:rPr>
        <w:t>, during</w:t>
      </w:r>
      <w:r w:rsidRPr="00587DE7">
        <w:rPr>
          <w:highlight w:val="lightGray"/>
        </w:rPr>
        <w:t xml:space="preserve"> and after transfer.</w:t>
      </w:r>
    </w:p>
    <w:p w14:paraId="1B37F2D5" w14:textId="78724C5D" w:rsidR="0057245F" w:rsidRPr="00587DE7" w:rsidRDefault="0057245F" w:rsidP="0057245F">
      <w:pPr>
        <w:pStyle w:val="NICEnormal"/>
        <w:rPr>
          <w:highlight w:val="lightGray"/>
        </w:rPr>
      </w:pPr>
      <w:r w:rsidRPr="00587DE7">
        <w:rPr>
          <w:highlight w:val="lightGray"/>
        </w:rPr>
        <w:t xml:space="preserve">Numerator – the number in the denominator who </w:t>
      </w:r>
      <w:r w:rsidRPr="00587DE7">
        <w:rPr>
          <w:bCs/>
          <w:highlight w:val="lightGray"/>
        </w:rPr>
        <w:t xml:space="preserve">have a </w:t>
      </w:r>
      <w:r w:rsidRPr="00587DE7">
        <w:rPr>
          <w:highlight w:val="lightGray"/>
        </w:rPr>
        <w:t>named worker to coordinate care and support before</w:t>
      </w:r>
      <w:r w:rsidR="006279A1" w:rsidRPr="00587DE7">
        <w:rPr>
          <w:highlight w:val="lightGray"/>
        </w:rPr>
        <w:t>, during</w:t>
      </w:r>
      <w:r w:rsidRPr="00587DE7">
        <w:rPr>
          <w:highlight w:val="lightGray"/>
        </w:rPr>
        <w:t xml:space="preserve"> and after transfer</w:t>
      </w:r>
      <w:r w:rsidRPr="00587DE7">
        <w:rPr>
          <w:bCs/>
          <w:highlight w:val="lightGray"/>
        </w:rPr>
        <w:t>.</w:t>
      </w:r>
    </w:p>
    <w:p w14:paraId="4C6B845C" w14:textId="77777777" w:rsidR="0057245F" w:rsidRPr="00587DE7" w:rsidRDefault="0057245F" w:rsidP="0057245F">
      <w:pPr>
        <w:pStyle w:val="NICEnormal"/>
        <w:rPr>
          <w:highlight w:val="lightGray"/>
        </w:rPr>
      </w:pPr>
      <w:r w:rsidRPr="00587DE7">
        <w:rPr>
          <w:highlight w:val="lightGray"/>
        </w:rPr>
        <w:t xml:space="preserve">Denominator – the number of young people who are moving from children’s to </w:t>
      </w:r>
      <w:r w:rsidRPr="00587DE7">
        <w:rPr>
          <w:bCs/>
          <w:highlight w:val="lightGray"/>
        </w:rPr>
        <w:t>adults’ services.</w:t>
      </w:r>
    </w:p>
    <w:p w14:paraId="53C192FD" w14:textId="10BC8356" w:rsidR="0057245F" w:rsidRPr="00587DE7" w:rsidRDefault="0057245F" w:rsidP="0057245F">
      <w:pPr>
        <w:pStyle w:val="NICEnormal"/>
        <w:rPr>
          <w:highlight w:val="lightGray"/>
        </w:rPr>
      </w:pPr>
      <w:r w:rsidRPr="00587DE7">
        <w:rPr>
          <w:b/>
          <w:bCs/>
          <w:highlight w:val="lightGray"/>
        </w:rPr>
        <w:t xml:space="preserve">Data source: </w:t>
      </w:r>
      <w:r w:rsidR="00C11C89" w:rsidRPr="00587DE7">
        <w:rPr>
          <w:highlight w:val="lightGray"/>
        </w:rPr>
        <w:t>Data can be collected from information recorded locally by healthcare professionals and provider organisations, for example from patient records</w:t>
      </w:r>
      <w:r w:rsidRPr="00587DE7">
        <w:rPr>
          <w:highlight w:val="lightGray"/>
        </w:rPr>
        <w:t>.</w:t>
      </w:r>
      <w:r w:rsidR="008A4D82" w:rsidRPr="00587DE7">
        <w:rPr>
          <w:highlight w:val="lightGray"/>
        </w:rPr>
        <w:t xml:space="preserve"> Data on having a key worker before, during and after transition is included in the </w:t>
      </w:r>
      <w:hyperlink r:id="rId26" w:history="1">
        <w:r w:rsidR="008A4D82" w:rsidRPr="00587DE7">
          <w:rPr>
            <w:rStyle w:val="Hyperlink"/>
            <w:highlight w:val="lightGray"/>
          </w:rPr>
          <w:t>National Confidential Enquiry into Patient Outcome and Death transition from child into adult healthcare audit toolkit</w:t>
        </w:r>
      </w:hyperlink>
      <w:r w:rsidR="00597E97" w:rsidRPr="00587DE7">
        <w:rPr>
          <w:highlight w:val="lightGray"/>
        </w:rPr>
        <w:t xml:space="preserve"> which can be implemented locally.</w:t>
      </w:r>
    </w:p>
    <w:p w14:paraId="4430DE62" w14:textId="77777777" w:rsidR="006378C6" w:rsidRPr="00587DE7" w:rsidRDefault="006378C6" w:rsidP="006378C6">
      <w:pPr>
        <w:pStyle w:val="Heading3"/>
        <w:rPr>
          <w:highlight w:val="lightGray"/>
        </w:rPr>
      </w:pPr>
      <w:r w:rsidRPr="00587DE7">
        <w:rPr>
          <w:highlight w:val="lightGray"/>
        </w:rPr>
        <w:lastRenderedPageBreak/>
        <w:t>Outcome</w:t>
      </w:r>
    </w:p>
    <w:p w14:paraId="5426C20F" w14:textId="77777777" w:rsidR="00C11C89" w:rsidRPr="00587DE7" w:rsidRDefault="00C11C89" w:rsidP="00C11C89">
      <w:pPr>
        <w:pStyle w:val="NICEnormal"/>
        <w:rPr>
          <w:highlight w:val="lightGray"/>
        </w:rPr>
      </w:pPr>
      <w:bookmarkStart w:id="16" w:name="_Hlk143438566"/>
      <w:r w:rsidRPr="00587DE7">
        <w:rPr>
          <w:highlight w:val="lightGray"/>
        </w:rPr>
        <w:t>a) Proportion of young people (and their families and carers) who have transferred from children’s to adults’ services, who were satisfied with planning for transition and transfer.</w:t>
      </w:r>
    </w:p>
    <w:p w14:paraId="6DEF9370" w14:textId="77777777" w:rsidR="00C11C89" w:rsidRPr="00587DE7" w:rsidRDefault="00C11C89" w:rsidP="00C11C89">
      <w:pPr>
        <w:pStyle w:val="NICEnormal"/>
        <w:rPr>
          <w:highlight w:val="lightGray"/>
        </w:rPr>
      </w:pPr>
      <w:r w:rsidRPr="00587DE7">
        <w:rPr>
          <w:highlight w:val="lightGray"/>
        </w:rPr>
        <w:t>Numerator – the number in the denominator who were satisfied with planning for transition and transfer.</w:t>
      </w:r>
    </w:p>
    <w:p w14:paraId="1AF80F4C" w14:textId="77777777" w:rsidR="00C11C89" w:rsidRPr="00587DE7" w:rsidRDefault="00C11C89" w:rsidP="00C11C89">
      <w:pPr>
        <w:pStyle w:val="NICEnormal"/>
        <w:rPr>
          <w:highlight w:val="lightGray"/>
        </w:rPr>
      </w:pPr>
      <w:r w:rsidRPr="00587DE7">
        <w:rPr>
          <w:highlight w:val="lightGray"/>
        </w:rPr>
        <w:t>Denominator – the number of young people (and their families and carers) who have transferred from children’s to adults’ services.</w:t>
      </w:r>
    </w:p>
    <w:p w14:paraId="396FA7C2" w14:textId="425499C7" w:rsidR="00C11C89" w:rsidRPr="00587DE7" w:rsidRDefault="00C11C89" w:rsidP="00C11C89">
      <w:pPr>
        <w:pStyle w:val="NICEnormal"/>
        <w:rPr>
          <w:highlight w:val="lightGray"/>
        </w:rPr>
      </w:pPr>
      <w:r w:rsidRPr="00587DE7">
        <w:rPr>
          <w:b/>
          <w:bCs/>
          <w:highlight w:val="lightGray"/>
        </w:rPr>
        <w:t>Data source:</w:t>
      </w:r>
      <w:r w:rsidRPr="00587DE7">
        <w:rPr>
          <w:highlight w:val="lightGray"/>
        </w:rPr>
        <w:t xml:space="preserve"> Data can be collected from information recorded locally by healthcare professionals and provider organisations, for example from </w:t>
      </w:r>
      <w:r w:rsidR="00597E97" w:rsidRPr="00587DE7">
        <w:rPr>
          <w:highlight w:val="lightGray"/>
        </w:rPr>
        <w:t xml:space="preserve">a </w:t>
      </w:r>
      <w:r w:rsidRPr="00587DE7">
        <w:rPr>
          <w:highlight w:val="lightGray"/>
        </w:rPr>
        <w:t>patient survey.</w:t>
      </w:r>
      <w:r w:rsidR="002F1814" w:rsidRPr="00587DE7">
        <w:rPr>
          <w:rStyle w:val="NICEnormalChar"/>
          <w:highlight w:val="lightGray"/>
        </w:rPr>
        <w:t xml:space="preserve"> </w:t>
      </w:r>
      <w:r w:rsidR="00597E97" w:rsidRPr="00587DE7">
        <w:rPr>
          <w:rStyle w:val="NICEnormalChar"/>
          <w:highlight w:val="lightGray"/>
        </w:rPr>
        <w:t>Resources to support this include the</w:t>
      </w:r>
      <w:r w:rsidR="002F1814" w:rsidRPr="00587DE7">
        <w:rPr>
          <w:rStyle w:val="NICEnormalChar"/>
          <w:highlight w:val="lightGray"/>
        </w:rPr>
        <w:t xml:space="preserve"> </w:t>
      </w:r>
      <w:hyperlink r:id="rId27" w:history="1">
        <w:r w:rsidR="002F1814" w:rsidRPr="00587DE7">
          <w:rPr>
            <w:rStyle w:val="Hyperlink"/>
            <w:highlight w:val="lightGray"/>
          </w:rPr>
          <w:t>TIER Ready, Steady, Go programme</w:t>
        </w:r>
      </w:hyperlink>
      <w:r w:rsidR="002F1814" w:rsidRPr="00587DE7">
        <w:rPr>
          <w:rStyle w:val="NICEnormalChar"/>
          <w:highlight w:val="lightGray"/>
        </w:rPr>
        <w:t xml:space="preserve"> </w:t>
      </w:r>
      <w:r w:rsidR="00597E97" w:rsidRPr="00587DE7">
        <w:rPr>
          <w:rStyle w:val="NICEnormalChar"/>
          <w:highlight w:val="lightGray"/>
        </w:rPr>
        <w:t xml:space="preserve">which </w:t>
      </w:r>
      <w:r w:rsidR="002F1814" w:rsidRPr="00587DE7">
        <w:rPr>
          <w:rStyle w:val="NICEnormalChar"/>
          <w:highlight w:val="lightGray"/>
        </w:rPr>
        <w:t xml:space="preserve">includes feedback on transition planning in its questionnaires for young people and their </w:t>
      </w:r>
      <w:r w:rsidR="0043715C" w:rsidRPr="00587DE7">
        <w:rPr>
          <w:rStyle w:val="NICEnormalChar"/>
          <w:highlight w:val="lightGray"/>
        </w:rPr>
        <w:t xml:space="preserve">families and </w:t>
      </w:r>
      <w:r w:rsidR="002F1814" w:rsidRPr="00587DE7">
        <w:rPr>
          <w:rStyle w:val="NICEnormalChar"/>
          <w:highlight w:val="lightGray"/>
        </w:rPr>
        <w:t xml:space="preserve">carers. </w:t>
      </w:r>
      <w:r w:rsidR="00597E97" w:rsidRPr="00587DE7">
        <w:rPr>
          <w:rStyle w:val="NICEnormalChar"/>
          <w:highlight w:val="lightGray"/>
        </w:rPr>
        <w:t>Also, the</w:t>
      </w:r>
      <w:r w:rsidR="002F1814" w:rsidRPr="00587DE7">
        <w:rPr>
          <w:highlight w:val="lightGray"/>
        </w:rPr>
        <w:t xml:space="preserve"> </w:t>
      </w:r>
      <w:hyperlink r:id="rId28" w:history="1">
        <w:r w:rsidR="002F1814" w:rsidRPr="00587DE7">
          <w:rPr>
            <w:rStyle w:val="Hyperlink"/>
            <w:highlight w:val="lightGray"/>
          </w:rPr>
          <w:t>National Confidential Enquiry into Patient Outcome and Death transition from child into adult healthcare young person and parent carer survey</w:t>
        </w:r>
      </w:hyperlink>
      <w:r w:rsidR="002F1814" w:rsidRPr="00587DE7">
        <w:rPr>
          <w:highlight w:val="lightGray"/>
        </w:rPr>
        <w:t xml:space="preserve"> includes questions on transition planning.</w:t>
      </w:r>
    </w:p>
    <w:p w14:paraId="0B6A2E54" w14:textId="77777777" w:rsidR="00C11C89" w:rsidRPr="00587DE7" w:rsidRDefault="00C11C89" w:rsidP="00C11C89">
      <w:pPr>
        <w:pStyle w:val="NICEnormal"/>
        <w:rPr>
          <w:highlight w:val="lightGray"/>
        </w:rPr>
      </w:pPr>
      <w:r w:rsidRPr="00587DE7">
        <w:rPr>
          <w:highlight w:val="lightGray"/>
        </w:rPr>
        <w:t>b) Proportion of young people who have transferred from children’s to adults’ services, who do not attend their initial meetings or appointments with each adults’ service.</w:t>
      </w:r>
    </w:p>
    <w:p w14:paraId="03800AC9" w14:textId="77777777" w:rsidR="00C11C89" w:rsidRPr="00587DE7" w:rsidRDefault="00C11C89" w:rsidP="00C11C89">
      <w:pPr>
        <w:pStyle w:val="NICEnormal"/>
        <w:rPr>
          <w:highlight w:val="lightGray"/>
        </w:rPr>
      </w:pPr>
      <w:r w:rsidRPr="00587DE7">
        <w:rPr>
          <w:highlight w:val="lightGray"/>
        </w:rPr>
        <w:t>Numerator – the number in the denominator who do not attend their initial meetings or appointments with each adults’ service.</w:t>
      </w:r>
    </w:p>
    <w:p w14:paraId="622A7252" w14:textId="77777777" w:rsidR="00C11C89" w:rsidRPr="00587DE7" w:rsidRDefault="00C11C89" w:rsidP="00C11C89">
      <w:pPr>
        <w:pStyle w:val="NICEnormal"/>
        <w:rPr>
          <w:highlight w:val="lightGray"/>
        </w:rPr>
      </w:pPr>
      <w:r w:rsidRPr="00587DE7">
        <w:rPr>
          <w:highlight w:val="lightGray"/>
        </w:rPr>
        <w:t>Denominator – the number of young people who have transferred from children’s to adults’ services.</w:t>
      </w:r>
    </w:p>
    <w:p w14:paraId="1170A190" w14:textId="48D4435E" w:rsidR="00C11C89" w:rsidRPr="00587DE7" w:rsidRDefault="00C11C89" w:rsidP="00C11C89">
      <w:pPr>
        <w:pStyle w:val="NICEnormal"/>
        <w:rPr>
          <w:highlight w:val="lightGray"/>
        </w:rPr>
      </w:pPr>
      <w:r w:rsidRPr="00587DE7">
        <w:rPr>
          <w:b/>
          <w:bCs/>
          <w:highlight w:val="lightGray"/>
        </w:rPr>
        <w:t>Data source:</w:t>
      </w:r>
      <w:r w:rsidRPr="00587DE7">
        <w:rPr>
          <w:highlight w:val="lightGray"/>
        </w:rPr>
        <w:t xml:space="preserve"> Data can be collected from information recorded locally by healthcare professionals and provider organisations, for example from patient records. For measurement purposes</w:t>
      </w:r>
      <w:r w:rsidR="00D6359F" w:rsidRPr="00587DE7">
        <w:rPr>
          <w:highlight w:val="lightGray"/>
        </w:rPr>
        <w:t>,</w:t>
      </w:r>
      <w:r w:rsidRPr="00587DE7">
        <w:rPr>
          <w:highlight w:val="lightGray"/>
        </w:rPr>
        <w:t xml:space="preserve"> this could be defined as </w:t>
      </w:r>
      <w:r w:rsidR="00BB53BA" w:rsidRPr="00587DE7">
        <w:rPr>
          <w:highlight w:val="lightGray"/>
        </w:rPr>
        <w:t xml:space="preserve">any of </w:t>
      </w:r>
      <w:r w:rsidRPr="00587DE7">
        <w:rPr>
          <w:highlight w:val="lightGray"/>
        </w:rPr>
        <w:t xml:space="preserve">the first </w:t>
      </w:r>
      <w:r w:rsidR="00E31494" w:rsidRPr="00587DE7">
        <w:rPr>
          <w:highlight w:val="lightGray"/>
        </w:rPr>
        <w:t xml:space="preserve">3 </w:t>
      </w:r>
      <w:r w:rsidRPr="00587DE7">
        <w:rPr>
          <w:highlight w:val="lightGray"/>
        </w:rPr>
        <w:t>meetings</w:t>
      </w:r>
      <w:r w:rsidR="00597E97" w:rsidRPr="00587DE7">
        <w:rPr>
          <w:highlight w:val="lightGray"/>
        </w:rPr>
        <w:t xml:space="preserve"> or appointments</w:t>
      </w:r>
      <w:r w:rsidRPr="00587DE7">
        <w:rPr>
          <w:highlight w:val="lightGray"/>
        </w:rPr>
        <w:t xml:space="preserve"> in </w:t>
      </w:r>
      <w:r w:rsidR="00E31494" w:rsidRPr="00587DE7">
        <w:rPr>
          <w:highlight w:val="lightGray"/>
        </w:rPr>
        <w:t xml:space="preserve">each </w:t>
      </w:r>
      <w:r w:rsidRPr="00587DE7">
        <w:rPr>
          <w:highlight w:val="lightGray"/>
        </w:rPr>
        <w:t>adults’ service.</w:t>
      </w:r>
    </w:p>
    <w:p w14:paraId="28F2C8C3" w14:textId="77777777" w:rsidR="00C11C89" w:rsidRPr="00587DE7" w:rsidRDefault="00C11C89" w:rsidP="00C11C89">
      <w:pPr>
        <w:pStyle w:val="NICEnormal"/>
        <w:rPr>
          <w:highlight w:val="lightGray"/>
        </w:rPr>
      </w:pPr>
      <w:r w:rsidRPr="00587DE7">
        <w:rPr>
          <w:highlight w:val="lightGray"/>
        </w:rPr>
        <w:t xml:space="preserve">c) Proportion of young people attending adults’ services after transfer from children’s services who continue to engage with services. </w:t>
      </w:r>
    </w:p>
    <w:p w14:paraId="050CA434" w14:textId="77777777" w:rsidR="00C11C89" w:rsidRPr="00587DE7" w:rsidRDefault="00C11C89" w:rsidP="00C11C89">
      <w:pPr>
        <w:pStyle w:val="NICEnormal"/>
        <w:rPr>
          <w:highlight w:val="lightGray"/>
        </w:rPr>
      </w:pPr>
      <w:r w:rsidRPr="00587DE7">
        <w:rPr>
          <w:highlight w:val="lightGray"/>
        </w:rPr>
        <w:lastRenderedPageBreak/>
        <w:t>Numerator – the number in the denominator who continue to engage with services.</w:t>
      </w:r>
    </w:p>
    <w:p w14:paraId="51041DAE" w14:textId="77777777" w:rsidR="00C11C89" w:rsidRPr="00587DE7" w:rsidRDefault="00C11C89" w:rsidP="00C11C89">
      <w:pPr>
        <w:pStyle w:val="NICEnormal"/>
        <w:rPr>
          <w:highlight w:val="lightGray"/>
        </w:rPr>
      </w:pPr>
      <w:r w:rsidRPr="00587DE7">
        <w:rPr>
          <w:highlight w:val="lightGray"/>
        </w:rPr>
        <w:t>Denominator – the number of young people attending adults’ services after transfer from children’s services.</w:t>
      </w:r>
    </w:p>
    <w:p w14:paraId="2B6FD1E6" w14:textId="000E8BC8" w:rsidR="001F1659" w:rsidRPr="00587DE7" w:rsidRDefault="00C11C89" w:rsidP="00C11C89">
      <w:pPr>
        <w:pStyle w:val="NICEnormal"/>
        <w:rPr>
          <w:highlight w:val="lightGray"/>
        </w:rPr>
      </w:pPr>
      <w:r w:rsidRPr="00587DE7">
        <w:rPr>
          <w:b/>
          <w:bCs/>
          <w:highlight w:val="lightGray"/>
        </w:rPr>
        <w:t>Data source:</w:t>
      </w:r>
      <w:r w:rsidRPr="00587DE7">
        <w:rPr>
          <w:highlight w:val="lightGray"/>
        </w:rPr>
        <w:t xml:space="preserve"> Data can be collected from information recorded locally by healthcare professionals and provider organisations, for example from patient records. For measurement purposes</w:t>
      </w:r>
      <w:r w:rsidR="00D6359F" w:rsidRPr="00587DE7">
        <w:rPr>
          <w:highlight w:val="lightGray"/>
        </w:rPr>
        <w:t>,</w:t>
      </w:r>
      <w:r w:rsidRPr="00587DE7">
        <w:rPr>
          <w:highlight w:val="lightGray"/>
        </w:rPr>
        <w:t xml:space="preserve"> this could be defined as engagement at 1 year after transfer.</w:t>
      </w:r>
    </w:p>
    <w:bookmarkEnd w:id="16"/>
    <w:p w14:paraId="36D174FC" w14:textId="77777777" w:rsidR="0057245F" w:rsidRPr="00587DE7" w:rsidRDefault="0057245F" w:rsidP="0057245F">
      <w:pPr>
        <w:pStyle w:val="Heading2"/>
        <w:rPr>
          <w:highlight w:val="lightGray"/>
        </w:rPr>
      </w:pPr>
      <w:r w:rsidRPr="00587DE7">
        <w:rPr>
          <w:highlight w:val="lightGray"/>
        </w:rPr>
        <w:t xml:space="preserve">What the quality statement means for </w:t>
      </w:r>
      <w:r w:rsidR="00E65FB1" w:rsidRPr="00587DE7">
        <w:rPr>
          <w:highlight w:val="lightGray"/>
        </w:rPr>
        <w:t>different audiences</w:t>
      </w:r>
      <w:r w:rsidRPr="00587DE7">
        <w:rPr>
          <w:highlight w:val="lightGray"/>
        </w:rPr>
        <w:t xml:space="preserve"> </w:t>
      </w:r>
    </w:p>
    <w:p w14:paraId="1C81C24A" w14:textId="48FBAD45" w:rsidR="0057245F" w:rsidRPr="00587DE7" w:rsidRDefault="0057245F" w:rsidP="0057245F">
      <w:pPr>
        <w:pStyle w:val="NICEnormal"/>
        <w:rPr>
          <w:highlight w:val="lightGray"/>
        </w:rPr>
      </w:pPr>
      <w:r w:rsidRPr="00587DE7">
        <w:rPr>
          <w:b/>
          <w:highlight w:val="lightGray"/>
        </w:rPr>
        <w:t>Service providers</w:t>
      </w:r>
      <w:r w:rsidRPr="00587DE7">
        <w:rPr>
          <w:highlight w:val="lightGray"/>
        </w:rPr>
        <w:t xml:space="preserve"> (children’s and adults’ health, mental health and social care providers) ensure that systems are in place </w:t>
      </w:r>
      <w:r w:rsidR="00CB0AD0" w:rsidRPr="00587DE7">
        <w:rPr>
          <w:highlight w:val="lightGray"/>
        </w:rPr>
        <w:t>for</w:t>
      </w:r>
      <w:r w:rsidRPr="00587DE7">
        <w:rPr>
          <w:highlight w:val="lightGray"/>
        </w:rPr>
        <w:t xml:space="preserve"> young people who are moving from children’s to adults’ services </w:t>
      </w:r>
      <w:r w:rsidR="00CB0AD0" w:rsidRPr="00587DE7">
        <w:rPr>
          <w:highlight w:val="lightGray"/>
        </w:rPr>
        <w:t xml:space="preserve">to </w:t>
      </w:r>
      <w:r w:rsidRPr="00587DE7">
        <w:rPr>
          <w:highlight w:val="lightGray"/>
        </w:rPr>
        <w:t>have a named worker to coordinate care and support before</w:t>
      </w:r>
      <w:r w:rsidR="00CB0AD0" w:rsidRPr="00587DE7">
        <w:rPr>
          <w:highlight w:val="lightGray"/>
        </w:rPr>
        <w:t>,</w:t>
      </w:r>
      <w:r w:rsidRPr="00587DE7">
        <w:rPr>
          <w:highlight w:val="lightGray"/>
        </w:rPr>
        <w:t xml:space="preserve"> </w:t>
      </w:r>
      <w:r w:rsidR="006279A1" w:rsidRPr="00587DE7">
        <w:rPr>
          <w:highlight w:val="lightGray"/>
        </w:rPr>
        <w:t xml:space="preserve">during </w:t>
      </w:r>
      <w:r w:rsidRPr="00587DE7">
        <w:rPr>
          <w:highlight w:val="lightGray"/>
        </w:rPr>
        <w:t>and after transfer.</w:t>
      </w:r>
      <w:r w:rsidR="009A123B" w:rsidRPr="00587DE7">
        <w:rPr>
          <w:highlight w:val="lightGray"/>
        </w:rPr>
        <w:t xml:space="preserve"> </w:t>
      </w:r>
      <w:r w:rsidR="00D64ED3" w:rsidRPr="00587DE7">
        <w:rPr>
          <w:highlight w:val="lightGray"/>
        </w:rPr>
        <w:t xml:space="preserve">To support </w:t>
      </w:r>
      <w:r w:rsidR="003C764B" w:rsidRPr="00587DE7">
        <w:rPr>
          <w:highlight w:val="lightGray"/>
        </w:rPr>
        <w:t>this</w:t>
      </w:r>
      <w:r w:rsidR="00D64ED3" w:rsidRPr="00587DE7">
        <w:rPr>
          <w:highlight w:val="lightGray"/>
        </w:rPr>
        <w:t>, service providers could consider joining up services for young people involved with multiple medical specialities</w:t>
      </w:r>
      <w:r w:rsidR="002C6C0E" w:rsidRPr="00587DE7">
        <w:rPr>
          <w:highlight w:val="lightGray"/>
        </w:rPr>
        <w:t xml:space="preserve">, for example, by having a </w:t>
      </w:r>
      <w:r w:rsidR="00D64ED3" w:rsidRPr="00587DE7">
        <w:rPr>
          <w:highlight w:val="lightGray"/>
        </w:rPr>
        <w:t>single physician, such as a rehabilitation consultant, taking a co-ordinating role</w:t>
      </w:r>
      <w:r w:rsidR="005175E3">
        <w:rPr>
          <w:highlight w:val="lightGray"/>
        </w:rPr>
        <w:t>.</w:t>
      </w:r>
      <w:r w:rsidR="00F25FBC" w:rsidRPr="00587DE7">
        <w:rPr>
          <w:highlight w:val="lightGray"/>
        </w:rPr>
        <w:t xml:space="preserve"> </w:t>
      </w:r>
      <w:r w:rsidR="00B86112" w:rsidRPr="00587DE7">
        <w:rPr>
          <w:highlight w:val="lightGray"/>
        </w:rPr>
        <w:t>[</w:t>
      </w:r>
      <w:hyperlink r:id="rId29" w:history="1">
        <w:r w:rsidR="00B86112" w:rsidRPr="00587DE7">
          <w:rPr>
            <w:rStyle w:val="Hyperlink"/>
            <w:highlight w:val="lightGray"/>
          </w:rPr>
          <w:t>NICE’s guideline on transition from children’s to adults’ services for young people using health or social care services</w:t>
        </w:r>
      </w:hyperlink>
      <w:r w:rsidR="00B86112" w:rsidRPr="00587DE7">
        <w:rPr>
          <w:highlight w:val="lightGray"/>
        </w:rPr>
        <w:t>, recommendation 1.5.10]</w:t>
      </w:r>
    </w:p>
    <w:p w14:paraId="39074316" w14:textId="4B69AF52" w:rsidR="0057245F" w:rsidRPr="00587DE7" w:rsidRDefault="0057245F" w:rsidP="0057245F">
      <w:pPr>
        <w:pStyle w:val="NICEnormal"/>
        <w:rPr>
          <w:highlight w:val="lightGray"/>
        </w:rPr>
      </w:pPr>
      <w:r w:rsidRPr="00587DE7">
        <w:rPr>
          <w:b/>
          <w:highlight w:val="lightGray"/>
        </w:rPr>
        <w:t>Health and social care practitioners</w:t>
      </w:r>
      <w:r w:rsidRPr="00587DE7">
        <w:rPr>
          <w:highlight w:val="lightGray"/>
        </w:rPr>
        <w:t xml:space="preserve"> (such as hospital consultant</w:t>
      </w:r>
      <w:r w:rsidR="00CB0AD0" w:rsidRPr="00587DE7">
        <w:rPr>
          <w:highlight w:val="lightGray"/>
        </w:rPr>
        <w:t>s</w:t>
      </w:r>
      <w:r w:rsidRPr="00587DE7">
        <w:rPr>
          <w:highlight w:val="lightGray"/>
        </w:rPr>
        <w:t>, nurses, youth worker</w:t>
      </w:r>
      <w:r w:rsidR="00CB0AD0" w:rsidRPr="00587DE7">
        <w:rPr>
          <w:highlight w:val="lightGray"/>
        </w:rPr>
        <w:t>s</w:t>
      </w:r>
      <w:r w:rsidRPr="00587DE7">
        <w:rPr>
          <w:highlight w:val="lightGray"/>
        </w:rPr>
        <w:t>, social worker</w:t>
      </w:r>
      <w:r w:rsidR="00CB0AD0" w:rsidRPr="00587DE7">
        <w:rPr>
          <w:highlight w:val="lightGray"/>
        </w:rPr>
        <w:t>s</w:t>
      </w:r>
      <w:r w:rsidRPr="00587DE7">
        <w:rPr>
          <w:highlight w:val="lightGray"/>
        </w:rPr>
        <w:t>, mental health worker</w:t>
      </w:r>
      <w:r w:rsidR="00CB0AD0" w:rsidRPr="00587DE7">
        <w:rPr>
          <w:highlight w:val="lightGray"/>
        </w:rPr>
        <w:t>s</w:t>
      </w:r>
      <w:r w:rsidRPr="00587DE7">
        <w:rPr>
          <w:highlight w:val="lightGray"/>
        </w:rPr>
        <w:t xml:space="preserve"> and transition worker</w:t>
      </w:r>
      <w:r w:rsidR="00CB0AD0" w:rsidRPr="00587DE7">
        <w:rPr>
          <w:highlight w:val="lightGray"/>
        </w:rPr>
        <w:t>s</w:t>
      </w:r>
      <w:r w:rsidRPr="00587DE7">
        <w:rPr>
          <w:highlight w:val="lightGray"/>
        </w:rPr>
        <w:t xml:space="preserve">) work with the young person who is moving from children’s to adults’ services to identify a named worker and </w:t>
      </w:r>
      <w:r w:rsidR="00AE468F" w:rsidRPr="00587DE7">
        <w:rPr>
          <w:highlight w:val="lightGray"/>
        </w:rPr>
        <w:t xml:space="preserve">then </w:t>
      </w:r>
      <w:r w:rsidRPr="00587DE7">
        <w:rPr>
          <w:highlight w:val="lightGray"/>
        </w:rPr>
        <w:t xml:space="preserve">work with this practitioner </w:t>
      </w:r>
      <w:r w:rsidR="00AE468F" w:rsidRPr="00587DE7">
        <w:rPr>
          <w:highlight w:val="lightGray"/>
        </w:rPr>
        <w:t xml:space="preserve">to coordinate care and support </w:t>
      </w:r>
      <w:r w:rsidRPr="00587DE7">
        <w:rPr>
          <w:bCs/>
          <w:highlight w:val="lightGray"/>
        </w:rPr>
        <w:t>before</w:t>
      </w:r>
      <w:r w:rsidR="00CB0AD0" w:rsidRPr="00587DE7">
        <w:rPr>
          <w:bCs/>
          <w:highlight w:val="lightGray"/>
        </w:rPr>
        <w:t>,</w:t>
      </w:r>
      <w:r w:rsidRPr="00587DE7">
        <w:rPr>
          <w:bCs/>
          <w:highlight w:val="lightGray"/>
        </w:rPr>
        <w:t xml:space="preserve"> </w:t>
      </w:r>
      <w:r w:rsidR="006279A1" w:rsidRPr="00587DE7">
        <w:rPr>
          <w:bCs/>
          <w:highlight w:val="lightGray"/>
        </w:rPr>
        <w:t xml:space="preserve">during </w:t>
      </w:r>
      <w:r w:rsidRPr="00587DE7">
        <w:rPr>
          <w:bCs/>
          <w:highlight w:val="lightGray"/>
        </w:rPr>
        <w:t>and after transfer</w:t>
      </w:r>
      <w:r w:rsidRPr="00587DE7">
        <w:rPr>
          <w:highlight w:val="lightGray"/>
        </w:rPr>
        <w:t>.</w:t>
      </w:r>
    </w:p>
    <w:p w14:paraId="66A5714A" w14:textId="7BA9CB97" w:rsidR="0057245F" w:rsidRPr="00587DE7" w:rsidRDefault="0057245F" w:rsidP="0057245F">
      <w:pPr>
        <w:pStyle w:val="NICEnormal"/>
        <w:rPr>
          <w:bCs/>
          <w:highlight w:val="lightGray"/>
        </w:rPr>
      </w:pPr>
      <w:r w:rsidRPr="00587DE7">
        <w:rPr>
          <w:b/>
          <w:highlight w:val="lightGray"/>
        </w:rPr>
        <w:t>Commissioners</w:t>
      </w:r>
      <w:r w:rsidRPr="00587DE7">
        <w:rPr>
          <w:highlight w:val="lightGray"/>
        </w:rPr>
        <w:t xml:space="preserve"> ensure that they commission services that </w:t>
      </w:r>
      <w:r w:rsidR="00AE468F" w:rsidRPr="00587DE7">
        <w:rPr>
          <w:highlight w:val="lightGray"/>
        </w:rPr>
        <w:t>work with</w:t>
      </w:r>
      <w:r w:rsidRPr="00587DE7">
        <w:rPr>
          <w:highlight w:val="lightGray"/>
        </w:rPr>
        <w:t xml:space="preserve"> y</w:t>
      </w:r>
      <w:r w:rsidRPr="00587DE7">
        <w:rPr>
          <w:bCs/>
          <w:highlight w:val="lightGray"/>
        </w:rPr>
        <w:t xml:space="preserve">oung people </w:t>
      </w:r>
      <w:r w:rsidRPr="00587DE7">
        <w:rPr>
          <w:highlight w:val="lightGray"/>
        </w:rPr>
        <w:t xml:space="preserve">who are moving from children’s </w:t>
      </w:r>
      <w:r w:rsidRPr="00587DE7">
        <w:rPr>
          <w:bCs/>
          <w:highlight w:val="lightGray"/>
        </w:rPr>
        <w:t xml:space="preserve">to adults’ services </w:t>
      </w:r>
      <w:r w:rsidR="00AE468F" w:rsidRPr="00587DE7">
        <w:rPr>
          <w:bCs/>
          <w:highlight w:val="lightGray"/>
        </w:rPr>
        <w:t>to identify</w:t>
      </w:r>
      <w:r w:rsidRPr="00587DE7">
        <w:rPr>
          <w:bCs/>
          <w:highlight w:val="lightGray"/>
        </w:rPr>
        <w:t xml:space="preserve"> a </w:t>
      </w:r>
      <w:r w:rsidRPr="00587DE7">
        <w:rPr>
          <w:highlight w:val="lightGray"/>
        </w:rPr>
        <w:t>named worker to coordinate care and support before</w:t>
      </w:r>
      <w:r w:rsidR="006279A1" w:rsidRPr="00587DE7">
        <w:rPr>
          <w:highlight w:val="lightGray"/>
        </w:rPr>
        <w:t>, during</w:t>
      </w:r>
      <w:r w:rsidRPr="00587DE7">
        <w:rPr>
          <w:highlight w:val="lightGray"/>
        </w:rPr>
        <w:t xml:space="preserve"> and after transfer</w:t>
      </w:r>
      <w:r w:rsidRPr="00587DE7">
        <w:rPr>
          <w:bCs/>
          <w:highlight w:val="lightGray"/>
        </w:rPr>
        <w:t>.</w:t>
      </w:r>
    </w:p>
    <w:p w14:paraId="73F81CF7" w14:textId="7B8391B5" w:rsidR="0057245F" w:rsidRPr="00587DE7" w:rsidRDefault="0057245F" w:rsidP="0057245F">
      <w:pPr>
        <w:pStyle w:val="NICEnormal"/>
        <w:rPr>
          <w:highlight w:val="lightGray"/>
        </w:rPr>
      </w:pPr>
      <w:r w:rsidRPr="00587DE7">
        <w:rPr>
          <w:b/>
          <w:highlight w:val="lightGray"/>
        </w:rPr>
        <w:t>Young people</w:t>
      </w:r>
      <w:r w:rsidRPr="00587DE7">
        <w:rPr>
          <w:highlight w:val="lightGray"/>
        </w:rPr>
        <w:t xml:space="preserve"> </w:t>
      </w:r>
      <w:r w:rsidRPr="00587DE7">
        <w:rPr>
          <w:b/>
          <w:highlight w:val="lightGray"/>
        </w:rPr>
        <w:t>who are moving from children’s to adults’ services</w:t>
      </w:r>
      <w:r w:rsidRPr="00587DE7">
        <w:rPr>
          <w:highlight w:val="lightGray"/>
        </w:rPr>
        <w:t xml:space="preserve"> should be helped to choose a single </w:t>
      </w:r>
      <w:r w:rsidR="00AE468F" w:rsidRPr="00587DE7">
        <w:rPr>
          <w:highlight w:val="lightGray"/>
        </w:rPr>
        <w:t>worker</w:t>
      </w:r>
      <w:r w:rsidRPr="00587DE7">
        <w:rPr>
          <w:highlight w:val="lightGray"/>
        </w:rPr>
        <w:t xml:space="preserve"> – preferably someone that they know and trust – to act as a named worker </w:t>
      </w:r>
      <w:r w:rsidR="00AE468F" w:rsidRPr="00587DE7">
        <w:rPr>
          <w:highlight w:val="lightGray"/>
        </w:rPr>
        <w:t xml:space="preserve">who coordinates care </w:t>
      </w:r>
      <w:r w:rsidRPr="00587DE7">
        <w:rPr>
          <w:highlight w:val="lightGray"/>
        </w:rPr>
        <w:t>before</w:t>
      </w:r>
      <w:r w:rsidR="006279A1" w:rsidRPr="00587DE7">
        <w:rPr>
          <w:highlight w:val="lightGray"/>
        </w:rPr>
        <w:t>, during</w:t>
      </w:r>
      <w:r w:rsidRPr="00587DE7">
        <w:rPr>
          <w:highlight w:val="lightGray"/>
        </w:rPr>
        <w:t xml:space="preserve"> and after transfer. The named worker act</w:t>
      </w:r>
      <w:r w:rsidR="00AE468F" w:rsidRPr="00587DE7">
        <w:rPr>
          <w:highlight w:val="lightGray"/>
        </w:rPr>
        <w:t>s</w:t>
      </w:r>
      <w:r w:rsidRPr="00587DE7">
        <w:rPr>
          <w:highlight w:val="lightGray"/>
        </w:rPr>
        <w:t xml:space="preserve"> as a link with staff provid</w:t>
      </w:r>
      <w:r w:rsidR="00AE468F" w:rsidRPr="00587DE7">
        <w:rPr>
          <w:highlight w:val="lightGray"/>
        </w:rPr>
        <w:t>ing</w:t>
      </w:r>
      <w:r w:rsidRPr="00587DE7">
        <w:rPr>
          <w:highlight w:val="lightGray"/>
        </w:rPr>
        <w:t xml:space="preserve"> support, including the young person’s GP. Th</w:t>
      </w:r>
      <w:r w:rsidR="00AE468F" w:rsidRPr="00587DE7">
        <w:rPr>
          <w:highlight w:val="lightGray"/>
        </w:rPr>
        <w:t>e</w:t>
      </w:r>
      <w:r w:rsidRPr="00587DE7">
        <w:rPr>
          <w:highlight w:val="lightGray"/>
        </w:rPr>
        <w:t xml:space="preserve"> </w:t>
      </w:r>
      <w:r w:rsidR="00AE468F" w:rsidRPr="00587DE7">
        <w:rPr>
          <w:highlight w:val="lightGray"/>
        </w:rPr>
        <w:t>named worker</w:t>
      </w:r>
      <w:r w:rsidRPr="00587DE7">
        <w:rPr>
          <w:highlight w:val="lightGray"/>
        </w:rPr>
        <w:t xml:space="preserve"> should arrang</w:t>
      </w:r>
      <w:r w:rsidR="00AE468F" w:rsidRPr="00587DE7">
        <w:rPr>
          <w:highlight w:val="lightGray"/>
        </w:rPr>
        <w:t>e</w:t>
      </w:r>
      <w:r w:rsidRPr="00587DE7">
        <w:rPr>
          <w:highlight w:val="lightGray"/>
        </w:rPr>
        <w:t xml:space="preserve"> appointments</w:t>
      </w:r>
      <w:r w:rsidR="00933023" w:rsidRPr="00587DE7">
        <w:rPr>
          <w:highlight w:val="lightGray"/>
        </w:rPr>
        <w:t>,</w:t>
      </w:r>
      <w:r w:rsidRPr="00587DE7">
        <w:rPr>
          <w:highlight w:val="lightGray"/>
        </w:rPr>
        <w:t xml:space="preserve"> </w:t>
      </w:r>
      <w:r w:rsidR="00AE468F" w:rsidRPr="00587DE7">
        <w:rPr>
          <w:highlight w:val="lightGray"/>
        </w:rPr>
        <w:t>as well as</w:t>
      </w:r>
      <w:r w:rsidRPr="00587DE7">
        <w:rPr>
          <w:highlight w:val="lightGray"/>
        </w:rPr>
        <w:t xml:space="preserve"> provid</w:t>
      </w:r>
      <w:r w:rsidR="00AE468F" w:rsidRPr="00587DE7">
        <w:rPr>
          <w:highlight w:val="lightGray"/>
        </w:rPr>
        <w:t>ing</w:t>
      </w:r>
      <w:r w:rsidRPr="00587DE7">
        <w:rPr>
          <w:highlight w:val="lightGray"/>
        </w:rPr>
        <w:t xml:space="preserve"> support to the young person and their family.</w:t>
      </w:r>
    </w:p>
    <w:p w14:paraId="107C1DF4" w14:textId="531F165F" w:rsidR="0057245F" w:rsidRPr="00587DE7" w:rsidRDefault="00DA3F0C" w:rsidP="0057245F">
      <w:pPr>
        <w:pStyle w:val="NICEnormal"/>
        <w:rPr>
          <w:highlight w:val="lightGray"/>
        </w:rPr>
      </w:pPr>
      <w:r w:rsidRPr="00587DE7">
        <w:rPr>
          <w:b/>
          <w:highlight w:val="lightGray"/>
        </w:rPr>
        <w:lastRenderedPageBreak/>
        <w:t xml:space="preserve">Families </w:t>
      </w:r>
      <w:r w:rsidR="0057245F" w:rsidRPr="00587DE7">
        <w:rPr>
          <w:b/>
          <w:highlight w:val="lightGray"/>
        </w:rPr>
        <w:t>and carers of young people</w:t>
      </w:r>
      <w:r w:rsidR="0057245F" w:rsidRPr="00587DE7">
        <w:rPr>
          <w:highlight w:val="lightGray"/>
        </w:rPr>
        <w:t xml:space="preserve"> </w:t>
      </w:r>
      <w:r w:rsidR="0057245F" w:rsidRPr="00587DE7">
        <w:rPr>
          <w:b/>
          <w:highlight w:val="lightGray"/>
        </w:rPr>
        <w:t>who are moving from children’s to adults’ services</w:t>
      </w:r>
      <w:r w:rsidR="0057245F" w:rsidRPr="00587DE7">
        <w:rPr>
          <w:highlight w:val="lightGray"/>
        </w:rPr>
        <w:t xml:space="preserve"> can contact the named worker </w:t>
      </w:r>
      <w:r w:rsidR="00933023" w:rsidRPr="00587DE7">
        <w:rPr>
          <w:highlight w:val="lightGray"/>
        </w:rPr>
        <w:t>for</w:t>
      </w:r>
      <w:r w:rsidR="0057245F" w:rsidRPr="00587DE7">
        <w:rPr>
          <w:highlight w:val="lightGray"/>
        </w:rPr>
        <w:t xml:space="preserve"> information and support for themselves</w:t>
      </w:r>
      <w:r w:rsidR="00933023" w:rsidRPr="00587DE7">
        <w:rPr>
          <w:highlight w:val="lightGray"/>
        </w:rPr>
        <w:t>.</w:t>
      </w:r>
      <w:r w:rsidR="0057245F" w:rsidRPr="00587DE7">
        <w:rPr>
          <w:highlight w:val="lightGray"/>
        </w:rPr>
        <w:t xml:space="preserve"> </w:t>
      </w:r>
      <w:r w:rsidR="00933023" w:rsidRPr="00587DE7">
        <w:rPr>
          <w:highlight w:val="lightGray"/>
        </w:rPr>
        <w:t>If appropriate, they can also ask the named worker for extra</w:t>
      </w:r>
      <w:r w:rsidR="0057245F" w:rsidRPr="00587DE7">
        <w:rPr>
          <w:highlight w:val="lightGray"/>
        </w:rPr>
        <w:t xml:space="preserve"> support </w:t>
      </w:r>
      <w:r w:rsidR="00933023" w:rsidRPr="00587DE7">
        <w:rPr>
          <w:highlight w:val="lightGray"/>
        </w:rPr>
        <w:t xml:space="preserve">for </w:t>
      </w:r>
      <w:r w:rsidR="0057245F" w:rsidRPr="00587DE7">
        <w:rPr>
          <w:highlight w:val="lightGray"/>
        </w:rPr>
        <w:t xml:space="preserve">the young person </w:t>
      </w:r>
      <w:r w:rsidR="00933023" w:rsidRPr="00587DE7">
        <w:rPr>
          <w:highlight w:val="lightGray"/>
        </w:rPr>
        <w:t>to help with the move</w:t>
      </w:r>
      <w:r w:rsidR="0057245F" w:rsidRPr="00587DE7">
        <w:rPr>
          <w:highlight w:val="lightGray"/>
        </w:rPr>
        <w:t>.</w:t>
      </w:r>
    </w:p>
    <w:p w14:paraId="4130383C" w14:textId="71EA3ED8" w:rsidR="00D63E54" w:rsidRPr="00587DE7" w:rsidRDefault="00D63E54" w:rsidP="00D957E6">
      <w:pPr>
        <w:pStyle w:val="Heading2"/>
        <w:rPr>
          <w:highlight w:val="lightGray"/>
        </w:rPr>
      </w:pPr>
      <w:r w:rsidRPr="00587DE7">
        <w:rPr>
          <w:highlight w:val="lightGray"/>
        </w:rPr>
        <w:t>Source guidance</w:t>
      </w:r>
    </w:p>
    <w:p w14:paraId="0495D49D" w14:textId="5C21C557" w:rsidR="0057245F" w:rsidRPr="00587DE7" w:rsidRDefault="003A2E89" w:rsidP="001979A9">
      <w:pPr>
        <w:pStyle w:val="NICEnormal"/>
        <w:rPr>
          <w:highlight w:val="lightGray"/>
        </w:rPr>
      </w:pPr>
      <w:hyperlink r:id="rId30" w:history="1">
        <w:r w:rsidR="0057245F" w:rsidRPr="00587DE7">
          <w:rPr>
            <w:rStyle w:val="Hyperlink"/>
            <w:highlight w:val="lightGray"/>
          </w:rPr>
          <w:t>Transition from children’s to adults’ services for young people using health or social care services</w:t>
        </w:r>
        <w:r w:rsidR="003A5F5F" w:rsidRPr="00587DE7">
          <w:rPr>
            <w:rStyle w:val="Hyperlink"/>
            <w:highlight w:val="lightGray"/>
          </w:rPr>
          <w:t>.</w:t>
        </w:r>
        <w:r w:rsidR="0057245F" w:rsidRPr="00587DE7">
          <w:rPr>
            <w:rStyle w:val="Hyperlink"/>
            <w:highlight w:val="lightGray"/>
          </w:rPr>
          <w:t xml:space="preserve"> NICE guideline NG43</w:t>
        </w:r>
      </w:hyperlink>
      <w:r w:rsidR="003A5F5F" w:rsidRPr="00587DE7">
        <w:rPr>
          <w:highlight w:val="lightGray"/>
        </w:rPr>
        <w:t xml:space="preserve"> (2016)</w:t>
      </w:r>
      <w:r w:rsidR="0057245F" w:rsidRPr="00587DE7">
        <w:rPr>
          <w:highlight w:val="lightGray"/>
        </w:rPr>
        <w:t>, recommendations</w:t>
      </w:r>
      <w:r w:rsidR="003A5F5F" w:rsidRPr="00587DE7">
        <w:rPr>
          <w:highlight w:val="lightGray"/>
        </w:rPr>
        <w:t> </w:t>
      </w:r>
      <w:r w:rsidR="0057245F" w:rsidRPr="00587DE7">
        <w:rPr>
          <w:highlight w:val="lightGray"/>
        </w:rPr>
        <w:t>1.2.5 and 1.2.9</w:t>
      </w:r>
    </w:p>
    <w:p w14:paraId="030A3CA4" w14:textId="77777777" w:rsidR="0057245F" w:rsidRPr="00587DE7" w:rsidRDefault="0057245F" w:rsidP="0057245F">
      <w:pPr>
        <w:pStyle w:val="Heading2"/>
        <w:rPr>
          <w:highlight w:val="lightGray"/>
        </w:rPr>
      </w:pPr>
      <w:r w:rsidRPr="00587DE7">
        <w:rPr>
          <w:highlight w:val="lightGray"/>
        </w:rPr>
        <w:t>Definitions of terms used in this quality statement</w:t>
      </w:r>
    </w:p>
    <w:p w14:paraId="3AC51C7F" w14:textId="77777777" w:rsidR="0057245F" w:rsidRPr="00587DE7" w:rsidRDefault="0057245F" w:rsidP="0057245F">
      <w:pPr>
        <w:pStyle w:val="Heading3"/>
        <w:rPr>
          <w:highlight w:val="lightGray"/>
        </w:rPr>
      </w:pPr>
      <w:r w:rsidRPr="00587DE7">
        <w:rPr>
          <w:highlight w:val="lightGray"/>
        </w:rPr>
        <w:t>Named worker</w:t>
      </w:r>
    </w:p>
    <w:p w14:paraId="36E30177" w14:textId="34FEF991" w:rsidR="0057245F" w:rsidRPr="00587DE7" w:rsidRDefault="0057245F" w:rsidP="0057245F">
      <w:pPr>
        <w:pStyle w:val="NICEnormal"/>
        <w:rPr>
          <w:highlight w:val="lightGray"/>
        </w:rPr>
      </w:pPr>
      <w:r w:rsidRPr="00587DE7">
        <w:rPr>
          <w:highlight w:val="lightGray"/>
        </w:rPr>
        <w:t xml:space="preserve">The named worker is a role rather than a job title. This should be one of the people from among the group of workers providing care and support to the young person, who has been designated to take a coordinating role. The young person should help decide who this person should be. It could be, for example, a support planner, a nurse, a youth worker, an allied health professional or another health </w:t>
      </w:r>
      <w:r w:rsidR="00F91169" w:rsidRPr="00587DE7">
        <w:rPr>
          <w:highlight w:val="lightGray"/>
        </w:rPr>
        <w:t>or</w:t>
      </w:r>
      <w:r w:rsidRPr="00587DE7">
        <w:rPr>
          <w:highlight w:val="lightGray"/>
        </w:rPr>
        <w:t xml:space="preserve"> social care practitioner. It could also be someone who already has the title keyworker, transition worker or personal adviser. The transition process is lengthy and it would be expected that the named worker may change</w:t>
      </w:r>
      <w:r w:rsidR="00371996" w:rsidRPr="00587DE7">
        <w:rPr>
          <w:highlight w:val="lightGray"/>
        </w:rPr>
        <w:t xml:space="preserve"> over time</w:t>
      </w:r>
      <w:r w:rsidRPr="00587DE7">
        <w:rPr>
          <w:highlight w:val="lightGray"/>
        </w:rPr>
        <w:t>.</w:t>
      </w:r>
    </w:p>
    <w:p w14:paraId="3DBC0E18" w14:textId="34B8F091" w:rsidR="0057245F" w:rsidRPr="00587DE7" w:rsidRDefault="0057245F" w:rsidP="0057245F">
      <w:pPr>
        <w:pStyle w:val="NICEnormal"/>
        <w:rPr>
          <w:highlight w:val="lightGray"/>
        </w:rPr>
      </w:pPr>
      <w:r w:rsidRPr="00587DE7">
        <w:rPr>
          <w:highlight w:val="lightGray"/>
        </w:rPr>
        <w:t>A named worker should oversee, coordinate and deliver transition support. They should be the main link with other practitioners</w:t>
      </w:r>
      <w:r w:rsidR="00F91169" w:rsidRPr="00587DE7">
        <w:rPr>
          <w:highlight w:val="lightGray"/>
        </w:rPr>
        <w:t>,</w:t>
      </w:r>
      <w:r w:rsidR="00577F2E" w:rsidRPr="00587DE7">
        <w:rPr>
          <w:highlight w:val="lightGray"/>
        </w:rPr>
        <w:t xml:space="preserve"> particularly if a young person receives care from more than one service</w:t>
      </w:r>
      <w:r w:rsidR="00F91169" w:rsidRPr="00587DE7">
        <w:rPr>
          <w:highlight w:val="lightGray"/>
        </w:rPr>
        <w:t>.</w:t>
      </w:r>
      <w:r w:rsidRPr="00587DE7">
        <w:rPr>
          <w:highlight w:val="lightGray"/>
        </w:rPr>
        <w:t xml:space="preserve"> </w:t>
      </w:r>
      <w:r w:rsidR="00F91169" w:rsidRPr="00587DE7">
        <w:rPr>
          <w:highlight w:val="lightGray"/>
        </w:rPr>
        <w:t xml:space="preserve">They should </w:t>
      </w:r>
      <w:r w:rsidRPr="00587DE7">
        <w:rPr>
          <w:highlight w:val="lightGray"/>
        </w:rPr>
        <w:t>arrang</w:t>
      </w:r>
      <w:r w:rsidR="00F91169" w:rsidRPr="00587DE7">
        <w:rPr>
          <w:highlight w:val="lightGray"/>
        </w:rPr>
        <w:t>e</w:t>
      </w:r>
      <w:r w:rsidRPr="00587DE7">
        <w:rPr>
          <w:highlight w:val="lightGray"/>
        </w:rPr>
        <w:t xml:space="preserve"> appointments for the young person, act as their representative, direct them to other services and sources of support, and support the young person’s family if appropriate.</w:t>
      </w:r>
    </w:p>
    <w:p w14:paraId="12CFA1B7" w14:textId="105C3A87" w:rsidR="00F54B23" w:rsidRPr="00587DE7" w:rsidRDefault="0057245F" w:rsidP="0057245F">
      <w:pPr>
        <w:pStyle w:val="NICEnormal"/>
        <w:rPr>
          <w:highlight w:val="lightGray"/>
        </w:rPr>
      </w:pPr>
      <w:r w:rsidRPr="00587DE7">
        <w:rPr>
          <w:highlight w:val="lightGray"/>
        </w:rPr>
        <w:t>The named worker should be involved throughout transition, supporting the young person before and after transfer until a time agreed with the young person and their family</w:t>
      </w:r>
      <w:r w:rsidR="00E5749E" w:rsidRPr="00587DE7">
        <w:rPr>
          <w:highlight w:val="lightGray"/>
        </w:rPr>
        <w:t xml:space="preserve"> or carers</w:t>
      </w:r>
      <w:r w:rsidRPr="00587DE7">
        <w:rPr>
          <w:highlight w:val="lightGray"/>
        </w:rPr>
        <w:t xml:space="preserve">. The </w:t>
      </w:r>
      <w:r w:rsidR="00F91169" w:rsidRPr="00587DE7">
        <w:rPr>
          <w:highlight w:val="lightGray"/>
        </w:rPr>
        <w:t xml:space="preserve">named worker </w:t>
      </w:r>
      <w:r w:rsidRPr="00587DE7">
        <w:rPr>
          <w:highlight w:val="lightGray"/>
        </w:rPr>
        <w:t>should hand over responsibilities to a practitioner in adults’ services (if the</w:t>
      </w:r>
      <w:r w:rsidR="00E5749E" w:rsidRPr="00587DE7">
        <w:rPr>
          <w:highlight w:val="lightGray"/>
        </w:rPr>
        <w:t xml:space="preserve"> named worke</w:t>
      </w:r>
      <w:r w:rsidR="002D69D2" w:rsidRPr="00587DE7">
        <w:rPr>
          <w:highlight w:val="lightGray"/>
        </w:rPr>
        <w:t>r</w:t>
      </w:r>
      <w:r w:rsidR="00E5749E" w:rsidRPr="00587DE7">
        <w:rPr>
          <w:highlight w:val="lightGray"/>
        </w:rPr>
        <w:t xml:space="preserve"> is</w:t>
      </w:r>
      <w:r w:rsidRPr="00587DE7">
        <w:rPr>
          <w:highlight w:val="lightGray"/>
        </w:rPr>
        <w:t xml:space="preserve"> based in children’s services)</w:t>
      </w:r>
      <w:r w:rsidR="00F62FE4" w:rsidRPr="00587DE7">
        <w:rPr>
          <w:highlight w:val="lightGray"/>
        </w:rPr>
        <w:t xml:space="preserve"> and give </w:t>
      </w:r>
      <w:r w:rsidR="00E5749E" w:rsidRPr="00587DE7">
        <w:rPr>
          <w:highlight w:val="lightGray"/>
        </w:rPr>
        <w:t>the practitioner’s</w:t>
      </w:r>
      <w:r w:rsidR="00F62FE4" w:rsidRPr="00587DE7">
        <w:rPr>
          <w:highlight w:val="lightGray"/>
        </w:rPr>
        <w:t xml:space="preserve"> details to the young person and their family </w:t>
      </w:r>
      <w:r w:rsidR="00E5749E" w:rsidRPr="00587DE7">
        <w:rPr>
          <w:highlight w:val="lightGray"/>
        </w:rPr>
        <w:t>or</w:t>
      </w:r>
      <w:r w:rsidR="00F62FE4" w:rsidRPr="00587DE7">
        <w:rPr>
          <w:highlight w:val="lightGray"/>
        </w:rPr>
        <w:t xml:space="preserve"> carers</w:t>
      </w:r>
      <w:r w:rsidRPr="00587DE7">
        <w:rPr>
          <w:highlight w:val="lightGray"/>
        </w:rPr>
        <w:t>.</w:t>
      </w:r>
      <w:r w:rsidR="003A5F5F" w:rsidRPr="00587DE7">
        <w:rPr>
          <w:highlight w:val="lightGray"/>
        </w:rPr>
        <w:t xml:space="preserve"> </w:t>
      </w:r>
    </w:p>
    <w:p w14:paraId="2D7C96CC" w14:textId="1164DA64" w:rsidR="00F54B23" w:rsidRPr="00587DE7" w:rsidRDefault="00F54B23" w:rsidP="0057245F">
      <w:pPr>
        <w:pStyle w:val="NICEnormal"/>
        <w:rPr>
          <w:highlight w:val="lightGray"/>
        </w:rPr>
      </w:pPr>
      <w:r w:rsidRPr="00587DE7">
        <w:rPr>
          <w:highlight w:val="lightGray"/>
        </w:rPr>
        <w:t>The named worker should ensure that support with education and employment</w:t>
      </w:r>
      <w:r w:rsidR="00E5749E" w:rsidRPr="00587DE7">
        <w:rPr>
          <w:highlight w:val="lightGray"/>
        </w:rPr>
        <w:t xml:space="preserve"> is offered</w:t>
      </w:r>
      <w:r w:rsidRPr="00587DE7">
        <w:rPr>
          <w:highlight w:val="lightGray"/>
        </w:rPr>
        <w:t xml:space="preserve">. For disabled young people in education, the named worker should liaise with </w:t>
      </w:r>
      <w:r w:rsidRPr="00587DE7">
        <w:rPr>
          <w:highlight w:val="lightGray"/>
        </w:rPr>
        <w:lastRenderedPageBreak/>
        <w:t>education practitioners to ensure comprehensive student</w:t>
      </w:r>
      <w:r w:rsidRPr="00587DE7">
        <w:rPr>
          <w:rFonts w:ascii="Cambria Math" w:hAnsi="Cambria Math" w:cs="Cambria Math"/>
          <w:highlight w:val="lightGray"/>
        </w:rPr>
        <w:t>‑</w:t>
      </w:r>
      <w:r w:rsidRPr="00587DE7">
        <w:rPr>
          <w:highlight w:val="lightGray"/>
        </w:rPr>
        <w:t xml:space="preserve">focused transition planning is provided. </w:t>
      </w:r>
    </w:p>
    <w:p w14:paraId="72757CB7" w14:textId="1695268E" w:rsidR="0057245F" w:rsidRPr="00587DE7" w:rsidRDefault="0057245F" w:rsidP="0057245F">
      <w:pPr>
        <w:pStyle w:val="NICEnormal"/>
        <w:rPr>
          <w:highlight w:val="lightGray"/>
        </w:rPr>
      </w:pPr>
      <w:r w:rsidRPr="00587DE7">
        <w:rPr>
          <w:highlight w:val="lightGray"/>
        </w:rPr>
        <w:t>[</w:t>
      </w:r>
      <w:bookmarkStart w:id="17" w:name="_Hlk143605877"/>
      <w:r w:rsidR="001E30D6" w:rsidRPr="00BA244D">
        <w:rPr>
          <w:highlight w:val="lightGray"/>
        </w:rPr>
        <w:fldChar w:fldCharType="begin"/>
      </w:r>
      <w:r w:rsidR="001E30D6" w:rsidRPr="00587DE7">
        <w:rPr>
          <w:highlight w:val="lightGray"/>
        </w:rPr>
        <w:instrText>HYPERLINK "https://www.nice.org.uk/guidance/ng43"</w:instrText>
      </w:r>
      <w:r w:rsidR="001E30D6" w:rsidRPr="00BA244D">
        <w:rPr>
          <w:highlight w:val="lightGray"/>
        </w:rPr>
      </w:r>
      <w:r w:rsidR="001E30D6" w:rsidRPr="00BA244D">
        <w:rPr>
          <w:highlight w:val="lightGray"/>
        </w:rPr>
        <w:fldChar w:fldCharType="separate"/>
      </w:r>
      <w:r w:rsidR="00270CB3" w:rsidRPr="00587DE7">
        <w:rPr>
          <w:rStyle w:val="Hyperlink"/>
          <w:highlight w:val="lightGray"/>
        </w:rPr>
        <w:t>NICE’s guideline on transition from children’s to adults’ services for young people using health or social care services</w:t>
      </w:r>
      <w:r w:rsidR="001E30D6" w:rsidRPr="00BA244D">
        <w:rPr>
          <w:rStyle w:val="Hyperlink"/>
          <w:highlight w:val="lightGray"/>
        </w:rPr>
        <w:fldChar w:fldCharType="end"/>
      </w:r>
      <w:r w:rsidR="00270CB3" w:rsidRPr="00587DE7">
        <w:rPr>
          <w:highlight w:val="lightGray"/>
        </w:rPr>
        <w:t xml:space="preserve">, </w:t>
      </w:r>
      <w:r w:rsidRPr="00587DE7">
        <w:rPr>
          <w:highlight w:val="lightGray"/>
        </w:rPr>
        <w:t>recommendation</w:t>
      </w:r>
      <w:bookmarkEnd w:id="17"/>
      <w:r w:rsidRPr="00587DE7">
        <w:rPr>
          <w:highlight w:val="lightGray"/>
        </w:rPr>
        <w:t>s</w:t>
      </w:r>
      <w:r w:rsidR="003A5F5F" w:rsidRPr="00587DE7">
        <w:rPr>
          <w:highlight w:val="lightGray"/>
        </w:rPr>
        <w:t> </w:t>
      </w:r>
      <w:r w:rsidRPr="00587DE7">
        <w:rPr>
          <w:highlight w:val="lightGray"/>
        </w:rPr>
        <w:t>1.2.5</w:t>
      </w:r>
      <w:r w:rsidR="003A5F5F" w:rsidRPr="00587DE7">
        <w:rPr>
          <w:highlight w:val="lightGray"/>
        </w:rPr>
        <w:t xml:space="preserve"> to </w:t>
      </w:r>
      <w:r w:rsidR="00F54B23" w:rsidRPr="00587DE7">
        <w:rPr>
          <w:highlight w:val="lightGray"/>
        </w:rPr>
        <w:t xml:space="preserve">1.2.10 </w:t>
      </w:r>
      <w:r w:rsidR="00F62FE4" w:rsidRPr="00587DE7">
        <w:rPr>
          <w:highlight w:val="lightGray"/>
        </w:rPr>
        <w:t xml:space="preserve">and </w:t>
      </w:r>
      <w:hyperlink r:id="rId31" w:history="1">
        <w:r w:rsidR="00F62FE4" w:rsidRPr="00587DE7">
          <w:rPr>
            <w:rStyle w:val="Hyperlink"/>
            <w:highlight w:val="lightGray"/>
          </w:rPr>
          <w:t>NICE’s guideline on disabled children and young people up to 25 with severe complex needs</w:t>
        </w:r>
      </w:hyperlink>
      <w:r w:rsidR="00F62FE4" w:rsidRPr="00587DE7">
        <w:rPr>
          <w:highlight w:val="lightGray"/>
        </w:rPr>
        <w:t>, recommendation 1.8.12</w:t>
      </w:r>
      <w:r w:rsidRPr="00587DE7">
        <w:rPr>
          <w:highlight w:val="lightGray"/>
        </w:rPr>
        <w:t>]</w:t>
      </w:r>
    </w:p>
    <w:p w14:paraId="23258FC8" w14:textId="77777777" w:rsidR="008B01A8" w:rsidRPr="00587DE7" w:rsidRDefault="008B01A8" w:rsidP="008B01A8">
      <w:pPr>
        <w:pStyle w:val="Heading2"/>
        <w:rPr>
          <w:highlight w:val="lightGray"/>
        </w:rPr>
      </w:pPr>
      <w:r w:rsidRPr="00587DE7">
        <w:rPr>
          <w:highlight w:val="lightGray"/>
        </w:rPr>
        <w:t>Equality and diversity considerations</w:t>
      </w:r>
    </w:p>
    <w:p w14:paraId="7309A965" w14:textId="19426571" w:rsidR="008B01A8" w:rsidRDefault="008B01A8" w:rsidP="008B01A8">
      <w:pPr>
        <w:pStyle w:val="NICEnormal"/>
      </w:pPr>
      <w:r w:rsidRPr="00587DE7">
        <w:rPr>
          <w:highlight w:val="lightGray"/>
        </w:rPr>
        <w:t xml:space="preserve">Service managers should ensure a range of </w:t>
      </w:r>
      <w:r w:rsidR="001771B5" w:rsidRPr="00587DE7">
        <w:rPr>
          <w:highlight w:val="lightGray"/>
        </w:rPr>
        <w:t>support</w:t>
      </w:r>
      <w:r w:rsidRPr="00587DE7">
        <w:rPr>
          <w:highlight w:val="lightGray"/>
        </w:rPr>
        <w:t xml:space="preserve"> is available, and used, to help young people communicate effectively with the named worker. This could include</w:t>
      </w:r>
      <w:r w:rsidR="00AE5DD2" w:rsidRPr="00587DE7">
        <w:rPr>
          <w:highlight w:val="lightGray"/>
        </w:rPr>
        <w:t xml:space="preserve"> </w:t>
      </w:r>
      <w:r w:rsidRPr="00587DE7">
        <w:rPr>
          <w:highlight w:val="lightGray"/>
        </w:rPr>
        <w:t>having a written record of how a young person communicates, such as a communication passport or 1-page profile</w:t>
      </w:r>
      <w:r w:rsidR="00AE5DD2" w:rsidRPr="00587DE7">
        <w:rPr>
          <w:highlight w:val="lightGray"/>
        </w:rPr>
        <w:t>, and</w:t>
      </w:r>
      <w:r w:rsidRPr="00587DE7">
        <w:rPr>
          <w:highlight w:val="lightGray"/>
        </w:rPr>
        <w:t xml:space="preserve"> different ways to help the young person communicate</w:t>
      </w:r>
      <w:r w:rsidR="00AE5DD2" w:rsidRPr="00587DE7">
        <w:rPr>
          <w:highlight w:val="lightGray"/>
        </w:rPr>
        <w:t>,</w:t>
      </w:r>
      <w:r w:rsidRPr="00587DE7">
        <w:rPr>
          <w:highlight w:val="lightGray"/>
        </w:rPr>
        <w:t xml:space="preserve"> such as communication boards and digital communication tools. [</w:t>
      </w:r>
      <w:hyperlink r:id="rId32" w:history="1">
        <w:r w:rsidRPr="00587DE7">
          <w:rPr>
            <w:rStyle w:val="Hyperlink"/>
            <w:highlight w:val="lightGray"/>
          </w:rPr>
          <w:t>NICE’s guideline on transition from children’s to adults’ services for young people using health or social care services</w:t>
        </w:r>
      </w:hyperlink>
      <w:r w:rsidRPr="00587DE7">
        <w:rPr>
          <w:highlight w:val="lightGray"/>
        </w:rPr>
        <w:t>, recommendation 1.2.12]</w:t>
      </w:r>
    </w:p>
    <w:p w14:paraId="203E7C0F" w14:textId="77777777" w:rsidR="0057245F" w:rsidRDefault="0057245F" w:rsidP="0057245F">
      <w:pPr>
        <w:rPr>
          <w:rFonts w:ascii="Arial" w:hAnsi="Arial" w:cs="Arial"/>
          <w:b/>
          <w:bCs/>
          <w:kern w:val="32"/>
          <w:sz w:val="32"/>
          <w:szCs w:val="32"/>
        </w:rPr>
      </w:pPr>
      <w:r>
        <w:br w:type="page"/>
      </w:r>
    </w:p>
    <w:p w14:paraId="1829FD6E" w14:textId="4E3DA62F" w:rsidR="0057245F" w:rsidRPr="00740652" w:rsidRDefault="0057245F" w:rsidP="0057245F">
      <w:pPr>
        <w:pStyle w:val="Heading1"/>
        <w:rPr>
          <w:highlight w:val="lightGray"/>
        </w:rPr>
      </w:pPr>
      <w:bookmarkStart w:id="18" w:name="_Quality_statement_4:"/>
      <w:bookmarkStart w:id="19" w:name="_Quality_statement_45:"/>
      <w:bookmarkEnd w:id="18"/>
      <w:bookmarkEnd w:id="19"/>
      <w:r w:rsidRPr="00740652">
        <w:rPr>
          <w:highlight w:val="lightGray"/>
        </w:rPr>
        <w:lastRenderedPageBreak/>
        <w:t xml:space="preserve">Quality statement </w:t>
      </w:r>
      <w:r w:rsidR="00236760" w:rsidRPr="00740652">
        <w:rPr>
          <w:highlight w:val="lightGray"/>
        </w:rPr>
        <w:t>5</w:t>
      </w:r>
      <w:r w:rsidRPr="00740652">
        <w:rPr>
          <w:highlight w:val="lightGray"/>
        </w:rPr>
        <w:t xml:space="preserve">: </w:t>
      </w:r>
      <w:r w:rsidR="00086225" w:rsidRPr="00740652">
        <w:rPr>
          <w:highlight w:val="lightGray"/>
        </w:rPr>
        <w:t>Meeting a practitioner in</w:t>
      </w:r>
      <w:r w:rsidRPr="00740652">
        <w:rPr>
          <w:highlight w:val="lightGray"/>
        </w:rPr>
        <w:t xml:space="preserve"> adults’ services</w:t>
      </w:r>
    </w:p>
    <w:p w14:paraId="1DEC1E5C" w14:textId="77777777" w:rsidR="0057245F" w:rsidRPr="00740652" w:rsidRDefault="0057245F" w:rsidP="0057245F">
      <w:pPr>
        <w:pStyle w:val="Heading2"/>
        <w:rPr>
          <w:highlight w:val="lightGray"/>
        </w:rPr>
      </w:pPr>
      <w:r w:rsidRPr="00740652">
        <w:rPr>
          <w:highlight w:val="lightGray"/>
        </w:rPr>
        <w:t>Quality statement</w:t>
      </w:r>
    </w:p>
    <w:p w14:paraId="06556825" w14:textId="6B42A54F" w:rsidR="0057245F" w:rsidRPr="00740652" w:rsidRDefault="0057245F" w:rsidP="0057245F">
      <w:pPr>
        <w:pStyle w:val="NICEnormal"/>
        <w:rPr>
          <w:highlight w:val="lightGray"/>
        </w:rPr>
      </w:pPr>
      <w:r w:rsidRPr="00740652">
        <w:rPr>
          <w:highlight w:val="lightGray"/>
        </w:rPr>
        <w:t xml:space="preserve">Young people who </w:t>
      </w:r>
      <w:r w:rsidR="000B5B29" w:rsidRPr="00740652">
        <w:rPr>
          <w:highlight w:val="lightGray"/>
        </w:rPr>
        <w:t>are</w:t>
      </w:r>
      <w:r w:rsidRPr="00740652">
        <w:rPr>
          <w:highlight w:val="lightGray"/>
        </w:rPr>
        <w:t xml:space="preserve"> mov</w:t>
      </w:r>
      <w:r w:rsidR="000B5B29" w:rsidRPr="00740652">
        <w:rPr>
          <w:highlight w:val="lightGray"/>
        </w:rPr>
        <w:t>ing</w:t>
      </w:r>
      <w:r w:rsidRPr="00740652">
        <w:rPr>
          <w:highlight w:val="lightGray"/>
        </w:rPr>
        <w:t xml:space="preserve"> from children’s to adults’ services meet a practitioner from each adults’ service they will move to before they transfer</w:t>
      </w:r>
      <w:r w:rsidR="00DF6622" w:rsidRPr="00740652">
        <w:rPr>
          <w:highlight w:val="lightGray"/>
        </w:rPr>
        <w:t xml:space="preserve">. </w:t>
      </w:r>
      <w:r w:rsidR="009A0647" w:rsidRPr="00740652">
        <w:rPr>
          <w:b/>
          <w:bCs/>
          <w:highlight w:val="lightGray"/>
        </w:rPr>
        <w:t>[2016</w:t>
      </w:r>
      <w:r w:rsidR="00DA3F0C" w:rsidRPr="00740652">
        <w:rPr>
          <w:b/>
          <w:bCs/>
          <w:highlight w:val="lightGray"/>
        </w:rPr>
        <w:t>, updated 2023</w:t>
      </w:r>
      <w:r w:rsidR="009A0647" w:rsidRPr="00740652">
        <w:rPr>
          <w:b/>
          <w:bCs/>
          <w:highlight w:val="lightGray"/>
        </w:rPr>
        <w:t>]</w:t>
      </w:r>
    </w:p>
    <w:p w14:paraId="15891A2D" w14:textId="77777777" w:rsidR="0057245F" w:rsidRPr="00740652" w:rsidRDefault="0057245F" w:rsidP="0057245F">
      <w:pPr>
        <w:pStyle w:val="Heading2"/>
        <w:rPr>
          <w:highlight w:val="lightGray"/>
        </w:rPr>
      </w:pPr>
      <w:r w:rsidRPr="00740652">
        <w:rPr>
          <w:highlight w:val="lightGray"/>
        </w:rPr>
        <w:t xml:space="preserve">Rationale </w:t>
      </w:r>
    </w:p>
    <w:p w14:paraId="47BDF5CE" w14:textId="4270040B" w:rsidR="0057245F" w:rsidRPr="00740652" w:rsidRDefault="0057245F" w:rsidP="0057245F">
      <w:pPr>
        <w:pStyle w:val="NICEnormal"/>
        <w:rPr>
          <w:highlight w:val="lightGray"/>
        </w:rPr>
      </w:pPr>
      <w:r w:rsidRPr="00740652">
        <w:rPr>
          <w:highlight w:val="lightGray"/>
        </w:rPr>
        <w:t>Young people</w:t>
      </w:r>
      <w:r w:rsidR="00DA3F0C" w:rsidRPr="00740652">
        <w:rPr>
          <w:highlight w:val="lightGray"/>
        </w:rPr>
        <w:t>, and their families and carers,</w:t>
      </w:r>
      <w:r w:rsidRPr="00740652">
        <w:rPr>
          <w:highlight w:val="lightGray"/>
        </w:rPr>
        <w:t xml:space="preserve"> may feel unsure about moving to </w:t>
      </w:r>
      <w:r w:rsidR="00C305DA" w:rsidRPr="00740652">
        <w:rPr>
          <w:highlight w:val="lightGray"/>
        </w:rPr>
        <w:t>adults’</w:t>
      </w:r>
      <w:r w:rsidRPr="00740652">
        <w:rPr>
          <w:highlight w:val="lightGray"/>
        </w:rPr>
        <w:t xml:space="preserve"> service</w:t>
      </w:r>
      <w:r w:rsidR="00C305DA" w:rsidRPr="00740652">
        <w:rPr>
          <w:highlight w:val="lightGray"/>
        </w:rPr>
        <w:t>s</w:t>
      </w:r>
      <w:r w:rsidRPr="00740652">
        <w:rPr>
          <w:highlight w:val="lightGray"/>
        </w:rPr>
        <w:t xml:space="preserve">, especially if they have been with children’s services for a while. Meeting a practitioner who will take a lead role in their future care, at least once, from each of the adults’ services they will move to can help build a young person’s confidence, reduce their concerns and increase their willingness to </w:t>
      </w:r>
      <w:r w:rsidR="00C305DA" w:rsidRPr="00740652">
        <w:rPr>
          <w:highlight w:val="lightGray"/>
        </w:rPr>
        <w:t>have new</w:t>
      </w:r>
      <w:r w:rsidRPr="00740652">
        <w:rPr>
          <w:highlight w:val="lightGray"/>
        </w:rPr>
        <w:t xml:space="preserve"> practitioner</w:t>
      </w:r>
      <w:r w:rsidR="00C305DA" w:rsidRPr="00740652">
        <w:rPr>
          <w:highlight w:val="lightGray"/>
        </w:rPr>
        <w:t>s</w:t>
      </w:r>
      <w:r w:rsidRPr="00740652">
        <w:rPr>
          <w:highlight w:val="lightGray"/>
        </w:rPr>
        <w:t xml:space="preserve"> involved in their care. This can lead to a smoother transition for the young person and more regular attendance </w:t>
      </w:r>
      <w:r w:rsidR="00C305DA" w:rsidRPr="00740652">
        <w:rPr>
          <w:highlight w:val="lightGray"/>
        </w:rPr>
        <w:t xml:space="preserve">at appointments </w:t>
      </w:r>
      <w:r w:rsidRPr="00740652">
        <w:rPr>
          <w:highlight w:val="lightGray"/>
        </w:rPr>
        <w:t>in adults’ services</w:t>
      </w:r>
      <w:r w:rsidR="004B5902" w:rsidRPr="00740652">
        <w:rPr>
          <w:highlight w:val="lightGray"/>
        </w:rPr>
        <w:t>,</w:t>
      </w:r>
      <w:r w:rsidRPr="00740652">
        <w:rPr>
          <w:highlight w:val="lightGray"/>
        </w:rPr>
        <w:t xml:space="preserve"> </w:t>
      </w:r>
      <w:r w:rsidR="00C305DA" w:rsidRPr="00740652">
        <w:rPr>
          <w:highlight w:val="lightGray"/>
        </w:rPr>
        <w:t>with</w:t>
      </w:r>
      <w:r w:rsidRPr="00740652">
        <w:rPr>
          <w:highlight w:val="lightGray"/>
        </w:rPr>
        <w:t xml:space="preserve"> better outcomes.</w:t>
      </w:r>
    </w:p>
    <w:p w14:paraId="5D8BC849" w14:textId="77777777" w:rsidR="0057245F" w:rsidRPr="00740652" w:rsidRDefault="0057245F" w:rsidP="0057245F">
      <w:pPr>
        <w:pStyle w:val="Heading2"/>
        <w:rPr>
          <w:highlight w:val="lightGray"/>
        </w:rPr>
      </w:pPr>
      <w:r w:rsidRPr="00740652">
        <w:rPr>
          <w:highlight w:val="lightGray"/>
        </w:rPr>
        <w:t>Quality measures</w:t>
      </w:r>
    </w:p>
    <w:p w14:paraId="2E670557" w14:textId="16CB0131" w:rsidR="009A0647" w:rsidRPr="00740652" w:rsidRDefault="009A0647" w:rsidP="00DA3F0C">
      <w:pPr>
        <w:pStyle w:val="NICEnormal"/>
        <w:rPr>
          <w:highlight w:val="lightGray"/>
        </w:rPr>
      </w:pPr>
      <w:r w:rsidRPr="00740652">
        <w:rPr>
          <w:highlight w:val="lightGray"/>
        </w:rPr>
        <w:t>The following measures can be used to assess the quality of care or service provision specified in the statement. They are examples of how the statement can be measured, and can be adapted and used flexibly.</w:t>
      </w:r>
    </w:p>
    <w:p w14:paraId="07BF8CE5" w14:textId="77777777" w:rsidR="0057245F" w:rsidRPr="00740652" w:rsidRDefault="0057245F" w:rsidP="0057245F">
      <w:pPr>
        <w:pStyle w:val="Heading3"/>
        <w:rPr>
          <w:highlight w:val="lightGray"/>
        </w:rPr>
      </w:pPr>
      <w:r w:rsidRPr="00740652">
        <w:rPr>
          <w:highlight w:val="lightGray"/>
        </w:rPr>
        <w:t>Process</w:t>
      </w:r>
    </w:p>
    <w:p w14:paraId="5A8CDD12" w14:textId="68AAF5EB" w:rsidR="0057245F" w:rsidRPr="00740652" w:rsidRDefault="0057245F" w:rsidP="0057245F">
      <w:pPr>
        <w:pStyle w:val="NICEnormal"/>
        <w:rPr>
          <w:highlight w:val="lightGray"/>
        </w:rPr>
      </w:pPr>
      <w:r w:rsidRPr="00740652">
        <w:rPr>
          <w:highlight w:val="lightGray"/>
        </w:rPr>
        <w:t>Proportion of young people who moved from children’s to adults’ services who met a practitioner from each adults’ service they move</w:t>
      </w:r>
      <w:r w:rsidR="00C12F6F" w:rsidRPr="00740652">
        <w:rPr>
          <w:highlight w:val="lightGray"/>
        </w:rPr>
        <w:t>d</w:t>
      </w:r>
      <w:r w:rsidRPr="00740652">
        <w:rPr>
          <w:highlight w:val="lightGray"/>
        </w:rPr>
        <w:t xml:space="preserve"> to before they transferred.</w:t>
      </w:r>
    </w:p>
    <w:p w14:paraId="6909D800" w14:textId="77777777" w:rsidR="0057245F" w:rsidRPr="00740652" w:rsidRDefault="0057245F" w:rsidP="0057245F">
      <w:pPr>
        <w:pStyle w:val="NICEnormal"/>
        <w:rPr>
          <w:highlight w:val="lightGray"/>
        </w:rPr>
      </w:pPr>
      <w:r w:rsidRPr="00740652">
        <w:rPr>
          <w:highlight w:val="lightGray"/>
        </w:rPr>
        <w:t>Numerator – the number in the denominator who met a practitioner from each adults’ service they moved to before they transferred.</w:t>
      </w:r>
    </w:p>
    <w:p w14:paraId="39B05762" w14:textId="77777777" w:rsidR="0057245F" w:rsidRPr="00740652" w:rsidRDefault="0057245F" w:rsidP="0057245F">
      <w:pPr>
        <w:pStyle w:val="NICEnormal"/>
        <w:rPr>
          <w:highlight w:val="lightGray"/>
        </w:rPr>
      </w:pPr>
      <w:r w:rsidRPr="00740652">
        <w:rPr>
          <w:highlight w:val="lightGray"/>
        </w:rPr>
        <w:t>Denominator – the number of young people who moved from children’s to adults’ services.</w:t>
      </w:r>
    </w:p>
    <w:p w14:paraId="0AA5AF8E" w14:textId="393A2FBD" w:rsidR="00DB5769" w:rsidRPr="00740652" w:rsidRDefault="0057245F" w:rsidP="0057245F">
      <w:pPr>
        <w:pStyle w:val="NICEnormal"/>
        <w:rPr>
          <w:highlight w:val="lightGray"/>
        </w:rPr>
      </w:pPr>
      <w:r w:rsidRPr="00740652">
        <w:rPr>
          <w:b/>
          <w:bCs/>
          <w:highlight w:val="lightGray"/>
        </w:rPr>
        <w:t xml:space="preserve">Data source: </w:t>
      </w:r>
      <w:bookmarkStart w:id="20" w:name="_Hlk143443630"/>
      <w:r w:rsidR="009A0647" w:rsidRPr="00740652">
        <w:rPr>
          <w:highlight w:val="lightGray"/>
        </w:rPr>
        <w:t>Data can be collected from information recorded locally by healthcare professionals and provider organisations, for example from patient records</w:t>
      </w:r>
      <w:bookmarkEnd w:id="20"/>
      <w:r w:rsidRPr="00740652">
        <w:rPr>
          <w:highlight w:val="lightGray"/>
        </w:rPr>
        <w:t>.</w:t>
      </w:r>
      <w:r w:rsidR="00DB5769" w:rsidRPr="00740652">
        <w:rPr>
          <w:highlight w:val="lightGray"/>
        </w:rPr>
        <w:t xml:space="preserve"> Data on </w:t>
      </w:r>
      <w:r w:rsidR="00DB5769" w:rsidRPr="00740652">
        <w:rPr>
          <w:highlight w:val="lightGray"/>
        </w:rPr>
        <w:lastRenderedPageBreak/>
        <w:t xml:space="preserve">attendance at a joint transition clinic is included in the </w:t>
      </w:r>
      <w:hyperlink r:id="rId33" w:history="1">
        <w:r w:rsidR="00DB5769" w:rsidRPr="00740652">
          <w:rPr>
            <w:rStyle w:val="Hyperlink"/>
            <w:highlight w:val="lightGray"/>
          </w:rPr>
          <w:t>National Confidential Enquiry into Patient Outcome and Death transition from child into adult healthcare audit toolkit</w:t>
        </w:r>
      </w:hyperlink>
      <w:r w:rsidR="00704E28" w:rsidRPr="00740652">
        <w:rPr>
          <w:highlight w:val="lightGray"/>
        </w:rPr>
        <w:t xml:space="preserve"> which can be implemented locally.</w:t>
      </w:r>
    </w:p>
    <w:p w14:paraId="70742597" w14:textId="77777777" w:rsidR="006378C6" w:rsidRPr="00740652" w:rsidRDefault="006378C6" w:rsidP="006378C6">
      <w:pPr>
        <w:pStyle w:val="Heading3"/>
        <w:rPr>
          <w:highlight w:val="lightGray"/>
        </w:rPr>
      </w:pPr>
      <w:r w:rsidRPr="00740652">
        <w:rPr>
          <w:highlight w:val="lightGray"/>
        </w:rPr>
        <w:t>Outcome</w:t>
      </w:r>
    </w:p>
    <w:p w14:paraId="69702B0A" w14:textId="2F6B89C8" w:rsidR="009A0647" w:rsidRPr="00740652" w:rsidRDefault="009A0647" w:rsidP="00704E28">
      <w:pPr>
        <w:pStyle w:val="NICEnormal"/>
        <w:rPr>
          <w:highlight w:val="lightGray"/>
        </w:rPr>
      </w:pPr>
      <w:r w:rsidRPr="00740652">
        <w:rPr>
          <w:highlight w:val="lightGray"/>
        </w:rPr>
        <w:t>a) Proportion of young people (and their families and carers) who have transferred from children’s to adults’ services, who were satisfied with planning for transition and transfer.</w:t>
      </w:r>
    </w:p>
    <w:p w14:paraId="0F301972" w14:textId="77777777" w:rsidR="009A0647" w:rsidRPr="00740652" w:rsidRDefault="009A0647" w:rsidP="009A0647">
      <w:pPr>
        <w:pStyle w:val="NICEnormal"/>
        <w:rPr>
          <w:highlight w:val="lightGray"/>
        </w:rPr>
      </w:pPr>
      <w:r w:rsidRPr="00740652">
        <w:rPr>
          <w:highlight w:val="lightGray"/>
        </w:rPr>
        <w:t>Numerator – the number in the denominator who were satisfied with planning for transition and transfer.</w:t>
      </w:r>
    </w:p>
    <w:p w14:paraId="434CD2BA" w14:textId="77777777" w:rsidR="009A0647" w:rsidRPr="00740652" w:rsidRDefault="009A0647" w:rsidP="009A0647">
      <w:pPr>
        <w:pStyle w:val="NICEnormal"/>
        <w:rPr>
          <w:highlight w:val="lightGray"/>
        </w:rPr>
      </w:pPr>
      <w:r w:rsidRPr="00740652">
        <w:rPr>
          <w:highlight w:val="lightGray"/>
        </w:rPr>
        <w:t>Denominator – the number of young people (and their families and carers) who have transferred from children’s to adults’ services.</w:t>
      </w:r>
    </w:p>
    <w:p w14:paraId="753CF8C4" w14:textId="45B85EF1" w:rsidR="009A0647" w:rsidRPr="00740652" w:rsidRDefault="009A0647" w:rsidP="009A0647">
      <w:pPr>
        <w:pStyle w:val="NICEnormal"/>
        <w:rPr>
          <w:highlight w:val="lightGray"/>
        </w:rPr>
      </w:pPr>
      <w:r w:rsidRPr="00740652">
        <w:rPr>
          <w:b/>
          <w:bCs/>
          <w:highlight w:val="lightGray"/>
        </w:rPr>
        <w:t>Data source:</w:t>
      </w:r>
      <w:r w:rsidRPr="00740652">
        <w:rPr>
          <w:highlight w:val="lightGray"/>
        </w:rPr>
        <w:t xml:space="preserve"> Data can be collected from information recorded locally by healthcare professionals and provider organisations, for example from patient survey.</w:t>
      </w:r>
      <w:r w:rsidR="002F1814" w:rsidRPr="00740652">
        <w:rPr>
          <w:rStyle w:val="NICEnormalChar"/>
          <w:highlight w:val="lightGray"/>
        </w:rPr>
        <w:t xml:space="preserve"> </w:t>
      </w:r>
      <w:r w:rsidR="00704E28" w:rsidRPr="00740652">
        <w:rPr>
          <w:rStyle w:val="NICEnormalChar"/>
          <w:highlight w:val="lightGray"/>
        </w:rPr>
        <w:t xml:space="preserve">Resources to support this include the </w:t>
      </w:r>
      <w:hyperlink r:id="rId34" w:history="1">
        <w:r w:rsidR="002F1814" w:rsidRPr="00740652">
          <w:rPr>
            <w:rStyle w:val="Hyperlink"/>
            <w:highlight w:val="lightGray"/>
          </w:rPr>
          <w:t>TIER Ready, Steady, Go programme</w:t>
        </w:r>
      </w:hyperlink>
      <w:r w:rsidR="002F1814" w:rsidRPr="00740652">
        <w:rPr>
          <w:rStyle w:val="NICEnormalChar"/>
          <w:highlight w:val="lightGray"/>
        </w:rPr>
        <w:t xml:space="preserve"> </w:t>
      </w:r>
      <w:r w:rsidR="00704E28" w:rsidRPr="00740652">
        <w:rPr>
          <w:rStyle w:val="NICEnormalChar"/>
          <w:highlight w:val="lightGray"/>
        </w:rPr>
        <w:t xml:space="preserve">which </w:t>
      </w:r>
      <w:r w:rsidR="002F1814" w:rsidRPr="00740652">
        <w:rPr>
          <w:rStyle w:val="NICEnormalChar"/>
          <w:highlight w:val="lightGray"/>
        </w:rPr>
        <w:t xml:space="preserve">includes feedback on transition planning in its questionnaires for young people and their </w:t>
      </w:r>
      <w:r w:rsidR="0043715C" w:rsidRPr="00740652">
        <w:rPr>
          <w:rStyle w:val="NICEnormalChar"/>
          <w:highlight w:val="lightGray"/>
        </w:rPr>
        <w:t xml:space="preserve">families and </w:t>
      </w:r>
      <w:r w:rsidR="002F1814" w:rsidRPr="00740652">
        <w:rPr>
          <w:rStyle w:val="NICEnormalChar"/>
          <w:highlight w:val="lightGray"/>
        </w:rPr>
        <w:t xml:space="preserve">carers. </w:t>
      </w:r>
      <w:r w:rsidR="00704E28" w:rsidRPr="00740652">
        <w:rPr>
          <w:rStyle w:val="NICEnormalChar"/>
          <w:highlight w:val="lightGray"/>
        </w:rPr>
        <w:t>Also, t</w:t>
      </w:r>
      <w:r w:rsidR="002F1814" w:rsidRPr="00740652">
        <w:rPr>
          <w:highlight w:val="lightGray"/>
        </w:rPr>
        <w:t xml:space="preserve">he </w:t>
      </w:r>
      <w:hyperlink r:id="rId35" w:history="1">
        <w:r w:rsidR="002F1814" w:rsidRPr="00740652">
          <w:rPr>
            <w:rStyle w:val="Hyperlink"/>
            <w:highlight w:val="lightGray"/>
          </w:rPr>
          <w:t>National Confidential Enquiry into Patient Outcome and Death transition from child into adult healthcare young person and parent carer survey</w:t>
        </w:r>
      </w:hyperlink>
      <w:r w:rsidR="002F1814" w:rsidRPr="00740652">
        <w:rPr>
          <w:highlight w:val="lightGray"/>
        </w:rPr>
        <w:t xml:space="preserve"> includes questions on transition planning.</w:t>
      </w:r>
    </w:p>
    <w:p w14:paraId="3F20772E" w14:textId="77777777" w:rsidR="009A0647" w:rsidRPr="00740652" w:rsidRDefault="009A0647" w:rsidP="009A0647">
      <w:pPr>
        <w:pStyle w:val="NICEnormal"/>
        <w:rPr>
          <w:highlight w:val="lightGray"/>
        </w:rPr>
      </w:pPr>
      <w:r w:rsidRPr="00740652">
        <w:rPr>
          <w:highlight w:val="lightGray"/>
        </w:rPr>
        <w:t>b) Proportion of young people who have transferred from children’s to adults’ services, who do not attend their initial meetings or appointments with each adults’ service.</w:t>
      </w:r>
    </w:p>
    <w:p w14:paraId="5B8902D7" w14:textId="77777777" w:rsidR="009A0647" w:rsidRPr="00740652" w:rsidRDefault="009A0647" w:rsidP="009A0647">
      <w:pPr>
        <w:pStyle w:val="NICEnormal"/>
        <w:rPr>
          <w:highlight w:val="lightGray"/>
        </w:rPr>
      </w:pPr>
      <w:r w:rsidRPr="00740652">
        <w:rPr>
          <w:highlight w:val="lightGray"/>
        </w:rPr>
        <w:t>Numerator – the number in the denominator who do not attend their initial meetings or appointments with each adults’ service.</w:t>
      </w:r>
    </w:p>
    <w:p w14:paraId="323ED7DC" w14:textId="77777777" w:rsidR="009A0647" w:rsidRPr="00740652" w:rsidRDefault="009A0647" w:rsidP="009A0647">
      <w:pPr>
        <w:pStyle w:val="NICEnormal"/>
        <w:rPr>
          <w:highlight w:val="lightGray"/>
        </w:rPr>
      </w:pPr>
      <w:r w:rsidRPr="00740652">
        <w:rPr>
          <w:highlight w:val="lightGray"/>
        </w:rPr>
        <w:t>Denominator – the number of young people who have transferred from children’s to adults’ services.</w:t>
      </w:r>
    </w:p>
    <w:p w14:paraId="2FEBE006" w14:textId="61D6234F" w:rsidR="009A0647" w:rsidRPr="00740652" w:rsidRDefault="009A0647" w:rsidP="009A0647">
      <w:pPr>
        <w:pStyle w:val="NICEnormal"/>
        <w:rPr>
          <w:highlight w:val="lightGray"/>
        </w:rPr>
      </w:pPr>
      <w:r w:rsidRPr="00740652">
        <w:rPr>
          <w:b/>
          <w:bCs/>
          <w:highlight w:val="lightGray"/>
        </w:rPr>
        <w:t>Data source:</w:t>
      </w:r>
      <w:r w:rsidRPr="00740652">
        <w:rPr>
          <w:highlight w:val="lightGray"/>
        </w:rPr>
        <w:t xml:space="preserve"> Data can be collected from information recorded locally by healthcare professionals and provider organisations, for example from patient records. For measurement purposes</w:t>
      </w:r>
      <w:r w:rsidR="00704E28" w:rsidRPr="00740652">
        <w:rPr>
          <w:highlight w:val="lightGray"/>
        </w:rPr>
        <w:t>,</w:t>
      </w:r>
      <w:r w:rsidRPr="00740652">
        <w:rPr>
          <w:highlight w:val="lightGray"/>
        </w:rPr>
        <w:t xml:space="preserve"> this could be defined as the first </w:t>
      </w:r>
      <w:r w:rsidR="00704E28" w:rsidRPr="00740652">
        <w:rPr>
          <w:highlight w:val="lightGray"/>
        </w:rPr>
        <w:t>3</w:t>
      </w:r>
      <w:r w:rsidRPr="00740652">
        <w:rPr>
          <w:highlight w:val="lightGray"/>
        </w:rPr>
        <w:t xml:space="preserve"> meetings </w:t>
      </w:r>
      <w:r w:rsidR="00704E28" w:rsidRPr="00740652">
        <w:rPr>
          <w:highlight w:val="lightGray"/>
        </w:rPr>
        <w:t xml:space="preserve">or appointments </w:t>
      </w:r>
      <w:r w:rsidRPr="00740652">
        <w:rPr>
          <w:highlight w:val="lightGray"/>
        </w:rPr>
        <w:t xml:space="preserve">in </w:t>
      </w:r>
      <w:r w:rsidR="00704E28" w:rsidRPr="00740652">
        <w:rPr>
          <w:highlight w:val="lightGray"/>
        </w:rPr>
        <w:t xml:space="preserve">each </w:t>
      </w:r>
      <w:r w:rsidRPr="00740652">
        <w:rPr>
          <w:highlight w:val="lightGray"/>
        </w:rPr>
        <w:t>adults’ service.</w:t>
      </w:r>
    </w:p>
    <w:p w14:paraId="06FE1C80" w14:textId="77777777" w:rsidR="009A0647" w:rsidRPr="00740652" w:rsidRDefault="009A0647" w:rsidP="009A0647">
      <w:pPr>
        <w:pStyle w:val="NICEnormal"/>
        <w:rPr>
          <w:highlight w:val="lightGray"/>
        </w:rPr>
      </w:pPr>
      <w:bookmarkStart w:id="21" w:name="_Hlk143444243"/>
      <w:r w:rsidRPr="00740652">
        <w:rPr>
          <w:highlight w:val="lightGray"/>
        </w:rPr>
        <w:lastRenderedPageBreak/>
        <w:t xml:space="preserve">c) Proportion of young people attending adults’ services after transfer from children’s services who continue to engage with services. </w:t>
      </w:r>
    </w:p>
    <w:p w14:paraId="5D981791" w14:textId="77777777" w:rsidR="009A0647" w:rsidRPr="00740652" w:rsidRDefault="009A0647" w:rsidP="009A0647">
      <w:pPr>
        <w:pStyle w:val="NICEnormal"/>
        <w:rPr>
          <w:highlight w:val="lightGray"/>
        </w:rPr>
      </w:pPr>
      <w:r w:rsidRPr="00740652">
        <w:rPr>
          <w:highlight w:val="lightGray"/>
        </w:rPr>
        <w:t>Numerator – the number in the denominator who continue to engage with services.</w:t>
      </w:r>
    </w:p>
    <w:p w14:paraId="2ECCF0F1" w14:textId="77777777" w:rsidR="009A0647" w:rsidRPr="00740652" w:rsidRDefault="009A0647" w:rsidP="009A0647">
      <w:pPr>
        <w:pStyle w:val="NICEnormal"/>
        <w:rPr>
          <w:highlight w:val="lightGray"/>
        </w:rPr>
      </w:pPr>
      <w:r w:rsidRPr="00740652">
        <w:rPr>
          <w:highlight w:val="lightGray"/>
        </w:rPr>
        <w:t>Denominator – the number of young people attending adults’ services after transfer from children’s services.</w:t>
      </w:r>
    </w:p>
    <w:p w14:paraId="51FB944E" w14:textId="2666FC1C" w:rsidR="009A0647" w:rsidRPr="00740652" w:rsidRDefault="009A0647" w:rsidP="009A0647">
      <w:pPr>
        <w:pStyle w:val="NICEnormal"/>
        <w:rPr>
          <w:highlight w:val="lightGray"/>
        </w:rPr>
      </w:pPr>
      <w:r w:rsidRPr="00740652">
        <w:rPr>
          <w:b/>
          <w:bCs/>
          <w:highlight w:val="lightGray"/>
        </w:rPr>
        <w:t>Data source:</w:t>
      </w:r>
      <w:r w:rsidRPr="00740652">
        <w:rPr>
          <w:highlight w:val="lightGray"/>
        </w:rPr>
        <w:t xml:space="preserve"> Data can be collected from information recorded locally by healthcare professionals and provider organisations, for example from patient records. For measurement purposes</w:t>
      </w:r>
      <w:r w:rsidR="00704E28" w:rsidRPr="00740652">
        <w:rPr>
          <w:highlight w:val="lightGray"/>
        </w:rPr>
        <w:t>,</w:t>
      </w:r>
      <w:r w:rsidRPr="00740652">
        <w:rPr>
          <w:highlight w:val="lightGray"/>
        </w:rPr>
        <w:t xml:space="preserve"> this could be defined as engagement at 1 year after transfer</w:t>
      </w:r>
      <w:bookmarkEnd w:id="21"/>
      <w:r w:rsidRPr="00740652">
        <w:rPr>
          <w:highlight w:val="lightGray"/>
        </w:rPr>
        <w:t>.</w:t>
      </w:r>
    </w:p>
    <w:p w14:paraId="1248D9C3" w14:textId="313642B4" w:rsidR="0057245F" w:rsidRPr="00740652" w:rsidRDefault="0057245F" w:rsidP="0057245F">
      <w:pPr>
        <w:pStyle w:val="Heading2"/>
        <w:rPr>
          <w:highlight w:val="lightGray"/>
        </w:rPr>
      </w:pPr>
      <w:r w:rsidRPr="00740652">
        <w:rPr>
          <w:highlight w:val="lightGray"/>
        </w:rPr>
        <w:t xml:space="preserve">What the quality statement means for </w:t>
      </w:r>
      <w:r w:rsidR="00E65FB1" w:rsidRPr="00740652">
        <w:rPr>
          <w:highlight w:val="lightGray"/>
        </w:rPr>
        <w:t>different audiences</w:t>
      </w:r>
    </w:p>
    <w:p w14:paraId="0FD6C06B" w14:textId="28C987F2" w:rsidR="0057245F" w:rsidRPr="00740652" w:rsidRDefault="0057245F" w:rsidP="0057245F">
      <w:pPr>
        <w:pStyle w:val="NICEnormal"/>
        <w:rPr>
          <w:highlight w:val="lightGray"/>
        </w:rPr>
      </w:pPr>
      <w:r w:rsidRPr="00740652">
        <w:rPr>
          <w:b/>
          <w:highlight w:val="lightGray"/>
        </w:rPr>
        <w:t>Service providers</w:t>
      </w:r>
      <w:r w:rsidRPr="00740652">
        <w:rPr>
          <w:highlight w:val="lightGray"/>
        </w:rPr>
        <w:t xml:space="preserve"> (children’s and adults’ service managers) ensure there are systems in place for young people to meet a practitioner from each adults’ service they will move to before they transfer </w:t>
      </w:r>
      <w:r w:rsidR="00C12F6F" w:rsidRPr="00740652">
        <w:rPr>
          <w:highlight w:val="lightGray"/>
        </w:rPr>
        <w:t xml:space="preserve">from </w:t>
      </w:r>
      <w:r w:rsidRPr="00740652">
        <w:rPr>
          <w:highlight w:val="lightGray"/>
        </w:rPr>
        <w:t xml:space="preserve">children’s to adults’ services. These may include joint appointments, joint clinics, </w:t>
      </w:r>
      <w:r w:rsidR="00086225" w:rsidRPr="00740652">
        <w:rPr>
          <w:highlight w:val="lightGray"/>
        </w:rPr>
        <w:t xml:space="preserve">virtual meetings, </w:t>
      </w:r>
      <w:r w:rsidR="00C12F6F" w:rsidRPr="00740652">
        <w:rPr>
          <w:highlight w:val="lightGray"/>
        </w:rPr>
        <w:t xml:space="preserve">and </w:t>
      </w:r>
      <w:r w:rsidRPr="00740652">
        <w:rPr>
          <w:highlight w:val="lightGray"/>
        </w:rPr>
        <w:t xml:space="preserve">pairing of a practitioner from adults’ services with </w:t>
      </w:r>
      <w:r w:rsidR="00BE0781" w:rsidRPr="00740652">
        <w:rPr>
          <w:highlight w:val="lightGray"/>
        </w:rPr>
        <w:t xml:space="preserve">one </w:t>
      </w:r>
      <w:r w:rsidRPr="00740652">
        <w:rPr>
          <w:highlight w:val="lightGray"/>
        </w:rPr>
        <w:t>from children’s services.</w:t>
      </w:r>
      <w:r w:rsidR="00015A69" w:rsidRPr="00740652">
        <w:rPr>
          <w:highlight w:val="lightGray"/>
        </w:rPr>
        <w:t xml:space="preserve"> Children’s services should consider ensuring that practitioners work with the young person to create a personal folder with key information to help with their introduction to adult’s services.</w:t>
      </w:r>
    </w:p>
    <w:p w14:paraId="3CA093A6" w14:textId="2A5E8182" w:rsidR="0057245F" w:rsidRPr="00740652" w:rsidRDefault="0057245F" w:rsidP="0057245F">
      <w:pPr>
        <w:pStyle w:val="NICEnormal"/>
        <w:rPr>
          <w:highlight w:val="lightGray"/>
        </w:rPr>
      </w:pPr>
      <w:r w:rsidRPr="00740652">
        <w:rPr>
          <w:b/>
          <w:highlight w:val="lightGray"/>
        </w:rPr>
        <w:t>Health and social care practitioners</w:t>
      </w:r>
      <w:r w:rsidRPr="00740652">
        <w:rPr>
          <w:highlight w:val="lightGray"/>
        </w:rPr>
        <w:t xml:space="preserve"> </w:t>
      </w:r>
      <w:r w:rsidRPr="00740652">
        <w:rPr>
          <w:b/>
          <w:highlight w:val="lightGray"/>
        </w:rPr>
        <w:t xml:space="preserve">from adults’ services </w:t>
      </w:r>
      <w:r w:rsidRPr="00740652">
        <w:rPr>
          <w:highlight w:val="lightGray"/>
        </w:rPr>
        <w:t xml:space="preserve">(such as hospital consultants, nurses, social workers and mental health workers) </w:t>
      </w:r>
      <w:r w:rsidR="002F20DA" w:rsidRPr="00740652">
        <w:rPr>
          <w:highlight w:val="lightGray"/>
        </w:rPr>
        <w:t xml:space="preserve">meet the </w:t>
      </w:r>
      <w:r w:rsidRPr="00740652">
        <w:rPr>
          <w:highlight w:val="lightGray"/>
          <w:lang w:val="x-none"/>
        </w:rPr>
        <w:t xml:space="preserve">young </w:t>
      </w:r>
      <w:r w:rsidRPr="00740652">
        <w:rPr>
          <w:highlight w:val="lightGray"/>
        </w:rPr>
        <w:t>people</w:t>
      </w:r>
      <w:r w:rsidRPr="00740652">
        <w:rPr>
          <w:highlight w:val="lightGray"/>
          <w:lang w:val="x-none"/>
        </w:rPr>
        <w:t xml:space="preserve"> who will move into their service before they transfer.</w:t>
      </w:r>
      <w:r w:rsidR="00FB51A9" w:rsidRPr="00740652">
        <w:rPr>
          <w:highlight w:val="lightGray"/>
        </w:rPr>
        <w:t xml:space="preserve"> This meeting should help them to identify the support the young person will need to prepare for adult life and maximise their independence.</w:t>
      </w:r>
    </w:p>
    <w:p w14:paraId="774D2BC8" w14:textId="37629152" w:rsidR="0057245F" w:rsidRPr="00740652" w:rsidRDefault="0057245F" w:rsidP="0057245F">
      <w:pPr>
        <w:pStyle w:val="NICEnormal"/>
        <w:rPr>
          <w:highlight w:val="lightGray"/>
        </w:rPr>
      </w:pPr>
      <w:r w:rsidRPr="00740652">
        <w:rPr>
          <w:b/>
          <w:highlight w:val="lightGray"/>
        </w:rPr>
        <w:t>Commissioners</w:t>
      </w:r>
      <w:r w:rsidRPr="00740652">
        <w:rPr>
          <w:highlight w:val="lightGray"/>
        </w:rPr>
        <w:t xml:space="preserve"> ensure that they commission </w:t>
      </w:r>
      <w:r w:rsidR="00C12F6F" w:rsidRPr="00740652">
        <w:rPr>
          <w:highlight w:val="lightGray"/>
        </w:rPr>
        <w:t xml:space="preserve">adults’ </w:t>
      </w:r>
      <w:r w:rsidRPr="00740652">
        <w:rPr>
          <w:highlight w:val="lightGray"/>
        </w:rPr>
        <w:t xml:space="preserve">services </w:t>
      </w:r>
      <w:r w:rsidR="00C12F6F" w:rsidRPr="00740652">
        <w:rPr>
          <w:highlight w:val="lightGray"/>
        </w:rPr>
        <w:t xml:space="preserve">in which </w:t>
      </w:r>
      <w:r w:rsidRPr="00740652">
        <w:rPr>
          <w:highlight w:val="lightGray"/>
        </w:rPr>
        <w:t>practitioners meet young pe</w:t>
      </w:r>
      <w:r w:rsidR="00C12F6F" w:rsidRPr="00740652">
        <w:rPr>
          <w:highlight w:val="lightGray"/>
        </w:rPr>
        <w:t>ople</w:t>
      </w:r>
      <w:r w:rsidRPr="00740652">
        <w:rPr>
          <w:highlight w:val="lightGray"/>
        </w:rPr>
        <w:t xml:space="preserve"> before they transfer from children’s services.</w:t>
      </w:r>
    </w:p>
    <w:p w14:paraId="669587BF" w14:textId="7CF1901C" w:rsidR="0057245F" w:rsidRPr="00740652" w:rsidRDefault="0057245F" w:rsidP="0057245F">
      <w:pPr>
        <w:pStyle w:val="NICEnormal"/>
        <w:rPr>
          <w:highlight w:val="lightGray"/>
        </w:rPr>
      </w:pPr>
      <w:r w:rsidRPr="00740652">
        <w:rPr>
          <w:b/>
          <w:highlight w:val="lightGray"/>
        </w:rPr>
        <w:t>Young people</w:t>
      </w:r>
      <w:r w:rsidRPr="00740652">
        <w:rPr>
          <w:highlight w:val="lightGray"/>
        </w:rPr>
        <w:t xml:space="preserve"> </w:t>
      </w:r>
      <w:r w:rsidRPr="00740652">
        <w:rPr>
          <w:b/>
          <w:highlight w:val="lightGray"/>
        </w:rPr>
        <w:t>who will move from children’s</w:t>
      </w:r>
      <w:r w:rsidRPr="00740652">
        <w:rPr>
          <w:highlight w:val="lightGray"/>
        </w:rPr>
        <w:t xml:space="preserve"> </w:t>
      </w:r>
      <w:r w:rsidRPr="00740652">
        <w:rPr>
          <w:b/>
          <w:highlight w:val="lightGray"/>
        </w:rPr>
        <w:t>to adults’ services</w:t>
      </w:r>
      <w:r w:rsidRPr="00740652">
        <w:rPr>
          <w:highlight w:val="lightGray"/>
        </w:rPr>
        <w:t xml:space="preserve"> meet someone from each of the</w:t>
      </w:r>
      <w:r w:rsidR="00C12F6F" w:rsidRPr="00740652">
        <w:rPr>
          <w:highlight w:val="lightGray"/>
        </w:rPr>
        <w:t>ir</w:t>
      </w:r>
      <w:r w:rsidRPr="00740652">
        <w:rPr>
          <w:highlight w:val="lightGray"/>
        </w:rPr>
        <w:t xml:space="preserve"> </w:t>
      </w:r>
      <w:r w:rsidR="00C12F6F" w:rsidRPr="00740652">
        <w:rPr>
          <w:highlight w:val="lightGray"/>
        </w:rPr>
        <w:t xml:space="preserve">new </w:t>
      </w:r>
      <w:r w:rsidRPr="00740652">
        <w:rPr>
          <w:highlight w:val="lightGray"/>
        </w:rPr>
        <w:t>adults’ service</w:t>
      </w:r>
      <w:r w:rsidR="00C12F6F" w:rsidRPr="00740652">
        <w:rPr>
          <w:highlight w:val="lightGray"/>
        </w:rPr>
        <w:t>s</w:t>
      </w:r>
      <w:r w:rsidRPr="00740652">
        <w:rPr>
          <w:highlight w:val="lightGray"/>
        </w:rPr>
        <w:t xml:space="preserve"> before they transfer</w:t>
      </w:r>
      <w:r w:rsidR="007644C7" w:rsidRPr="00740652">
        <w:rPr>
          <w:highlight w:val="lightGray"/>
        </w:rPr>
        <w:t>,</w:t>
      </w:r>
      <w:r w:rsidRPr="00740652">
        <w:rPr>
          <w:highlight w:val="lightGray"/>
        </w:rPr>
        <w:t xml:space="preserve"> to help them feel more confident about </w:t>
      </w:r>
      <w:r w:rsidR="00C12F6F" w:rsidRPr="00740652">
        <w:rPr>
          <w:highlight w:val="lightGray"/>
        </w:rPr>
        <w:t xml:space="preserve">the </w:t>
      </w:r>
      <w:r w:rsidRPr="00740652">
        <w:rPr>
          <w:highlight w:val="lightGray"/>
        </w:rPr>
        <w:t>mov</w:t>
      </w:r>
      <w:r w:rsidR="00C12F6F" w:rsidRPr="00740652">
        <w:rPr>
          <w:highlight w:val="lightGray"/>
        </w:rPr>
        <w:t>e</w:t>
      </w:r>
      <w:r w:rsidRPr="00740652">
        <w:rPr>
          <w:highlight w:val="lightGray"/>
        </w:rPr>
        <w:t>.</w:t>
      </w:r>
    </w:p>
    <w:p w14:paraId="1185A067" w14:textId="77777777" w:rsidR="0057245F" w:rsidRPr="00740652" w:rsidRDefault="0057245F" w:rsidP="0057245F">
      <w:pPr>
        <w:pStyle w:val="Heading2"/>
        <w:rPr>
          <w:highlight w:val="lightGray"/>
        </w:rPr>
      </w:pPr>
      <w:r w:rsidRPr="00740652">
        <w:rPr>
          <w:highlight w:val="lightGray"/>
        </w:rPr>
        <w:lastRenderedPageBreak/>
        <w:t>Source guidance</w:t>
      </w:r>
    </w:p>
    <w:p w14:paraId="14F35639" w14:textId="12BE1C28" w:rsidR="001979A9" w:rsidRPr="00740652" w:rsidRDefault="003A2E89" w:rsidP="001979A9">
      <w:pPr>
        <w:pStyle w:val="NICEnormal"/>
        <w:rPr>
          <w:highlight w:val="lightGray"/>
        </w:rPr>
      </w:pPr>
      <w:hyperlink r:id="rId36" w:history="1">
        <w:r w:rsidR="0057245F" w:rsidRPr="00740652">
          <w:rPr>
            <w:rStyle w:val="Hyperlink"/>
            <w:highlight w:val="lightGray"/>
          </w:rPr>
          <w:t>Transition from children’s to adults’ services for young people using health or social care services</w:t>
        </w:r>
        <w:r w:rsidR="00105EBD" w:rsidRPr="00740652">
          <w:rPr>
            <w:rStyle w:val="Hyperlink"/>
            <w:highlight w:val="lightGray"/>
          </w:rPr>
          <w:t>.</w:t>
        </w:r>
        <w:r w:rsidR="0057245F" w:rsidRPr="00740652">
          <w:rPr>
            <w:rStyle w:val="Hyperlink"/>
            <w:highlight w:val="lightGray"/>
          </w:rPr>
          <w:t xml:space="preserve"> NICE guideline NG43</w:t>
        </w:r>
      </w:hyperlink>
      <w:r w:rsidR="00105EBD" w:rsidRPr="00740652">
        <w:rPr>
          <w:highlight w:val="lightGray"/>
        </w:rPr>
        <w:t xml:space="preserve"> (2016)</w:t>
      </w:r>
      <w:r w:rsidR="0057245F" w:rsidRPr="00740652">
        <w:rPr>
          <w:highlight w:val="lightGray"/>
        </w:rPr>
        <w:t>, recommendation</w:t>
      </w:r>
      <w:r w:rsidR="00105EBD" w:rsidRPr="00740652">
        <w:rPr>
          <w:highlight w:val="lightGray"/>
        </w:rPr>
        <w:t> </w:t>
      </w:r>
      <w:r w:rsidR="0057245F" w:rsidRPr="00740652">
        <w:rPr>
          <w:highlight w:val="lightGray"/>
        </w:rPr>
        <w:t>1.3.1</w:t>
      </w:r>
    </w:p>
    <w:p w14:paraId="397586B7" w14:textId="77777777" w:rsidR="008B01A8" w:rsidRPr="00740652" w:rsidRDefault="008B01A8" w:rsidP="008B01A8">
      <w:pPr>
        <w:pStyle w:val="Heading2"/>
        <w:rPr>
          <w:highlight w:val="lightGray"/>
        </w:rPr>
      </w:pPr>
      <w:bookmarkStart w:id="22" w:name="_Hlk143445450"/>
      <w:r w:rsidRPr="00740652">
        <w:rPr>
          <w:highlight w:val="lightGray"/>
        </w:rPr>
        <w:t>Equality and diversity considerations</w:t>
      </w:r>
    </w:p>
    <w:p w14:paraId="17825A7D" w14:textId="77777777" w:rsidR="00B179D8" w:rsidRPr="00740652" w:rsidRDefault="00B179D8" w:rsidP="00B179D8">
      <w:pPr>
        <w:pStyle w:val="NICEnormal"/>
        <w:rPr>
          <w:highlight w:val="lightGray"/>
        </w:rPr>
      </w:pPr>
      <w:r w:rsidRPr="00740652">
        <w:rPr>
          <w:highlight w:val="lightGray"/>
        </w:rPr>
        <w:t xml:space="preserve">Health and social care practitioners should consider the young person’s communication needs and preferences when deciding on the format for the introductory meeting with adults’ services. </w:t>
      </w:r>
    </w:p>
    <w:p w14:paraId="6CBDF5E4" w14:textId="46B33C3F" w:rsidR="008B01A8" w:rsidRDefault="008B01A8" w:rsidP="008B01A8">
      <w:pPr>
        <w:pStyle w:val="NICEnormal"/>
      </w:pPr>
      <w:r w:rsidRPr="00740652">
        <w:rPr>
          <w:highlight w:val="lightGray"/>
        </w:rPr>
        <w:t xml:space="preserve">Service managers should ensure a range of </w:t>
      </w:r>
      <w:r w:rsidR="00F21703" w:rsidRPr="00740652">
        <w:rPr>
          <w:highlight w:val="lightGray"/>
        </w:rPr>
        <w:t>support</w:t>
      </w:r>
      <w:r w:rsidRPr="00740652">
        <w:rPr>
          <w:highlight w:val="lightGray"/>
        </w:rPr>
        <w:t xml:space="preserve"> is available, and used, to help young people communicate effectively when they meet </w:t>
      </w:r>
      <w:r w:rsidR="004F208F" w:rsidRPr="00740652">
        <w:rPr>
          <w:highlight w:val="lightGray"/>
        </w:rPr>
        <w:t>practitioners from adults’ services</w:t>
      </w:r>
      <w:r w:rsidRPr="00740652">
        <w:rPr>
          <w:highlight w:val="lightGray"/>
        </w:rPr>
        <w:t>. This could include having a written record of how a young person communicates, such as a communication passport or 1-page profile</w:t>
      </w:r>
      <w:r w:rsidR="00CB1294" w:rsidRPr="00740652">
        <w:rPr>
          <w:highlight w:val="lightGray"/>
        </w:rPr>
        <w:t>, and</w:t>
      </w:r>
      <w:r w:rsidRPr="00740652">
        <w:rPr>
          <w:highlight w:val="lightGray"/>
        </w:rPr>
        <w:t xml:space="preserve"> different ways to help the young person communicate</w:t>
      </w:r>
      <w:r w:rsidR="00CB1294" w:rsidRPr="00740652">
        <w:rPr>
          <w:highlight w:val="lightGray"/>
        </w:rPr>
        <w:t>,</w:t>
      </w:r>
      <w:r w:rsidRPr="00740652">
        <w:rPr>
          <w:highlight w:val="lightGray"/>
        </w:rPr>
        <w:t xml:space="preserve"> such as communication boards and digital communication tools. [</w:t>
      </w:r>
      <w:hyperlink r:id="rId37" w:history="1">
        <w:r w:rsidRPr="00740652">
          <w:rPr>
            <w:rStyle w:val="Hyperlink"/>
            <w:highlight w:val="lightGray"/>
          </w:rPr>
          <w:t>NICE’s guideline on transition from children’s to adults’ services for young people using health or social care services</w:t>
        </w:r>
      </w:hyperlink>
      <w:r w:rsidRPr="00740652">
        <w:rPr>
          <w:highlight w:val="lightGray"/>
        </w:rPr>
        <w:t>, recommendation 1.2.12]</w:t>
      </w:r>
    </w:p>
    <w:bookmarkEnd w:id="22"/>
    <w:p w14:paraId="4E67461D" w14:textId="384B3D25" w:rsidR="0057245F" w:rsidRDefault="0057245F">
      <w:pPr>
        <w:pStyle w:val="NICEnormal"/>
        <w:pPrChange w:id="23" w:author="Melanie Carr" w:date="2023-08-20T16:15:00Z">
          <w:pPr>
            <w:pStyle w:val="Bulletleft1"/>
            <w:numPr>
              <w:numId w:val="0"/>
            </w:numPr>
            <w:tabs>
              <w:tab w:val="clear" w:pos="284"/>
            </w:tabs>
            <w:ind w:left="0" w:firstLine="0"/>
          </w:pPr>
        </w:pPrChange>
      </w:pPr>
      <w:r>
        <w:br w:type="page"/>
      </w:r>
    </w:p>
    <w:p w14:paraId="6AF9B74D" w14:textId="5FC88497" w:rsidR="0057245F" w:rsidRPr="000C37A0" w:rsidRDefault="0057245F" w:rsidP="0057245F">
      <w:pPr>
        <w:pStyle w:val="Heading1"/>
      </w:pPr>
      <w:bookmarkStart w:id="24" w:name="qs6_nonatt"/>
      <w:bookmarkStart w:id="25" w:name="_Quality_statement_5:"/>
      <w:bookmarkStart w:id="26" w:name="_Quality_statement_56:"/>
      <w:bookmarkEnd w:id="24"/>
      <w:bookmarkEnd w:id="25"/>
      <w:bookmarkEnd w:id="26"/>
      <w:r>
        <w:lastRenderedPageBreak/>
        <w:t xml:space="preserve">Quality statement </w:t>
      </w:r>
      <w:r w:rsidR="00236760">
        <w:t>6</w:t>
      </w:r>
      <w:r w:rsidRPr="000C37A0">
        <w:t xml:space="preserve">: </w:t>
      </w:r>
      <w:r>
        <w:t xml:space="preserve">Missed </w:t>
      </w:r>
      <w:r w:rsidR="00E22B6E">
        <w:t xml:space="preserve">initial </w:t>
      </w:r>
      <w:r>
        <w:t xml:space="preserve">appointments </w:t>
      </w:r>
      <w:r w:rsidRPr="002B3174">
        <w:t>after transfer</w:t>
      </w:r>
      <w:r w:rsidR="00062DC3">
        <w:t xml:space="preserve"> to</w:t>
      </w:r>
      <w:r>
        <w:t xml:space="preserve"> adults’ services</w:t>
      </w:r>
    </w:p>
    <w:p w14:paraId="08F9ECFA" w14:textId="77777777" w:rsidR="0057245F" w:rsidRPr="000C37A0" w:rsidRDefault="0057245F" w:rsidP="0057245F">
      <w:pPr>
        <w:pStyle w:val="Heading2"/>
      </w:pPr>
      <w:r w:rsidRPr="000C37A0">
        <w:t>Quality statement</w:t>
      </w:r>
    </w:p>
    <w:p w14:paraId="7704EACA" w14:textId="13C11DAF" w:rsidR="0057245F" w:rsidRPr="0092679C" w:rsidRDefault="0057245F" w:rsidP="0057245F">
      <w:pPr>
        <w:pStyle w:val="NICEnormal"/>
      </w:pPr>
      <w:r w:rsidRPr="007D7755">
        <w:t xml:space="preserve">Young people who have moved </w:t>
      </w:r>
      <w:r>
        <w:t xml:space="preserve">from children’s </w:t>
      </w:r>
      <w:r w:rsidRPr="007D7755">
        <w:t xml:space="preserve">to adults’ services but do not attend their </w:t>
      </w:r>
      <w:r w:rsidR="00E22B6E">
        <w:t>initial</w:t>
      </w:r>
      <w:r w:rsidR="00E22B6E" w:rsidRPr="007D7755">
        <w:t xml:space="preserve"> </w:t>
      </w:r>
      <w:r w:rsidRPr="007D7755">
        <w:t>meeting</w:t>
      </w:r>
      <w:r w:rsidR="00E22B6E">
        <w:t>s</w:t>
      </w:r>
      <w:r w:rsidRPr="007D7755">
        <w:t xml:space="preserve"> or appointment</w:t>
      </w:r>
      <w:r w:rsidR="00E22B6E">
        <w:t>s</w:t>
      </w:r>
      <w:r w:rsidRPr="007D7755">
        <w:t xml:space="preserve"> are contacted by adults’ services and </w:t>
      </w:r>
      <w:r>
        <w:t>given</w:t>
      </w:r>
      <w:r w:rsidRPr="007D7755">
        <w:t xml:space="preserve"> </w:t>
      </w:r>
      <w:r w:rsidR="00371996">
        <w:t>further</w:t>
      </w:r>
      <w:r w:rsidRPr="007D7755">
        <w:t xml:space="preserve"> opportunities to engage.</w:t>
      </w:r>
      <w:r w:rsidR="00F21703">
        <w:t xml:space="preserve"> </w:t>
      </w:r>
      <w:r w:rsidR="00F21703" w:rsidRPr="00DA3F0C">
        <w:rPr>
          <w:b/>
          <w:bCs/>
        </w:rPr>
        <w:t>[2016</w:t>
      </w:r>
      <w:r w:rsidR="00F21703">
        <w:rPr>
          <w:b/>
          <w:bCs/>
        </w:rPr>
        <w:t>, updated 2023</w:t>
      </w:r>
      <w:r w:rsidR="00F21703" w:rsidRPr="00DA3F0C">
        <w:rPr>
          <w:b/>
          <w:bCs/>
        </w:rPr>
        <w:t>]</w:t>
      </w:r>
    </w:p>
    <w:p w14:paraId="12B03B86" w14:textId="32E7B8C8" w:rsidR="0057245F" w:rsidRPr="000C37A0" w:rsidRDefault="0057245F" w:rsidP="0057245F">
      <w:pPr>
        <w:pStyle w:val="Heading2"/>
      </w:pPr>
      <w:r w:rsidRPr="000C37A0">
        <w:t>Rationale</w:t>
      </w:r>
    </w:p>
    <w:p w14:paraId="0DE84C24" w14:textId="0A648C03" w:rsidR="0057245F" w:rsidRPr="000C37A0" w:rsidRDefault="00085693" w:rsidP="0057245F">
      <w:pPr>
        <w:pStyle w:val="NICEnormal"/>
      </w:pPr>
      <w:r>
        <w:t>Y</w:t>
      </w:r>
      <w:r w:rsidR="0057245F">
        <w:t xml:space="preserve">oung people </w:t>
      </w:r>
      <w:r>
        <w:t xml:space="preserve">need to </w:t>
      </w:r>
      <w:r w:rsidR="00C66E39">
        <w:t xml:space="preserve">engage with adults’ services so that they </w:t>
      </w:r>
      <w:r w:rsidR="0057245F">
        <w:t xml:space="preserve">continue to receive the care and support they </w:t>
      </w:r>
      <w:r w:rsidR="004B5902">
        <w:t>need</w:t>
      </w:r>
      <w:r w:rsidR="0057245F">
        <w:t xml:space="preserve">. </w:t>
      </w:r>
      <w:r>
        <w:t xml:space="preserve">When young people disengage from services during transition it can affect their </w:t>
      </w:r>
      <w:r w:rsidR="0057245F">
        <w:t>future health, mental health and social care</w:t>
      </w:r>
      <w:r>
        <w:t xml:space="preserve"> needs</w:t>
      </w:r>
      <w:r w:rsidR="0057245F">
        <w:t>.</w:t>
      </w:r>
    </w:p>
    <w:p w14:paraId="23BDA6FE" w14:textId="77777777" w:rsidR="0057245F" w:rsidRDefault="0057245F" w:rsidP="0057245F">
      <w:pPr>
        <w:pStyle w:val="Heading2"/>
      </w:pPr>
      <w:r w:rsidRPr="000C37A0">
        <w:t>Quality measures</w:t>
      </w:r>
    </w:p>
    <w:p w14:paraId="671E4DEB" w14:textId="7E5EFAC4" w:rsidR="00E22B6E" w:rsidRPr="00E22B6E" w:rsidRDefault="00E22B6E" w:rsidP="00715468">
      <w:pPr>
        <w:pStyle w:val="NICEnormal"/>
      </w:pPr>
      <w:r w:rsidRPr="009A0647">
        <w:t>The following measures can be used to assess the quality of care or service provision specified in the statement. They are examples of how the statement can be measured, and can be adapted and used flexibly.</w:t>
      </w:r>
    </w:p>
    <w:p w14:paraId="3DBC34AB" w14:textId="77777777" w:rsidR="0057245F" w:rsidRPr="000C37A0" w:rsidRDefault="0057245F" w:rsidP="0057245F">
      <w:pPr>
        <w:pStyle w:val="Heading3"/>
      </w:pPr>
      <w:r w:rsidRPr="000C37A0">
        <w:t>Structure</w:t>
      </w:r>
    </w:p>
    <w:p w14:paraId="5B667BAC" w14:textId="6593A5D9" w:rsidR="007251F1" w:rsidRDefault="00062D09" w:rsidP="00062D09">
      <w:pPr>
        <w:pStyle w:val="NICEnormal"/>
      </w:pPr>
      <w:r>
        <w:t xml:space="preserve">a) </w:t>
      </w:r>
      <w:r w:rsidR="0041461B">
        <w:t xml:space="preserve">Evidence of local </w:t>
      </w:r>
      <w:r w:rsidR="000E47DB">
        <w:t xml:space="preserve">arrangements </w:t>
      </w:r>
      <w:r w:rsidR="0041461B">
        <w:t>to monitor and assure transitions from children’s to adults’ services.</w:t>
      </w:r>
    </w:p>
    <w:p w14:paraId="7120027F" w14:textId="337F829B" w:rsidR="0041461B" w:rsidRDefault="0041461B" w:rsidP="0057245F">
      <w:pPr>
        <w:pStyle w:val="NICEnormal"/>
      </w:pPr>
      <w:r w:rsidRPr="00105EBD">
        <w:rPr>
          <w:b/>
          <w:bCs/>
        </w:rPr>
        <w:t xml:space="preserve">Data source: </w:t>
      </w:r>
      <w:r w:rsidRPr="00E22B6E">
        <w:t>Data can be collected from information recorded locally by healthcare professionals and provider organisations</w:t>
      </w:r>
      <w:r>
        <w:t xml:space="preserve">, such as </w:t>
      </w:r>
      <w:r w:rsidR="007A7DA7">
        <w:t xml:space="preserve">local protocols, </w:t>
      </w:r>
      <w:r>
        <w:t>governance structures and reporting arrangements.</w:t>
      </w:r>
    </w:p>
    <w:p w14:paraId="783D4827" w14:textId="70C6BBBA" w:rsidR="0057245F" w:rsidRPr="0092679C" w:rsidRDefault="007251F1" w:rsidP="0057245F">
      <w:pPr>
        <w:pStyle w:val="NICEnormal"/>
        <w:rPr>
          <w:bCs/>
        </w:rPr>
      </w:pPr>
      <w:r>
        <w:t xml:space="preserve">b) </w:t>
      </w:r>
      <w:r w:rsidR="0057245F" w:rsidRPr="007D7755">
        <w:t xml:space="preserve">Evidence of local </w:t>
      </w:r>
      <w:r w:rsidR="00D45705">
        <w:t xml:space="preserve">processes </w:t>
      </w:r>
      <w:r w:rsidR="0057245F">
        <w:t>in adults</w:t>
      </w:r>
      <w:r w:rsidR="00C66E39">
        <w:t>’</w:t>
      </w:r>
      <w:r w:rsidR="0057245F">
        <w:t xml:space="preserve"> services </w:t>
      </w:r>
      <w:r w:rsidR="00D45705">
        <w:t xml:space="preserve">for </w:t>
      </w:r>
      <w:r w:rsidR="0057245F">
        <w:t>follow</w:t>
      </w:r>
      <w:r w:rsidR="00C66E39">
        <w:t>-</w:t>
      </w:r>
      <w:r w:rsidR="0057245F">
        <w:t xml:space="preserve">up </w:t>
      </w:r>
      <w:r w:rsidR="0057245F" w:rsidRPr="007D7755">
        <w:t xml:space="preserve">arrangements </w:t>
      </w:r>
      <w:r w:rsidR="0057245F">
        <w:t>for</w:t>
      </w:r>
      <w:r w:rsidR="0057245F" w:rsidRPr="007D7755">
        <w:t xml:space="preserve"> </w:t>
      </w:r>
      <w:r w:rsidR="0057245F" w:rsidRPr="007D7755">
        <w:rPr>
          <w:bCs/>
        </w:rPr>
        <w:t xml:space="preserve">young people who have moved </w:t>
      </w:r>
      <w:r w:rsidR="0057245F">
        <w:t xml:space="preserve">from children’s </w:t>
      </w:r>
      <w:r w:rsidR="0057245F" w:rsidRPr="007D7755">
        <w:rPr>
          <w:bCs/>
        </w:rPr>
        <w:t xml:space="preserve">to adults’ services but do not attend their </w:t>
      </w:r>
      <w:r w:rsidR="00E22B6E">
        <w:rPr>
          <w:bCs/>
        </w:rPr>
        <w:t>initial</w:t>
      </w:r>
      <w:r w:rsidR="00E22B6E" w:rsidRPr="007D7755">
        <w:rPr>
          <w:bCs/>
        </w:rPr>
        <w:t xml:space="preserve"> </w:t>
      </w:r>
      <w:r w:rsidR="0057245F" w:rsidRPr="007D7755">
        <w:rPr>
          <w:bCs/>
        </w:rPr>
        <w:t>meeting</w:t>
      </w:r>
      <w:r w:rsidR="00E22B6E">
        <w:rPr>
          <w:bCs/>
        </w:rPr>
        <w:t>s</w:t>
      </w:r>
      <w:r w:rsidR="0057245F" w:rsidRPr="007D7755">
        <w:rPr>
          <w:bCs/>
        </w:rPr>
        <w:t xml:space="preserve"> or appointment</w:t>
      </w:r>
      <w:r w:rsidR="00E22B6E">
        <w:rPr>
          <w:bCs/>
        </w:rPr>
        <w:t>s</w:t>
      </w:r>
      <w:r w:rsidR="0057245F" w:rsidRPr="007D7755">
        <w:rPr>
          <w:bCs/>
        </w:rPr>
        <w:t>.</w:t>
      </w:r>
    </w:p>
    <w:p w14:paraId="6205FDAC" w14:textId="74009F7D" w:rsidR="0057245F" w:rsidRDefault="0057245F" w:rsidP="0057245F">
      <w:pPr>
        <w:pStyle w:val="NICEnormal"/>
      </w:pPr>
      <w:r w:rsidRPr="00105EBD">
        <w:rPr>
          <w:b/>
          <w:bCs/>
        </w:rPr>
        <w:t xml:space="preserve">Data source: </w:t>
      </w:r>
      <w:r w:rsidR="00E22B6E" w:rsidRPr="00E22B6E">
        <w:t>Data can be collected from information recorded locally by healthcare professionals and provider organisations, for example from service protocols</w:t>
      </w:r>
      <w:r w:rsidR="00E22B6E">
        <w:t>.</w:t>
      </w:r>
    </w:p>
    <w:p w14:paraId="1AE192EB" w14:textId="77777777" w:rsidR="0057245F" w:rsidRPr="000C37A0" w:rsidRDefault="0057245F" w:rsidP="0057245F">
      <w:pPr>
        <w:pStyle w:val="Heading3"/>
      </w:pPr>
      <w:r w:rsidRPr="000C37A0">
        <w:lastRenderedPageBreak/>
        <w:t>Process</w:t>
      </w:r>
    </w:p>
    <w:p w14:paraId="5ACDF645" w14:textId="5CE45364" w:rsidR="0057245F" w:rsidRPr="0092679C" w:rsidRDefault="0057245F" w:rsidP="0057245F">
      <w:pPr>
        <w:pStyle w:val="NICEnormal"/>
        <w:rPr>
          <w:bCs/>
        </w:rPr>
      </w:pPr>
      <w:r w:rsidRPr="0092679C">
        <w:t xml:space="preserve">Proportion of </w:t>
      </w:r>
      <w:r>
        <w:rPr>
          <w:bCs/>
        </w:rPr>
        <w:t>y</w:t>
      </w:r>
      <w:r w:rsidRPr="0092679C">
        <w:rPr>
          <w:bCs/>
        </w:rPr>
        <w:t xml:space="preserve">oung people who have moved </w:t>
      </w:r>
      <w:r>
        <w:t xml:space="preserve">from children’s </w:t>
      </w:r>
      <w:r w:rsidRPr="0092679C">
        <w:rPr>
          <w:bCs/>
        </w:rPr>
        <w:t xml:space="preserve">to adults’ services </w:t>
      </w:r>
      <w:r w:rsidRPr="007D7755">
        <w:t>but</w:t>
      </w:r>
      <w:r w:rsidRPr="0092679C">
        <w:rPr>
          <w:bCs/>
        </w:rPr>
        <w:t xml:space="preserve"> </w:t>
      </w:r>
      <w:r>
        <w:rPr>
          <w:bCs/>
        </w:rPr>
        <w:t xml:space="preserve">did </w:t>
      </w:r>
      <w:r w:rsidRPr="0092679C">
        <w:rPr>
          <w:bCs/>
        </w:rPr>
        <w:t>not attend</w:t>
      </w:r>
      <w:r>
        <w:rPr>
          <w:bCs/>
        </w:rPr>
        <w:t xml:space="preserve"> </w:t>
      </w:r>
      <w:r w:rsidRPr="0092679C">
        <w:rPr>
          <w:bCs/>
        </w:rPr>
        <w:t xml:space="preserve">their </w:t>
      </w:r>
      <w:r w:rsidR="00FA2FEB">
        <w:rPr>
          <w:bCs/>
        </w:rPr>
        <w:t>initial</w:t>
      </w:r>
      <w:r w:rsidRPr="0092679C">
        <w:rPr>
          <w:bCs/>
        </w:rPr>
        <w:t xml:space="preserve"> meeting</w:t>
      </w:r>
      <w:r w:rsidR="00FA2FEB">
        <w:rPr>
          <w:bCs/>
        </w:rPr>
        <w:t>s</w:t>
      </w:r>
      <w:r w:rsidRPr="0092679C">
        <w:rPr>
          <w:bCs/>
        </w:rPr>
        <w:t xml:space="preserve"> or appointment</w:t>
      </w:r>
      <w:r w:rsidR="00FA2FEB">
        <w:rPr>
          <w:bCs/>
        </w:rPr>
        <w:t>s</w:t>
      </w:r>
      <w:r w:rsidRPr="0092679C">
        <w:rPr>
          <w:bCs/>
        </w:rPr>
        <w:t xml:space="preserve"> </w:t>
      </w:r>
      <w:r>
        <w:rPr>
          <w:bCs/>
        </w:rPr>
        <w:t>who were</w:t>
      </w:r>
      <w:r w:rsidRPr="0092679C">
        <w:rPr>
          <w:bCs/>
        </w:rPr>
        <w:t xml:space="preserve"> contacted by adults’ services and </w:t>
      </w:r>
      <w:r>
        <w:rPr>
          <w:bCs/>
        </w:rPr>
        <w:t>given</w:t>
      </w:r>
      <w:r w:rsidRPr="0092679C">
        <w:rPr>
          <w:bCs/>
        </w:rPr>
        <w:t xml:space="preserve"> </w:t>
      </w:r>
      <w:r w:rsidR="00371996">
        <w:t>further</w:t>
      </w:r>
      <w:r w:rsidRPr="0092679C">
        <w:rPr>
          <w:bCs/>
        </w:rPr>
        <w:t xml:space="preserve"> opportunities to engage.</w:t>
      </w:r>
    </w:p>
    <w:p w14:paraId="2A6D980C" w14:textId="6747F16C" w:rsidR="0057245F" w:rsidRPr="000C37A0" w:rsidRDefault="0057245F" w:rsidP="0057245F">
      <w:pPr>
        <w:pStyle w:val="NICEnormal"/>
      </w:pPr>
      <w:r w:rsidRPr="000C37A0">
        <w:t xml:space="preserve">Numerator – </w:t>
      </w:r>
      <w:r>
        <w:t xml:space="preserve">the number in the denominator who were contacted by adults’ services and </w:t>
      </w:r>
      <w:r>
        <w:rPr>
          <w:bCs/>
        </w:rPr>
        <w:t>given</w:t>
      </w:r>
      <w:r>
        <w:t xml:space="preserve"> </w:t>
      </w:r>
      <w:r w:rsidR="00371996">
        <w:t>further</w:t>
      </w:r>
      <w:r>
        <w:t xml:space="preserve"> opportunities to engage.</w:t>
      </w:r>
    </w:p>
    <w:p w14:paraId="496EDC2D" w14:textId="3E5FFBAB" w:rsidR="0057245F" w:rsidRPr="000C37A0" w:rsidRDefault="0057245F" w:rsidP="0057245F">
      <w:pPr>
        <w:pStyle w:val="NICEnormal"/>
      </w:pPr>
      <w:r w:rsidRPr="000C37A0">
        <w:t xml:space="preserve">Denominator – </w:t>
      </w:r>
      <w:r>
        <w:t>the number of young people</w:t>
      </w:r>
      <w:r w:rsidRPr="000C37A0">
        <w:t xml:space="preserve"> </w:t>
      </w:r>
      <w:r>
        <w:t xml:space="preserve">who have moved from children’s to adults’ services </w:t>
      </w:r>
      <w:r w:rsidRPr="007D7755">
        <w:t xml:space="preserve">but </w:t>
      </w:r>
      <w:r>
        <w:t xml:space="preserve">did not attend their </w:t>
      </w:r>
      <w:r w:rsidR="009D122A">
        <w:t>initial</w:t>
      </w:r>
      <w:r>
        <w:t xml:space="preserve"> meeting</w:t>
      </w:r>
      <w:r w:rsidR="009D122A">
        <w:t>s</w:t>
      </w:r>
      <w:r>
        <w:t xml:space="preserve"> or appointment</w:t>
      </w:r>
      <w:r w:rsidR="009D122A">
        <w:t>s</w:t>
      </w:r>
      <w:r>
        <w:t>.</w:t>
      </w:r>
    </w:p>
    <w:p w14:paraId="3D017FB1" w14:textId="2799DA6B" w:rsidR="0057245F" w:rsidRDefault="0057245F" w:rsidP="0057245F">
      <w:pPr>
        <w:pStyle w:val="NICEnormal"/>
      </w:pPr>
      <w:r w:rsidRPr="00105EBD">
        <w:rPr>
          <w:b/>
          <w:bCs/>
        </w:rPr>
        <w:t xml:space="preserve">Data source: </w:t>
      </w:r>
      <w:r w:rsidR="009D122A" w:rsidRPr="009D122A">
        <w:t>Data can be collected from information recorded locally by healthcare professionals and provider organisations, for example from patient records</w:t>
      </w:r>
      <w:r w:rsidR="009D122A">
        <w:t>. For measurement purposes</w:t>
      </w:r>
      <w:r w:rsidR="00CB1294">
        <w:t>,</w:t>
      </w:r>
      <w:r w:rsidR="009D122A">
        <w:t xml:space="preserve"> </w:t>
      </w:r>
      <w:r w:rsidR="00BB53BA">
        <w:t xml:space="preserve">this </w:t>
      </w:r>
      <w:r w:rsidR="009D122A">
        <w:t xml:space="preserve">could be defined as any of the first </w:t>
      </w:r>
      <w:r w:rsidR="00D371C9">
        <w:t>3</w:t>
      </w:r>
      <w:r w:rsidR="009D122A">
        <w:t xml:space="preserve"> </w:t>
      </w:r>
      <w:r w:rsidR="00D45705">
        <w:t xml:space="preserve">meetings or </w:t>
      </w:r>
      <w:r w:rsidR="009D122A">
        <w:t>appointments</w:t>
      </w:r>
      <w:r w:rsidR="00D45705">
        <w:t xml:space="preserve"> in each adults’ service</w:t>
      </w:r>
      <w:r w:rsidR="009D122A">
        <w:t>.</w:t>
      </w:r>
    </w:p>
    <w:p w14:paraId="7D8C7EDE" w14:textId="77777777" w:rsidR="0057245F" w:rsidRPr="000C37A0" w:rsidRDefault="0057245F" w:rsidP="0057245F">
      <w:pPr>
        <w:pStyle w:val="Heading3"/>
      </w:pPr>
      <w:r w:rsidRPr="000C37A0">
        <w:t>Outcome</w:t>
      </w:r>
    </w:p>
    <w:p w14:paraId="24278473" w14:textId="3918FC3C" w:rsidR="005E424C" w:rsidRDefault="007251F1" w:rsidP="00062D09">
      <w:pPr>
        <w:pStyle w:val="NICEnormal"/>
      </w:pPr>
      <w:r>
        <w:t xml:space="preserve">a) </w:t>
      </w:r>
      <w:r w:rsidR="005E424C">
        <w:t xml:space="preserve">Proportion </w:t>
      </w:r>
      <w:r w:rsidR="006378C6">
        <w:t xml:space="preserve">of young people who transferred from children’s </w:t>
      </w:r>
      <w:r w:rsidR="00062D09">
        <w:t xml:space="preserve">to adults’ </w:t>
      </w:r>
      <w:r w:rsidR="006378C6">
        <w:t xml:space="preserve">services who are </w:t>
      </w:r>
      <w:r w:rsidR="005E424C">
        <w:t xml:space="preserve">discharged from </w:t>
      </w:r>
      <w:r w:rsidR="00735001">
        <w:t xml:space="preserve">each </w:t>
      </w:r>
      <w:r w:rsidR="005E424C">
        <w:t>adults</w:t>
      </w:r>
      <w:r w:rsidR="00C66E39">
        <w:t>’</w:t>
      </w:r>
      <w:r w:rsidR="005E424C">
        <w:t xml:space="preserve"> service without attending</w:t>
      </w:r>
      <w:r w:rsidR="00C84356">
        <w:t xml:space="preserve"> a meeting or appointment.</w:t>
      </w:r>
    </w:p>
    <w:p w14:paraId="1D6D325E" w14:textId="7E05DE80" w:rsidR="009D122A" w:rsidRPr="000C37A0" w:rsidRDefault="009D122A" w:rsidP="009D122A">
      <w:pPr>
        <w:pStyle w:val="NICEnormal"/>
      </w:pPr>
      <w:r w:rsidRPr="000C37A0">
        <w:t xml:space="preserve">Numerator – </w:t>
      </w:r>
      <w:r>
        <w:t xml:space="preserve">the number in the denominator who </w:t>
      </w:r>
      <w:r w:rsidR="00062D09" w:rsidRPr="00062D09">
        <w:t>are discharged from each adults’ service without attending a meeting or appointment</w:t>
      </w:r>
      <w:r>
        <w:t>.</w:t>
      </w:r>
    </w:p>
    <w:p w14:paraId="112FC3B1" w14:textId="4D44EC3A" w:rsidR="009D122A" w:rsidRPr="00980606" w:rsidRDefault="009D122A" w:rsidP="0057245F">
      <w:pPr>
        <w:pStyle w:val="NICEnormal"/>
      </w:pPr>
      <w:r w:rsidRPr="000C37A0">
        <w:t xml:space="preserve">Denominator – </w:t>
      </w:r>
      <w:r>
        <w:t>the number of young people</w:t>
      </w:r>
      <w:r w:rsidRPr="000C37A0">
        <w:t xml:space="preserve"> </w:t>
      </w:r>
      <w:r w:rsidR="00062D09" w:rsidRPr="00062D09">
        <w:t>who transferred from children’s to adults’ services</w:t>
      </w:r>
      <w:r>
        <w:t>.</w:t>
      </w:r>
    </w:p>
    <w:p w14:paraId="1B10EF9E" w14:textId="4E353083" w:rsidR="0057245F" w:rsidRDefault="0057245F" w:rsidP="0057245F">
      <w:pPr>
        <w:pStyle w:val="NICEnormal"/>
        <w:rPr>
          <w:rStyle w:val="NICEnormalChar"/>
        </w:rPr>
      </w:pPr>
      <w:r w:rsidRPr="00105EBD">
        <w:rPr>
          <w:b/>
          <w:bCs/>
        </w:rPr>
        <w:t xml:space="preserve">Data source: </w:t>
      </w:r>
      <w:r w:rsidR="009D122A" w:rsidRPr="009D122A">
        <w:rPr>
          <w:rStyle w:val="NICEnormalChar"/>
        </w:rPr>
        <w:t>Data can be collected from information recorded locally by healthcare professionals and provider organisations, for example from patient records</w:t>
      </w:r>
      <w:r>
        <w:rPr>
          <w:rStyle w:val="NICEnormalChar"/>
        </w:rPr>
        <w:t>.</w:t>
      </w:r>
    </w:p>
    <w:p w14:paraId="1214F025" w14:textId="34913C56" w:rsidR="007251F1" w:rsidRDefault="007251F1" w:rsidP="007251F1">
      <w:pPr>
        <w:pStyle w:val="NICEnormal"/>
      </w:pPr>
      <w:r>
        <w:t xml:space="preserve">b) Proportion of young people attending adults’ services after transfer from children’s services who continue to engage with services. </w:t>
      </w:r>
    </w:p>
    <w:p w14:paraId="484D6733" w14:textId="77777777" w:rsidR="007251F1" w:rsidRDefault="007251F1" w:rsidP="007251F1">
      <w:pPr>
        <w:pStyle w:val="NICEnormal"/>
      </w:pPr>
      <w:r>
        <w:t>Numerator – the number in the denominator who continue to engage with services.</w:t>
      </w:r>
    </w:p>
    <w:p w14:paraId="5C7CEC5D" w14:textId="77777777" w:rsidR="007251F1" w:rsidRDefault="007251F1" w:rsidP="007251F1">
      <w:pPr>
        <w:pStyle w:val="NICEnormal"/>
      </w:pPr>
      <w:r>
        <w:t>Denominator – the number of young people attending adults’ services after transfer from children’s services.</w:t>
      </w:r>
    </w:p>
    <w:p w14:paraId="5BFD09C5" w14:textId="3B5FBE55" w:rsidR="007251F1" w:rsidRDefault="007251F1" w:rsidP="007251F1">
      <w:pPr>
        <w:pStyle w:val="NICEnormal"/>
        <w:rPr>
          <w:rStyle w:val="NICEnormalChar"/>
        </w:rPr>
      </w:pPr>
      <w:r w:rsidRPr="0084763D">
        <w:rPr>
          <w:b/>
          <w:bCs/>
        </w:rPr>
        <w:lastRenderedPageBreak/>
        <w:t>Data source:</w:t>
      </w:r>
      <w:r>
        <w:t xml:space="preserve"> Data can be collected from information recorded locally by healthcare professionals and provider organisations, for example from patient records. For measurement purposes</w:t>
      </w:r>
      <w:r w:rsidR="00AB4B29">
        <w:t xml:space="preserve">, </w:t>
      </w:r>
      <w:r w:rsidR="00BB53BA">
        <w:t xml:space="preserve">this </w:t>
      </w:r>
      <w:r>
        <w:t>could be defined as engagement at 1 year after transfer</w:t>
      </w:r>
      <w:r w:rsidR="00062D09">
        <w:t>.</w:t>
      </w:r>
    </w:p>
    <w:p w14:paraId="73C550F2" w14:textId="45EEF04E" w:rsidR="0057245F" w:rsidRPr="000E65EC" w:rsidRDefault="0057245F" w:rsidP="0057245F">
      <w:pPr>
        <w:pStyle w:val="Heading2"/>
        <w:rPr>
          <w:highlight w:val="cyan"/>
        </w:rPr>
      </w:pPr>
      <w:r w:rsidRPr="000C37A0">
        <w:t xml:space="preserve">What the quality statement means for </w:t>
      </w:r>
      <w:r w:rsidR="00E65FB1">
        <w:t>different audiences</w:t>
      </w:r>
    </w:p>
    <w:p w14:paraId="73BF37DE" w14:textId="173F71F8" w:rsidR="0057245F" w:rsidRPr="00AB1CA4" w:rsidRDefault="0057245F" w:rsidP="0057245F">
      <w:pPr>
        <w:pStyle w:val="NICEnormal"/>
        <w:rPr>
          <w:bCs/>
        </w:rPr>
      </w:pPr>
      <w:r w:rsidRPr="000C37A0">
        <w:rPr>
          <w:b/>
        </w:rPr>
        <w:t>Service providers</w:t>
      </w:r>
      <w:r>
        <w:t xml:space="preserve"> (adult health, mental health and social care services) ensure that</w:t>
      </w:r>
      <w:r w:rsidRPr="000C37A0">
        <w:t xml:space="preserve"> </w:t>
      </w:r>
      <w:r>
        <w:t xml:space="preserve">systems are in </w:t>
      </w:r>
      <w:r w:rsidR="00DA190D">
        <w:t>place,</w:t>
      </w:r>
      <w:r>
        <w:t xml:space="preserve"> so they </w:t>
      </w:r>
      <w:r w:rsidR="00833766">
        <w:t>know</w:t>
      </w:r>
      <w:r>
        <w:t xml:space="preserve"> who is transferring from children’s services</w:t>
      </w:r>
      <w:r w:rsidR="00833766">
        <w:t>,</w:t>
      </w:r>
      <w:r>
        <w:t xml:space="preserve"> </w:t>
      </w:r>
      <w:r w:rsidR="00833766">
        <w:t xml:space="preserve">and </w:t>
      </w:r>
      <w:r>
        <w:t>that a y</w:t>
      </w:r>
      <w:r w:rsidRPr="00AB1CA4">
        <w:rPr>
          <w:bCs/>
        </w:rPr>
        <w:t>oung pe</w:t>
      </w:r>
      <w:r>
        <w:rPr>
          <w:bCs/>
        </w:rPr>
        <w:t>rson</w:t>
      </w:r>
      <w:r w:rsidRPr="00AB1CA4">
        <w:rPr>
          <w:bCs/>
        </w:rPr>
        <w:t xml:space="preserve"> </w:t>
      </w:r>
      <w:r w:rsidR="00833766">
        <w:rPr>
          <w:bCs/>
        </w:rPr>
        <w:t xml:space="preserve">is contacted and given </w:t>
      </w:r>
      <w:r w:rsidR="00371996">
        <w:t>further</w:t>
      </w:r>
      <w:r w:rsidR="00833766">
        <w:rPr>
          <w:bCs/>
        </w:rPr>
        <w:t xml:space="preserve"> opportunities to engage if they </w:t>
      </w:r>
      <w:r w:rsidRPr="00AB1CA4">
        <w:rPr>
          <w:bCs/>
        </w:rPr>
        <w:t xml:space="preserve">do not attend their </w:t>
      </w:r>
      <w:r w:rsidR="007251F1">
        <w:rPr>
          <w:bCs/>
        </w:rPr>
        <w:t>initial</w:t>
      </w:r>
      <w:r w:rsidRPr="00AB1CA4">
        <w:rPr>
          <w:bCs/>
        </w:rPr>
        <w:t xml:space="preserve"> meeting</w:t>
      </w:r>
      <w:r w:rsidR="007251F1">
        <w:rPr>
          <w:bCs/>
        </w:rPr>
        <w:t>s</w:t>
      </w:r>
      <w:r w:rsidRPr="00AB1CA4">
        <w:rPr>
          <w:bCs/>
        </w:rPr>
        <w:t xml:space="preserve"> or appointment</w:t>
      </w:r>
      <w:r w:rsidR="007251F1">
        <w:rPr>
          <w:bCs/>
        </w:rPr>
        <w:t>s</w:t>
      </w:r>
      <w:r w:rsidRPr="00AB1CA4">
        <w:rPr>
          <w:bCs/>
        </w:rPr>
        <w:t xml:space="preserve"> </w:t>
      </w:r>
      <w:r>
        <w:rPr>
          <w:bCs/>
        </w:rPr>
        <w:t>in adults’ services</w:t>
      </w:r>
      <w:r w:rsidRPr="00AB1CA4">
        <w:rPr>
          <w:bCs/>
        </w:rPr>
        <w:t>.</w:t>
      </w:r>
      <w:r w:rsidRPr="00AB1CA4">
        <w:rPr>
          <w:b/>
          <w:bCs/>
        </w:rPr>
        <w:t xml:space="preserve"> </w:t>
      </w:r>
    </w:p>
    <w:p w14:paraId="09CF257B" w14:textId="6177E45F" w:rsidR="0057245F" w:rsidRPr="00AB1CA4" w:rsidRDefault="0057245F" w:rsidP="0057245F">
      <w:pPr>
        <w:pStyle w:val="NICEnormal"/>
        <w:rPr>
          <w:bCs/>
        </w:rPr>
      </w:pPr>
      <w:r w:rsidRPr="000C37A0">
        <w:rPr>
          <w:b/>
        </w:rPr>
        <w:t>Health</w:t>
      </w:r>
      <w:r>
        <w:rPr>
          <w:b/>
        </w:rPr>
        <w:t xml:space="preserve"> and social </w:t>
      </w:r>
      <w:r w:rsidRPr="000C37A0">
        <w:rPr>
          <w:b/>
        </w:rPr>
        <w:t xml:space="preserve">care </w:t>
      </w:r>
      <w:r>
        <w:rPr>
          <w:b/>
        </w:rPr>
        <w:t>practitioners from adults’ services</w:t>
      </w:r>
      <w:r>
        <w:t xml:space="preserve"> (such as hospital consultants, social workers, mental health workers) ensure that they work with children's services to identify young people </w:t>
      </w:r>
      <w:r w:rsidRPr="00AB1CA4">
        <w:rPr>
          <w:bCs/>
        </w:rPr>
        <w:t xml:space="preserve">who have moved to adults’ services </w:t>
      </w:r>
      <w:r w:rsidRPr="007D7755">
        <w:t xml:space="preserve">but </w:t>
      </w:r>
      <w:r w:rsidRPr="00AB1CA4">
        <w:rPr>
          <w:bCs/>
        </w:rPr>
        <w:t>d</w:t>
      </w:r>
      <w:r>
        <w:rPr>
          <w:bCs/>
        </w:rPr>
        <w:t>id</w:t>
      </w:r>
      <w:r w:rsidRPr="00AB1CA4">
        <w:rPr>
          <w:bCs/>
        </w:rPr>
        <w:t xml:space="preserve"> not attend their </w:t>
      </w:r>
      <w:r w:rsidR="007251F1">
        <w:rPr>
          <w:bCs/>
        </w:rPr>
        <w:t xml:space="preserve">initial </w:t>
      </w:r>
      <w:r w:rsidRPr="00AB1CA4">
        <w:rPr>
          <w:bCs/>
        </w:rPr>
        <w:t>meeting</w:t>
      </w:r>
      <w:r w:rsidR="007251F1">
        <w:rPr>
          <w:bCs/>
        </w:rPr>
        <w:t>s</w:t>
      </w:r>
      <w:r w:rsidRPr="00AB1CA4">
        <w:rPr>
          <w:bCs/>
        </w:rPr>
        <w:t xml:space="preserve"> or appointment</w:t>
      </w:r>
      <w:r w:rsidR="007251F1">
        <w:rPr>
          <w:bCs/>
        </w:rPr>
        <w:t>s</w:t>
      </w:r>
      <w:r>
        <w:rPr>
          <w:bCs/>
        </w:rPr>
        <w:t xml:space="preserve">. They ensure that the young people </w:t>
      </w:r>
      <w:r w:rsidRPr="00AB1CA4">
        <w:rPr>
          <w:bCs/>
        </w:rPr>
        <w:t xml:space="preserve">are contacted and </w:t>
      </w:r>
      <w:r>
        <w:rPr>
          <w:bCs/>
        </w:rPr>
        <w:t>given</w:t>
      </w:r>
      <w:r w:rsidRPr="00AB1CA4">
        <w:rPr>
          <w:bCs/>
        </w:rPr>
        <w:t xml:space="preserve"> </w:t>
      </w:r>
      <w:r w:rsidR="00371996">
        <w:t>further</w:t>
      </w:r>
      <w:r w:rsidRPr="00AB1CA4">
        <w:rPr>
          <w:bCs/>
        </w:rPr>
        <w:t xml:space="preserve"> opportunities to engage.</w:t>
      </w:r>
      <w:r w:rsidRPr="00AB1CA4">
        <w:rPr>
          <w:b/>
          <w:bCs/>
        </w:rPr>
        <w:t xml:space="preserve"> </w:t>
      </w:r>
    </w:p>
    <w:p w14:paraId="6ADD8D76" w14:textId="02F99076" w:rsidR="0057245F" w:rsidRPr="004F792E" w:rsidRDefault="0057245F" w:rsidP="0057245F">
      <w:pPr>
        <w:pStyle w:val="NICEnormal"/>
        <w:rPr>
          <w:bCs/>
        </w:rPr>
      </w:pPr>
      <w:r w:rsidRPr="000C37A0">
        <w:rPr>
          <w:b/>
        </w:rPr>
        <w:t>Commissioners</w:t>
      </w:r>
      <w:r>
        <w:t xml:space="preserve"> ensure that they commission adults’ services that </w:t>
      </w:r>
      <w:r w:rsidR="00833766">
        <w:t>contact</w:t>
      </w:r>
      <w:r w:rsidRPr="004F792E">
        <w:rPr>
          <w:b/>
        </w:rPr>
        <w:t xml:space="preserve"> </w:t>
      </w:r>
      <w:r>
        <w:rPr>
          <w:bCs/>
        </w:rPr>
        <w:t>y</w:t>
      </w:r>
      <w:r w:rsidRPr="004F792E">
        <w:rPr>
          <w:bCs/>
        </w:rPr>
        <w:t xml:space="preserve">oung people who have moved to </w:t>
      </w:r>
      <w:r>
        <w:rPr>
          <w:bCs/>
        </w:rPr>
        <w:t>their</w:t>
      </w:r>
      <w:r w:rsidRPr="004F792E">
        <w:rPr>
          <w:bCs/>
        </w:rPr>
        <w:t xml:space="preserve"> services </w:t>
      </w:r>
      <w:r w:rsidRPr="007D7755">
        <w:t>but</w:t>
      </w:r>
      <w:r w:rsidRPr="004F792E">
        <w:rPr>
          <w:bCs/>
        </w:rPr>
        <w:t xml:space="preserve"> do not attend the </w:t>
      </w:r>
      <w:r w:rsidR="007251F1">
        <w:rPr>
          <w:bCs/>
        </w:rPr>
        <w:t>initial</w:t>
      </w:r>
      <w:r w:rsidRPr="004F792E">
        <w:rPr>
          <w:bCs/>
        </w:rPr>
        <w:t xml:space="preserve"> meeting</w:t>
      </w:r>
      <w:r w:rsidR="007251F1">
        <w:rPr>
          <w:bCs/>
        </w:rPr>
        <w:t>s</w:t>
      </w:r>
      <w:r w:rsidRPr="004F792E">
        <w:rPr>
          <w:bCs/>
        </w:rPr>
        <w:t xml:space="preserve"> or appointment</w:t>
      </w:r>
      <w:r w:rsidR="007251F1">
        <w:rPr>
          <w:bCs/>
        </w:rPr>
        <w:t>s</w:t>
      </w:r>
      <w:r w:rsidRPr="004F792E">
        <w:rPr>
          <w:bCs/>
        </w:rPr>
        <w:t xml:space="preserve"> and </w:t>
      </w:r>
      <w:r>
        <w:rPr>
          <w:bCs/>
        </w:rPr>
        <w:t>give</w:t>
      </w:r>
      <w:r w:rsidRPr="004F792E">
        <w:rPr>
          <w:bCs/>
        </w:rPr>
        <w:t xml:space="preserve"> </w:t>
      </w:r>
      <w:r w:rsidR="00833766">
        <w:rPr>
          <w:bCs/>
        </w:rPr>
        <w:t xml:space="preserve">them </w:t>
      </w:r>
      <w:r w:rsidR="00371996">
        <w:t>further</w:t>
      </w:r>
      <w:r w:rsidR="00371996" w:rsidRPr="007D7755">
        <w:t xml:space="preserve"> </w:t>
      </w:r>
      <w:r w:rsidRPr="004F792E">
        <w:rPr>
          <w:bCs/>
        </w:rPr>
        <w:t>opportunities to engage</w:t>
      </w:r>
      <w:r>
        <w:rPr>
          <w:bCs/>
        </w:rPr>
        <w:t xml:space="preserve"> </w:t>
      </w:r>
      <w:r w:rsidR="00833766">
        <w:rPr>
          <w:bCs/>
        </w:rPr>
        <w:t>(</w:t>
      </w:r>
      <w:r>
        <w:rPr>
          <w:bCs/>
        </w:rPr>
        <w:t>for example</w:t>
      </w:r>
      <w:r w:rsidR="00833766">
        <w:rPr>
          <w:bCs/>
        </w:rPr>
        <w:t>,</w:t>
      </w:r>
      <w:r>
        <w:rPr>
          <w:bCs/>
        </w:rPr>
        <w:t xml:space="preserve"> other appointments</w:t>
      </w:r>
      <w:r w:rsidR="00833766">
        <w:rPr>
          <w:bCs/>
        </w:rPr>
        <w:t>)</w:t>
      </w:r>
      <w:r w:rsidRPr="004F792E">
        <w:rPr>
          <w:bCs/>
        </w:rPr>
        <w:t>.</w:t>
      </w:r>
      <w:r w:rsidRPr="004F792E">
        <w:rPr>
          <w:b/>
          <w:bCs/>
        </w:rPr>
        <w:t xml:space="preserve"> </w:t>
      </w:r>
    </w:p>
    <w:p w14:paraId="5088E765" w14:textId="3B27A24F" w:rsidR="0057245F" w:rsidRDefault="0057245F" w:rsidP="0057245F">
      <w:pPr>
        <w:pStyle w:val="NICEnormal"/>
      </w:pPr>
      <w:r>
        <w:rPr>
          <w:b/>
        </w:rPr>
        <w:t>Y</w:t>
      </w:r>
      <w:r w:rsidRPr="000C37A0">
        <w:rPr>
          <w:b/>
        </w:rPr>
        <w:t>oung people</w:t>
      </w:r>
      <w:r w:rsidRPr="0092679C">
        <w:t xml:space="preserve"> </w:t>
      </w:r>
      <w:r w:rsidRPr="006A35C2">
        <w:rPr>
          <w:b/>
        </w:rPr>
        <w:t xml:space="preserve">who have moved </w:t>
      </w:r>
      <w:r w:rsidRPr="00CC43F2">
        <w:rPr>
          <w:b/>
        </w:rPr>
        <w:t>from children’s</w:t>
      </w:r>
      <w:r>
        <w:t xml:space="preserve"> </w:t>
      </w:r>
      <w:r w:rsidRPr="006A35C2">
        <w:rPr>
          <w:b/>
        </w:rPr>
        <w:t xml:space="preserve">to adults’ services </w:t>
      </w:r>
      <w:r w:rsidRPr="007D7755">
        <w:rPr>
          <w:b/>
        </w:rPr>
        <w:t xml:space="preserve">but </w:t>
      </w:r>
      <w:r w:rsidRPr="006A35C2">
        <w:rPr>
          <w:b/>
        </w:rPr>
        <w:t xml:space="preserve">do not attend their </w:t>
      </w:r>
      <w:r w:rsidR="007251F1">
        <w:rPr>
          <w:b/>
        </w:rPr>
        <w:t>initial</w:t>
      </w:r>
      <w:r w:rsidRPr="006A35C2">
        <w:rPr>
          <w:b/>
        </w:rPr>
        <w:t xml:space="preserve"> meeting</w:t>
      </w:r>
      <w:r w:rsidR="007251F1">
        <w:rPr>
          <w:b/>
        </w:rPr>
        <w:t>s</w:t>
      </w:r>
      <w:r w:rsidRPr="006A35C2">
        <w:rPr>
          <w:b/>
        </w:rPr>
        <w:t xml:space="preserve"> or appointment</w:t>
      </w:r>
      <w:r w:rsidR="007251F1">
        <w:rPr>
          <w:b/>
        </w:rPr>
        <w:t>s</w:t>
      </w:r>
      <w:r>
        <w:t xml:space="preserve"> are contacted by someone from adults’ services. They will check if the young person’s care and support plan is still right and whether they need any other help to get back in touch with the service.</w:t>
      </w:r>
    </w:p>
    <w:p w14:paraId="2F21ED87" w14:textId="59045418" w:rsidR="0057245F" w:rsidRPr="000C37A0" w:rsidRDefault="00D45705" w:rsidP="0057245F">
      <w:pPr>
        <w:pStyle w:val="NICEnormal"/>
      </w:pPr>
      <w:r>
        <w:rPr>
          <w:b/>
        </w:rPr>
        <w:t xml:space="preserve">Families </w:t>
      </w:r>
      <w:r w:rsidR="0057245F">
        <w:rPr>
          <w:b/>
        </w:rPr>
        <w:t>and carers of y</w:t>
      </w:r>
      <w:r w:rsidR="0057245F" w:rsidRPr="000C37A0">
        <w:rPr>
          <w:b/>
        </w:rPr>
        <w:t>oung people</w:t>
      </w:r>
      <w:r w:rsidR="0057245F" w:rsidRPr="0092679C">
        <w:t xml:space="preserve"> </w:t>
      </w:r>
      <w:r w:rsidR="0057245F" w:rsidRPr="006A35C2">
        <w:rPr>
          <w:b/>
        </w:rPr>
        <w:t xml:space="preserve">who have moved </w:t>
      </w:r>
      <w:r w:rsidR="0057245F" w:rsidRPr="00CC43F2">
        <w:rPr>
          <w:b/>
        </w:rPr>
        <w:t>from children’s</w:t>
      </w:r>
      <w:r w:rsidR="0057245F">
        <w:t xml:space="preserve"> </w:t>
      </w:r>
      <w:r w:rsidR="0057245F" w:rsidRPr="006A35C2">
        <w:rPr>
          <w:b/>
        </w:rPr>
        <w:t xml:space="preserve">to adults’ services </w:t>
      </w:r>
      <w:r w:rsidR="0057245F" w:rsidRPr="007D7755">
        <w:rPr>
          <w:b/>
        </w:rPr>
        <w:t xml:space="preserve">but </w:t>
      </w:r>
      <w:r w:rsidR="0057245F" w:rsidRPr="006A35C2">
        <w:rPr>
          <w:b/>
        </w:rPr>
        <w:t xml:space="preserve">do not attend their </w:t>
      </w:r>
      <w:r w:rsidR="007251F1">
        <w:rPr>
          <w:b/>
        </w:rPr>
        <w:t>initial</w:t>
      </w:r>
      <w:r w:rsidR="0057245F" w:rsidRPr="006A35C2">
        <w:rPr>
          <w:b/>
        </w:rPr>
        <w:t xml:space="preserve"> meeting</w:t>
      </w:r>
      <w:r w:rsidR="007251F1">
        <w:rPr>
          <w:b/>
        </w:rPr>
        <w:t>s</w:t>
      </w:r>
      <w:r w:rsidR="0057245F" w:rsidRPr="006A35C2">
        <w:rPr>
          <w:b/>
        </w:rPr>
        <w:t xml:space="preserve"> or appointment</w:t>
      </w:r>
      <w:r w:rsidR="007251F1">
        <w:rPr>
          <w:b/>
        </w:rPr>
        <w:t>s</w:t>
      </w:r>
      <w:r w:rsidR="0057245F">
        <w:t xml:space="preserve"> are contacted by someone from adults’ services to try to help the young person </w:t>
      </w:r>
      <w:r w:rsidR="00833766">
        <w:t>keep in touch</w:t>
      </w:r>
      <w:r w:rsidR="0057245F">
        <w:t xml:space="preserve"> with adults’ services. </w:t>
      </w:r>
    </w:p>
    <w:p w14:paraId="43A213BB" w14:textId="77777777" w:rsidR="0057245F" w:rsidRPr="0092679C" w:rsidRDefault="0057245F" w:rsidP="0057245F">
      <w:pPr>
        <w:pStyle w:val="Heading2"/>
      </w:pPr>
      <w:r w:rsidRPr="0092679C">
        <w:t>Source guidance</w:t>
      </w:r>
    </w:p>
    <w:p w14:paraId="3BDBD5E9" w14:textId="68C89063" w:rsidR="0057245F" w:rsidRPr="0092679C" w:rsidRDefault="003A2E89" w:rsidP="001979A9">
      <w:pPr>
        <w:pStyle w:val="NICEnormal"/>
      </w:pPr>
      <w:hyperlink r:id="rId38" w:history="1">
        <w:r w:rsidR="0057245F" w:rsidRPr="00105EBD">
          <w:rPr>
            <w:rStyle w:val="Hyperlink"/>
          </w:rPr>
          <w:t>Transition from children’s to adults’ services for young people using health or social care services</w:t>
        </w:r>
        <w:r w:rsidR="00105EBD" w:rsidRPr="00105EBD">
          <w:rPr>
            <w:rStyle w:val="Hyperlink"/>
          </w:rPr>
          <w:t>.</w:t>
        </w:r>
        <w:r w:rsidR="0057245F" w:rsidRPr="00105EBD">
          <w:rPr>
            <w:rStyle w:val="Hyperlink"/>
          </w:rPr>
          <w:t xml:space="preserve"> NICE guideline NG43</w:t>
        </w:r>
      </w:hyperlink>
      <w:r w:rsidR="00105EBD">
        <w:t xml:space="preserve"> (2016)</w:t>
      </w:r>
      <w:r w:rsidR="0057245F" w:rsidRPr="0092679C">
        <w:t>, recommendations</w:t>
      </w:r>
      <w:r w:rsidR="00105EBD">
        <w:t> </w:t>
      </w:r>
      <w:r w:rsidR="0057245F" w:rsidRPr="0092679C">
        <w:t>1.4.1 and 1.4.2</w:t>
      </w:r>
    </w:p>
    <w:p w14:paraId="7BAA1179" w14:textId="77777777" w:rsidR="0057245F" w:rsidRPr="000C37A0" w:rsidRDefault="0057245F" w:rsidP="0057245F">
      <w:pPr>
        <w:pStyle w:val="Heading2"/>
      </w:pPr>
      <w:r w:rsidRPr="000C37A0">
        <w:lastRenderedPageBreak/>
        <w:t>Definitions of terms used in this quality statement</w:t>
      </w:r>
    </w:p>
    <w:p w14:paraId="466D5A40" w14:textId="77777777" w:rsidR="0057245F" w:rsidRPr="002B5BCA" w:rsidRDefault="0057245F" w:rsidP="0057245F">
      <w:pPr>
        <w:pStyle w:val="Heading3"/>
      </w:pPr>
      <w:r w:rsidRPr="002B5BCA">
        <w:t>Opportunities to engage</w:t>
      </w:r>
    </w:p>
    <w:p w14:paraId="6C2C1680" w14:textId="230F7F66" w:rsidR="0057245F" w:rsidRDefault="0057245F" w:rsidP="00D83860">
      <w:pPr>
        <w:pStyle w:val="NICEnormal"/>
      </w:pPr>
      <w:r w:rsidRPr="002D3D7C">
        <w:t>If a young person does not attend meetings and appointments in adults’ services</w:t>
      </w:r>
      <w:r w:rsidR="00AB4B29">
        <w:t>,</w:t>
      </w:r>
      <w:r w:rsidRPr="002D3D7C">
        <w:t xml:space="preserve"> the adults’ service should try to contact them and their family</w:t>
      </w:r>
      <w:r>
        <w:t xml:space="preserve"> </w:t>
      </w:r>
      <w:r w:rsidR="009D0E99">
        <w:t xml:space="preserve">or carers </w:t>
      </w:r>
      <w:r>
        <w:t xml:space="preserve">and follow up with the young person, </w:t>
      </w:r>
      <w:r w:rsidRPr="002D3D7C">
        <w:t xml:space="preserve">then involve other relevant professionals </w:t>
      </w:r>
      <w:r>
        <w:t>(</w:t>
      </w:r>
      <w:r w:rsidRPr="002D3D7C">
        <w:t xml:space="preserve">including </w:t>
      </w:r>
      <w:r>
        <w:t xml:space="preserve">children’s services and </w:t>
      </w:r>
      <w:r w:rsidRPr="002D3D7C">
        <w:t>the</w:t>
      </w:r>
      <w:r>
        <w:t>ir</w:t>
      </w:r>
      <w:r w:rsidRPr="002D3D7C">
        <w:t xml:space="preserve"> GP</w:t>
      </w:r>
      <w:r>
        <w:t xml:space="preserve">) if need be. If there is still no contact then the relevant provider should refer back to the named worker </w:t>
      </w:r>
      <w:r w:rsidR="007251F1">
        <w:t xml:space="preserve">or the children’s service </w:t>
      </w:r>
      <w:r>
        <w:t xml:space="preserve">with clear guidance on re-referral, if applicable. </w:t>
      </w:r>
      <w:r w:rsidR="00D83860">
        <w:t>The named worker should review the person</w:t>
      </w:r>
      <w:r w:rsidR="00D83860">
        <w:rPr>
          <w:rFonts w:ascii="Cambria Math" w:hAnsi="Cambria Math" w:cs="Cambria Math"/>
        </w:rPr>
        <w:t>‑</w:t>
      </w:r>
      <w:r w:rsidR="00D83860">
        <w:t>centred care and support plan with the young person to identify how to help them use the service</w:t>
      </w:r>
      <w:r w:rsidR="00AB4B29">
        <w:t>.</w:t>
      </w:r>
      <w:r w:rsidR="00D83860">
        <w:t xml:space="preserve"> </w:t>
      </w:r>
      <w:r>
        <w:t xml:space="preserve">If the young person does not want to engage in </w:t>
      </w:r>
      <w:r w:rsidR="007251F1">
        <w:t xml:space="preserve">adults’ </w:t>
      </w:r>
      <w:r>
        <w:t>services</w:t>
      </w:r>
      <w:r w:rsidR="007251F1">
        <w:t>,</w:t>
      </w:r>
      <w:r>
        <w:t xml:space="preserve"> they should be offered alternative ways to meet their support needs</w:t>
      </w:r>
      <w:r w:rsidR="007251F1">
        <w:t xml:space="preserve"> by the named worker</w:t>
      </w:r>
      <w:r w:rsidR="00270CB3">
        <w:t>.</w:t>
      </w:r>
      <w:r w:rsidR="00105EBD">
        <w:t xml:space="preserve"> </w:t>
      </w:r>
      <w:r w:rsidRPr="002D3D7C">
        <w:t>[</w:t>
      </w:r>
      <w:hyperlink r:id="rId39" w:history="1">
        <w:r w:rsidR="00270CB3" w:rsidRPr="00105EBD">
          <w:rPr>
            <w:rStyle w:val="Hyperlink"/>
          </w:rPr>
          <w:t>NICE’s guideline on transition from children’s to adults’ services for young people using health or social care services</w:t>
        </w:r>
      </w:hyperlink>
      <w:r w:rsidR="00105EBD">
        <w:t xml:space="preserve">, </w:t>
      </w:r>
      <w:r>
        <w:t>recommendations</w:t>
      </w:r>
      <w:r w:rsidR="00105EBD">
        <w:t> </w:t>
      </w:r>
      <w:r>
        <w:t>1.4.1</w:t>
      </w:r>
      <w:r w:rsidR="00105EBD">
        <w:t xml:space="preserve"> to</w:t>
      </w:r>
      <w:r>
        <w:t xml:space="preserve"> 1.4.3</w:t>
      </w:r>
      <w:r w:rsidRPr="00ED47D5">
        <w:t>]</w:t>
      </w:r>
      <w:r>
        <w:t>.</w:t>
      </w:r>
    </w:p>
    <w:p w14:paraId="69E22632" w14:textId="77777777" w:rsidR="009D0E99" w:rsidRDefault="009D0E99" w:rsidP="009D0E99">
      <w:pPr>
        <w:pStyle w:val="Heading2"/>
      </w:pPr>
      <w:r w:rsidRPr="00F022EE">
        <w:t>Equality and diversity considerations</w:t>
      </w:r>
    </w:p>
    <w:p w14:paraId="155D84E4" w14:textId="2A7406BE" w:rsidR="004F4A36" w:rsidRDefault="009D0E99" w:rsidP="00D45705">
      <w:pPr>
        <w:pStyle w:val="NICEnormal"/>
      </w:pPr>
      <w:r>
        <w:t xml:space="preserve">Service managers should ensure a range of </w:t>
      </w:r>
      <w:r w:rsidR="00BB53BA">
        <w:t>support</w:t>
      </w:r>
      <w:r>
        <w:t xml:space="preserve"> is available, and used, to help young people communicate effectively when adults’ services engage with them. This could include having a written record of how a young person communicates, such as a communication passport or 1-page profile</w:t>
      </w:r>
      <w:r w:rsidR="00CC64D0">
        <w:t>, and</w:t>
      </w:r>
      <w:r>
        <w:t xml:space="preserve"> different ways to help the young person communicate</w:t>
      </w:r>
      <w:r w:rsidR="00CC64D0">
        <w:t>,</w:t>
      </w:r>
      <w:r>
        <w:t xml:space="preserve"> such as communication boards and digital communication tools. [</w:t>
      </w:r>
      <w:hyperlink r:id="rId40" w:history="1">
        <w:r w:rsidRPr="003A5F5F">
          <w:rPr>
            <w:rStyle w:val="Hyperlink"/>
          </w:rPr>
          <w:t>NICE’s guideline on transition from children’s to adults’ services for young people using health or social care services</w:t>
        </w:r>
      </w:hyperlink>
      <w:r>
        <w:t xml:space="preserve">, </w:t>
      </w:r>
      <w:r w:rsidRPr="009B1EF7">
        <w:t>recommendation</w:t>
      </w:r>
      <w:r>
        <w:t xml:space="preserve"> 1.2.12]</w:t>
      </w:r>
    </w:p>
    <w:p w14:paraId="39E54380" w14:textId="22FDD020" w:rsidR="004F4A36" w:rsidRDefault="004F4A36" w:rsidP="004F4A36">
      <w:pPr>
        <w:pStyle w:val="Heading2"/>
      </w:pPr>
      <w:r w:rsidRPr="004F4A36">
        <w:t>Question</w:t>
      </w:r>
      <w:r w:rsidR="00F42B40">
        <w:t>s</w:t>
      </w:r>
      <w:r w:rsidRPr="004F4A36">
        <w:t xml:space="preserve"> for consultation </w:t>
      </w:r>
    </w:p>
    <w:p w14:paraId="49B270D4" w14:textId="77777777" w:rsidR="00B9229A" w:rsidRDefault="00B9229A" w:rsidP="004F4A36">
      <w:pPr>
        <w:pStyle w:val="NICEnormal"/>
      </w:pPr>
      <w:r w:rsidRPr="00B9229A">
        <w:t>We have suggested that this statement could be measured based on attendance at any of the first 3 meetings or appointments in adults’ services. Is this a helpful definition of initial appointments? If not, please suggest an alternative</w:t>
      </w:r>
      <w:r>
        <w:t>.</w:t>
      </w:r>
    </w:p>
    <w:p w14:paraId="3645D8B6" w14:textId="7DE16B69" w:rsidR="000E47DB" w:rsidRDefault="00072A59" w:rsidP="004F4A36">
      <w:pPr>
        <w:pStyle w:val="NICEnormal"/>
      </w:pPr>
      <w:r>
        <w:t xml:space="preserve">Can structure measure a) on </w:t>
      </w:r>
      <w:r w:rsidRPr="00072A59">
        <w:t>arrangements to monitor and assure transitions from children’s to adults’ services</w:t>
      </w:r>
      <w:r>
        <w:t xml:space="preserve"> be measured in practice? If so, how? Please let us know of any examples where this is already collected.</w:t>
      </w:r>
    </w:p>
    <w:p w14:paraId="74C1CACB" w14:textId="7803FE92" w:rsidR="00105EBD" w:rsidRDefault="00B9229A" w:rsidP="004F4A36">
      <w:pPr>
        <w:pStyle w:val="NICEnormal"/>
      </w:pPr>
      <w:r>
        <w:t xml:space="preserve">Is it helpful to include the new outcome measure </w:t>
      </w:r>
      <w:r w:rsidR="00072A59">
        <w:t xml:space="preserve">b) </w:t>
      </w:r>
      <w:r>
        <w:t xml:space="preserve">to capture ongoing engagement with adults’ services </w:t>
      </w:r>
      <w:r w:rsidR="0075350D">
        <w:t>(</w:t>
      </w:r>
      <w:r>
        <w:t>1 year after transfer</w:t>
      </w:r>
      <w:r w:rsidR="0075350D">
        <w:t>)</w:t>
      </w:r>
      <w:r>
        <w:t xml:space="preserve"> for this statement?</w:t>
      </w:r>
      <w:r w:rsidR="00AD173C">
        <w:t xml:space="preserve"> </w:t>
      </w:r>
      <w:r w:rsidR="00105EBD">
        <w:br w:type="page"/>
      </w:r>
    </w:p>
    <w:p w14:paraId="647197AB" w14:textId="77777777" w:rsidR="00236760" w:rsidRPr="00236760" w:rsidRDefault="00236760" w:rsidP="00236760">
      <w:pPr>
        <w:keepNext/>
        <w:spacing w:before="240" w:after="120" w:line="360" w:lineRule="auto"/>
        <w:outlineLvl w:val="0"/>
        <w:rPr>
          <w:rFonts w:ascii="Arial" w:hAnsi="Arial" w:cs="Arial"/>
          <w:b/>
          <w:bCs/>
          <w:kern w:val="32"/>
          <w:sz w:val="32"/>
          <w:szCs w:val="32"/>
        </w:rPr>
      </w:pPr>
      <w:bookmarkStart w:id="27" w:name="_Quality_statement_2:"/>
      <w:bookmarkStart w:id="28" w:name="_Quality_statement_X"/>
      <w:bookmarkStart w:id="29" w:name="Update_info"/>
      <w:bookmarkEnd w:id="27"/>
      <w:bookmarkEnd w:id="28"/>
      <w:bookmarkEnd w:id="29"/>
      <w:r w:rsidRPr="00236760">
        <w:rPr>
          <w:rFonts w:ascii="Arial" w:hAnsi="Arial" w:cs="Arial"/>
          <w:b/>
          <w:bCs/>
          <w:kern w:val="32"/>
          <w:sz w:val="32"/>
          <w:szCs w:val="32"/>
        </w:rPr>
        <w:lastRenderedPageBreak/>
        <w:t>Update information</w:t>
      </w:r>
    </w:p>
    <w:p w14:paraId="5B39132D" w14:textId="331B535E" w:rsidR="00236760" w:rsidRPr="00236760" w:rsidRDefault="00E920C7" w:rsidP="00E920C7">
      <w:pPr>
        <w:spacing w:after="240" w:line="360" w:lineRule="auto"/>
        <w:rPr>
          <w:rFonts w:ascii="Arial" w:hAnsi="Arial"/>
        </w:rPr>
      </w:pPr>
      <w:r>
        <w:rPr>
          <w:rFonts w:ascii="Arial" w:hAnsi="Arial"/>
          <w:b/>
        </w:rPr>
        <w:t>September 2023</w:t>
      </w:r>
      <w:r w:rsidR="00236760" w:rsidRPr="00236760">
        <w:rPr>
          <w:rFonts w:ascii="Arial" w:hAnsi="Arial"/>
          <w:b/>
        </w:rPr>
        <w:t>:</w:t>
      </w:r>
      <w:r w:rsidR="00236760" w:rsidRPr="00236760">
        <w:rPr>
          <w:rFonts w:ascii="Arial" w:hAnsi="Arial"/>
        </w:rPr>
        <w:t xml:space="preserve"> This quality standard was updated </w:t>
      </w:r>
      <w:r>
        <w:rPr>
          <w:rFonts w:ascii="Arial" w:hAnsi="Arial"/>
        </w:rPr>
        <w:t xml:space="preserve">following feedback from stakeholders. </w:t>
      </w:r>
    </w:p>
    <w:p w14:paraId="37A18C00" w14:textId="752C1D62" w:rsidR="00236760" w:rsidRPr="00236760" w:rsidRDefault="00236760" w:rsidP="00236760">
      <w:pPr>
        <w:spacing w:after="240" w:line="360" w:lineRule="auto"/>
        <w:rPr>
          <w:rFonts w:ascii="Arial" w:hAnsi="Arial"/>
        </w:rPr>
      </w:pPr>
      <w:r w:rsidRPr="00236760">
        <w:rPr>
          <w:rFonts w:ascii="Arial" w:hAnsi="Arial"/>
        </w:rPr>
        <w:t xml:space="preserve">Statements are marked as: </w:t>
      </w:r>
    </w:p>
    <w:p w14:paraId="4B84AFFF" w14:textId="2CDC5149" w:rsidR="00236760" w:rsidRPr="00236760" w:rsidRDefault="00236760" w:rsidP="00236760">
      <w:pPr>
        <w:numPr>
          <w:ilvl w:val="0"/>
          <w:numId w:val="3"/>
        </w:numPr>
        <w:spacing w:line="360" w:lineRule="auto"/>
        <w:rPr>
          <w:rFonts w:ascii="Arial" w:hAnsi="Arial"/>
        </w:rPr>
      </w:pPr>
      <w:r w:rsidRPr="00236760">
        <w:rPr>
          <w:rFonts w:ascii="Arial" w:hAnsi="Arial"/>
          <w:b/>
        </w:rPr>
        <w:t>[20</w:t>
      </w:r>
      <w:r w:rsidR="00E920C7">
        <w:rPr>
          <w:rFonts w:ascii="Arial" w:hAnsi="Arial"/>
          <w:b/>
        </w:rPr>
        <w:t>16</w:t>
      </w:r>
      <w:r w:rsidRPr="00236760">
        <w:rPr>
          <w:rFonts w:ascii="Arial" w:hAnsi="Arial"/>
          <w:b/>
        </w:rPr>
        <w:t>]</w:t>
      </w:r>
      <w:r w:rsidRPr="00236760">
        <w:rPr>
          <w:rFonts w:ascii="Arial" w:hAnsi="Arial"/>
        </w:rPr>
        <w:t xml:space="preserve"> if the statement remains unchanged</w:t>
      </w:r>
    </w:p>
    <w:p w14:paraId="58A0D270" w14:textId="77777777" w:rsidR="00A445E6" w:rsidRDefault="00236760" w:rsidP="00A445E6">
      <w:pPr>
        <w:numPr>
          <w:ilvl w:val="0"/>
          <w:numId w:val="3"/>
        </w:numPr>
        <w:spacing w:line="360" w:lineRule="auto"/>
        <w:rPr>
          <w:rFonts w:ascii="Arial" w:hAnsi="Arial"/>
        </w:rPr>
      </w:pPr>
      <w:r w:rsidRPr="00236760">
        <w:rPr>
          <w:rFonts w:ascii="Arial" w:hAnsi="Arial"/>
          <w:b/>
        </w:rPr>
        <w:t>[new 20</w:t>
      </w:r>
      <w:r w:rsidR="00E920C7">
        <w:rPr>
          <w:rFonts w:ascii="Arial" w:hAnsi="Arial"/>
          <w:b/>
        </w:rPr>
        <w:t>23</w:t>
      </w:r>
      <w:r w:rsidRPr="00236760">
        <w:rPr>
          <w:rFonts w:ascii="Arial" w:hAnsi="Arial"/>
          <w:b/>
        </w:rPr>
        <w:t>]</w:t>
      </w:r>
      <w:r w:rsidRPr="00236760">
        <w:rPr>
          <w:rFonts w:ascii="Arial" w:hAnsi="Arial"/>
        </w:rPr>
        <w:t xml:space="preserve"> if the statement covers a new area for quality improvement </w:t>
      </w:r>
    </w:p>
    <w:p w14:paraId="603BCA36" w14:textId="0B911A0B" w:rsidR="00236760" w:rsidRPr="00A445E6" w:rsidRDefault="00236760" w:rsidP="00A445E6">
      <w:pPr>
        <w:numPr>
          <w:ilvl w:val="0"/>
          <w:numId w:val="3"/>
        </w:numPr>
        <w:spacing w:after="240" w:line="360" w:lineRule="auto"/>
        <w:rPr>
          <w:rFonts w:ascii="Arial" w:hAnsi="Arial"/>
        </w:rPr>
      </w:pPr>
      <w:r w:rsidRPr="00A445E6">
        <w:rPr>
          <w:rFonts w:ascii="Arial" w:hAnsi="Arial"/>
          <w:b/>
          <w:lang w:val="x-none"/>
        </w:rPr>
        <w:t>[20</w:t>
      </w:r>
      <w:r w:rsidR="00E920C7" w:rsidRPr="00A445E6">
        <w:rPr>
          <w:rFonts w:ascii="Arial" w:hAnsi="Arial"/>
          <w:b/>
        </w:rPr>
        <w:t>16</w:t>
      </w:r>
      <w:r w:rsidRPr="00A445E6">
        <w:rPr>
          <w:rFonts w:ascii="Arial" w:hAnsi="Arial"/>
          <w:b/>
          <w:lang w:val="x-none"/>
        </w:rPr>
        <w:t>, updated 20</w:t>
      </w:r>
      <w:r w:rsidR="00E920C7" w:rsidRPr="00A445E6">
        <w:rPr>
          <w:rFonts w:ascii="Arial" w:hAnsi="Arial"/>
          <w:b/>
        </w:rPr>
        <w:t>23</w:t>
      </w:r>
      <w:r w:rsidRPr="00A445E6">
        <w:rPr>
          <w:rFonts w:ascii="Arial" w:hAnsi="Arial"/>
          <w:b/>
          <w:lang w:val="x-none"/>
        </w:rPr>
        <w:t xml:space="preserve">] </w:t>
      </w:r>
      <w:r w:rsidRPr="00A445E6">
        <w:rPr>
          <w:rFonts w:ascii="Arial" w:hAnsi="Arial"/>
          <w:lang w:val="x-none"/>
        </w:rPr>
        <w:t xml:space="preserve">if the statement has been </w:t>
      </w:r>
      <w:r w:rsidR="00E920C7" w:rsidRPr="00A445E6">
        <w:rPr>
          <w:rFonts w:ascii="Arial" w:hAnsi="Arial"/>
        </w:rPr>
        <w:t>amended</w:t>
      </w:r>
      <w:r w:rsidRPr="00A445E6">
        <w:rPr>
          <w:rFonts w:ascii="Arial" w:hAnsi="Arial"/>
          <w:lang w:val="x-none"/>
        </w:rPr>
        <w:t>.</w:t>
      </w:r>
    </w:p>
    <w:p w14:paraId="1D579774" w14:textId="1AF0F352" w:rsidR="009C399D" w:rsidRPr="000C37A0" w:rsidRDefault="009C399D" w:rsidP="002E309E">
      <w:pPr>
        <w:pStyle w:val="Heading1"/>
      </w:pPr>
      <w:r w:rsidRPr="000C37A0">
        <w:t>About this quality standard</w:t>
      </w:r>
    </w:p>
    <w:p w14:paraId="445A00CD" w14:textId="77777777" w:rsidR="00EA25B0" w:rsidRDefault="00EA25B0" w:rsidP="007F0FC4">
      <w:pPr>
        <w:pStyle w:val="NICEnormal"/>
      </w:pPr>
      <w:r w:rsidRPr="000C37A0">
        <w:t xml:space="preserve">NICE quality standards </w:t>
      </w:r>
      <w:r w:rsidR="00D73CCC" w:rsidRPr="000C37A0">
        <w:t>describe high-</w:t>
      </w:r>
      <w:r w:rsidR="009D7B87" w:rsidRPr="000C37A0">
        <w:t xml:space="preserve">priority areas for quality improvement in a defined care or service area. Each standard consists of a prioritised set </w:t>
      </w:r>
      <w:r w:rsidRPr="000C37A0">
        <w:t>of specific, concise</w:t>
      </w:r>
      <w:r w:rsidR="009D7B87" w:rsidRPr="000C37A0">
        <w:t xml:space="preserve"> and measurable</w:t>
      </w:r>
      <w:r w:rsidRPr="000C37A0">
        <w:t xml:space="preserve"> statements</w:t>
      </w:r>
      <w:r w:rsidR="00D73CCC" w:rsidRPr="000C37A0">
        <w:t>.</w:t>
      </w:r>
      <w:r w:rsidR="009D7B87" w:rsidRPr="000C37A0">
        <w:t xml:space="preserve"> NICE quality standard</w:t>
      </w:r>
      <w:r w:rsidR="00D73CCC" w:rsidRPr="000C37A0">
        <w:t>s draw on existing NICE or NICE-</w:t>
      </w:r>
      <w:r w:rsidR="009D7B87" w:rsidRPr="000C37A0">
        <w:t>accredited guidance</w:t>
      </w:r>
      <w:r w:rsidR="00D73CCC" w:rsidRPr="000C37A0">
        <w:t xml:space="preserve"> that</w:t>
      </w:r>
      <w:r w:rsidR="009D7B87" w:rsidRPr="000C37A0">
        <w:t xml:space="preserve"> provide</w:t>
      </w:r>
      <w:r w:rsidR="00D73CCC" w:rsidRPr="000C37A0">
        <w:t>s</w:t>
      </w:r>
      <w:r w:rsidR="009D7B87" w:rsidRPr="000C37A0">
        <w:t xml:space="preserve"> an underpinning, comprehensive set of recommendations, and are designed to support the measurement of improvement.</w:t>
      </w:r>
      <w:r w:rsidR="009D7B87" w:rsidRPr="000C37A0" w:rsidDel="009D7B87">
        <w:t xml:space="preserve"> </w:t>
      </w:r>
    </w:p>
    <w:p w14:paraId="1C26C00C" w14:textId="77777777" w:rsidR="00105EBD" w:rsidRPr="000C37A0" w:rsidRDefault="00105EBD" w:rsidP="00105EBD">
      <w:pPr>
        <w:pStyle w:val="NICEnormal"/>
      </w:pPr>
      <w:r w:rsidRPr="00083623">
        <w:t>Expected levels of achievement for quality measures are not specified. Quality standards are intended to drive up the quality of care, and so achievement levels of 100% should be aspired to (or 0% if the quality statement states that something should not be done). However, this may not always be appropriate in practice</w:t>
      </w:r>
      <w:r>
        <w:t>.</w:t>
      </w:r>
      <w:r w:rsidRPr="00083623">
        <w:t xml:space="preserve"> </w:t>
      </w:r>
      <w:r>
        <w:t>T</w:t>
      </w:r>
      <w:r w:rsidRPr="00083623">
        <w:t>aking account of</w:t>
      </w:r>
      <w:r>
        <w:t xml:space="preserve"> safety, shared decision-making, </w:t>
      </w:r>
      <w:r w:rsidRPr="00083623">
        <w:t>choice and professional judgement, desired levels of achievement should be defined locally.</w:t>
      </w:r>
    </w:p>
    <w:p w14:paraId="4BDD9323" w14:textId="77777777" w:rsidR="008668A6" w:rsidRDefault="008668A6" w:rsidP="007F0FC4">
      <w:pPr>
        <w:pStyle w:val="NICEnormal"/>
      </w:pPr>
      <w:r w:rsidRPr="008668A6">
        <w:t xml:space="preserve">Information about </w:t>
      </w:r>
      <w:hyperlink r:id="rId41" w:history="1">
        <w:r w:rsidRPr="00BE11A2">
          <w:rPr>
            <w:rStyle w:val="Hyperlink"/>
          </w:rPr>
          <w:t xml:space="preserve">how </w:t>
        </w:r>
        <w:r w:rsidR="00EA25B0" w:rsidRPr="00BE11A2">
          <w:rPr>
            <w:rStyle w:val="Hyperlink"/>
          </w:rPr>
          <w:t xml:space="preserve">NICE quality standards are </w:t>
        </w:r>
        <w:r w:rsidRPr="00BE11A2">
          <w:rPr>
            <w:rStyle w:val="Hyperlink"/>
          </w:rPr>
          <w:t>developed</w:t>
        </w:r>
      </w:hyperlink>
      <w:r>
        <w:t xml:space="preserve"> is</w:t>
      </w:r>
      <w:r w:rsidR="00EA25B0" w:rsidRPr="000C37A0">
        <w:t xml:space="preserve"> </w:t>
      </w:r>
      <w:r>
        <w:t xml:space="preserve">available from the </w:t>
      </w:r>
      <w:r w:rsidR="00BE11A2">
        <w:t xml:space="preserve">NICE </w:t>
      </w:r>
      <w:r>
        <w:t>website.</w:t>
      </w:r>
    </w:p>
    <w:p w14:paraId="0E627751" w14:textId="0E3B4FB8" w:rsidR="00A2601C" w:rsidRPr="000C37A0" w:rsidRDefault="008668A6" w:rsidP="007F0FC4">
      <w:pPr>
        <w:pStyle w:val="NICEnormal"/>
      </w:pPr>
      <w:r>
        <w:t>See</w:t>
      </w:r>
      <w:r w:rsidR="00105EBD">
        <w:t xml:space="preserve"> our </w:t>
      </w:r>
      <w:hyperlink r:id="rId42" w:history="1">
        <w:r w:rsidR="00105EBD" w:rsidRPr="00236760">
          <w:rPr>
            <w:rStyle w:val="Hyperlink"/>
          </w:rPr>
          <w:t>webpage on</w:t>
        </w:r>
        <w:r w:rsidRPr="00236760">
          <w:rPr>
            <w:rStyle w:val="Hyperlink"/>
          </w:rPr>
          <w:t xml:space="preserve"> </w:t>
        </w:r>
        <w:r w:rsidR="006E63A5" w:rsidRPr="00236760">
          <w:rPr>
            <w:rStyle w:val="Hyperlink"/>
          </w:rPr>
          <w:t>quality standard advisory committees</w:t>
        </w:r>
      </w:hyperlink>
      <w:r w:rsidR="006E63A5">
        <w:t xml:space="preserve"> for d</w:t>
      </w:r>
      <w:r>
        <w:t xml:space="preserve">etails </w:t>
      </w:r>
      <w:r w:rsidR="00105EBD">
        <w:t>about our</w:t>
      </w:r>
      <w:r>
        <w:t xml:space="preserve"> standing committee</w:t>
      </w:r>
      <w:r w:rsidR="00105EBD">
        <w:t>s.</w:t>
      </w:r>
      <w:r>
        <w:t xml:space="preserve"> </w:t>
      </w:r>
      <w:r w:rsidR="006E63A5">
        <w:t>Information about the topic</w:t>
      </w:r>
      <w:r w:rsidR="006E63A5" w:rsidRPr="006E63A5">
        <w:t xml:space="preserve"> experts invited to join the standing members</w:t>
      </w:r>
      <w:r w:rsidR="006E63A5">
        <w:t xml:space="preserve"> </w:t>
      </w:r>
      <w:r w:rsidR="00B23D01">
        <w:t>is</w:t>
      </w:r>
      <w:r>
        <w:t xml:space="preserve"> available </w:t>
      </w:r>
      <w:r w:rsidR="00105EBD">
        <w:t xml:space="preserve">from the </w:t>
      </w:r>
      <w:hyperlink r:id="rId43" w:history="1">
        <w:r w:rsidR="00105EBD" w:rsidRPr="00105EBD">
          <w:rPr>
            <w:rStyle w:val="Hyperlink"/>
          </w:rPr>
          <w:t>webpage for this</w:t>
        </w:r>
        <w:r w:rsidR="006E63A5" w:rsidRPr="00105EBD">
          <w:rPr>
            <w:rStyle w:val="Hyperlink"/>
          </w:rPr>
          <w:t xml:space="preserve"> quality standard</w:t>
        </w:r>
      </w:hyperlink>
      <w:r w:rsidR="006E63A5" w:rsidRPr="0034762F">
        <w:t>.</w:t>
      </w:r>
    </w:p>
    <w:p w14:paraId="68070964" w14:textId="39009B6C" w:rsidR="00873667" w:rsidRDefault="009336F4" w:rsidP="005961B7">
      <w:pPr>
        <w:pStyle w:val="NICEnormal"/>
      </w:pPr>
      <w:r w:rsidRPr="001B48BE">
        <w:t>NICE</w:t>
      </w:r>
      <w:r>
        <w:t xml:space="preserve"> has produced a</w:t>
      </w:r>
      <w:r w:rsidRPr="001B48BE">
        <w:t xml:space="preserve"> </w:t>
      </w:r>
      <w:hyperlink r:id="rId44" w:history="1">
        <w:r w:rsidRPr="001166BA">
          <w:rPr>
            <w:rStyle w:val="Hyperlink"/>
          </w:rPr>
          <w:t>quality standard service improvement template</w:t>
        </w:r>
      </w:hyperlink>
      <w:r w:rsidRPr="0034762F">
        <w:t xml:space="preserve"> to help</w:t>
      </w:r>
      <w:r w:rsidRPr="001B48BE">
        <w:t xml:space="preserve"> providers make an initial assessment of their service compared with a selection of quality statements. </w:t>
      </w:r>
      <w:r>
        <w:t>This tool is updated monthly to include new quality standards.</w:t>
      </w:r>
    </w:p>
    <w:p w14:paraId="71003324" w14:textId="69E6DF70" w:rsidR="002D372E" w:rsidRDefault="00F121B6" w:rsidP="00F121B6">
      <w:pPr>
        <w:pStyle w:val="NICEnormal"/>
      </w:pPr>
      <w:r w:rsidRPr="009303A0">
        <w:lastRenderedPageBreak/>
        <w:t>NICE produces guidance, standards and information on commissioning and providing high-quality healthcare, social car</w:t>
      </w:r>
      <w:r>
        <w:t xml:space="preserve">e, and public health services. </w:t>
      </w:r>
      <w:r w:rsidRPr="009303A0">
        <w:t xml:space="preserve">We have agreements to provide certain NICE services to Wales, </w:t>
      </w:r>
      <w:r>
        <w:t xml:space="preserve">Scotland and Northern Ireland. </w:t>
      </w:r>
      <w:r w:rsidRPr="009303A0">
        <w:t>Decisions on how NICE guidance and other products apply in those countries are made by ministers in the Welsh government, Scottish government, and Northern Ireland Executive. NICE guidance or other products may include references to organisations or people responsible for commissioning or providing care that may be relevant only to England.</w:t>
      </w:r>
    </w:p>
    <w:p w14:paraId="3C4E8D89" w14:textId="77777777" w:rsidR="00A2601C" w:rsidRPr="000C37A0" w:rsidRDefault="00A2601C" w:rsidP="00E57EE0">
      <w:pPr>
        <w:pStyle w:val="Heading2"/>
      </w:pPr>
      <w:r w:rsidRPr="000C37A0">
        <w:t>Diversity, equality and language</w:t>
      </w:r>
    </w:p>
    <w:p w14:paraId="2C989CB6" w14:textId="05FEC537" w:rsidR="00A2601C" w:rsidRDefault="00105EBD" w:rsidP="00A2601C">
      <w:pPr>
        <w:pStyle w:val="NICEnormal"/>
      </w:pPr>
      <w:r>
        <w:t>E</w:t>
      </w:r>
      <w:r w:rsidRPr="000C37A0">
        <w:t xml:space="preserve">quality issues </w:t>
      </w:r>
      <w:r>
        <w:t>were</w:t>
      </w:r>
      <w:r w:rsidRPr="000C37A0">
        <w:t xml:space="preserve"> considered during </w:t>
      </w:r>
      <w:r w:rsidR="00A2601C" w:rsidRPr="000C37A0">
        <w:t>development</w:t>
      </w:r>
      <w:r>
        <w:t xml:space="preserve"> and</w:t>
      </w:r>
      <w:r w:rsidR="00A2601C" w:rsidRPr="000C37A0">
        <w:t xml:space="preserve"> </w:t>
      </w:r>
      <w:hyperlink r:id="rId45" w:history="1">
        <w:r w:rsidR="00A2601C" w:rsidRPr="00105EBD">
          <w:rPr>
            <w:rStyle w:val="Hyperlink"/>
          </w:rPr>
          <w:t>equality assessments</w:t>
        </w:r>
        <w:r w:rsidRPr="00105EBD">
          <w:rPr>
            <w:rStyle w:val="Hyperlink"/>
          </w:rPr>
          <w:t xml:space="preserve"> for this quality standard</w:t>
        </w:r>
      </w:hyperlink>
      <w:r w:rsidR="00A2601C">
        <w:t xml:space="preserve"> </w:t>
      </w:r>
      <w:r w:rsidR="00A2601C" w:rsidRPr="000C37A0">
        <w:t>are available.</w:t>
      </w:r>
      <w:r w:rsidR="009336F4">
        <w:t xml:space="preserve"> Any </w:t>
      </w:r>
      <w:r w:rsidR="00945D72">
        <w:t xml:space="preserve">specific </w:t>
      </w:r>
      <w:r w:rsidR="009336F4">
        <w:t xml:space="preserve">issues identified </w:t>
      </w:r>
      <w:r w:rsidR="00945D72">
        <w:t>during</w:t>
      </w:r>
      <w:r w:rsidR="009336F4">
        <w:t xml:space="preserve"> development </w:t>
      </w:r>
      <w:r w:rsidR="00945D72">
        <w:t>of the</w:t>
      </w:r>
      <w:r w:rsidR="009336F4">
        <w:t xml:space="preserve"> quality statements are highlighted in each statement.</w:t>
      </w:r>
    </w:p>
    <w:p w14:paraId="75C0B7B9" w14:textId="77777777" w:rsidR="00945D72" w:rsidRPr="000C37A0" w:rsidRDefault="00945D72" w:rsidP="00A2601C">
      <w:pPr>
        <w:pStyle w:val="NICEnormal"/>
      </w:pPr>
      <w:r w:rsidRPr="00945D72">
        <w:t>Commissioners and providers should aim to achieve the quality standard in their local context, in light of their duties to have due regard to the need to eliminate unlawful discrimination, advance equality of opportunity and foster good relations. Nothing in this quality standard should be interpreted in a way that would be inconsistent with compliance with those duties.</w:t>
      </w:r>
    </w:p>
    <w:p w14:paraId="7D552A97" w14:textId="0046AC94" w:rsidR="000D7DEE" w:rsidRPr="000C37A0" w:rsidRDefault="000D7DEE" w:rsidP="009C399D">
      <w:pPr>
        <w:pStyle w:val="NICEnormal"/>
      </w:pPr>
      <w:bookmarkStart w:id="30" w:name="_Update_information"/>
      <w:bookmarkStart w:id="31" w:name="_Update_information_1"/>
      <w:bookmarkEnd w:id="30"/>
      <w:bookmarkEnd w:id="31"/>
      <w:r>
        <w:t xml:space="preserve">ISBN: </w:t>
      </w:r>
      <w:r w:rsidR="00820D18">
        <w:t>978-1-4731-2233-8</w:t>
      </w:r>
    </w:p>
    <w:sectPr w:rsidR="000D7DEE" w:rsidRPr="000C37A0" w:rsidSect="00520A07">
      <w:footerReference w:type="default" r:id="rId46"/>
      <w:headerReference w:type="first" r:id="rId47"/>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4438E" w14:textId="77777777" w:rsidR="007D2C3A" w:rsidRDefault="007D2C3A">
      <w:r>
        <w:separator/>
      </w:r>
    </w:p>
  </w:endnote>
  <w:endnote w:type="continuationSeparator" w:id="0">
    <w:p w14:paraId="2685545E" w14:textId="77777777" w:rsidR="007D2C3A" w:rsidRDefault="007D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984F" w14:textId="4A6BAF64" w:rsidR="007D2C3A" w:rsidRPr="004A6EE6" w:rsidRDefault="00692AB8" w:rsidP="0039398D">
    <w:pPr>
      <w:pStyle w:val="Footer"/>
      <w:tabs>
        <w:tab w:val="clear" w:pos="4153"/>
        <w:tab w:val="clear" w:pos="8306"/>
        <w:tab w:val="center" w:pos="4536"/>
        <w:tab w:val="right" w:pos="9781"/>
      </w:tabs>
      <w:rPr>
        <w:sz w:val="20"/>
      </w:rPr>
    </w:pPr>
    <w:r w:rsidRPr="00692AB8">
      <w:rPr>
        <w:sz w:val="20"/>
      </w:rPr>
      <w:t xml:space="preserve">Quality standard for </w:t>
    </w:r>
    <w:r>
      <w:rPr>
        <w:sz w:val="20"/>
      </w:rPr>
      <w:t xml:space="preserve">transition from children’s to adults’ services </w:t>
    </w:r>
    <w:r w:rsidRPr="00692AB8">
      <w:rPr>
        <w:sz w:val="20"/>
      </w:rPr>
      <w:t xml:space="preserve">DRAFT </w:t>
    </w:r>
    <w:r>
      <w:rPr>
        <w:sz w:val="20"/>
      </w:rPr>
      <w:t>(September 2023</w:t>
    </w:r>
    <w:r w:rsidRPr="00692AB8">
      <w:rPr>
        <w:sz w:val="20"/>
      </w:rPr>
      <w:t xml:space="preserve">) </w:t>
    </w:r>
    <w:r w:rsidRPr="00692AB8">
      <w:rPr>
        <w:sz w:val="20"/>
      </w:rPr>
      <w:tab/>
    </w:r>
    <w:r w:rsidRPr="00692AB8">
      <w:rPr>
        <w:sz w:val="20"/>
      </w:rPr>
      <w:fldChar w:fldCharType="begin"/>
    </w:r>
    <w:r w:rsidRPr="00692AB8">
      <w:rPr>
        <w:sz w:val="20"/>
      </w:rPr>
      <w:instrText xml:space="preserve"> PAGE  \* Arabic  \* MERGEFORMAT </w:instrText>
    </w:r>
    <w:r w:rsidRPr="00692AB8">
      <w:rPr>
        <w:sz w:val="20"/>
      </w:rPr>
      <w:fldChar w:fldCharType="separate"/>
    </w:r>
    <w:r w:rsidRPr="00692AB8">
      <w:rPr>
        <w:sz w:val="20"/>
      </w:rPr>
      <w:t>3</w:t>
    </w:r>
    <w:r w:rsidRPr="00692AB8">
      <w:rPr>
        <w:sz w:val="20"/>
      </w:rPr>
      <w:fldChar w:fldCharType="end"/>
    </w:r>
    <w:r w:rsidRPr="00692AB8">
      <w:rPr>
        <w:sz w:val="20"/>
      </w:rPr>
      <w:t xml:space="preserve"> of </w:t>
    </w:r>
    <w:r w:rsidRPr="00692AB8">
      <w:rPr>
        <w:noProof/>
        <w:sz w:val="20"/>
      </w:rPr>
      <w:fldChar w:fldCharType="begin"/>
    </w:r>
    <w:r w:rsidRPr="00692AB8">
      <w:rPr>
        <w:noProof/>
        <w:sz w:val="20"/>
      </w:rPr>
      <w:instrText xml:space="preserve"> NUMPAGES  \* Arabic  \* MERGEFORMAT </w:instrText>
    </w:r>
    <w:r w:rsidRPr="00692AB8">
      <w:rPr>
        <w:noProof/>
        <w:sz w:val="20"/>
      </w:rPr>
      <w:fldChar w:fldCharType="separate"/>
    </w:r>
    <w:r w:rsidRPr="00692AB8">
      <w:rPr>
        <w:noProof/>
        <w:sz w:val="20"/>
      </w:rPr>
      <w:t>22</w:t>
    </w:r>
    <w:r w:rsidRPr="00692AB8">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17D7C" w14:textId="77777777" w:rsidR="007D2C3A" w:rsidRDefault="007D2C3A">
      <w:r>
        <w:separator/>
      </w:r>
    </w:p>
  </w:footnote>
  <w:footnote w:type="continuationSeparator" w:id="0">
    <w:p w14:paraId="22B6CCED" w14:textId="77777777" w:rsidR="007D2C3A" w:rsidRDefault="007D2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857B" w14:textId="77777777" w:rsidR="007D2C3A" w:rsidRPr="004245E7" w:rsidRDefault="007D2C3A" w:rsidP="0039398D">
    <w:pPr>
      <w:pStyle w:val="Header"/>
      <w:tabs>
        <w:tab w:val="clear" w:pos="4153"/>
        <w:tab w:val="clear" w:pos="8306"/>
        <w:tab w:val="right" w:pos="978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4D84C6F"/>
    <w:multiLevelType w:val="hybridMultilevel"/>
    <w:tmpl w:val="FC087124"/>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9127D6"/>
    <w:multiLevelType w:val="hybridMultilevel"/>
    <w:tmpl w:val="011CDC3C"/>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C22BA8"/>
    <w:multiLevelType w:val="hybridMultilevel"/>
    <w:tmpl w:val="191A4934"/>
    <w:lvl w:ilvl="0" w:tplc="E7C28008">
      <w:start w:val="4"/>
      <w:numFmt w:val="bulle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88F36E6"/>
    <w:multiLevelType w:val="hybridMultilevel"/>
    <w:tmpl w:val="14320908"/>
    <w:lvl w:ilvl="0" w:tplc="4EEC47A6">
      <w:start w:val="1"/>
      <w:numFmt w:val="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5" w15:restartNumberingAfterBreak="0">
    <w:nsid w:val="6CAF55B0"/>
    <w:multiLevelType w:val="hybridMultilevel"/>
    <w:tmpl w:val="1650433A"/>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A212E3"/>
    <w:multiLevelType w:val="hybridMultilevel"/>
    <w:tmpl w:val="8176F5D4"/>
    <w:lvl w:ilvl="0" w:tplc="741CD9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4B3863"/>
    <w:multiLevelType w:val="hybridMultilevel"/>
    <w:tmpl w:val="CA18A3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70531229">
    <w:abstractNumId w:val="2"/>
  </w:num>
  <w:num w:numId="2" w16cid:durableId="1564413769">
    <w:abstractNumId w:val="24"/>
  </w:num>
  <w:num w:numId="3" w16cid:durableId="2081521292">
    <w:abstractNumId w:val="4"/>
  </w:num>
  <w:num w:numId="4" w16cid:durableId="151409450">
    <w:abstractNumId w:val="15"/>
  </w:num>
  <w:num w:numId="5" w16cid:durableId="1406145403">
    <w:abstractNumId w:val="16"/>
  </w:num>
  <w:num w:numId="6" w16cid:durableId="1483621830">
    <w:abstractNumId w:val="4"/>
  </w:num>
  <w:num w:numId="7" w16cid:durableId="1609042042">
    <w:abstractNumId w:val="8"/>
  </w:num>
  <w:num w:numId="8" w16cid:durableId="1678653181">
    <w:abstractNumId w:val="11"/>
  </w:num>
  <w:num w:numId="9" w16cid:durableId="952444462">
    <w:abstractNumId w:val="1"/>
  </w:num>
  <w:num w:numId="10" w16cid:durableId="1934316275">
    <w:abstractNumId w:val="9"/>
  </w:num>
  <w:num w:numId="11" w16cid:durableId="261689605">
    <w:abstractNumId w:val="26"/>
  </w:num>
  <w:num w:numId="12" w16cid:durableId="664623392">
    <w:abstractNumId w:val="27"/>
  </w:num>
  <w:num w:numId="13" w16cid:durableId="1712148054">
    <w:abstractNumId w:val="0"/>
  </w:num>
  <w:num w:numId="14" w16cid:durableId="1862208238">
    <w:abstractNumId w:val="20"/>
  </w:num>
  <w:num w:numId="15" w16cid:durableId="2015640783">
    <w:abstractNumId w:val="10"/>
  </w:num>
  <w:num w:numId="16" w16cid:durableId="248127535">
    <w:abstractNumId w:val="17"/>
  </w:num>
  <w:num w:numId="17" w16cid:durableId="1487892898">
    <w:abstractNumId w:val="1"/>
  </w:num>
  <w:num w:numId="18" w16cid:durableId="674645841">
    <w:abstractNumId w:val="9"/>
  </w:num>
  <w:num w:numId="19" w16cid:durableId="1102845582">
    <w:abstractNumId w:val="15"/>
  </w:num>
  <w:num w:numId="20" w16cid:durableId="1746344658">
    <w:abstractNumId w:val="16"/>
  </w:num>
  <w:num w:numId="21" w16cid:durableId="518011347">
    <w:abstractNumId w:val="4"/>
  </w:num>
  <w:num w:numId="22" w16cid:durableId="439492367">
    <w:abstractNumId w:val="8"/>
  </w:num>
  <w:num w:numId="23" w16cid:durableId="728652206">
    <w:abstractNumId w:val="2"/>
  </w:num>
  <w:num w:numId="24" w16cid:durableId="526916472">
    <w:abstractNumId w:val="24"/>
  </w:num>
  <w:num w:numId="25" w16cid:durableId="1968007304">
    <w:abstractNumId w:val="11"/>
  </w:num>
  <w:num w:numId="26" w16cid:durableId="1763915034">
    <w:abstractNumId w:val="11"/>
  </w:num>
  <w:num w:numId="27" w16cid:durableId="1627926611">
    <w:abstractNumId w:val="11"/>
  </w:num>
  <w:num w:numId="28" w16cid:durableId="222915830">
    <w:abstractNumId w:val="11"/>
  </w:num>
  <w:num w:numId="29" w16cid:durableId="1788888936">
    <w:abstractNumId w:val="11"/>
  </w:num>
  <w:num w:numId="30" w16cid:durableId="448862734">
    <w:abstractNumId w:val="11"/>
  </w:num>
  <w:num w:numId="31" w16cid:durableId="819494071">
    <w:abstractNumId w:val="21"/>
  </w:num>
  <w:num w:numId="32" w16cid:durableId="1403021760">
    <w:abstractNumId w:val="13"/>
  </w:num>
  <w:num w:numId="33" w16cid:durableId="777412237">
    <w:abstractNumId w:val="5"/>
  </w:num>
  <w:num w:numId="34" w16cid:durableId="262693268">
    <w:abstractNumId w:val="12"/>
  </w:num>
  <w:num w:numId="35" w16cid:durableId="832646471">
    <w:abstractNumId w:val="14"/>
  </w:num>
  <w:num w:numId="36" w16cid:durableId="928659339">
    <w:abstractNumId w:val="18"/>
  </w:num>
  <w:num w:numId="37" w16cid:durableId="2079743786">
    <w:abstractNumId w:val="7"/>
  </w:num>
  <w:num w:numId="38" w16cid:durableId="740718077">
    <w:abstractNumId w:val="22"/>
  </w:num>
  <w:num w:numId="39" w16cid:durableId="1275357906">
    <w:abstractNumId w:val="23"/>
  </w:num>
  <w:num w:numId="40" w16cid:durableId="1773356653">
    <w:abstractNumId w:val="3"/>
  </w:num>
  <w:num w:numId="41" w16cid:durableId="1994942677">
    <w:abstractNumId w:val="6"/>
  </w:num>
  <w:num w:numId="42" w16cid:durableId="997461963">
    <w:abstractNumId w:val="2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lanie Carr">
    <w15:presenceInfo w15:providerId="AD" w15:userId="S::Melanie.Carr@nice.org.uk::211b8728-d952-45e0-a709-c168ffd874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45F"/>
    <w:rsid w:val="00000B96"/>
    <w:rsid w:val="00004977"/>
    <w:rsid w:val="00005C6C"/>
    <w:rsid w:val="000119FB"/>
    <w:rsid w:val="00015A69"/>
    <w:rsid w:val="00017D5D"/>
    <w:rsid w:val="00022C09"/>
    <w:rsid w:val="000256C4"/>
    <w:rsid w:val="000332DA"/>
    <w:rsid w:val="0003384E"/>
    <w:rsid w:val="00036A31"/>
    <w:rsid w:val="0004471C"/>
    <w:rsid w:val="00044C44"/>
    <w:rsid w:val="000466B7"/>
    <w:rsid w:val="000508E5"/>
    <w:rsid w:val="0006045A"/>
    <w:rsid w:val="00062810"/>
    <w:rsid w:val="00062D09"/>
    <w:rsid w:val="00062DC3"/>
    <w:rsid w:val="00063DE8"/>
    <w:rsid w:val="0006542F"/>
    <w:rsid w:val="00072A59"/>
    <w:rsid w:val="00072C07"/>
    <w:rsid w:val="000734BA"/>
    <w:rsid w:val="00075390"/>
    <w:rsid w:val="000769BD"/>
    <w:rsid w:val="00080489"/>
    <w:rsid w:val="00080F81"/>
    <w:rsid w:val="0008191B"/>
    <w:rsid w:val="00085693"/>
    <w:rsid w:val="00085E49"/>
    <w:rsid w:val="00086225"/>
    <w:rsid w:val="00090DEB"/>
    <w:rsid w:val="000915D2"/>
    <w:rsid w:val="000933B8"/>
    <w:rsid w:val="0009765E"/>
    <w:rsid w:val="00097C40"/>
    <w:rsid w:val="000A1EC0"/>
    <w:rsid w:val="000A22D2"/>
    <w:rsid w:val="000A3B2F"/>
    <w:rsid w:val="000A44B3"/>
    <w:rsid w:val="000B11AC"/>
    <w:rsid w:val="000B4548"/>
    <w:rsid w:val="000B5B29"/>
    <w:rsid w:val="000B6D8E"/>
    <w:rsid w:val="000B706A"/>
    <w:rsid w:val="000C0147"/>
    <w:rsid w:val="000C37A0"/>
    <w:rsid w:val="000C5BD1"/>
    <w:rsid w:val="000C7DE9"/>
    <w:rsid w:val="000D3689"/>
    <w:rsid w:val="000D4448"/>
    <w:rsid w:val="000D6099"/>
    <w:rsid w:val="000D6F16"/>
    <w:rsid w:val="000D7DEE"/>
    <w:rsid w:val="000E47DB"/>
    <w:rsid w:val="000E65EC"/>
    <w:rsid w:val="000E6607"/>
    <w:rsid w:val="000E69EB"/>
    <w:rsid w:val="000F15D0"/>
    <w:rsid w:val="000F575E"/>
    <w:rsid w:val="0010069A"/>
    <w:rsid w:val="00101F34"/>
    <w:rsid w:val="0010234C"/>
    <w:rsid w:val="001036BD"/>
    <w:rsid w:val="001053E7"/>
    <w:rsid w:val="00105471"/>
    <w:rsid w:val="00105573"/>
    <w:rsid w:val="00105EBD"/>
    <w:rsid w:val="00107153"/>
    <w:rsid w:val="00111C98"/>
    <w:rsid w:val="001166BA"/>
    <w:rsid w:val="001169B6"/>
    <w:rsid w:val="00117409"/>
    <w:rsid w:val="00122C8A"/>
    <w:rsid w:val="00123C16"/>
    <w:rsid w:val="00123D7A"/>
    <w:rsid w:val="00125350"/>
    <w:rsid w:val="00133417"/>
    <w:rsid w:val="00140861"/>
    <w:rsid w:val="00143468"/>
    <w:rsid w:val="00146231"/>
    <w:rsid w:val="00150A41"/>
    <w:rsid w:val="001511B6"/>
    <w:rsid w:val="00161AA0"/>
    <w:rsid w:val="00161EF7"/>
    <w:rsid w:val="00163080"/>
    <w:rsid w:val="00163B74"/>
    <w:rsid w:val="00165478"/>
    <w:rsid w:val="00166AEE"/>
    <w:rsid w:val="001674EA"/>
    <w:rsid w:val="00170976"/>
    <w:rsid w:val="001771B5"/>
    <w:rsid w:val="00187D15"/>
    <w:rsid w:val="0019284C"/>
    <w:rsid w:val="0019359C"/>
    <w:rsid w:val="0019737D"/>
    <w:rsid w:val="001979A9"/>
    <w:rsid w:val="001A0D21"/>
    <w:rsid w:val="001A13D3"/>
    <w:rsid w:val="001A2A6B"/>
    <w:rsid w:val="001A4A14"/>
    <w:rsid w:val="001B0506"/>
    <w:rsid w:val="001B29DA"/>
    <w:rsid w:val="001B39D1"/>
    <w:rsid w:val="001B48BE"/>
    <w:rsid w:val="001C0D56"/>
    <w:rsid w:val="001C5EC6"/>
    <w:rsid w:val="001C6197"/>
    <w:rsid w:val="001C6759"/>
    <w:rsid w:val="001D4AC0"/>
    <w:rsid w:val="001D6438"/>
    <w:rsid w:val="001E267C"/>
    <w:rsid w:val="001E30D6"/>
    <w:rsid w:val="001E3DD2"/>
    <w:rsid w:val="001E40FD"/>
    <w:rsid w:val="001E4C6D"/>
    <w:rsid w:val="001E59CB"/>
    <w:rsid w:val="001F04AB"/>
    <w:rsid w:val="001F1659"/>
    <w:rsid w:val="001F1994"/>
    <w:rsid w:val="001F2814"/>
    <w:rsid w:val="001F5A5F"/>
    <w:rsid w:val="0020188E"/>
    <w:rsid w:val="002025DC"/>
    <w:rsid w:val="002027E6"/>
    <w:rsid w:val="00204058"/>
    <w:rsid w:val="0021320E"/>
    <w:rsid w:val="00214453"/>
    <w:rsid w:val="00216D76"/>
    <w:rsid w:val="00230E8A"/>
    <w:rsid w:val="00235CAB"/>
    <w:rsid w:val="00236760"/>
    <w:rsid w:val="00236A1B"/>
    <w:rsid w:val="002423D0"/>
    <w:rsid w:val="002433B9"/>
    <w:rsid w:val="00243A09"/>
    <w:rsid w:val="00247682"/>
    <w:rsid w:val="00247854"/>
    <w:rsid w:val="002537AE"/>
    <w:rsid w:val="002540EB"/>
    <w:rsid w:val="00256D2D"/>
    <w:rsid w:val="002606C0"/>
    <w:rsid w:val="00262C1D"/>
    <w:rsid w:val="002706F6"/>
    <w:rsid w:val="00270CB3"/>
    <w:rsid w:val="00275284"/>
    <w:rsid w:val="0027596A"/>
    <w:rsid w:val="00275ED0"/>
    <w:rsid w:val="00281F19"/>
    <w:rsid w:val="0028284D"/>
    <w:rsid w:val="00282AB4"/>
    <w:rsid w:val="00283980"/>
    <w:rsid w:val="0028524C"/>
    <w:rsid w:val="00285A5A"/>
    <w:rsid w:val="00285F26"/>
    <w:rsid w:val="00294E7E"/>
    <w:rsid w:val="00296314"/>
    <w:rsid w:val="002963A6"/>
    <w:rsid w:val="00297115"/>
    <w:rsid w:val="002B2C97"/>
    <w:rsid w:val="002B61C3"/>
    <w:rsid w:val="002B6A57"/>
    <w:rsid w:val="002B7354"/>
    <w:rsid w:val="002C6C0E"/>
    <w:rsid w:val="002D0A64"/>
    <w:rsid w:val="002D0B5B"/>
    <w:rsid w:val="002D17B7"/>
    <w:rsid w:val="002D23BE"/>
    <w:rsid w:val="002D372E"/>
    <w:rsid w:val="002D69D2"/>
    <w:rsid w:val="002D7965"/>
    <w:rsid w:val="002E309E"/>
    <w:rsid w:val="002E7DD3"/>
    <w:rsid w:val="002F1814"/>
    <w:rsid w:val="002F20DA"/>
    <w:rsid w:val="002F2B0F"/>
    <w:rsid w:val="002F2DA3"/>
    <w:rsid w:val="002F2FDE"/>
    <w:rsid w:val="002F5309"/>
    <w:rsid w:val="002F5830"/>
    <w:rsid w:val="003000EE"/>
    <w:rsid w:val="003114C7"/>
    <w:rsid w:val="003123E3"/>
    <w:rsid w:val="0031664C"/>
    <w:rsid w:val="00320264"/>
    <w:rsid w:val="00320613"/>
    <w:rsid w:val="00326195"/>
    <w:rsid w:val="0032638D"/>
    <w:rsid w:val="00330D52"/>
    <w:rsid w:val="00331ACE"/>
    <w:rsid w:val="003330E6"/>
    <w:rsid w:val="00340E3F"/>
    <w:rsid w:val="00343300"/>
    <w:rsid w:val="00345BAC"/>
    <w:rsid w:val="0034762F"/>
    <w:rsid w:val="0035107C"/>
    <w:rsid w:val="00351101"/>
    <w:rsid w:val="00354445"/>
    <w:rsid w:val="0036012F"/>
    <w:rsid w:val="00360A23"/>
    <w:rsid w:val="00362226"/>
    <w:rsid w:val="00367FB4"/>
    <w:rsid w:val="0037145F"/>
    <w:rsid w:val="00371996"/>
    <w:rsid w:val="003774F9"/>
    <w:rsid w:val="00380F53"/>
    <w:rsid w:val="003818CC"/>
    <w:rsid w:val="003830E1"/>
    <w:rsid w:val="0038310D"/>
    <w:rsid w:val="00384867"/>
    <w:rsid w:val="00386611"/>
    <w:rsid w:val="0038681A"/>
    <w:rsid w:val="00387214"/>
    <w:rsid w:val="003900F2"/>
    <w:rsid w:val="0039233A"/>
    <w:rsid w:val="00392571"/>
    <w:rsid w:val="0039398D"/>
    <w:rsid w:val="0039630D"/>
    <w:rsid w:val="00396A79"/>
    <w:rsid w:val="00396ABB"/>
    <w:rsid w:val="003A2E89"/>
    <w:rsid w:val="003A2F7F"/>
    <w:rsid w:val="003A5F5F"/>
    <w:rsid w:val="003A67E1"/>
    <w:rsid w:val="003B0C19"/>
    <w:rsid w:val="003B0C20"/>
    <w:rsid w:val="003B198D"/>
    <w:rsid w:val="003B1CF6"/>
    <w:rsid w:val="003B4685"/>
    <w:rsid w:val="003C3351"/>
    <w:rsid w:val="003C36AC"/>
    <w:rsid w:val="003C3B68"/>
    <w:rsid w:val="003C4B3C"/>
    <w:rsid w:val="003C664B"/>
    <w:rsid w:val="003C6AA4"/>
    <w:rsid w:val="003C6CB4"/>
    <w:rsid w:val="003C764B"/>
    <w:rsid w:val="003D60D8"/>
    <w:rsid w:val="003E684D"/>
    <w:rsid w:val="003F19B1"/>
    <w:rsid w:val="003F342D"/>
    <w:rsid w:val="003F34F3"/>
    <w:rsid w:val="003F6F30"/>
    <w:rsid w:val="0040035A"/>
    <w:rsid w:val="0040126D"/>
    <w:rsid w:val="004022AF"/>
    <w:rsid w:val="0040287E"/>
    <w:rsid w:val="004036B9"/>
    <w:rsid w:val="0040675F"/>
    <w:rsid w:val="00407AA3"/>
    <w:rsid w:val="0041002B"/>
    <w:rsid w:val="00413C89"/>
    <w:rsid w:val="0041461B"/>
    <w:rsid w:val="0041523F"/>
    <w:rsid w:val="0041619C"/>
    <w:rsid w:val="00416399"/>
    <w:rsid w:val="00423E61"/>
    <w:rsid w:val="00424E2B"/>
    <w:rsid w:val="004275A8"/>
    <w:rsid w:val="00431F71"/>
    <w:rsid w:val="00432270"/>
    <w:rsid w:val="0043276C"/>
    <w:rsid w:val="004329E4"/>
    <w:rsid w:val="004360A1"/>
    <w:rsid w:val="0043715C"/>
    <w:rsid w:val="004377EF"/>
    <w:rsid w:val="00437D6E"/>
    <w:rsid w:val="00440FCF"/>
    <w:rsid w:val="00441384"/>
    <w:rsid w:val="00441726"/>
    <w:rsid w:val="00443EAA"/>
    <w:rsid w:val="00450C26"/>
    <w:rsid w:val="004519B2"/>
    <w:rsid w:val="004542AD"/>
    <w:rsid w:val="00457783"/>
    <w:rsid w:val="00461997"/>
    <w:rsid w:val="00464DD3"/>
    <w:rsid w:val="00466C3E"/>
    <w:rsid w:val="00467CBB"/>
    <w:rsid w:val="00472E9D"/>
    <w:rsid w:val="00473804"/>
    <w:rsid w:val="00476BDF"/>
    <w:rsid w:val="004807BA"/>
    <w:rsid w:val="004820E9"/>
    <w:rsid w:val="004822A6"/>
    <w:rsid w:val="0048361F"/>
    <w:rsid w:val="00483785"/>
    <w:rsid w:val="004851FF"/>
    <w:rsid w:val="0048796A"/>
    <w:rsid w:val="00491544"/>
    <w:rsid w:val="00496A43"/>
    <w:rsid w:val="00496F63"/>
    <w:rsid w:val="004A483C"/>
    <w:rsid w:val="004A6604"/>
    <w:rsid w:val="004A6EE6"/>
    <w:rsid w:val="004B1B34"/>
    <w:rsid w:val="004B2FF5"/>
    <w:rsid w:val="004B39D7"/>
    <w:rsid w:val="004B4357"/>
    <w:rsid w:val="004B514C"/>
    <w:rsid w:val="004B5902"/>
    <w:rsid w:val="004B6B38"/>
    <w:rsid w:val="004C098E"/>
    <w:rsid w:val="004C1702"/>
    <w:rsid w:val="004C52B4"/>
    <w:rsid w:val="004C5815"/>
    <w:rsid w:val="004C58D8"/>
    <w:rsid w:val="004C79A0"/>
    <w:rsid w:val="004D0721"/>
    <w:rsid w:val="004D604A"/>
    <w:rsid w:val="004D730D"/>
    <w:rsid w:val="004E0C59"/>
    <w:rsid w:val="004E0CA7"/>
    <w:rsid w:val="004E18FD"/>
    <w:rsid w:val="004E6631"/>
    <w:rsid w:val="004E6D59"/>
    <w:rsid w:val="004F0527"/>
    <w:rsid w:val="004F208F"/>
    <w:rsid w:val="004F4A36"/>
    <w:rsid w:val="004F60EA"/>
    <w:rsid w:val="004F635E"/>
    <w:rsid w:val="00501BA6"/>
    <w:rsid w:val="0050212B"/>
    <w:rsid w:val="0050312B"/>
    <w:rsid w:val="00504C78"/>
    <w:rsid w:val="00505F82"/>
    <w:rsid w:val="00506F85"/>
    <w:rsid w:val="0051659A"/>
    <w:rsid w:val="005175E3"/>
    <w:rsid w:val="00520A07"/>
    <w:rsid w:val="00520C3A"/>
    <w:rsid w:val="00523175"/>
    <w:rsid w:val="00526C07"/>
    <w:rsid w:val="005314A6"/>
    <w:rsid w:val="00533364"/>
    <w:rsid w:val="0053387C"/>
    <w:rsid w:val="00535F85"/>
    <w:rsid w:val="005417FE"/>
    <w:rsid w:val="0054478C"/>
    <w:rsid w:val="00546F6D"/>
    <w:rsid w:val="00547500"/>
    <w:rsid w:val="005512B7"/>
    <w:rsid w:val="00553738"/>
    <w:rsid w:val="00556603"/>
    <w:rsid w:val="00557EFD"/>
    <w:rsid w:val="0056329A"/>
    <w:rsid w:val="00563589"/>
    <w:rsid w:val="00564179"/>
    <w:rsid w:val="00565690"/>
    <w:rsid w:val="00567852"/>
    <w:rsid w:val="0056791F"/>
    <w:rsid w:val="0057245F"/>
    <w:rsid w:val="005740FB"/>
    <w:rsid w:val="0057666B"/>
    <w:rsid w:val="0057765E"/>
    <w:rsid w:val="00577F2E"/>
    <w:rsid w:val="00584FB7"/>
    <w:rsid w:val="00585548"/>
    <w:rsid w:val="005860F4"/>
    <w:rsid w:val="0058620E"/>
    <w:rsid w:val="00587DE7"/>
    <w:rsid w:val="00587FEE"/>
    <w:rsid w:val="00590850"/>
    <w:rsid w:val="0059202D"/>
    <w:rsid w:val="005949D6"/>
    <w:rsid w:val="005961B7"/>
    <w:rsid w:val="00597E97"/>
    <w:rsid w:val="005A23E8"/>
    <w:rsid w:val="005A2C30"/>
    <w:rsid w:val="005A2EEF"/>
    <w:rsid w:val="005A6ED4"/>
    <w:rsid w:val="005B533A"/>
    <w:rsid w:val="005B778B"/>
    <w:rsid w:val="005C051F"/>
    <w:rsid w:val="005C2E0E"/>
    <w:rsid w:val="005C3884"/>
    <w:rsid w:val="005C5388"/>
    <w:rsid w:val="005C5A25"/>
    <w:rsid w:val="005C6B6E"/>
    <w:rsid w:val="005C762E"/>
    <w:rsid w:val="005D098C"/>
    <w:rsid w:val="005D368B"/>
    <w:rsid w:val="005D4A77"/>
    <w:rsid w:val="005D565E"/>
    <w:rsid w:val="005D68E9"/>
    <w:rsid w:val="005E0528"/>
    <w:rsid w:val="005E0EA1"/>
    <w:rsid w:val="005E2D16"/>
    <w:rsid w:val="005E3735"/>
    <w:rsid w:val="005E424C"/>
    <w:rsid w:val="005F292F"/>
    <w:rsid w:val="005F3083"/>
    <w:rsid w:val="005F56C3"/>
    <w:rsid w:val="005F6721"/>
    <w:rsid w:val="00603E56"/>
    <w:rsid w:val="00605FFA"/>
    <w:rsid w:val="0060662A"/>
    <w:rsid w:val="006127C1"/>
    <w:rsid w:val="00614313"/>
    <w:rsid w:val="00614492"/>
    <w:rsid w:val="00614BDA"/>
    <w:rsid w:val="006226C0"/>
    <w:rsid w:val="00624592"/>
    <w:rsid w:val="00625085"/>
    <w:rsid w:val="00625425"/>
    <w:rsid w:val="0062568A"/>
    <w:rsid w:val="0062771A"/>
    <w:rsid w:val="006279A1"/>
    <w:rsid w:val="006320DB"/>
    <w:rsid w:val="006329C0"/>
    <w:rsid w:val="00632D32"/>
    <w:rsid w:val="006331B4"/>
    <w:rsid w:val="006343F3"/>
    <w:rsid w:val="006378C6"/>
    <w:rsid w:val="006379CB"/>
    <w:rsid w:val="00642818"/>
    <w:rsid w:val="00642906"/>
    <w:rsid w:val="006575AD"/>
    <w:rsid w:val="006619B1"/>
    <w:rsid w:val="0066230B"/>
    <w:rsid w:val="00662CC1"/>
    <w:rsid w:val="00662D6D"/>
    <w:rsid w:val="00662E3F"/>
    <w:rsid w:val="0066393B"/>
    <w:rsid w:val="006729F4"/>
    <w:rsid w:val="00675607"/>
    <w:rsid w:val="00676FE5"/>
    <w:rsid w:val="00684B03"/>
    <w:rsid w:val="00690CD5"/>
    <w:rsid w:val="00692AB8"/>
    <w:rsid w:val="00694433"/>
    <w:rsid w:val="006A22FF"/>
    <w:rsid w:val="006A721F"/>
    <w:rsid w:val="006B16DF"/>
    <w:rsid w:val="006B5267"/>
    <w:rsid w:val="006C1153"/>
    <w:rsid w:val="006D119C"/>
    <w:rsid w:val="006D14CE"/>
    <w:rsid w:val="006D5D57"/>
    <w:rsid w:val="006D73F1"/>
    <w:rsid w:val="006E1859"/>
    <w:rsid w:val="006E18EC"/>
    <w:rsid w:val="006E63A5"/>
    <w:rsid w:val="006E7BDC"/>
    <w:rsid w:val="006E7FD5"/>
    <w:rsid w:val="006F2CFA"/>
    <w:rsid w:val="006F49C7"/>
    <w:rsid w:val="006F4DB0"/>
    <w:rsid w:val="006F59A2"/>
    <w:rsid w:val="006F636E"/>
    <w:rsid w:val="006F767A"/>
    <w:rsid w:val="00704E28"/>
    <w:rsid w:val="00705A3D"/>
    <w:rsid w:val="0071435E"/>
    <w:rsid w:val="00715468"/>
    <w:rsid w:val="00720AED"/>
    <w:rsid w:val="007251F1"/>
    <w:rsid w:val="007266BB"/>
    <w:rsid w:val="00726CCA"/>
    <w:rsid w:val="007274F4"/>
    <w:rsid w:val="00732519"/>
    <w:rsid w:val="0073345E"/>
    <w:rsid w:val="00735001"/>
    <w:rsid w:val="00737ADE"/>
    <w:rsid w:val="00740652"/>
    <w:rsid w:val="00744CBC"/>
    <w:rsid w:val="0075350D"/>
    <w:rsid w:val="00756973"/>
    <w:rsid w:val="00760986"/>
    <w:rsid w:val="00761A5F"/>
    <w:rsid w:val="00764268"/>
    <w:rsid w:val="007644C7"/>
    <w:rsid w:val="00764D8F"/>
    <w:rsid w:val="00765EEE"/>
    <w:rsid w:val="007717BD"/>
    <w:rsid w:val="00774B24"/>
    <w:rsid w:val="0077549D"/>
    <w:rsid w:val="00780F54"/>
    <w:rsid w:val="00785D19"/>
    <w:rsid w:val="0079286C"/>
    <w:rsid w:val="00793178"/>
    <w:rsid w:val="007949FF"/>
    <w:rsid w:val="00795713"/>
    <w:rsid w:val="00795748"/>
    <w:rsid w:val="00797594"/>
    <w:rsid w:val="00797A72"/>
    <w:rsid w:val="007A174B"/>
    <w:rsid w:val="007A36BD"/>
    <w:rsid w:val="007A4EEE"/>
    <w:rsid w:val="007A5EE4"/>
    <w:rsid w:val="007A7730"/>
    <w:rsid w:val="007A7DA7"/>
    <w:rsid w:val="007B4420"/>
    <w:rsid w:val="007B532C"/>
    <w:rsid w:val="007B6FE4"/>
    <w:rsid w:val="007B7A95"/>
    <w:rsid w:val="007C48E2"/>
    <w:rsid w:val="007C5FEC"/>
    <w:rsid w:val="007C7A14"/>
    <w:rsid w:val="007D23BD"/>
    <w:rsid w:val="007D2C3A"/>
    <w:rsid w:val="007D3183"/>
    <w:rsid w:val="007D6AD7"/>
    <w:rsid w:val="007E0C5F"/>
    <w:rsid w:val="007E0D1E"/>
    <w:rsid w:val="007E2035"/>
    <w:rsid w:val="007E2086"/>
    <w:rsid w:val="007E267B"/>
    <w:rsid w:val="007E33AA"/>
    <w:rsid w:val="007E471D"/>
    <w:rsid w:val="007E7CEA"/>
    <w:rsid w:val="007F0FC4"/>
    <w:rsid w:val="007F12C5"/>
    <w:rsid w:val="007F28AA"/>
    <w:rsid w:val="0080070C"/>
    <w:rsid w:val="0080418B"/>
    <w:rsid w:val="00804468"/>
    <w:rsid w:val="00806413"/>
    <w:rsid w:val="00807DED"/>
    <w:rsid w:val="00807E17"/>
    <w:rsid w:val="00810CC4"/>
    <w:rsid w:val="008122CD"/>
    <w:rsid w:val="00812520"/>
    <w:rsid w:val="0081326F"/>
    <w:rsid w:val="0082056F"/>
    <w:rsid w:val="00820D18"/>
    <w:rsid w:val="00820E9A"/>
    <w:rsid w:val="008243CC"/>
    <w:rsid w:val="0082534A"/>
    <w:rsid w:val="008266D8"/>
    <w:rsid w:val="00831BA3"/>
    <w:rsid w:val="0083335A"/>
    <w:rsid w:val="00833766"/>
    <w:rsid w:val="00836EA4"/>
    <w:rsid w:val="008410A6"/>
    <w:rsid w:val="00841495"/>
    <w:rsid w:val="008428C0"/>
    <w:rsid w:val="008505C3"/>
    <w:rsid w:val="008517D8"/>
    <w:rsid w:val="00853E21"/>
    <w:rsid w:val="008616D6"/>
    <w:rsid w:val="00862C0C"/>
    <w:rsid w:val="00863252"/>
    <w:rsid w:val="008668A6"/>
    <w:rsid w:val="008723E4"/>
    <w:rsid w:val="00873325"/>
    <w:rsid w:val="00873667"/>
    <w:rsid w:val="00873878"/>
    <w:rsid w:val="00882C0D"/>
    <w:rsid w:val="008831FE"/>
    <w:rsid w:val="008919A5"/>
    <w:rsid w:val="00891DCC"/>
    <w:rsid w:val="00891FB1"/>
    <w:rsid w:val="008A01DE"/>
    <w:rsid w:val="008A0F14"/>
    <w:rsid w:val="008A1CF8"/>
    <w:rsid w:val="008A4D82"/>
    <w:rsid w:val="008A5085"/>
    <w:rsid w:val="008B01A8"/>
    <w:rsid w:val="008B405D"/>
    <w:rsid w:val="008C0EEC"/>
    <w:rsid w:val="008C6826"/>
    <w:rsid w:val="008D40F1"/>
    <w:rsid w:val="008D4623"/>
    <w:rsid w:val="008D6069"/>
    <w:rsid w:val="008D7139"/>
    <w:rsid w:val="008E05A3"/>
    <w:rsid w:val="008E0E05"/>
    <w:rsid w:val="008E209F"/>
    <w:rsid w:val="008E401C"/>
    <w:rsid w:val="008E7585"/>
    <w:rsid w:val="008F1714"/>
    <w:rsid w:val="008F7D0A"/>
    <w:rsid w:val="00900AF9"/>
    <w:rsid w:val="00901CFA"/>
    <w:rsid w:val="0090798C"/>
    <w:rsid w:val="00911FBC"/>
    <w:rsid w:val="009129DA"/>
    <w:rsid w:val="00914202"/>
    <w:rsid w:val="00916992"/>
    <w:rsid w:val="00917282"/>
    <w:rsid w:val="009177D6"/>
    <w:rsid w:val="009207E2"/>
    <w:rsid w:val="0092331E"/>
    <w:rsid w:val="00923B7B"/>
    <w:rsid w:val="0092471B"/>
    <w:rsid w:val="009259CB"/>
    <w:rsid w:val="0093125C"/>
    <w:rsid w:val="00933023"/>
    <w:rsid w:val="009336F4"/>
    <w:rsid w:val="00936232"/>
    <w:rsid w:val="00940778"/>
    <w:rsid w:val="0094366C"/>
    <w:rsid w:val="00945D72"/>
    <w:rsid w:val="00946D64"/>
    <w:rsid w:val="009512F1"/>
    <w:rsid w:val="0095194B"/>
    <w:rsid w:val="009536EB"/>
    <w:rsid w:val="00953ADF"/>
    <w:rsid w:val="009604F1"/>
    <w:rsid w:val="00965E85"/>
    <w:rsid w:val="009707F2"/>
    <w:rsid w:val="009721E0"/>
    <w:rsid w:val="00974A92"/>
    <w:rsid w:val="00982881"/>
    <w:rsid w:val="00982B78"/>
    <w:rsid w:val="00983F60"/>
    <w:rsid w:val="009840B1"/>
    <w:rsid w:val="00986938"/>
    <w:rsid w:val="00987525"/>
    <w:rsid w:val="00991940"/>
    <w:rsid w:val="00992D22"/>
    <w:rsid w:val="00995310"/>
    <w:rsid w:val="00996023"/>
    <w:rsid w:val="0099668B"/>
    <w:rsid w:val="00996921"/>
    <w:rsid w:val="009A0202"/>
    <w:rsid w:val="009A0647"/>
    <w:rsid w:val="009A123B"/>
    <w:rsid w:val="009A28A1"/>
    <w:rsid w:val="009A36EB"/>
    <w:rsid w:val="009A415C"/>
    <w:rsid w:val="009A54D8"/>
    <w:rsid w:val="009B00F0"/>
    <w:rsid w:val="009B47CD"/>
    <w:rsid w:val="009B4830"/>
    <w:rsid w:val="009B621A"/>
    <w:rsid w:val="009B7411"/>
    <w:rsid w:val="009B7760"/>
    <w:rsid w:val="009C399D"/>
    <w:rsid w:val="009C45D9"/>
    <w:rsid w:val="009C62EA"/>
    <w:rsid w:val="009D04E5"/>
    <w:rsid w:val="009D0E99"/>
    <w:rsid w:val="009D122A"/>
    <w:rsid w:val="009D4114"/>
    <w:rsid w:val="009D48C5"/>
    <w:rsid w:val="009D4BFE"/>
    <w:rsid w:val="009D649C"/>
    <w:rsid w:val="009D654C"/>
    <w:rsid w:val="009D67A0"/>
    <w:rsid w:val="009D7B87"/>
    <w:rsid w:val="009E0E34"/>
    <w:rsid w:val="009E235A"/>
    <w:rsid w:val="009E3AB6"/>
    <w:rsid w:val="009E6CC0"/>
    <w:rsid w:val="009F1869"/>
    <w:rsid w:val="009F2855"/>
    <w:rsid w:val="009F295D"/>
    <w:rsid w:val="009F57F8"/>
    <w:rsid w:val="009F6692"/>
    <w:rsid w:val="009F7755"/>
    <w:rsid w:val="00A06657"/>
    <w:rsid w:val="00A066E9"/>
    <w:rsid w:val="00A10A63"/>
    <w:rsid w:val="00A110B3"/>
    <w:rsid w:val="00A11AA8"/>
    <w:rsid w:val="00A120FC"/>
    <w:rsid w:val="00A14DDD"/>
    <w:rsid w:val="00A1575E"/>
    <w:rsid w:val="00A168EE"/>
    <w:rsid w:val="00A20F54"/>
    <w:rsid w:val="00A21BF6"/>
    <w:rsid w:val="00A23E19"/>
    <w:rsid w:val="00A243CF"/>
    <w:rsid w:val="00A25082"/>
    <w:rsid w:val="00A2601C"/>
    <w:rsid w:val="00A263FE"/>
    <w:rsid w:val="00A30716"/>
    <w:rsid w:val="00A3104F"/>
    <w:rsid w:val="00A31182"/>
    <w:rsid w:val="00A339B5"/>
    <w:rsid w:val="00A3625B"/>
    <w:rsid w:val="00A375DF"/>
    <w:rsid w:val="00A40D68"/>
    <w:rsid w:val="00A41862"/>
    <w:rsid w:val="00A445E6"/>
    <w:rsid w:val="00A46FC5"/>
    <w:rsid w:val="00A52976"/>
    <w:rsid w:val="00A52D57"/>
    <w:rsid w:val="00A573DE"/>
    <w:rsid w:val="00A6123A"/>
    <w:rsid w:val="00A6128A"/>
    <w:rsid w:val="00A63C95"/>
    <w:rsid w:val="00A63EEB"/>
    <w:rsid w:val="00A65AB1"/>
    <w:rsid w:val="00A71AD4"/>
    <w:rsid w:val="00A72417"/>
    <w:rsid w:val="00A807D3"/>
    <w:rsid w:val="00A80E1E"/>
    <w:rsid w:val="00A81287"/>
    <w:rsid w:val="00A8339B"/>
    <w:rsid w:val="00A8613D"/>
    <w:rsid w:val="00A86D3D"/>
    <w:rsid w:val="00A92102"/>
    <w:rsid w:val="00A943FB"/>
    <w:rsid w:val="00A945DB"/>
    <w:rsid w:val="00A95333"/>
    <w:rsid w:val="00AA0C12"/>
    <w:rsid w:val="00AA238F"/>
    <w:rsid w:val="00AA3C6B"/>
    <w:rsid w:val="00AA6DF8"/>
    <w:rsid w:val="00AB0B57"/>
    <w:rsid w:val="00AB1599"/>
    <w:rsid w:val="00AB2948"/>
    <w:rsid w:val="00AB2B23"/>
    <w:rsid w:val="00AB30EA"/>
    <w:rsid w:val="00AB39FA"/>
    <w:rsid w:val="00AB4B29"/>
    <w:rsid w:val="00AB6E55"/>
    <w:rsid w:val="00AB7302"/>
    <w:rsid w:val="00AC0818"/>
    <w:rsid w:val="00AC1DF5"/>
    <w:rsid w:val="00AC4E2B"/>
    <w:rsid w:val="00AD173C"/>
    <w:rsid w:val="00AD1746"/>
    <w:rsid w:val="00AD54FB"/>
    <w:rsid w:val="00AD6933"/>
    <w:rsid w:val="00AD6B7B"/>
    <w:rsid w:val="00AE1CFD"/>
    <w:rsid w:val="00AE468F"/>
    <w:rsid w:val="00AE5BDA"/>
    <w:rsid w:val="00AE5DD2"/>
    <w:rsid w:val="00AF12F8"/>
    <w:rsid w:val="00AF1A2D"/>
    <w:rsid w:val="00AF2870"/>
    <w:rsid w:val="00AF7E41"/>
    <w:rsid w:val="00B11627"/>
    <w:rsid w:val="00B13095"/>
    <w:rsid w:val="00B179D8"/>
    <w:rsid w:val="00B21096"/>
    <w:rsid w:val="00B2349E"/>
    <w:rsid w:val="00B23D01"/>
    <w:rsid w:val="00B26C24"/>
    <w:rsid w:val="00B32E61"/>
    <w:rsid w:val="00B36AFB"/>
    <w:rsid w:val="00B40743"/>
    <w:rsid w:val="00B45C62"/>
    <w:rsid w:val="00B46B19"/>
    <w:rsid w:val="00B47722"/>
    <w:rsid w:val="00B56416"/>
    <w:rsid w:val="00B60D70"/>
    <w:rsid w:val="00B62606"/>
    <w:rsid w:val="00B643AF"/>
    <w:rsid w:val="00B72827"/>
    <w:rsid w:val="00B72AC4"/>
    <w:rsid w:val="00B75B86"/>
    <w:rsid w:val="00B85798"/>
    <w:rsid w:val="00B86112"/>
    <w:rsid w:val="00B9229A"/>
    <w:rsid w:val="00BA0271"/>
    <w:rsid w:val="00BA2043"/>
    <w:rsid w:val="00BA244D"/>
    <w:rsid w:val="00BA5F37"/>
    <w:rsid w:val="00BA62C3"/>
    <w:rsid w:val="00BA69FE"/>
    <w:rsid w:val="00BA796A"/>
    <w:rsid w:val="00BB047B"/>
    <w:rsid w:val="00BB53BA"/>
    <w:rsid w:val="00BB6398"/>
    <w:rsid w:val="00BC087C"/>
    <w:rsid w:val="00BC0E86"/>
    <w:rsid w:val="00BC6E3E"/>
    <w:rsid w:val="00BC6F6A"/>
    <w:rsid w:val="00BD0372"/>
    <w:rsid w:val="00BD0888"/>
    <w:rsid w:val="00BD22A3"/>
    <w:rsid w:val="00BD2C58"/>
    <w:rsid w:val="00BE0781"/>
    <w:rsid w:val="00BE11A2"/>
    <w:rsid w:val="00BE5349"/>
    <w:rsid w:val="00BF1609"/>
    <w:rsid w:val="00BF66BC"/>
    <w:rsid w:val="00C00B96"/>
    <w:rsid w:val="00C05A5F"/>
    <w:rsid w:val="00C06427"/>
    <w:rsid w:val="00C11C89"/>
    <w:rsid w:val="00C12D81"/>
    <w:rsid w:val="00C12F6F"/>
    <w:rsid w:val="00C139CA"/>
    <w:rsid w:val="00C14689"/>
    <w:rsid w:val="00C203DC"/>
    <w:rsid w:val="00C20FF4"/>
    <w:rsid w:val="00C305DA"/>
    <w:rsid w:val="00C31CB5"/>
    <w:rsid w:val="00C358B4"/>
    <w:rsid w:val="00C379B8"/>
    <w:rsid w:val="00C408D2"/>
    <w:rsid w:val="00C51429"/>
    <w:rsid w:val="00C56AE5"/>
    <w:rsid w:val="00C56B8F"/>
    <w:rsid w:val="00C604F6"/>
    <w:rsid w:val="00C66E39"/>
    <w:rsid w:val="00C67798"/>
    <w:rsid w:val="00C7651B"/>
    <w:rsid w:val="00C82916"/>
    <w:rsid w:val="00C84356"/>
    <w:rsid w:val="00C85683"/>
    <w:rsid w:val="00C85FFB"/>
    <w:rsid w:val="00C87A72"/>
    <w:rsid w:val="00C92DEB"/>
    <w:rsid w:val="00C92E4B"/>
    <w:rsid w:val="00C9368B"/>
    <w:rsid w:val="00CA1F22"/>
    <w:rsid w:val="00CA25F5"/>
    <w:rsid w:val="00CA3397"/>
    <w:rsid w:val="00CA7CC3"/>
    <w:rsid w:val="00CA7F64"/>
    <w:rsid w:val="00CB0AD0"/>
    <w:rsid w:val="00CB1294"/>
    <w:rsid w:val="00CB2E30"/>
    <w:rsid w:val="00CC49E1"/>
    <w:rsid w:val="00CC64D0"/>
    <w:rsid w:val="00CC7EBD"/>
    <w:rsid w:val="00CD2501"/>
    <w:rsid w:val="00CD55EC"/>
    <w:rsid w:val="00CD6176"/>
    <w:rsid w:val="00CE24CE"/>
    <w:rsid w:val="00CE3400"/>
    <w:rsid w:val="00CE5390"/>
    <w:rsid w:val="00CF0F4E"/>
    <w:rsid w:val="00CF18FF"/>
    <w:rsid w:val="00CF3F24"/>
    <w:rsid w:val="00CF47CE"/>
    <w:rsid w:val="00CF6047"/>
    <w:rsid w:val="00CF65C3"/>
    <w:rsid w:val="00D0018D"/>
    <w:rsid w:val="00D03E30"/>
    <w:rsid w:val="00D0461A"/>
    <w:rsid w:val="00D04FE6"/>
    <w:rsid w:val="00D07A39"/>
    <w:rsid w:val="00D16F1C"/>
    <w:rsid w:val="00D17AD6"/>
    <w:rsid w:val="00D22543"/>
    <w:rsid w:val="00D230E9"/>
    <w:rsid w:val="00D3323B"/>
    <w:rsid w:val="00D33377"/>
    <w:rsid w:val="00D34EB2"/>
    <w:rsid w:val="00D3612A"/>
    <w:rsid w:val="00D3703A"/>
    <w:rsid w:val="00D371C9"/>
    <w:rsid w:val="00D37703"/>
    <w:rsid w:val="00D37F25"/>
    <w:rsid w:val="00D42B05"/>
    <w:rsid w:val="00D42FEE"/>
    <w:rsid w:val="00D45705"/>
    <w:rsid w:val="00D45D99"/>
    <w:rsid w:val="00D46D93"/>
    <w:rsid w:val="00D47C22"/>
    <w:rsid w:val="00D50B09"/>
    <w:rsid w:val="00D51925"/>
    <w:rsid w:val="00D53BA3"/>
    <w:rsid w:val="00D630FB"/>
    <w:rsid w:val="00D6359F"/>
    <w:rsid w:val="00D63E54"/>
    <w:rsid w:val="00D64ED3"/>
    <w:rsid w:val="00D73CCC"/>
    <w:rsid w:val="00D73E5E"/>
    <w:rsid w:val="00D74E35"/>
    <w:rsid w:val="00D75EBA"/>
    <w:rsid w:val="00D77AB9"/>
    <w:rsid w:val="00D805B4"/>
    <w:rsid w:val="00D81871"/>
    <w:rsid w:val="00D83860"/>
    <w:rsid w:val="00D83C87"/>
    <w:rsid w:val="00D85BEE"/>
    <w:rsid w:val="00D91FBE"/>
    <w:rsid w:val="00D92DE2"/>
    <w:rsid w:val="00D957E6"/>
    <w:rsid w:val="00D96BC1"/>
    <w:rsid w:val="00DA0D7C"/>
    <w:rsid w:val="00DA190D"/>
    <w:rsid w:val="00DA3F0C"/>
    <w:rsid w:val="00DA50B0"/>
    <w:rsid w:val="00DB1E37"/>
    <w:rsid w:val="00DB40A4"/>
    <w:rsid w:val="00DB5769"/>
    <w:rsid w:val="00DC0120"/>
    <w:rsid w:val="00DC1407"/>
    <w:rsid w:val="00DC2904"/>
    <w:rsid w:val="00DC2B6A"/>
    <w:rsid w:val="00DC4A4C"/>
    <w:rsid w:val="00DC6ECE"/>
    <w:rsid w:val="00DC7DE3"/>
    <w:rsid w:val="00DD13B7"/>
    <w:rsid w:val="00DD2F6B"/>
    <w:rsid w:val="00DD7A1C"/>
    <w:rsid w:val="00DE2912"/>
    <w:rsid w:val="00DE604A"/>
    <w:rsid w:val="00DE643F"/>
    <w:rsid w:val="00DE7179"/>
    <w:rsid w:val="00DF1228"/>
    <w:rsid w:val="00DF1FB8"/>
    <w:rsid w:val="00DF3B54"/>
    <w:rsid w:val="00DF5520"/>
    <w:rsid w:val="00DF6622"/>
    <w:rsid w:val="00DF689F"/>
    <w:rsid w:val="00DF7D98"/>
    <w:rsid w:val="00DF7DE6"/>
    <w:rsid w:val="00DF7E01"/>
    <w:rsid w:val="00E0303F"/>
    <w:rsid w:val="00E03B8C"/>
    <w:rsid w:val="00E07EA2"/>
    <w:rsid w:val="00E15E7E"/>
    <w:rsid w:val="00E228A6"/>
    <w:rsid w:val="00E22B6E"/>
    <w:rsid w:val="00E23914"/>
    <w:rsid w:val="00E31494"/>
    <w:rsid w:val="00E33907"/>
    <w:rsid w:val="00E37FF5"/>
    <w:rsid w:val="00E40C60"/>
    <w:rsid w:val="00E41D5C"/>
    <w:rsid w:val="00E42333"/>
    <w:rsid w:val="00E42962"/>
    <w:rsid w:val="00E44A65"/>
    <w:rsid w:val="00E4587E"/>
    <w:rsid w:val="00E4622C"/>
    <w:rsid w:val="00E46571"/>
    <w:rsid w:val="00E4671F"/>
    <w:rsid w:val="00E47159"/>
    <w:rsid w:val="00E476F2"/>
    <w:rsid w:val="00E51FFB"/>
    <w:rsid w:val="00E56C33"/>
    <w:rsid w:val="00E5749E"/>
    <w:rsid w:val="00E57EE0"/>
    <w:rsid w:val="00E61294"/>
    <w:rsid w:val="00E619E1"/>
    <w:rsid w:val="00E65FB1"/>
    <w:rsid w:val="00E7140D"/>
    <w:rsid w:val="00E72A13"/>
    <w:rsid w:val="00E72F93"/>
    <w:rsid w:val="00E7440D"/>
    <w:rsid w:val="00E74ECF"/>
    <w:rsid w:val="00E74F63"/>
    <w:rsid w:val="00E75175"/>
    <w:rsid w:val="00E77356"/>
    <w:rsid w:val="00E8229D"/>
    <w:rsid w:val="00E87051"/>
    <w:rsid w:val="00E90988"/>
    <w:rsid w:val="00E91A29"/>
    <w:rsid w:val="00E91B86"/>
    <w:rsid w:val="00E920C7"/>
    <w:rsid w:val="00E9217D"/>
    <w:rsid w:val="00E96396"/>
    <w:rsid w:val="00E966B5"/>
    <w:rsid w:val="00EA25B0"/>
    <w:rsid w:val="00EA6BD9"/>
    <w:rsid w:val="00EC651B"/>
    <w:rsid w:val="00ED6FA8"/>
    <w:rsid w:val="00ED7726"/>
    <w:rsid w:val="00ED7B65"/>
    <w:rsid w:val="00EE1CF3"/>
    <w:rsid w:val="00EE2914"/>
    <w:rsid w:val="00EE54B0"/>
    <w:rsid w:val="00EF2837"/>
    <w:rsid w:val="00EF4573"/>
    <w:rsid w:val="00EF4686"/>
    <w:rsid w:val="00EF486D"/>
    <w:rsid w:val="00F022EE"/>
    <w:rsid w:val="00F05897"/>
    <w:rsid w:val="00F05899"/>
    <w:rsid w:val="00F06E86"/>
    <w:rsid w:val="00F071B8"/>
    <w:rsid w:val="00F101F0"/>
    <w:rsid w:val="00F121B6"/>
    <w:rsid w:val="00F15712"/>
    <w:rsid w:val="00F21703"/>
    <w:rsid w:val="00F2392D"/>
    <w:rsid w:val="00F24994"/>
    <w:rsid w:val="00F25FBC"/>
    <w:rsid w:val="00F26A9F"/>
    <w:rsid w:val="00F26E68"/>
    <w:rsid w:val="00F27584"/>
    <w:rsid w:val="00F30C41"/>
    <w:rsid w:val="00F312CC"/>
    <w:rsid w:val="00F37B99"/>
    <w:rsid w:val="00F41BB8"/>
    <w:rsid w:val="00F42157"/>
    <w:rsid w:val="00F42B40"/>
    <w:rsid w:val="00F457B0"/>
    <w:rsid w:val="00F50622"/>
    <w:rsid w:val="00F507A7"/>
    <w:rsid w:val="00F51134"/>
    <w:rsid w:val="00F54B23"/>
    <w:rsid w:val="00F5610A"/>
    <w:rsid w:val="00F56235"/>
    <w:rsid w:val="00F57470"/>
    <w:rsid w:val="00F616AD"/>
    <w:rsid w:val="00F62009"/>
    <w:rsid w:val="00F62065"/>
    <w:rsid w:val="00F62FE4"/>
    <w:rsid w:val="00F67756"/>
    <w:rsid w:val="00F80DCD"/>
    <w:rsid w:val="00F843AD"/>
    <w:rsid w:val="00F84C68"/>
    <w:rsid w:val="00F85D59"/>
    <w:rsid w:val="00F91169"/>
    <w:rsid w:val="00F937D5"/>
    <w:rsid w:val="00F9451D"/>
    <w:rsid w:val="00F94638"/>
    <w:rsid w:val="00F94B9A"/>
    <w:rsid w:val="00FA0E04"/>
    <w:rsid w:val="00FA2FEB"/>
    <w:rsid w:val="00FA6992"/>
    <w:rsid w:val="00FB0280"/>
    <w:rsid w:val="00FB15A2"/>
    <w:rsid w:val="00FB51A9"/>
    <w:rsid w:val="00FB5531"/>
    <w:rsid w:val="00FB624F"/>
    <w:rsid w:val="00FC1630"/>
    <w:rsid w:val="00FC2CCD"/>
    <w:rsid w:val="00FC35B2"/>
    <w:rsid w:val="00FC363A"/>
    <w:rsid w:val="00FC4C80"/>
    <w:rsid w:val="00FC4D50"/>
    <w:rsid w:val="00FC5E08"/>
    <w:rsid w:val="00FC7BC7"/>
    <w:rsid w:val="00FD3A92"/>
    <w:rsid w:val="00FD589F"/>
    <w:rsid w:val="00FD6A8C"/>
    <w:rsid w:val="00FE698E"/>
    <w:rsid w:val="00FF45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134D3040"/>
  <w15:docId w15:val="{E8DEEC72-D2F9-4DE0-AE68-2F26CAD7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986938"/>
    <w:rPr>
      <w:sz w:val="24"/>
      <w:szCs w:val="24"/>
      <w:lang w:eastAsia="en-US"/>
    </w:rPr>
  </w:style>
  <w:style w:type="paragraph" w:styleId="Heading1">
    <w:name w:val="heading 1"/>
    <w:basedOn w:val="Normal"/>
    <w:next w:val="NICEnormal"/>
    <w:link w:val="Heading1Char"/>
    <w:qFormat/>
    <w:rsid w:val="00986938"/>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986938"/>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986938"/>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rsid w:val="00986938"/>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986938"/>
    <w:pPr>
      <w:spacing w:after="240" w:line="360" w:lineRule="auto"/>
    </w:pPr>
    <w:rPr>
      <w:rFonts w:ascii="Arial" w:hAnsi="Arial"/>
      <w:sz w:val="24"/>
      <w:szCs w:val="24"/>
      <w:lang w:eastAsia="en-US"/>
    </w:rPr>
  </w:style>
  <w:style w:type="character" w:customStyle="1" w:styleId="Heading1Char">
    <w:name w:val="Heading 1 Char"/>
    <w:link w:val="Heading1"/>
    <w:rsid w:val="00986938"/>
    <w:rPr>
      <w:rFonts w:ascii="Arial" w:hAnsi="Arial" w:cs="Arial"/>
      <w:b/>
      <w:bCs/>
      <w:kern w:val="32"/>
      <w:sz w:val="32"/>
      <w:szCs w:val="32"/>
      <w:lang w:eastAsia="en-US"/>
    </w:rPr>
  </w:style>
  <w:style w:type="character" w:customStyle="1" w:styleId="Heading2Char">
    <w:name w:val="Heading 2 Char"/>
    <w:link w:val="Heading2"/>
    <w:rsid w:val="00986938"/>
    <w:rPr>
      <w:rFonts w:ascii="Arial" w:hAnsi="Arial" w:cs="Arial"/>
      <w:b/>
      <w:bCs/>
      <w:sz w:val="28"/>
      <w:szCs w:val="28"/>
      <w:lang w:eastAsia="en-US"/>
    </w:rPr>
  </w:style>
  <w:style w:type="paragraph" w:customStyle="1" w:styleId="Tablebullet">
    <w:name w:val="Table bullet"/>
    <w:basedOn w:val="Tabletext"/>
    <w:qFormat/>
    <w:rsid w:val="00986938"/>
    <w:pPr>
      <w:numPr>
        <w:numId w:val="39"/>
      </w:numPr>
    </w:pPr>
  </w:style>
  <w:style w:type="paragraph" w:customStyle="1" w:styleId="Tabletext">
    <w:name w:val="Table text"/>
    <w:basedOn w:val="NICEnormalsinglespacing"/>
    <w:rsid w:val="00986938"/>
    <w:pPr>
      <w:spacing w:after="60"/>
    </w:pPr>
    <w:rPr>
      <w:sz w:val="22"/>
    </w:rPr>
  </w:style>
  <w:style w:type="paragraph" w:customStyle="1" w:styleId="NICEnormalsinglespacing">
    <w:name w:val="NICE normal single spacing"/>
    <w:basedOn w:val="NICEnormal"/>
    <w:rsid w:val="00986938"/>
    <w:pPr>
      <w:spacing w:line="240" w:lineRule="auto"/>
    </w:pPr>
  </w:style>
  <w:style w:type="paragraph" w:customStyle="1" w:styleId="Title1">
    <w:name w:val="Title 1"/>
    <w:basedOn w:val="Title"/>
    <w:qFormat/>
    <w:rsid w:val="00986938"/>
  </w:style>
  <w:style w:type="paragraph" w:customStyle="1" w:styleId="Title2">
    <w:name w:val="Title 2"/>
    <w:basedOn w:val="Title"/>
    <w:qFormat/>
    <w:rsid w:val="00986938"/>
    <w:rPr>
      <w:bCs w:val="0"/>
      <w:sz w:val="32"/>
    </w:rPr>
  </w:style>
  <w:style w:type="paragraph" w:customStyle="1" w:styleId="Guidanceissuedate">
    <w:name w:val="Guidance issue date"/>
    <w:basedOn w:val="Normal"/>
    <w:qFormat/>
    <w:rsid w:val="00986938"/>
    <w:pPr>
      <w:spacing w:after="240" w:line="360" w:lineRule="auto"/>
    </w:pPr>
    <w:rPr>
      <w:rFonts w:ascii="Arial" w:hAnsi="Arial"/>
    </w:rPr>
  </w:style>
  <w:style w:type="paragraph" w:customStyle="1" w:styleId="Numberedheading1">
    <w:name w:val="Numbered heading 1"/>
    <w:basedOn w:val="Heading1"/>
    <w:next w:val="NICEnormal"/>
    <w:link w:val="Numberedheading1CharChar"/>
    <w:rsid w:val="00986938"/>
    <w:pPr>
      <w:numPr>
        <w:numId w:val="30"/>
      </w:numPr>
    </w:pPr>
    <w:rPr>
      <w:szCs w:val="24"/>
    </w:rPr>
  </w:style>
  <w:style w:type="character" w:customStyle="1" w:styleId="Numberedheading1CharChar">
    <w:name w:val="Numbered heading 1 Char Char"/>
    <w:link w:val="Numberedheading1"/>
    <w:rsid w:val="00986938"/>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986938"/>
    <w:pPr>
      <w:numPr>
        <w:ilvl w:val="1"/>
        <w:numId w:val="30"/>
      </w:numPr>
    </w:pPr>
  </w:style>
  <w:style w:type="character" w:customStyle="1" w:styleId="Numberedheading2Char">
    <w:name w:val="Numbered heading 2 Char"/>
    <w:basedOn w:val="Heading2Char"/>
    <w:link w:val="Numberedheading2"/>
    <w:rsid w:val="00986938"/>
    <w:rPr>
      <w:rFonts w:ascii="Arial" w:hAnsi="Arial" w:cs="Arial"/>
      <w:b/>
      <w:bCs/>
      <w:sz w:val="28"/>
      <w:szCs w:val="28"/>
      <w:lang w:eastAsia="en-US"/>
    </w:rPr>
  </w:style>
  <w:style w:type="paragraph" w:customStyle="1" w:styleId="Numberedheading3">
    <w:name w:val="Numbered heading 3"/>
    <w:basedOn w:val="Heading3"/>
    <w:next w:val="NICEnormal"/>
    <w:rsid w:val="00986938"/>
    <w:pPr>
      <w:numPr>
        <w:ilvl w:val="2"/>
        <w:numId w:val="30"/>
      </w:numPr>
    </w:pPr>
  </w:style>
  <w:style w:type="character" w:customStyle="1" w:styleId="NICEnormalChar">
    <w:name w:val="NICE normal Char"/>
    <w:link w:val="NICEnormal"/>
    <w:rsid w:val="00986938"/>
    <w:rPr>
      <w:rFonts w:ascii="Arial" w:hAnsi="Arial"/>
      <w:sz w:val="24"/>
      <w:szCs w:val="24"/>
      <w:lang w:eastAsia="en-US"/>
    </w:rPr>
  </w:style>
  <w:style w:type="character" w:customStyle="1" w:styleId="Bulletleft1lastChar">
    <w:name w:val="Bullet left 1 last Char"/>
    <w:link w:val="Bulletleft1last"/>
    <w:rsid w:val="00986938"/>
    <w:rPr>
      <w:rFonts w:ascii="Arial" w:hAnsi="Arial" w:cs="Arial"/>
      <w:sz w:val="24"/>
      <w:szCs w:val="24"/>
      <w:lang w:eastAsia="en-US"/>
    </w:rPr>
  </w:style>
  <w:style w:type="paragraph" w:customStyle="1" w:styleId="Bulletindent2">
    <w:name w:val="Bullet indent 2"/>
    <w:basedOn w:val="NICEnormal"/>
    <w:rsid w:val="00986938"/>
    <w:pPr>
      <w:numPr>
        <w:ilvl w:val="1"/>
        <w:numId w:val="19"/>
      </w:numPr>
      <w:spacing w:after="0"/>
    </w:pPr>
  </w:style>
  <w:style w:type="paragraph" w:styleId="CommentSubject">
    <w:name w:val="annotation subject"/>
    <w:basedOn w:val="CommentText"/>
    <w:next w:val="CommentText"/>
    <w:link w:val="CommentSubjectChar"/>
    <w:rsid w:val="006729F4"/>
    <w:rPr>
      <w:b/>
      <w:bCs/>
    </w:rPr>
  </w:style>
  <w:style w:type="paragraph" w:styleId="CommentText">
    <w:name w:val="annotation text"/>
    <w:basedOn w:val="Normal"/>
    <w:link w:val="CommentTextChar"/>
    <w:rsid w:val="009C399D"/>
    <w:rPr>
      <w:sz w:val="20"/>
      <w:szCs w:val="20"/>
      <w:lang w:val="x-none"/>
    </w:rPr>
  </w:style>
  <w:style w:type="character" w:customStyle="1" w:styleId="CommentTextChar">
    <w:name w:val="Comment Text Char"/>
    <w:link w:val="CommentText"/>
    <w:rsid w:val="009C399D"/>
    <w:rPr>
      <w:lang w:val="x-none" w:eastAsia="en-US"/>
    </w:rPr>
  </w:style>
  <w:style w:type="character" w:customStyle="1" w:styleId="CommentSubjectChar">
    <w:name w:val="Comment Subject Char"/>
    <w:link w:val="CommentSubject"/>
    <w:rsid w:val="006729F4"/>
    <w:rPr>
      <w:b/>
      <w:bCs/>
      <w:lang w:val="x-none" w:eastAsia="en-US"/>
    </w:rPr>
  </w:style>
  <w:style w:type="paragraph" w:customStyle="1" w:styleId="Bulletleft1">
    <w:name w:val="Bullet left 1"/>
    <w:basedOn w:val="NICEnormal"/>
    <w:link w:val="Bulletleft1Char"/>
    <w:qFormat/>
    <w:rsid w:val="00986938"/>
    <w:pPr>
      <w:numPr>
        <w:numId w:val="21"/>
      </w:numPr>
      <w:spacing w:after="0"/>
    </w:pPr>
  </w:style>
  <w:style w:type="paragraph" w:customStyle="1" w:styleId="Bulletleft2">
    <w:name w:val="Bullet left 2"/>
    <w:basedOn w:val="NICEnormal"/>
    <w:rsid w:val="00986938"/>
    <w:pPr>
      <w:numPr>
        <w:ilvl w:val="1"/>
        <w:numId w:val="23"/>
      </w:numPr>
      <w:spacing w:after="0"/>
    </w:pPr>
  </w:style>
  <w:style w:type="paragraph" w:customStyle="1" w:styleId="Bulletleft3">
    <w:name w:val="Bullet left 3"/>
    <w:basedOn w:val="NICEnormal"/>
    <w:rsid w:val="00986938"/>
    <w:pPr>
      <w:numPr>
        <w:ilvl w:val="2"/>
        <w:numId w:val="24"/>
      </w:numPr>
      <w:spacing w:after="0"/>
    </w:pPr>
  </w:style>
  <w:style w:type="paragraph" w:customStyle="1" w:styleId="Bulletindent1">
    <w:name w:val="Bullet indent 1"/>
    <w:basedOn w:val="NICEnormal"/>
    <w:rsid w:val="00986938"/>
    <w:pPr>
      <w:spacing w:after="0"/>
    </w:pPr>
  </w:style>
  <w:style w:type="paragraph" w:customStyle="1" w:styleId="Bulletindent3">
    <w:name w:val="Bullet indent 3"/>
    <w:basedOn w:val="NICEnormal"/>
    <w:rsid w:val="00986938"/>
    <w:pPr>
      <w:numPr>
        <w:ilvl w:val="2"/>
        <w:numId w:val="20"/>
      </w:numPr>
      <w:spacing w:after="0"/>
    </w:pPr>
  </w:style>
  <w:style w:type="character" w:styleId="FollowedHyperlink">
    <w:name w:val="FollowedHyperlink"/>
    <w:rsid w:val="001E4C6D"/>
    <w:rPr>
      <w:color w:val="800080"/>
      <w:u w:val="single"/>
    </w:rPr>
  </w:style>
  <w:style w:type="paragraph" w:customStyle="1" w:styleId="Bulletleft1last">
    <w:name w:val="Bullet left 1 last"/>
    <w:basedOn w:val="NICEnormal"/>
    <w:link w:val="Bulletleft1lastChar"/>
    <w:rsid w:val="00986938"/>
    <w:pPr>
      <w:numPr>
        <w:numId w:val="22"/>
      </w:numPr>
    </w:pPr>
    <w:rPr>
      <w:rFonts w:cs="Arial"/>
    </w:rPr>
  </w:style>
  <w:style w:type="paragraph" w:styleId="Header">
    <w:name w:val="header"/>
    <w:basedOn w:val="NICEnormalsinglespacing"/>
    <w:link w:val="HeaderChar"/>
    <w:uiPriority w:val="99"/>
    <w:rsid w:val="00986938"/>
    <w:pPr>
      <w:tabs>
        <w:tab w:val="center" w:pos="4153"/>
        <w:tab w:val="right" w:pos="8306"/>
      </w:tabs>
    </w:pPr>
  </w:style>
  <w:style w:type="paragraph" w:styleId="Footer">
    <w:name w:val="footer"/>
    <w:basedOn w:val="NICEnormalsinglespacing"/>
    <w:link w:val="FooterChar"/>
    <w:uiPriority w:val="99"/>
    <w:rsid w:val="00986938"/>
    <w:pPr>
      <w:tabs>
        <w:tab w:val="center" w:pos="4153"/>
        <w:tab w:val="right" w:pos="8306"/>
      </w:tabs>
    </w:pPr>
  </w:style>
  <w:style w:type="character" w:styleId="PageNumber">
    <w:name w:val="page number"/>
    <w:rsid w:val="00986938"/>
    <w:rPr>
      <w:rFonts w:ascii="Arial" w:hAnsi="Arial"/>
      <w:sz w:val="24"/>
    </w:rPr>
  </w:style>
  <w:style w:type="paragraph" w:customStyle="1" w:styleId="Bulletindent1last">
    <w:name w:val="Bullet indent 1 last"/>
    <w:basedOn w:val="NICEnormal"/>
    <w:next w:val="NICEnormal"/>
    <w:rsid w:val="00986938"/>
  </w:style>
  <w:style w:type="paragraph" w:customStyle="1" w:styleId="NICEnormalindented">
    <w:name w:val="NICE normal indented"/>
    <w:basedOn w:val="NICEnormal"/>
    <w:rsid w:val="00986938"/>
    <w:pPr>
      <w:tabs>
        <w:tab w:val="left" w:pos="1134"/>
      </w:tabs>
      <w:ind w:left="1134"/>
    </w:pPr>
  </w:style>
  <w:style w:type="paragraph" w:styleId="TOC1">
    <w:name w:val="toc 1"/>
    <w:basedOn w:val="Normal"/>
    <w:next w:val="Normal"/>
    <w:locked/>
    <w:rsid w:val="00986938"/>
    <w:rPr>
      <w:rFonts w:ascii="Arial" w:hAnsi="Arial"/>
    </w:rPr>
  </w:style>
  <w:style w:type="paragraph" w:styleId="TOC2">
    <w:name w:val="toc 2"/>
    <w:basedOn w:val="Normal"/>
    <w:next w:val="Normal"/>
    <w:locked/>
    <w:rsid w:val="00986938"/>
    <w:pPr>
      <w:ind w:left="240"/>
    </w:pPr>
    <w:rPr>
      <w:rFonts w:ascii="Arial" w:hAnsi="Arial"/>
    </w:rPr>
  </w:style>
  <w:style w:type="character" w:styleId="CommentReference">
    <w:name w:val="annotation reference"/>
    <w:rsid w:val="009C399D"/>
    <w:rPr>
      <w:sz w:val="16"/>
      <w:szCs w:val="16"/>
    </w:rPr>
  </w:style>
  <w:style w:type="character" w:styleId="Hyperlink">
    <w:name w:val="Hyperlink"/>
    <w:basedOn w:val="DefaultParagraphFont"/>
    <w:uiPriority w:val="99"/>
    <w:unhideWhenUsed/>
    <w:rsid w:val="00986938"/>
    <w:rPr>
      <w:color w:val="0000FF" w:themeColor="hyperlink"/>
      <w:u w:val="single"/>
    </w:rPr>
  </w:style>
  <w:style w:type="paragraph" w:styleId="BalloonText">
    <w:name w:val="Balloon Text"/>
    <w:basedOn w:val="Normal"/>
    <w:link w:val="BalloonTextChar"/>
    <w:rsid w:val="009C399D"/>
    <w:rPr>
      <w:rFonts w:ascii="Tahoma" w:hAnsi="Tahoma"/>
      <w:sz w:val="16"/>
      <w:szCs w:val="16"/>
      <w:lang w:val="x-none"/>
    </w:rPr>
  </w:style>
  <w:style w:type="character" w:customStyle="1" w:styleId="BalloonTextChar">
    <w:name w:val="Balloon Text Char"/>
    <w:link w:val="BalloonText"/>
    <w:rsid w:val="009C399D"/>
    <w:rPr>
      <w:rFonts w:ascii="Tahoma" w:hAnsi="Tahoma" w:cs="Tahoma"/>
      <w:sz w:val="16"/>
      <w:szCs w:val="16"/>
      <w:lang w:eastAsia="en-US"/>
    </w:rPr>
  </w:style>
  <w:style w:type="paragraph" w:styleId="Revision">
    <w:name w:val="Revision"/>
    <w:hidden/>
    <w:uiPriority w:val="99"/>
    <w:semiHidden/>
    <w:rsid w:val="00756973"/>
    <w:rPr>
      <w:sz w:val="24"/>
      <w:szCs w:val="24"/>
      <w:lang w:eastAsia="en-US"/>
    </w:rPr>
  </w:style>
  <w:style w:type="table" w:styleId="TableGrid">
    <w:name w:val="Table Grid"/>
    <w:basedOn w:val="TableNormal"/>
    <w:rsid w:val="00986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A796A"/>
    <w:rPr>
      <w:sz w:val="20"/>
      <w:szCs w:val="20"/>
    </w:rPr>
  </w:style>
  <w:style w:type="character" w:customStyle="1" w:styleId="FootnoteTextChar">
    <w:name w:val="Footnote Text Char"/>
    <w:basedOn w:val="DefaultParagraphFont"/>
    <w:link w:val="FootnoteText"/>
    <w:rsid w:val="00BA796A"/>
    <w:rPr>
      <w:lang w:eastAsia="en-US"/>
    </w:rPr>
  </w:style>
  <w:style w:type="character" w:styleId="FootnoteReference">
    <w:name w:val="footnote reference"/>
    <w:basedOn w:val="DefaultParagraphFont"/>
    <w:rsid w:val="00BA796A"/>
    <w:rPr>
      <w:vertAlign w:val="superscript"/>
    </w:rPr>
  </w:style>
  <w:style w:type="paragraph" w:customStyle="1" w:styleId="Paragraph">
    <w:name w:val="Paragraph"/>
    <w:basedOn w:val="Normal"/>
    <w:uiPriority w:val="4"/>
    <w:rsid w:val="00E7440D"/>
    <w:pPr>
      <w:spacing w:before="240" w:after="240" w:line="276" w:lineRule="auto"/>
    </w:pPr>
    <w:rPr>
      <w:rFonts w:ascii="Arial" w:hAnsi="Arial"/>
    </w:rPr>
  </w:style>
  <w:style w:type="paragraph" w:styleId="Title">
    <w:name w:val="Title"/>
    <w:basedOn w:val="Normal"/>
    <w:next w:val="NICEnormal"/>
    <w:link w:val="TitleChar"/>
    <w:qFormat/>
    <w:rsid w:val="00986938"/>
    <w:pPr>
      <w:keepNext/>
      <w:spacing w:before="240" w:after="240"/>
      <w:jc w:val="center"/>
      <w:outlineLvl w:val="0"/>
    </w:pPr>
    <w:rPr>
      <w:rFonts w:ascii="Arial" w:hAnsi="Arial" w:cs="Arial"/>
      <w:b/>
      <w:bCs/>
      <w:kern w:val="28"/>
      <w:sz w:val="40"/>
      <w:szCs w:val="32"/>
    </w:rPr>
  </w:style>
  <w:style w:type="character" w:customStyle="1" w:styleId="TitleChar">
    <w:name w:val="Title Char"/>
    <w:basedOn w:val="DefaultParagraphFont"/>
    <w:link w:val="Title"/>
    <w:rsid w:val="004D730D"/>
    <w:rPr>
      <w:rFonts w:ascii="Arial" w:hAnsi="Arial" w:cs="Arial"/>
      <w:b/>
      <w:bCs/>
      <w:kern w:val="28"/>
      <w:sz w:val="40"/>
      <w:szCs w:val="32"/>
      <w:lang w:eastAsia="en-US"/>
    </w:rPr>
  </w:style>
  <w:style w:type="character" w:customStyle="1" w:styleId="Bulletleft1Char">
    <w:name w:val="Bullet left 1 Char"/>
    <w:basedOn w:val="NICEnormalChar"/>
    <w:link w:val="Bulletleft1"/>
    <w:rsid w:val="0057245F"/>
    <w:rPr>
      <w:rFonts w:ascii="Arial" w:hAnsi="Arial"/>
      <w:sz w:val="24"/>
      <w:szCs w:val="24"/>
      <w:lang w:eastAsia="en-US"/>
    </w:rPr>
  </w:style>
  <w:style w:type="character" w:customStyle="1" w:styleId="Heading3Char">
    <w:name w:val="Heading 3 Char"/>
    <w:basedOn w:val="DefaultParagraphFont"/>
    <w:link w:val="Heading3"/>
    <w:qFormat/>
    <w:rsid w:val="0057245F"/>
    <w:rPr>
      <w:rFonts w:ascii="Arial" w:hAnsi="Arial" w:cs="Arial"/>
      <w:b/>
      <w:bCs/>
      <w:sz w:val="26"/>
      <w:szCs w:val="26"/>
      <w:lang w:eastAsia="en-US"/>
    </w:rPr>
  </w:style>
  <w:style w:type="paragraph" w:styleId="NormalWeb">
    <w:name w:val="Normal (Web)"/>
    <w:basedOn w:val="Normal"/>
    <w:uiPriority w:val="99"/>
    <w:unhideWhenUsed/>
    <w:locked/>
    <w:rsid w:val="001511B6"/>
    <w:pPr>
      <w:spacing w:after="180"/>
    </w:pPr>
    <w:rPr>
      <w:lang w:eastAsia="en-GB"/>
    </w:rPr>
  </w:style>
  <w:style w:type="paragraph" w:customStyle="1" w:styleId="numbered-paragraph">
    <w:name w:val="numbered-paragraph"/>
    <w:basedOn w:val="Normal"/>
    <w:uiPriority w:val="99"/>
    <w:rsid w:val="001511B6"/>
    <w:pPr>
      <w:spacing w:after="180"/>
    </w:pPr>
    <w:rPr>
      <w:lang w:eastAsia="en-GB"/>
    </w:rPr>
  </w:style>
  <w:style w:type="paragraph" w:customStyle="1" w:styleId="AppendixBheading">
    <w:name w:val="Appendix B heading"/>
    <w:basedOn w:val="Heading1"/>
    <w:next w:val="NICEnormal"/>
    <w:qFormat/>
    <w:rsid w:val="00986938"/>
    <w:pPr>
      <w:numPr>
        <w:numId w:val="13"/>
      </w:numPr>
    </w:pPr>
  </w:style>
  <w:style w:type="paragraph" w:customStyle="1" w:styleId="Appendixbullet">
    <w:name w:val="Appendix bullet"/>
    <w:basedOn w:val="NICEnormal"/>
    <w:rsid w:val="00986938"/>
    <w:pPr>
      <w:spacing w:after="0" w:line="240" w:lineRule="auto"/>
    </w:pPr>
  </w:style>
  <w:style w:type="paragraph" w:customStyle="1" w:styleId="Appendixlevel1">
    <w:name w:val="Appendix level 1"/>
    <w:basedOn w:val="NICEnormal"/>
    <w:autoRedefine/>
    <w:rsid w:val="00986938"/>
    <w:pPr>
      <w:numPr>
        <w:numId w:val="15"/>
      </w:numPr>
      <w:spacing w:before="240"/>
    </w:pPr>
  </w:style>
  <w:style w:type="paragraph" w:customStyle="1" w:styleId="Appendixlevel2">
    <w:name w:val="Appendix level 2"/>
    <w:basedOn w:val="NICEnormal"/>
    <w:rsid w:val="00986938"/>
    <w:pPr>
      <w:numPr>
        <w:numId w:val="16"/>
      </w:numPr>
      <w:spacing w:before="240"/>
    </w:pPr>
  </w:style>
  <w:style w:type="paragraph" w:customStyle="1" w:styleId="boxedtext">
    <w:name w:val="boxed text"/>
    <w:basedOn w:val="NICEnormal"/>
    <w:rsid w:val="00986938"/>
    <w:pPr>
      <w:pBdr>
        <w:top w:val="single" w:sz="4" w:space="1" w:color="auto"/>
        <w:left w:val="single" w:sz="4" w:space="4" w:color="auto"/>
        <w:bottom w:val="single" w:sz="4" w:space="1" w:color="auto"/>
        <w:right w:val="single" w:sz="4" w:space="4" w:color="auto"/>
      </w:pBdr>
      <w:shd w:val="clear" w:color="auto" w:fill="E6E6E6"/>
    </w:pPr>
  </w:style>
  <w:style w:type="paragraph" w:styleId="Caption">
    <w:name w:val="caption"/>
    <w:basedOn w:val="NICEnormal"/>
    <w:next w:val="NICEnormal"/>
    <w:unhideWhenUsed/>
    <w:qFormat/>
    <w:locked/>
    <w:rsid w:val="00986938"/>
    <w:pPr>
      <w:keepNext/>
      <w:spacing w:after="200"/>
    </w:pPr>
    <w:rPr>
      <w:b/>
      <w:bCs/>
      <w:iCs/>
      <w:szCs w:val="18"/>
    </w:rPr>
  </w:style>
  <w:style w:type="paragraph" w:customStyle="1" w:styleId="Documentissuedate">
    <w:name w:val="Document issue date"/>
    <w:basedOn w:val="Guidanceissuedate"/>
    <w:qFormat/>
    <w:rsid w:val="00986938"/>
  </w:style>
  <w:style w:type="character" w:styleId="Emphasis">
    <w:name w:val="Emphasis"/>
    <w:basedOn w:val="DefaultParagraphFont"/>
    <w:qFormat/>
    <w:locked/>
    <w:rsid w:val="00986938"/>
    <w:rPr>
      <w:i/>
      <w:iCs/>
    </w:rPr>
  </w:style>
  <w:style w:type="paragraph" w:customStyle="1" w:styleId="Evidencebullet">
    <w:name w:val="Evidence bullet"/>
    <w:basedOn w:val="Bulletindent1"/>
    <w:qFormat/>
    <w:rsid w:val="00986938"/>
    <w:rPr>
      <w:i/>
    </w:rPr>
  </w:style>
  <w:style w:type="paragraph" w:customStyle="1" w:styleId="Evidencebulletlast">
    <w:name w:val="Evidence bullet last"/>
    <w:basedOn w:val="Bulletindent1last"/>
    <w:qFormat/>
    <w:rsid w:val="00986938"/>
    <w:rPr>
      <w:i/>
    </w:rPr>
  </w:style>
  <w:style w:type="paragraph" w:customStyle="1" w:styleId="Numberedlevel4text">
    <w:name w:val="Numbered level 4 text"/>
    <w:basedOn w:val="NICEnormal"/>
    <w:next w:val="NICEnormal"/>
    <w:rsid w:val="00986938"/>
    <w:pPr>
      <w:numPr>
        <w:ilvl w:val="3"/>
        <w:numId w:val="30"/>
      </w:numPr>
    </w:pPr>
  </w:style>
  <w:style w:type="paragraph" w:customStyle="1" w:styleId="Evidencestatement">
    <w:name w:val="Evidence statement"/>
    <w:basedOn w:val="Numberedlevel4text"/>
    <w:next w:val="NICEnormal"/>
    <w:qFormat/>
    <w:rsid w:val="00986938"/>
    <w:pPr>
      <w:numPr>
        <w:ilvl w:val="0"/>
        <w:numId w:val="0"/>
      </w:numPr>
    </w:pPr>
    <w:rPr>
      <w:i/>
    </w:rPr>
  </w:style>
  <w:style w:type="paragraph" w:customStyle="1" w:styleId="Introtext">
    <w:name w:val="Intro text"/>
    <w:basedOn w:val="NICEnormalsinglespacing"/>
    <w:rsid w:val="00986938"/>
    <w:pPr>
      <w:pBdr>
        <w:top w:val="single" w:sz="4" w:space="1" w:color="auto"/>
        <w:left w:val="single" w:sz="4" w:space="4" w:color="auto"/>
        <w:bottom w:val="single" w:sz="4" w:space="1" w:color="auto"/>
        <w:right w:val="single" w:sz="4" w:space="4" w:color="auto"/>
      </w:pBdr>
      <w:spacing w:after="120"/>
    </w:pPr>
  </w:style>
  <w:style w:type="paragraph" w:styleId="ListParagraph">
    <w:name w:val="List Paragraph"/>
    <w:basedOn w:val="Normal"/>
    <w:uiPriority w:val="34"/>
    <w:qFormat/>
    <w:locked/>
    <w:rsid w:val="00986938"/>
    <w:pPr>
      <w:ind w:left="720"/>
      <w:contextualSpacing/>
    </w:pPr>
  </w:style>
  <w:style w:type="paragraph" w:customStyle="1" w:styleId="Numberedlevel2text">
    <w:name w:val="Numbered level 2 text"/>
    <w:basedOn w:val="Numberedheading2"/>
    <w:rsid w:val="00986938"/>
    <w:pPr>
      <w:spacing w:before="0" w:after="240"/>
    </w:pPr>
    <w:rPr>
      <w:b w:val="0"/>
      <w:sz w:val="24"/>
    </w:rPr>
  </w:style>
  <w:style w:type="paragraph" w:customStyle="1" w:styleId="Numberedlevel3text">
    <w:name w:val="Numbered level 3 text"/>
    <w:basedOn w:val="Numberedheading3"/>
    <w:rsid w:val="00986938"/>
    <w:pPr>
      <w:spacing w:before="0" w:after="240"/>
    </w:pPr>
    <w:rPr>
      <w:b w:val="0"/>
      <w:sz w:val="24"/>
    </w:rPr>
  </w:style>
  <w:style w:type="table" w:customStyle="1" w:styleId="PanelDefault">
    <w:name w:val="Panel (Default)"/>
    <w:basedOn w:val="TableNormal"/>
    <w:uiPriority w:val="99"/>
    <w:rsid w:val="0098693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8693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986938"/>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986938"/>
    <w:pPr>
      <w:numPr>
        <w:numId w:val="31"/>
      </w:numPr>
      <w:tabs>
        <w:tab w:val="num" w:pos="360"/>
        <w:tab w:val="num" w:pos="1134"/>
      </w:tabs>
    </w:pPr>
    <w:rPr>
      <w:rFonts w:ascii="Arial" w:hAnsi="Arial"/>
    </w:rPr>
  </w:style>
  <w:style w:type="paragraph" w:customStyle="1" w:styleId="Panelhyperlink">
    <w:name w:val="Panel hyperlink"/>
    <w:basedOn w:val="NICEnormal"/>
    <w:next w:val="NICEnormal"/>
    <w:qFormat/>
    <w:rsid w:val="00986938"/>
    <w:rPr>
      <w:color w:val="FFFFFF" w:themeColor="background1"/>
      <w:u w:val="single"/>
    </w:rPr>
  </w:style>
  <w:style w:type="paragraph" w:styleId="Quote">
    <w:name w:val="Quote"/>
    <w:basedOn w:val="NICEnormal"/>
    <w:next w:val="NICEnormal"/>
    <w:link w:val="QuoteChar"/>
    <w:uiPriority w:val="29"/>
    <w:qFormat/>
    <w:locked/>
    <w:rsid w:val="00986938"/>
    <w:pPr>
      <w:spacing w:before="200" w:after="160"/>
      <w:ind w:left="864" w:right="864"/>
      <w:jc w:val="center"/>
    </w:pPr>
    <w:rPr>
      <w:iCs/>
    </w:rPr>
  </w:style>
  <w:style w:type="character" w:customStyle="1" w:styleId="QuoteChar">
    <w:name w:val="Quote Char"/>
    <w:basedOn w:val="DefaultParagraphFont"/>
    <w:link w:val="Quote"/>
    <w:uiPriority w:val="29"/>
    <w:rsid w:val="00986938"/>
    <w:rPr>
      <w:rFonts w:ascii="Arial" w:hAnsi="Arial"/>
      <w:iCs/>
      <w:sz w:val="24"/>
      <w:szCs w:val="24"/>
      <w:lang w:eastAsia="en-US"/>
    </w:rPr>
  </w:style>
  <w:style w:type="paragraph" w:customStyle="1" w:styleId="Section2paragraphs">
    <w:name w:val="Section 2 paragraphs"/>
    <w:basedOn w:val="NICEnormal"/>
    <w:rsid w:val="00986938"/>
    <w:pPr>
      <w:numPr>
        <w:numId w:val="32"/>
      </w:numPr>
    </w:pPr>
  </w:style>
  <w:style w:type="paragraph" w:customStyle="1" w:styleId="Section21paragraphs">
    <w:name w:val="Section 2.1 paragraphs"/>
    <w:basedOn w:val="NICEnormal"/>
    <w:qFormat/>
    <w:rsid w:val="00986938"/>
    <w:pPr>
      <w:numPr>
        <w:numId w:val="33"/>
      </w:numPr>
      <w:tabs>
        <w:tab w:val="left" w:pos="1134"/>
      </w:tabs>
    </w:pPr>
  </w:style>
  <w:style w:type="paragraph" w:customStyle="1" w:styleId="Section22paragraphs">
    <w:name w:val="Section 2.2 paragraphs"/>
    <w:basedOn w:val="Section21paragraphs"/>
    <w:qFormat/>
    <w:rsid w:val="00986938"/>
    <w:pPr>
      <w:numPr>
        <w:numId w:val="0"/>
      </w:numPr>
    </w:pPr>
  </w:style>
  <w:style w:type="paragraph" w:customStyle="1" w:styleId="Section3paragraphs">
    <w:name w:val="Section 3 paragraphs"/>
    <w:basedOn w:val="NICEnormal"/>
    <w:rsid w:val="00986938"/>
    <w:pPr>
      <w:numPr>
        <w:numId w:val="34"/>
      </w:numPr>
    </w:pPr>
  </w:style>
  <w:style w:type="paragraph" w:customStyle="1" w:styleId="Section411paragraphs">
    <w:name w:val="Section 4.1.1 paragraphs"/>
    <w:basedOn w:val="NICEnormal"/>
    <w:rsid w:val="00986938"/>
    <w:pPr>
      <w:numPr>
        <w:numId w:val="35"/>
      </w:numPr>
    </w:pPr>
  </w:style>
  <w:style w:type="paragraph" w:customStyle="1" w:styleId="Section412paragraphs">
    <w:name w:val="Section 4.1.2 paragraphs"/>
    <w:basedOn w:val="NICEnormal"/>
    <w:rsid w:val="00986938"/>
    <w:pPr>
      <w:numPr>
        <w:numId w:val="36"/>
      </w:numPr>
    </w:pPr>
  </w:style>
  <w:style w:type="paragraph" w:customStyle="1" w:styleId="Section42paragraphs">
    <w:name w:val="Section 4.2 paragraphs"/>
    <w:basedOn w:val="NICEnormal"/>
    <w:rsid w:val="00986938"/>
    <w:pPr>
      <w:numPr>
        <w:numId w:val="37"/>
      </w:numPr>
    </w:pPr>
  </w:style>
  <w:style w:type="paragraph" w:customStyle="1" w:styleId="Section43paragraphs">
    <w:name w:val="Section 4.3 paragraphs"/>
    <w:basedOn w:val="NICEnormal"/>
    <w:rsid w:val="00986938"/>
    <w:pPr>
      <w:numPr>
        <w:numId w:val="38"/>
      </w:numPr>
    </w:pPr>
  </w:style>
  <w:style w:type="character" w:styleId="SubtleReference">
    <w:name w:val="Subtle Reference"/>
    <w:basedOn w:val="DefaultParagraphFont"/>
    <w:uiPriority w:val="31"/>
    <w:qFormat/>
    <w:locked/>
    <w:rsid w:val="00986938"/>
  </w:style>
  <w:style w:type="character" w:customStyle="1" w:styleId="StyleSubtleReferenceArialAutoNotSmallcaps">
    <w:name w:val="Style Subtle Reference + Arial Auto Not Small caps"/>
    <w:basedOn w:val="SubtleReference"/>
    <w:rsid w:val="00986938"/>
    <w:rPr>
      <w:rFonts w:ascii="Arial" w:hAnsi="Arial"/>
      <w:smallCaps/>
      <w:color w:val="auto"/>
    </w:rPr>
  </w:style>
  <w:style w:type="character" w:styleId="SubtleEmphasis">
    <w:name w:val="Subtle Emphasis"/>
    <w:basedOn w:val="DefaultParagraphFont"/>
    <w:uiPriority w:val="19"/>
    <w:qFormat/>
    <w:locked/>
    <w:rsid w:val="00986938"/>
    <w:rPr>
      <w:i/>
      <w:iCs/>
      <w:color w:val="404040" w:themeColor="text1" w:themeTint="BF"/>
    </w:rPr>
  </w:style>
  <w:style w:type="paragraph" w:customStyle="1" w:styleId="Tableheading">
    <w:name w:val="Table heading"/>
    <w:basedOn w:val="Tabletext"/>
    <w:qFormat/>
    <w:rsid w:val="00986938"/>
    <w:rPr>
      <w:b/>
    </w:rPr>
  </w:style>
  <w:style w:type="paragraph" w:customStyle="1" w:styleId="Tabletext9pt">
    <w:name w:val="Table text 9 pt"/>
    <w:basedOn w:val="Tabletext"/>
    <w:rsid w:val="00986938"/>
    <w:rPr>
      <w:sz w:val="18"/>
    </w:rPr>
  </w:style>
  <w:style w:type="paragraph" w:customStyle="1" w:styleId="Title16pt">
    <w:name w:val="Title 16 pt"/>
    <w:basedOn w:val="Title"/>
    <w:rsid w:val="00986938"/>
    <w:rPr>
      <w:sz w:val="32"/>
    </w:rPr>
  </w:style>
  <w:style w:type="paragraph" w:customStyle="1" w:styleId="Title16ptleft">
    <w:name w:val="Title 16 pt left"/>
    <w:basedOn w:val="Title16pt"/>
    <w:rsid w:val="00986938"/>
    <w:pPr>
      <w:jc w:val="left"/>
    </w:pPr>
  </w:style>
  <w:style w:type="character" w:styleId="UnresolvedMention">
    <w:name w:val="Unresolved Mention"/>
    <w:basedOn w:val="DefaultParagraphFont"/>
    <w:uiPriority w:val="99"/>
    <w:semiHidden/>
    <w:unhideWhenUsed/>
    <w:rsid w:val="003A5F5F"/>
    <w:rPr>
      <w:color w:val="605E5C"/>
      <w:shd w:val="clear" w:color="auto" w:fill="E1DFDD"/>
    </w:rPr>
  </w:style>
  <w:style w:type="character" w:customStyle="1" w:styleId="HeaderChar">
    <w:name w:val="Header Char"/>
    <w:basedOn w:val="DefaultParagraphFont"/>
    <w:link w:val="Header"/>
    <w:uiPriority w:val="99"/>
    <w:rsid w:val="00DD2F6B"/>
    <w:rPr>
      <w:rFonts w:ascii="Arial" w:hAnsi="Arial"/>
      <w:sz w:val="24"/>
      <w:szCs w:val="24"/>
      <w:lang w:eastAsia="en-US"/>
    </w:rPr>
  </w:style>
  <w:style w:type="character" w:customStyle="1" w:styleId="FooterChar">
    <w:name w:val="Footer Char"/>
    <w:basedOn w:val="DefaultParagraphFont"/>
    <w:link w:val="Footer"/>
    <w:uiPriority w:val="99"/>
    <w:rsid w:val="00DD2F6B"/>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992">
      <w:bodyDiv w:val="1"/>
      <w:marLeft w:val="0"/>
      <w:marRight w:val="0"/>
      <w:marTop w:val="0"/>
      <w:marBottom w:val="0"/>
      <w:divBdr>
        <w:top w:val="none" w:sz="0" w:space="0" w:color="auto"/>
        <w:left w:val="none" w:sz="0" w:space="0" w:color="auto"/>
        <w:bottom w:val="none" w:sz="0" w:space="0" w:color="auto"/>
        <w:right w:val="none" w:sz="0" w:space="0" w:color="auto"/>
      </w:divBdr>
    </w:div>
    <w:div w:id="118113789">
      <w:bodyDiv w:val="1"/>
      <w:marLeft w:val="0"/>
      <w:marRight w:val="0"/>
      <w:marTop w:val="0"/>
      <w:marBottom w:val="0"/>
      <w:divBdr>
        <w:top w:val="none" w:sz="0" w:space="0" w:color="auto"/>
        <w:left w:val="none" w:sz="0" w:space="0" w:color="auto"/>
        <w:bottom w:val="none" w:sz="0" w:space="0" w:color="auto"/>
        <w:right w:val="none" w:sz="0" w:space="0" w:color="auto"/>
      </w:divBdr>
    </w:div>
    <w:div w:id="155151742">
      <w:bodyDiv w:val="1"/>
      <w:marLeft w:val="0"/>
      <w:marRight w:val="0"/>
      <w:marTop w:val="0"/>
      <w:marBottom w:val="0"/>
      <w:divBdr>
        <w:top w:val="none" w:sz="0" w:space="0" w:color="auto"/>
        <w:left w:val="none" w:sz="0" w:space="0" w:color="auto"/>
        <w:bottom w:val="none" w:sz="0" w:space="0" w:color="auto"/>
        <w:right w:val="none" w:sz="0" w:space="0" w:color="auto"/>
      </w:divBdr>
    </w:div>
    <w:div w:id="563639389">
      <w:bodyDiv w:val="1"/>
      <w:marLeft w:val="0"/>
      <w:marRight w:val="0"/>
      <w:marTop w:val="0"/>
      <w:marBottom w:val="0"/>
      <w:divBdr>
        <w:top w:val="none" w:sz="0" w:space="0" w:color="auto"/>
        <w:left w:val="none" w:sz="0" w:space="0" w:color="auto"/>
        <w:bottom w:val="none" w:sz="0" w:space="0" w:color="auto"/>
        <w:right w:val="none" w:sz="0" w:space="0" w:color="auto"/>
      </w:divBdr>
    </w:div>
    <w:div w:id="620065712">
      <w:bodyDiv w:val="1"/>
      <w:marLeft w:val="0"/>
      <w:marRight w:val="0"/>
      <w:marTop w:val="0"/>
      <w:marBottom w:val="0"/>
      <w:divBdr>
        <w:top w:val="none" w:sz="0" w:space="0" w:color="auto"/>
        <w:left w:val="none" w:sz="0" w:space="0" w:color="auto"/>
        <w:bottom w:val="none" w:sz="0" w:space="0" w:color="auto"/>
        <w:right w:val="none" w:sz="0" w:space="0" w:color="auto"/>
      </w:divBdr>
    </w:div>
    <w:div w:id="646592892">
      <w:bodyDiv w:val="1"/>
      <w:marLeft w:val="0"/>
      <w:marRight w:val="0"/>
      <w:marTop w:val="0"/>
      <w:marBottom w:val="0"/>
      <w:divBdr>
        <w:top w:val="none" w:sz="0" w:space="0" w:color="auto"/>
        <w:left w:val="none" w:sz="0" w:space="0" w:color="auto"/>
        <w:bottom w:val="none" w:sz="0" w:space="0" w:color="auto"/>
        <w:right w:val="none" w:sz="0" w:space="0" w:color="auto"/>
      </w:divBdr>
    </w:div>
    <w:div w:id="689836954">
      <w:bodyDiv w:val="1"/>
      <w:marLeft w:val="0"/>
      <w:marRight w:val="0"/>
      <w:marTop w:val="0"/>
      <w:marBottom w:val="0"/>
      <w:divBdr>
        <w:top w:val="none" w:sz="0" w:space="0" w:color="auto"/>
        <w:left w:val="none" w:sz="0" w:space="0" w:color="auto"/>
        <w:bottom w:val="none" w:sz="0" w:space="0" w:color="auto"/>
        <w:right w:val="none" w:sz="0" w:space="0" w:color="auto"/>
      </w:divBdr>
    </w:div>
    <w:div w:id="699403242">
      <w:bodyDiv w:val="1"/>
      <w:marLeft w:val="0"/>
      <w:marRight w:val="0"/>
      <w:marTop w:val="0"/>
      <w:marBottom w:val="0"/>
      <w:divBdr>
        <w:top w:val="none" w:sz="0" w:space="0" w:color="auto"/>
        <w:left w:val="none" w:sz="0" w:space="0" w:color="auto"/>
        <w:bottom w:val="none" w:sz="0" w:space="0" w:color="auto"/>
        <w:right w:val="none" w:sz="0" w:space="0" w:color="auto"/>
      </w:divBdr>
    </w:div>
    <w:div w:id="907612316">
      <w:bodyDiv w:val="1"/>
      <w:marLeft w:val="0"/>
      <w:marRight w:val="0"/>
      <w:marTop w:val="0"/>
      <w:marBottom w:val="0"/>
      <w:divBdr>
        <w:top w:val="none" w:sz="0" w:space="0" w:color="auto"/>
        <w:left w:val="none" w:sz="0" w:space="0" w:color="auto"/>
        <w:bottom w:val="none" w:sz="0" w:space="0" w:color="auto"/>
        <w:right w:val="none" w:sz="0" w:space="0" w:color="auto"/>
      </w:divBdr>
    </w:div>
    <w:div w:id="994527348">
      <w:bodyDiv w:val="1"/>
      <w:marLeft w:val="0"/>
      <w:marRight w:val="0"/>
      <w:marTop w:val="0"/>
      <w:marBottom w:val="0"/>
      <w:divBdr>
        <w:top w:val="none" w:sz="0" w:space="0" w:color="auto"/>
        <w:left w:val="none" w:sz="0" w:space="0" w:color="auto"/>
        <w:bottom w:val="none" w:sz="0" w:space="0" w:color="auto"/>
        <w:right w:val="none" w:sz="0" w:space="0" w:color="auto"/>
      </w:divBdr>
    </w:div>
    <w:div w:id="1034423245">
      <w:bodyDiv w:val="1"/>
      <w:marLeft w:val="0"/>
      <w:marRight w:val="0"/>
      <w:marTop w:val="0"/>
      <w:marBottom w:val="0"/>
      <w:divBdr>
        <w:top w:val="none" w:sz="0" w:space="0" w:color="auto"/>
        <w:left w:val="none" w:sz="0" w:space="0" w:color="auto"/>
        <w:bottom w:val="none" w:sz="0" w:space="0" w:color="auto"/>
        <w:right w:val="none" w:sz="0" w:space="0" w:color="auto"/>
      </w:divBdr>
      <w:divsChild>
        <w:div w:id="60102803">
          <w:marLeft w:val="0"/>
          <w:marRight w:val="0"/>
          <w:marTop w:val="0"/>
          <w:marBottom w:val="0"/>
          <w:divBdr>
            <w:top w:val="none" w:sz="0" w:space="0" w:color="auto"/>
            <w:left w:val="none" w:sz="0" w:space="0" w:color="auto"/>
            <w:bottom w:val="none" w:sz="0" w:space="0" w:color="auto"/>
            <w:right w:val="none" w:sz="0" w:space="0" w:color="auto"/>
          </w:divBdr>
          <w:divsChild>
            <w:div w:id="236330420">
              <w:marLeft w:val="0"/>
              <w:marRight w:val="0"/>
              <w:marTop w:val="0"/>
              <w:marBottom w:val="0"/>
              <w:divBdr>
                <w:top w:val="none" w:sz="0" w:space="0" w:color="auto"/>
                <w:left w:val="none" w:sz="0" w:space="0" w:color="auto"/>
                <w:bottom w:val="none" w:sz="0" w:space="0" w:color="auto"/>
                <w:right w:val="none" w:sz="0" w:space="0" w:color="auto"/>
              </w:divBdr>
              <w:divsChild>
                <w:div w:id="1102841330">
                  <w:marLeft w:val="0"/>
                  <w:marRight w:val="0"/>
                  <w:marTop w:val="0"/>
                  <w:marBottom w:val="0"/>
                  <w:divBdr>
                    <w:top w:val="none" w:sz="0" w:space="0" w:color="auto"/>
                    <w:left w:val="none" w:sz="0" w:space="0" w:color="auto"/>
                    <w:bottom w:val="none" w:sz="0" w:space="0" w:color="auto"/>
                    <w:right w:val="none" w:sz="0" w:space="0" w:color="auto"/>
                  </w:divBdr>
                  <w:divsChild>
                    <w:div w:id="1185948402">
                      <w:marLeft w:val="0"/>
                      <w:marRight w:val="0"/>
                      <w:marTop w:val="0"/>
                      <w:marBottom w:val="0"/>
                      <w:divBdr>
                        <w:top w:val="none" w:sz="0" w:space="0" w:color="auto"/>
                        <w:left w:val="none" w:sz="0" w:space="0" w:color="auto"/>
                        <w:bottom w:val="none" w:sz="0" w:space="0" w:color="auto"/>
                        <w:right w:val="none" w:sz="0" w:space="0" w:color="auto"/>
                      </w:divBdr>
                      <w:divsChild>
                        <w:div w:id="794173707">
                          <w:marLeft w:val="0"/>
                          <w:marRight w:val="0"/>
                          <w:marTop w:val="0"/>
                          <w:marBottom w:val="0"/>
                          <w:divBdr>
                            <w:top w:val="none" w:sz="0" w:space="0" w:color="auto"/>
                            <w:left w:val="none" w:sz="0" w:space="0" w:color="auto"/>
                            <w:bottom w:val="none" w:sz="0" w:space="0" w:color="auto"/>
                            <w:right w:val="none" w:sz="0" w:space="0" w:color="auto"/>
                          </w:divBdr>
                          <w:divsChild>
                            <w:div w:id="1491213719">
                              <w:marLeft w:val="0"/>
                              <w:marRight w:val="0"/>
                              <w:marTop w:val="0"/>
                              <w:marBottom w:val="0"/>
                              <w:divBdr>
                                <w:top w:val="none" w:sz="0" w:space="0" w:color="auto"/>
                                <w:left w:val="none" w:sz="0" w:space="0" w:color="auto"/>
                                <w:bottom w:val="none" w:sz="0" w:space="0" w:color="auto"/>
                                <w:right w:val="none" w:sz="0" w:space="0" w:color="auto"/>
                              </w:divBdr>
                              <w:divsChild>
                                <w:div w:id="1427455386">
                                  <w:marLeft w:val="0"/>
                                  <w:marRight w:val="0"/>
                                  <w:marTop w:val="0"/>
                                  <w:marBottom w:val="0"/>
                                  <w:divBdr>
                                    <w:top w:val="none" w:sz="0" w:space="0" w:color="auto"/>
                                    <w:left w:val="none" w:sz="0" w:space="0" w:color="auto"/>
                                    <w:bottom w:val="none" w:sz="0" w:space="0" w:color="auto"/>
                                    <w:right w:val="none" w:sz="0" w:space="0" w:color="auto"/>
                                  </w:divBdr>
                                  <w:divsChild>
                                    <w:div w:id="1141536438">
                                      <w:marLeft w:val="0"/>
                                      <w:marRight w:val="0"/>
                                      <w:marTop w:val="0"/>
                                      <w:marBottom w:val="0"/>
                                      <w:divBdr>
                                        <w:top w:val="none" w:sz="0" w:space="0" w:color="auto"/>
                                        <w:left w:val="none" w:sz="0" w:space="0" w:color="auto"/>
                                        <w:bottom w:val="none" w:sz="0" w:space="0" w:color="auto"/>
                                        <w:right w:val="none" w:sz="0" w:space="0" w:color="auto"/>
                                      </w:divBdr>
                                      <w:divsChild>
                                        <w:div w:id="74203142">
                                          <w:marLeft w:val="0"/>
                                          <w:marRight w:val="0"/>
                                          <w:marTop w:val="0"/>
                                          <w:marBottom w:val="0"/>
                                          <w:divBdr>
                                            <w:top w:val="none" w:sz="0" w:space="0" w:color="auto"/>
                                            <w:left w:val="none" w:sz="0" w:space="0" w:color="auto"/>
                                            <w:bottom w:val="none" w:sz="0" w:space="0" w:color="auto"/>
                                            <w:right w:val="none" w:sz="0" w:space="0" w:color="auto"/>
                                          </w:divBdr>
                                          <w:divsChild>
                                            <w:div w:id="885069919">
                                              <w:marLeft w:val="0"/>
                                              <w:marRight w:val="0"/>
                                              <w:marTop w:val="0"/>
                                              <w:marBottom w:val="0"/>
                                              <w:divBdr>
                                                <w:top w:val="none" w:sz="0" w:space="0" w:color="auto"/>
                                                <w:left w:val="none" w:sz="0" w:space="0" w:color="auto"/>
                                                <w:bottom w:val="none" w:sz="0" w:space="0" w:color="auto"/>
                                                <w:right w:val="none" w:sz="0" w:space="0" w:color="auto"/>
                                              </w:divBdr>
                                              <w:divsChild>
                                                <w:div w:id="14961911">
                                                  <w:marLeft w:val="0"/>
                                                  <w:marRight w:val="0"/>
                                                  <w:marTop w:val="0"/>
                                                  <w:marBottom w:val="0"/>
                                                  <w:divBdr>
                                                    <w:top w:val="none" w:sz="0" w:space="0" w:color="auto"/>
                                                    <w:left w:val="none" w:sz="0" w:space="0" w:color="auto"/>
                                                    <w:bottom w:val="none" w:sz="0" w:space="0" w:color="auto"/>
                                                    <w:right w:val="none" w:sz="0" w:space="0" w:color="auto"/>
                                                  </w:divBdr>
                                                  <w:divsChild>
                                                    <w:div w:id="4240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491124">
      <w:bodyDiv w:val="1"/>
      <w:marLeft w:val="0"/>
      <w:marRight w:val="0"/>
      <w:marTop w:val="0"/>
      <w:marBottom w:val="0"/>
      <w:divBdr>
        <w:top w:val="none" w:sz="0" w:space="0" w:color="auto"/>
        <w:left w:val="none" w:sz="0" w:space="0" w:color="auto"/>
        <w:bottom w:val="none" w:sz="0" w:space="0" w:color="auto"/>
        <w:right w:val="none" w:sz="0" w:space="0" w:color="auto"/>
      </w:divBdr>
      <w:divsChild>
        <w:div w:id="331302932">
          <w:marLeft w:val="0"/>
          <w:marRight w:val="0"/>
          <w:marTop w:val="0"/>
          <w:marBottom w:val="0"/>
          <w:divBdr>
            <w:top w:val="none" w:sz="0" w:space="0" w:color="auto"/>
            <w:left w:val="none" w:sz="0" w:space="0" w:color="auto"/>
            <w:bottom w:val="none" w:sz="0" w:space="0" w:color="auto"/>
            <w:right w:val="none" w:sz="0" w:space="0" w:color="auto"/>
          </w:divBdr>
          <w:divsChild>
            <w:div w:id="1383362698">
              <w:marLeft w:val="0"/>
              <w:marRight w:val="0"/>
              <w:marTop w:val="0"/>
              <w:marBottom w:val="0"/>
              <w:divBdr>
                <w:top w:val="none" w:sz="0" w:space="0" w:color="auto"/>
                <w:left w:val="none" w:sz="0" w:space="0" w:color="auto"/>
                <w:bottom w:val="none" w:sz="0" w:space="0" w:color="auto"/>
                <w:right w:val="none" w:sz="0" w:space="0" w:color="auto"/>
              </w:divBdr>
              <w:divsChild>
                <w:div w:id="1028212733">
                  <w:marLeft w:val="0"/>
                  <w:marRight w:val="0"/>
                  <w:marTop w:val="0"/>
                  <w:marBottom w:val="0"/>
                  <w:divBdr>
                    <w:top w:val="none" w:sz="0" w:space="0" w:color="auto"/>
                    <w:left w:val="none" w:sz="0" w:space="0" w:color="auto"/>
                    <w:bottom w:val="none" w:sz="0" w:space="0" w:color="auto"/>
                    <w:right w:val="none" w:sz="0" w:space="0" w:color="auto"/>
                  </w:divBdr>
                  <w:divsChild>
                    <w:div w:id="78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40168">
      <w:bodyDiv w:val="1"/>
      <w:marLeft w:val="0"/>
      <w:marRight w:val="0"/>
      <w:marTop w:val="0"/>
      <w:marBottom w:val="0"/>
      <w:divBdr>
        <w:top w:val="none" w:sz="0" w:space="0" w:color="auto"/>
        <w:left w:val="none" w:sz="0" w:space="0" w:color="auto"/>
        <w:bottom w:val="none" w:sz="0" w:space="0" w:color="auto"/>
        <w:right w:val="none" w:sz="0" w:space="0" w:color="auto"/>
      </w:divBdr>
    </w:div>
    <w:div w:id="1167482326">
      <w:bodyDiv w:val="1"/>
      <w:marLeft w:val="0"/>
      <w:marRight w:val="0"/>
      <w:marTop w:val="0"/>
      <w:marBottom w:val="0"/>
      <w:divBdr>
        <w:top w:val="none" w:sz="0" w:space="0" w:color="auto"/>
        <w:left w:val="none" w:sz="0" w:space="0" w:color="auto"/>
        <w:bottom w:val="none" w:sz="0" w:space="0" w:color="auto"/>
        <w:right w:val="none" w:sz="0" w:space="0" w:color="auto"/>
      </w:divBdr>
    </w:div>
    <w:div w:id="1304853729">
      <w:bodyDiv w:val="1"/>
      <w:marLeft w:val="0"/>
      <w:marRight w:val="0"/>
      <w:marTop w:val="0"/>
      <w:marBottom w:val="0"/>
      <w:divBdr>
        <w:top w:val="none" w:sz="0" w:space="0" w:color="auto"/>
        <w:left w:val="none" w:sz="0" w:space="0" w:color="auto"/>
        <w:bottom w:val="none" w:sz="0" w:space="0" w:color="auto"/>
        <w:right w:val="none" w:sz="0" w:space="0" w:color="auto"/>
      </w:divBdr>
      <w:divsChild>
        <w:div w:id="1209877253">
          <w:marLeft w:val="0"/>
          <w:marRight w:val="0"/>
          <w:marTop w:val="360"/>
          <w:marBottom w:val="0"/>
          <w:divBdr>
            <w:top w:val="none" w:sz="0" w:space="0" w:color="auto"/>
            <w:left w:val="none" w:sz="0" w:space="0" w:color="auto"/>
            <w:bottom w:val="none" w:sz="0" w:space="0" w:color="auto"/>
            <w:right w:val="none" w:sz="0" w:space="0" w:color="auto"/>
          </w:divBdr>
          <w:divsChild>
            <w:div w:id="2091612754">
              <w:marLeft w:val="0"/>
              <w:marRight w:val="0"/>
              <w:marTop w:val="360"/>
              <w:marBottom w:val="360"/>
              <w:divBdr>
                <w:top w:val="single" w:sz="6" w:space="9" w:color="DCDCDC"/>
                <w:left w:val="none" w:sz="0" w:space="0" w:color="auto"/>
                <w:bottom w:val="none" w:sz="0" w:space="0" w:color="auto"/>
                <w:right w:val="none" w:sz="0" w:space="0" w:color="auto"/>
              </w:divBdr>
            </w:div>
          </w:divsChild>
        </w:div>
      </w:divsChild>
    </w:div>
    <w:div w:id="1318801103">
      <w:bodyDiv w:val="1"/>
      <w:marLeft w:val="0"/>
      <w:marRight w:val="0"/>
      <w:marTop w:val="0"/>
      <w:marBottom w:val="0"/>
      <w:divBdr>
        <w:top w:val="none" w:sz="0" w:space="0" w:color="auto"/>
        <w:left w:val="none" w:sz="0" w:space="0" w:color="auto"/>
        <w:bottom w:val="none" w:sz="0" w:space="0" w:color="auto"/>
        <w:right w:val="none" w:sz="0" w:space="0" w:color="auto"/>
      </w:divBdr>
      <w:divsChild>
        <w:div w:id="892810079">
          <w:marLeft w:val="0"/>
          <w:marRight w:val="0"/>
          <w:marTop w:val="0"/>
          <w:marBottom w:val="0"/>
          <w:divBdr>
            <w:top w:val="none" w:sz="0" w:space="0" w:color="auto"/>
            <w:left w:val="none" w:sz="0" w:space="0" w:color="auto"/>
            <w:bottom w:val="none" w:sz="0" w:space="0" w:color="auto"/>
            <w:right w:val="none" w:sz="0" w:space="0" w:color="auto"/>
          </w:divBdr>
          <w:divsChild>
            <w:div w:id="792211594">
              <w:marLeft w:val="0"/>
              <w:marRight w:val="0"/>
              <w:marTop w:val="0"/>
              <w:marBottom w:val="0"/>
              <w:divBdr>
                <w:top w:val="none" w:sz="0" w:space="0" w:color="auto"/>
                <w:left w:val="none" w:sz="0" w:space="0" w:color="auto"/>
                <w:bottom w:val="none" w:sz="0" w:space="0" w:color="auto"/>
                <w:right w:val="none" w:sz="0" w:space="0" w:color="auto"/>
              </w:divBdr>
              <w:divsChild>
                <w:div w:id="1709917837">
                  <w:marLeft w:val="0"/>
                  <w:marRight w:val="0"/>
                  <w:marTop w:val="0"/>
                  <w:marBottom w:val="0"/>
                  <w:divBdr>
                    <w:top w:val="none" w:sz="0" w:space="0" w:color="auto"/>
                    <w:left w:val="none" w:sz="0" w:space="0" w:color="auto"/>
                    <w:bottom w:val="none" w:sz="0" w:space="0" w:color="auto"/>
                    <w:right w:val="none" w:sz="0" w:space="0" w:color="auto"/>
                  </w:divBdr>
                  <w:divsChild>
                    <w:div w:id="611203315">
                      <w:marLeft w:val="0"/>
                      <w:marRight w:val="0"/>
                      <w:marTop w:val="0"/>
                      <w:marBottom w:val="0"/>
                      <w:divBdr>
                        <w:top w:val="none" w:sz="0" w:space="0" w:color="auto"/>
                        <w:left w:val="none" w:sz="0" w:space="0" w:color="auto"/>
                        <w:bottom w:val="none" w:sz="0" w:space="0" w:color="auto"/>
                        <w:right w:val="none" w:sz="0" w:space="0" w:color="auto"/>
                      </w:divBdr>
                      <w:divsChild>
                        <w:div w:id="525870997">
                          <w:marLeft w:val="0"/>
                          <w:marRight w:val="0"/>
                          <w:marTop w:val="0"/>
                          <w:marBottom w:val="0"/>
                          <w:divBdr>
                            <w:top w:val="none" w:sz="0" w:space="0" w:color="auto"/>
                            <w:left w:val="none" w:sz="0" w:space="0" w:color="auto"/>
                            <w:bottom w:val="none" w:sz="0" w:space="0" w:color="auto"/>
                            <w:right w:val="none" w:sz="0" w:space="0" w:color="auto"/>
                          </w:divBdr>
                          <w:divsChild>
                            <w:div w:id="16903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296010">
      <w:bodyDiv w:val="1"/>
      <w:marLeft w:val="0"/>
      <w:marRight w:val="0"/>
      <w:marTop w:val="0"/>
      <w:marBottom w:val="0"/>
      <w:divBdr>
        <w:top w:val="none" w:sz="0" w:space="0" w:color="auto"/>
        <w:left w:val="none" w:sz="0" w:space="0" w:color="auto"/>
        <w:bottom w:val="none" w:sz="0" w:space="0" w:color="auto"/>
        <w:right w:val="none" w:sz="0" w:space="0" w:color="auto"/>
      </w:divBdr>
    </w:div>
    <w:div w:id="1476603992">
      <w:bodyDiv w:val="1"/>
      <w:marLeft w:val="0"/>
      <w:marRight w:val="0"/>
      <w:marTop w:val="0"/>
      <w:marBottom w:val="0"/>
      <w:divBdr>
        <w:top w:val="none" w:sz="0" w:space="0" w:color="auto"/>
        <w:left w:val="none" w:sz="0" w:space="0" w:color="auto"/>
        <w:bottom w:val="none" w:sz="0" w:space="0" w:color="auto"/>
        <w:right w:val="none" w:sz="0" w:space="0" w:color="auto"/>
      </w:divBdr>
      <w:divsChild>
        <w:div w:id="359665253">
          <w:marLeft w:val="960"/>
          <w:marRight w:val="0"/>
          <w:marTop w:val="0"/>
          <w:marBottom w:val="0"/>
          <w:divBdr>
            <w:top w:val="none" w:sz="0" w:space="0" w:color="auto"/>
            <w:left w:val="none" w:sz="0" w:space="0" w:color="auto"/>
            <w:bottom w:val="none" w:sz="0" w:space="0" w:color="auto"/>
            <w:right w:val="none" w:sz="0" w:space="0" w:color="auto"/>
          </w:divBdr>
        </w:div>
      </w:divsChild>
    </w:div>
    <w:div w:id="1777021630">
      <w:bodyDiv w:val="1"/>
      <w:marLeft w:val="0"/>
      <w:marRight w:val="0"/>
      <w:marTop w:val="0"/>
      <w:marBottom w:val="0"/>
      <w:divBdr>
        <w:top w:val="none" w:sz="0" w:space="0" w:color="auto"/>
        <w:left w:val="none" w:sz="0" w:space="0" w:color="auto"/>
        <w:bottom w:val="none" w:sz="0" w:space="0" w:color="auto"/>
        <w:right w:val="none" w:sz="0" w:space="0" w:color="auto"/>
      </w:divBdr>
    </w:div>
    <w:div w:id="1812015958">
      <w:bodyDiv w:val="1"/>
      <w:marLeft w:val="0"/>
      <w:marRight w:val="0"/>
      <w:marTop w:val="0"/>
      <w:marBottom w:val="0"/>
      <w:divBdr>
        <w:top w:val="none" w:sz="0" w:space="0" w:color="auto"/>
        <w:left w:val="none" w:sz="0" w:space="0" w:color="auto"/>
        <w:bottom w:val="none" w:sz="0" w:space="0" w:color="auto"/>
        <w:right w:val="none" w:sz="0" w:space="0" w:color="auto"/>
      </w:divBdr>
      <w:divsChild>
        <w:div w:id="1838811947">
          <w:marLeft w:val="0"/>
          <w:marRight w:val="0"/>
          <w:marTop w:val="0"/>
          <w:marBottom w:val="0"/>
          <w:divBdr>
            <w:top w:val="none" w:sz="0" w:space="0" w:color="auto"/>
            <w:left w:val="none" w:sz="0" w:space="0" w:color="auto"/>
            <w:bottom w:val="none" w:sz="0" w:space="0" w:color="auto"/>
            <w:right w:val="none" w:sz="0" w:space="0" w:color="auto"/>
          </w:divBdr>
        </w:div>
      </w:divsChild>
    </w:div>
    <w:div w:id="1971010655">
      <w:bodyDiv w:val="1"/>
      <w:marLeft w:val="0"/>
      <w:marRight w:val="0"/>
      <w:marTop w:val="0"/>
      <w:marBottom w:val="0"/>
      <w:divBdr>
        <w:top w:val="none" w:sz="0" w:space="0" w:color="auto"/>
        <w:left w:val="none" w:sz="0" w:space="0" w:color="auto"/>
        <w:bottom w:val="none" w:sz="0" w:space="0" w:color="auto"/>
        <w:right w:val="none" w:sz="0" w:space="0" w:color="auto"/>
      </w:divBdr>
      <w:divsChild>
        <w:div w:id="1116826935">
          <w:marLeft w:val="0"/>
          <w:marRight w:val="0"/>
          <w:marTop w:val="0"/>
          <w:marBottom w:val="0"/>
          <w:divBdr>
            <w:top w:val="none" w:sz="0" w:space="0" w:color="auto"/>
            <w:left w:val="none" w:sz="0" w:space="0" w:color="auto"/>
            <w:bottom w:val="none" w:sz="0" w:space="0" w:color="auto"/>
            <w:right w:val="none" w:sz="0" w:space="0" w:color="auto"/>
          </w:divBdr>
          <w:divsChild>
            <w:div w:id="750781929">
              <w:marLeft w:val="0"/>
              <w:marRight w:val="0"/>
              <w:marTop w:val="0"/>
              <w:marBottom w:val="0"/>
              <w:divBdr>
                <w:top w:val="none" w:sz="0" w:space="0" w:color="auto"/>
                <w:left w:val="none" w:sz="0" w:space="0" w:color="auto"/>
                <w:bottom w:val="none" w:sz="0" w:space="0" w:color="auto"/>
                <w:right w:val="none" w:sz="0" w:space="0" w:color="auto"/>
              </w:divBdr>
              <w:divsChild>
                <w:div w:id="187454377">
                  <w:marLeft w:val="0"/>
                  <w:marRight w:val="0"/>
                  <w:marTop w:val="0"/>
                  <w:marBottom w:val="0"/>
                  <w:divBdr>
                    <w:top w:val="none" w:sz="0" w:space="0" w:color="auto"/>
                    <w:left w:val="none" w:sz="0" w:space="0" w:color="auto"/>
                    <w:bottom w:val="none" w:sz="0" w:space="0" w:color="auto"/>
                    <w:right w:val="none" w:sz="0" w:space="0" w:color="auto"/>
                  </w:divBdr>
                  <w:divsChild>
                    <w:div w:id="1704017601">
                      <w:marLeft w:val="0"/>
                      <w:marRight w:val="0"/>
                      <w:marTop w:val="0"/>
                      <w:marBottom w:val="0"/>
                      <w:divBdr>
                        <w:top w:val="none" w:sz="0" w:space="0" w:color="auto"/>
                        <w:left w:val="none" w:sz="0" w:space="0" w:color="auto"/>
                        <w:bottom w:val="none" w:sz="0" w:space="0" w:color="auto"/>
                        <w:right w:val="none" w:sz="0" w:space="0" w:color="auto"/>
                      </w:divBdr>
                      <w:divsChild>
                        <w:div w:id="1001006232">
                          <w:marLeft w:val="0"/>
                          <w:marRight w:val="0"/>
                          <w:marTop w:val="0"/>
                          <w:marBottom w:val="0"/>
                          <w:divBdr>
                            <w:top w:val="none" w:sz="0" w:space="0" w:color="auto"/>
                            <w:left w:val="none" w:sz="0" w:space="0" w:color="auto"/>
                            <w:bottom w:val="none" w:sz="0" w:space="0" w:color="auto"/>
                            <w:right w:val="none" w:sz="0" w:space="0" w:color="auto"/>
                          </w:divBdr>
                          <w:divsChild>
                            <w:div w:id="1448742721">
                              <w:marLeft w:val="0"/>
                              <w:marRight w:val="0"/>
                              <w:marTop w:val="0"/>
                              <w:marBottom w:val="0"/>
                              <w:divBdr>
                                <w:top w:val="none" w:sz="0" w:space="0" w:color="auto"/>
                                <w:left w:val="none" w:sz="0" w:space="0" w:color="auto"/>
                                <w:bottom w:val="none" w:sz="0" w:space="0" w:color="auto"/>
                                <w:right w:val="none" w:sz="0" w:space="0" w:color="auto"/>
                              </w:divBdr>
                              <w:divsChild>
                                <w:div w:id="116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129840">
      <w:bodyDiv w:val="1"/>
      <w:marLeft w:val="0"/>
      <w:marRight w:val="0"/>
      <w:marTop w:val="0"/>
      <w:marBottom w:val="0"/>
      <w:divBdr>
        <w:top w:val="none" w:sz="0" w:space="0" w:color="auto"/>
        <w:left w:val="none" w:sz="0" w:space="0" w:color="auto"/>
        <w:bottom w:val="none" w:sz="0" w:space="0" w:color="auto"/>
        <w:right w:val="none" w:sz="0" w:space="0" w:color="auto"/>
      </w:divBdr>
    </w:div>
    <w:div w:id="213162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readysteadygo.net/rsg.html" TargetMode="External"/><Relationship Id="rId18" Type="http://schemas.openxmlformats.org/officeDocument/2006/relationships/hyperlink" Target="https://www.nice.org.uk/guidance/ng43" TargetMode="External"/><Relationship Id="rId26" Type="http://schemas.openxmlformats.org/officeDocument/2006/relationships/hyperlink" Target="https://www.ncepod.org.uk/2023transition.html" TargetMode="External"/><Relationship Id="rId39" Type="http://schemas.openxmlformats.org/officeDocument/2006/relationships/hyperlink" Target="https://www.nice.org.uk/guidance/ng43" TargetMode="External"/><Relationship Id="rId21" Type="http://schemas.openxmlformats.org/officeDocument/2006/relationships/hyperlink" Target="https://www.ncepod.org.uk/2023transition.html" TargetMode="External"/><Relationship Id="rId34" Type="http://schemas.openxmlformats.org/officeDocument/2006/relationships/hyperlink" Target="https://www.readysteadygo.net/rsg.html" TargetMode="External"/><Relationship Id="rId42" Type="http://schemas.openxmlformats.org/officeDocument/2006/relationships/hyperlink" Target="http://www.nice.org.uk/Get-Involved/Meetings-in-public/Quality-Standards-Advisory-Committee"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ice.org.uk/guidance/ng43" TargetMode="External"/><Relationship Id="rId29" Type="http://schemas.openxmlformats.org/officeDocument/2006/relationships/hyperlink" Target="https://www.nice.org.uk/guidance/ng43" TargetMode="External"/><Relationship Id="rId11" Type="http://schemas.openxmlformats.org/officeDocument/2006/relationships/hyperlink" Target="https://www.nice.org.uk/guidance/ng43" TargetMode="External"/><Relationship Id="rId24" Type="http://schemas.openxmlformats.org/officeDocument/2006/relationships/hyperlink" Target="https://www.nice.org.uk/guidance/ng43" TargetMode="External"/><Relationship Id="rId32" Type="http://schemas.openxmlformats.org/officeDocument/2006/relationships/hyperlink" Target="https://www.nice.org.uk/guidance/ng43" TargetMode="External"/><Relationship Id="rId37" Type="http://schemas.openxmlformats.org/officeDocument/2006/relationships/hyperlink" Target="https://www.nice.org.uk/guidance/ng43" TargetMode="External"/><Relationship Id="rId40" Type="http://schemas.openxmlformats.org/officeDocument/2006/relationships/hyperlink" Target="https://www.nice.org.uk/guidance/ng43" TargetMode="External"/><Relationship Id="rId45" Type="http://schemas.openxmlformats.org/officeDocument/2006/relationships/hyperlink" Target="http://www.nice.org.uk/guidance/qs140/documents" TargetMode="External"/><Relationship Id="rId5" Type="http://schemas.openxmlformats.org/officeDocument/2006/relationships/webSettings" Target="webSettings.xml"/><Relationship Id="rId15" Type="http://schemas.openxmlformats.org/officeDocument/2006/relationships/hyperlink" Target="https://www.nice.org.uk/guidance/ng213" TargetMode="External"/><Relationship Id="rId23" Type="http://schemas.openxmlformats.org/officeDocument/2006/relationships/hyperlink" Target="https://www.nice.org.uk/guidance/ng43" TargetMode="External"/><Relationship Id="rId28" Type="http://schemas.openxmlformats.org/officeDocument/2006/relationships/hyperlink" Target="https://www.ncepod.org.uk/2023transition.html" TargetMode="External"/><Relationship Id="rId36" Type="http://schemas.openxmlformats.org/officeDocument/2006/relationships/hyperlink" Target="https://www.nice.org.uk/guidance/ng43" TargetMode="External"/><Relationship Id="rId49" Type="http://schemas.microsoft.com/office/2011/relationships/people" Target="people.xml"/><Relationship Id="rId10" Type="http://schemas.openxmlformats.org/officeDocument/2006/relationships/hyperlink" Target="https://www.nice.org.uk/guidance/ng43" TargetMode="External"/><Relationship Id="rId19" Type="http://schemas.openxmlformats.org/officeDocument/2006/relationships/hyperlink" Target="https://www.nice.org.uk/guidance/ng43" TargetMode="External"/><Relationship Id="rId31" Type="http://schemas.openxmlformats.org/officeDocument/2006/relationships/hyperlink" Target="https://www.nice.org.uk/guidance/ng213" TargetMode="External"/><Relationship Id="rId44" Type="http://schemas.openxmlformats.org/officeDocument/2006/relationships/hyperlink" Target="http://www.nice.org.uk/guidance/qs140/resources" TargetMode="External"/><Relationship Id="rId4" Type="http://schemas.openxmlformats.org/officeDocument/2006/relationships/settings" Target="settings.xml"/><Relationship Id="rId9" Type="http://schemas.openxmlformats.org/officeDocument/2006/relationships/hyperlink" Target="https://www.ncepod.org.uk/2023transition.html" TargetMode="External"/><Relationship Id="rId14" Type="http://schemas.openxmlformats.org/officeDocument/2006/relationships/hyperlink" Target="https://www.ncepod.org.uk/2023transition.html" TargetMode="External"/><Relationship Id="rId22" Type="http://schemas.openxmlformats.org/officeDocument/2006/relationships/hyperlink" Target="https://www.nice.org.uk/guidance/ng43" TargetMode="External"/><Relationship Id="rId27" Type="http://schemas.openxmlformats.org/officeDocument/2006/relationships/hyperlink" Target="https://www.readysteadygo.net/rsg.html" TargetMode="External"/><Relationship Id="rId30" Type="http://schemas.openxmlformats.org/officeDocument/2006/relationships/hyperlink" Target="https://www.nice.org.uk/guidance/ng43" TargetMode="External"/><Relationship Id="rId35" Type="http://schemas.openxmlformats.org/officeDocument/2006/relationships/hyperlink" Target="https://www.ncepod.org.uk/2023transition.html" TargetMode="External"/><Relationship Id="rId43" Type="http://schemas.openxmlformats.org/officeDocument/2006/relationships/hyperlink" Target="https://www.nice.org.uk/guidance/qs140/documents" TargetMode="External"/><Relationship Id="rId48" Type="http://schemas.openxmlformats.org/officeDocument/2006/relationships/fontTable" Target="fontTable.xml"/><Relationship Id="rId8" Type="http://schemas.openxmlformats.org/officeDocument/2006/relationships/hyperlink" Target="https://www.readysteadygo.net/rsg.html" TargetMode="External"/><Relationship Id="rId3" Type="http://schemas.openxmlformats.org/officeDocument/2006/relationships/styles" Target="styles.xml"/><Relationship Id="rId12" Type="http://schemas.openxmlformats.org/officeDocument/2006/relationships/hyperlink" Target="https://www.ncepod.org.uk/2023transition.html" TargetMode="External"/><Relationship Id="rId17" Type="http://schemas.openxmlformats.org/officeDocument/2006/relationships/hyperlink" Target="https://www.nice.org.uk/guidance/ng213" TargetMode="External"/><Relationship Id="rId25" Type="http://schemas.openxmlformats.org/officeDocument/2006/relationships/hyperlink" Target="https://www.nice.org.uk/guidance/ng43" TargetMode="External"/><Relationship Id="rId33" Type="http://schemas.openxmlformats.org/officeDocument/2006/relationships/hyperlink" Target="https://www.ncepod.org.uk/2023transition.html" TargetMode="External"/><Relationship Id="rId38" Type="http://schemas.openxmlformats.org/officeDocument/2006/relationships/hyperlink" Target="https://www.nice.org.uk/guidance/ng43" TargetMode="External"/><Relationship Id="rId46" Type="http://schemas.openxmlformats.org/officeDocument/2006/relationships/footer" Target="footer1.xml"/><Relationship Id="rId20" Type="http://schemas.openxmlformats.org/officeDocument/2006/relationships/hyperlink" Target="https://www.readysteadygo.net/rsg.html" TargetMode="External"/><Relationship Id="rId41" Type="http://schemas.openxmlformats.org/officeDocument/2006/relationships/hyperlink" Target="https://www.nice.org.uk/standards-and-indicators/timeline-developing-quality-standard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BE374-6BCF-4F52-8932-CD1DF0B5C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8131</Words>
  <Characters>48549</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56567</CharactersWithSpaces>
  <SharedDoc>false</SharedDoc>
  <HLinks>
    <vt:vector size="222" baseType="variant">
      <vt:variant>
        <vt:i4>6160441</vt:i4>
      </vt:variant>
      <vt:variant>
        <vt:i4>327</vt:i4>
      </vt:variant>
      <vt:variant>
        <vt:i4>0</vt:i4>
      </vt:variant>
      <vt:variant>
        <vt:i4>5</vt:i4>
      </vt:variant>
      <vt:variant>
        <vt:lpwstr>mailto:nice@nice.org.uk</vt:lpwstr>
      </vt:variant>
      <vt:variant>
        <vt:lpwstr/>
      </vt:variant>
      <vt:variant>
        <vt:i4>4128801</vt:i4>
      </vt:variant>
      <vt:variant>
        <vt:i4>324</vt:i4>
      </vt:variant>
      <vt:variant>
        <vt:i4>0</vt:i4>
      </vt:variant>
      <vt:variant>
        <vt:i4>5</vt:i4>
      </vt:variant>
      <vt:variant>
        <vt:lpwstr>http://www.nice.org.uk/</vt:lpwstr>
      </vt:variant>
      <vt:variant>
        <vt:lpwstr/>
      </vt:variant>
      <vt:variant>
        <vt:i4>5242946</vt:i4>
      </vt:variant>
      <vt:variant>
        <vt:i4>318</vt:i4>
      </vt:variant>
      <vt:variant>
        <vt:i4>0</vt:i4>
      </vt:variant>
      <vt:variant>
        <vt:i4>5</vt:i4>
      </vt:variant>
      <vt:variant>
        <vt:lpwstr>http://www.nice.org.uk/guidance/qualitystandards/moreinfoaboutnicequalitystandards.jsp?domedia=1&amp;mid=B14F5DF6-D9AA-9220-8A53755D4D1EFDE4</vt:lpwstr>
      </vt:variant>
      <vt:variant>
        <vt:lpwstr/>
      </vt:variant>
      <vt:variant>
        <vt:i4>2359343</vt:i4>
      </vt:variant>
      <vt:variant>
        <vt:i4>315</vt:i4>
      </vt:variant>
      <vt:variant>
        <vt:i4>0</vt:i4>
      </vt:variant>
      <vt:variant>
        <vt:i4>5</vt:i4>
      </vt:variant>
      <vt:variant>
        <vt:lpwstr>http://www.nice.org.uk/guidance/qualitystandards/QualityStandardsAdvisoryCommittees.jsp</vt:lpwstr>
      </vt:variant>
      <vt:variant>
        <vt:lpwstr/>
      </vt:variant>
      <vt:variant>
        <vt:i4>1376266</vt:i4>
      </vt:variant>
      <vt:variant>
        <vt:i4>303</vt:i4>
      </vt:variant>
      <vt:variant>
        <vt:i4>0</vt:i4>
      </vt:variant>
      <vt:variant>
        <vt:i4>5</vt:i4>
      </vt:variant>
      <vt:variant>
        <vt:lpwstr>http://www.nice.org.uk/guidance/qualitystandards/QualityStandardsLibrary.jsp</vt:lpwstr>
      </vt:variant>
      <vt:variant>
        <vt:lpwstr/>
      </vt:variant>
      <vt:variant>
        <vt:i4>720966</vt:i4>
      </vt:variant>
      <vt:variant>
        <vt:i4>288</vt:i4>
      </vt:variant>
      <vt:variant>
        <vt:i4>0</vt:i4>
      </vt:variant>
      <vt:variant>
        <vt:i4>5</vt:i4>
      </vt:variant>
      <vt:variant>
        <vt:lpwstr>http://www.nice.org.uk/guidance/index.jsp?action=byID&amp;o=13992</vt:lpwstr>
      </vt:variant>
      <vt:variant>
        <vt:lpwstr/>
      </vt:variant>
      <vt:variant>
        <vt:i4>1114183</vt:i4>
      </vt:variant>
      <vt:variant>
        <vt:i4>270</vt:i4>
      </vt:variant>
      <vt:variant>
        <vt:i4>0</vt:i4>
      </vt:variant>
      <vt:variant>
        <vt:i4>5</vt:i4>
      </vt:variant>
      <vt:variant>
        <vt:lpwstr>http://guidance.nice.org.uk/QS15</vt:lpwstr>
      </vt:variant>
      <vt:variant>
        <vt:lpwstr/>
      </vt:variant>
      <vt:variant>
        <vt:i4>2555964</vt:i4>
      </vt:variant>
      <vt:variant>
        <vt:i4>252</vt:i4>
      </vt:variant>
      <vt:variant>
        <vt:i4>0</vt:i4>
      </vt:variant>
      <vt:variant>
        <vt:i4>5</vt:i4>
      </vt:variant>
      <vt:variant>
        <vt:lpwstr>https://mqi.ic.nhs.uk/Default.aspx</vt:lpwstr>
      </vt:variant>
      <vt:variant>
        <vt:lpwstr/>
      </vt:variant>
      <vt:variant>
        <vt:i4>8257655</vt:i4>
      </vt:variant>
      <vt:variant>
        <vt:i4>234</vt:i4>
      </vt:variant>
      <vt:variant>
        <vt:i4>0</vt:i4>
      </vt:variant>
      <vt:variant>
        <vt:i4>5</vt:i4>
      </vt:variant>
      <vt:variant>
        <vt:lpwstr>http://www.rcplondon.ac.uk/resources/concise-guidelines-pharmacological-management-hypertension</vt:lpwstr>
      </vt:variant>
      <vt:variant>
        <vt:lpwstr/>
      </vt:variant>
      <vt:variant>
        <vt:i4>131157</vt:i4>
      </vt:variant>
      <vt:variant>
        <vt:i4>216</vt:i4>
      </vt:variant>
      <vt:variant>
        <vt:i4>0</vt:i4>
      </vt:variant>
      <vt:variant>
        <vt:i4>5</vt:i4>
      </vt:variant>
      <vt:variant>
        <vt:lpwstr>http://guidance.nice.org.uk/CG127</vt:lpwstr>
      </vt:variant>
      <vt:variant>
        <vt:lpwstr/>
      </vt:variant>
      <vt:variant>
        <vt:i4>5242946</vt:i4>
      </vt:variant>
      <vt:variant>
        <vt:i4>213</vt:i4>
      </vt:variant>
      <vt:variant>
        <vt:i4>0</vt:i4>
      </vt:variant>
      <vt:variant>
        <vt:i4>5</vt:i4>
      </vt:variant>
      <vt:variant>
        <vt:lpwstr>http://www.nice.org.uk/guidance/qualitystandards/moreinfoaboutnicequalitystandards.jsp?domedia=1&amp;mid=B14F5DF6-D9AA-9220-8A53755D4D1EFDE4</vt:lpwstr>
      </vt:variant>
      <vt:variant>
        <vt:lpwstr/>
      </vt:variant>
      <vt:variant>
        <vt:i4>262175</vt:i4>
      </vt:variant>
      <vt:variant>
        <vt:i4>210</vt:i4>
      </vt:variant>
      <vt:variant>
        <vt:i4>0</vt:i4>
      </vt:variant>
      <vt:variant>
        <vt:i4>5</vt:i4>
      </vt:variant>
      <vt:variant>
        <vt:lpwstr>http://www.nice.org.uk/guidance/qualitystandards/moreinfoaboutnicequalitystandards.jsp?domedia=1&amp;mid=61B9F800-19B9-E0B5-D4F3DDD067C7B452</vt:lpwstr>
      </vt:variant>
      <vt:variant>
        <vt:lpwstr/>
      </vt:variant>
      <vt:variant>
        <vt:i4>2621566</vt:i4>
      </vt:variant>
      <vt:variant>
        <vt:i4>195</vt:i4>
      </vt:variant>
      <vt:variant>
        <vt:i4>0</vt:i4>
      </vt:variant>
      <vt:variant>
        <vt:i4>5</vt:i4>
      </vt:variant>
      <vt:variant>
        <vt:lpwstr>http://guidance.nice.org.uk/QSD/27/EqualityAnalyses</vt:lpwstr>
      </vt:variant>
      <vt:variant>
        <vt:lpwstr/>
      </vt:variant>
      <vt:variant>
        <vt:i4>3997735</vt:i4>
      </vt:variant>
      <vt:variant>
        <vt:i4>192</vt:i4>
      </vt:variant>
      <vt:variant>
        <vt:i4>0</vt:i4>
      </vt:variant>
      <vt:variant>
        <vt:i4>5</vt:i4>
      </vt:variant>
      <vt:variant>
        <vt:lpwstr>http://guidance.nice.org.uk/QSxx/PublicInfo/pdf/English</vt:lpwstr>
      </vt:variant>
      <vt:variant>
        <vt:lpwstr/>
      </vt:variant>
      <vt:variant>
        <vt:i4>5177415</vt:i4>
      </vt:variant>
      <vt:variant>
        <vt:i4>189</vt:i4>
      </vt:variant>
      <vt:variant>
        <vt:i4>0</vt:i4>
      </vt:variant>
      <vt:variant>
        <vt:i4>5</vt:i4>
      </vt:variant>
      <vt:variant>
        <vt:lpwstr>http://guidance.nice.org.uk/QSXX/CommissionerSupport/pdf/English</vt:lpwstr>
      </vt:variant>
      <vt:variant>
        <vt:lpwstr/>
      </vt:variant>
      <vt:variant>
        <vt:i4>6291575</vt:i4>
      </vt:variant>
      <vt:variant>
        <vt:i4>174</vt:i4>
      </vt:variant>
      <vt:variant>
        <vt:i4>0</vt:i4>
      </vt:variant>
      <vt:variant>
        <vt:i4>5</vt:i4>
      </vt:variant>
      <vt:variant>
        <vt:lpwstr>http://www.nice.org.uk/guidance/qualitystandards/moreinfoaboutnicequalitystandards.jsp</vt:lpwstr>
      </vt:variant>
      <vt:variant>
        <vt:lpwstr/>
      </vt:variant>
      <vt:variant>
        <vt:i4>4259931</vt:i4>
      </vt:variant>
      <vt:variant>
        <vt:i4>171</vt:i4>
      </vt:variant>
      <vt:variant>
        <vt:i4>0</vt:i4>
      </vt:variant>
      <vt:variant>
        <vt:i4>5</vt:i4>
      </vt:variant>
      <vt:variant>
        <vt:lpwstr>http://www.ic.nhs.uk/</vt:lpwstr>
      </vt:variant>
      <vt:variant>
        <vt:lpwstr/>
      </vt:variant>
      <vt:variant>
        <vt:i4>4456532</vt:i4>
      </vt:variant>
      <vt:variant>
        <vt:i4>165</vt:i4>
      </vt:variant>
      <vt:variant>
        <vt:i4>0</vt:i4>
      </vt:variant>
      <vt:variant>
        <vt:i4>5</vt:i4>
      </vt:variant>
      <vt:variant>
        <vt:lpwstr>http://www.nice.org.uk/guidance/qualitystandards/qualitystandards.jsp</vt:lpwstr>
      </vt:variant>
      <vt:variant>
        <vt:lpwstr/>
      </vt:variant>
      <vt:variant>
        <vt:i4>2228272</vt:i4>
      </vt:variant>
      <vt:variant>
        <vt:i4>138</vt:i4>
      </vt:variant>
      <vt:variant>
        <vt:i4>0</vt:i4>
      </vt:variant>
      <vt:variant>
        <vt:i4>5</vt:i4>
      </vt:variant>
      <vt:variant>
        <vt:lpwstr>http://www.cancerscreening.nhs.uk/breastscreen/publications/assessment.html</vt:lpwstr>
      </vt:variant>
      <vt:variant>
        <vt:lpwstr/>
      </vt:variant>
      <vt:variant>
        <vt:i4>4587524</vt:i4>
      </vt:variant>
      <vt:variant>
        <vt:i4>126</vt:i4>
      </vt:variant>
      <vt:variant>
        <vt:i4>0</vt:i4>
      </vt:variant>
      <vt:variant>
        <vt:i4>5</vt:i4>
      </vt:variant>
      <vt:variant>
        <vt:lpwstr>http://publications.nice.org.uk/hypertension-cg127/guidance</vt:lpwstr>
      </vt:variant>
      <vt:variant>
        <vt:lpwstr>choosing-antihypertensive-drug-treatment-2</vt:lpwstr>
      </vt:variant>
      <vt:variant>
        <vt:i4>4653179</vt:i4>
      </vt:variant>
      <vt:variant>
        <vt:i4>123</vt:i4>
      </vt:variant>
      <vt:variant>
        <vt:i4>0</vt:i4>
      </vt:variant>
      <vt:variant>
        <vt:i4>5</vt:i4>
      </vt:variant>
      <vt:variant>
        <vt:lpwstr>http://breakthrough.org.uk/breast_cancer/breast_cancer_facts/publications/index.html</vt:lpwstr>
      </vt:variant>
      <vt:variant>
        <vt:lpwstr/>
      </vt:variant>
      <vt:variant>
        <vt:i4>2293793</vt:i4>
      </vt:variant>
      <vt:variant>
        <vt:i4>108</vt:i4>
      </vt:variant>
      <vt:variant>
        <vt:i4>0</vt:i4>
      </vt:variant>
      <vt:variant>
        <vt:i4>5</vt:i4>
      </vt:variant>
      <vt:variant>
        <vt:lpwstr>http://www.hscic.gov.uk/datacollections/ssatod</vt:lpwstr>
      </vt:variant>
      <vt:variant>
        <vt:lpwstr/>
      </vt:variant>
      <vt:variant>
        <vt:i4>5242963</vt:i4>
      </vt:variant>
      <vt:variant>
        <vt:i4>102</vt:i4>
      </vt:variant>
      <vt:variant>
        <vt:i4>0</vt:i4>
      </vt:variant>
      <vt:variant>
        <vt:i4>5</vt:i4>
      </vt:variant>
      <vt:variant>
        <vt:lpwstr>http://www.cquins.nhs.uk/</vt:lpwstr>
      </vt:variant>
      <vt:variant>
        <vt:lpwstr/>
      </vt:variant>
      <vt:variant>
        <vt:i4>5242963</vt:i4>
      </vt:variant>
      <vt:variant>
        <vt:i4>87</vt:i4>
      </vt:variant>
      <vt:variant>
        <vt:i4>0</vt:i4>
      </vt:variant>
      <vt:variant>
        <vt:i4>5</vt:i4>
      </vt:variant>
      <vt:variant>
        <vt:lpwstr>http://www.cquins.nhs.uk/</vt:lpwstr>
      </vt:variant>
      <vt:variant>
        <vt:lpwstr/>
      </vt:variant>
      <vt:variant>
        <vt:i4>524353</vt:i4>
      </vt:variant>
      <vt:variant>
        <vt:i4>72</vt:i4>
      </vt:variant>
      <vt:variant>
        <vt:i4>0</vt:i4>
      </vt:variant>
      <vt:variant>
        <vt:i4>5</vt:i4>
      </vt:variant>
      <vt:variant>
        <vt:lpwstr>http://publications.nice.org.uk/nice-style-guide-wg1</vt:lpwstr>
      </vt:variant>
      <vt:variant>
        <vt:lpwstr/>
      </vt:variant>
      <vt:variant>
        <vt:i4>3932257</vt:i4>
      </vt:variant>
      <vt:variant>
        <vt:i4>69</vt:i4>
      </vt:variant>
      <vt:variant>
        <vt:i4>0</vt:i4>
      </vt:variant>
      <vt:variant>
        <vt:i4>5</vt:i4>
      </vt:variant>
      <vt:variant>
        <vt:lpwstr>http://publications.nice.org.uk/the-guidelines-manual-pmg6/developing-and-wording-guideline-recommendations</vt:lpwstr>
      </vt:variant>
      <vt:variant>
        <vt:lpwstr>wording-the-guideline-recommendations</vt:lpwstr>
      </vt:variant>
      <vt:variant>
        <vt:i4>3539060</vt:i4>
      </vt:variant>
      <vt:variant>
        <vt:i4>48</vt:i4>
      </vt:variant>
      <vt:variant>
        <vt:i4>0</vt:i4>
      </vt:variant>
      <vt:variant>
        <vt:i4>5</vt:i4>
      </vt:variant>
      <vt:variant>
        <vt:lpwstr>https://publications.nice.org.uk/uploaded-document/breast-cancer-quality-standard-qs12/preview/quality-statement-1-referral</vt:lpwstr>
      </vt:variant>
      <vt:variant>
        <vt:lpwstr/>
      </vt:variant>
      <vt:variant>
        <vt:i4>8192098</vt:i4>
      </vt:variant>
      <vt:variant>
        <vt:i4>45</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42</vt:i4>
      </vt:variant>
      <vt:variant>
        <vt:i4>0</vt:i4>
      </vt:variant>
      <vt:variant>
        <vt:i4>5</vt:i4>
      </vt:variant>
      <vt:variant>
        <vt:lpwstr>https://www.gov.uk/government/publications/nhs-outcomes-framework-2013-to-2014</vt:lpwstr>
      </vt:variant>
      <vt:variant>
        <vt:lpwstr/>
      </vt:variant>
      <vt:variant>
        <vt:i4>4390998</vt:i4>
      </vt:variant>
      <vt:variant>
        <vt:i4>39</vt:i4>
      </vt:variant>
      <vt:variant>
        <vt:i4>0</vt:i4>
      </vt:variant>
      <vt:variant>
        <vt:i4>5</vt:i4>
      </vt:variant>
      <vt:variant>
        <vt:lpwstr>https://www.gov.uk/government/publications/the-adult-social-care-outcomes-framework-2013-to-2014</vt:lpwstr>
      </vt:variant>
      <vt:variant>
        <vt:lpwstr/>
      </vt:variant>
      <vt:variant>
        <vt:i4>7798821</vt:i4>
      </vt:variant>
      <vt:variant>
        <vt:i4>36</vt:i4>
      </vt:variant>
      <vt:variant>
        <vt:i4>0</vt:i4>
      </vt:variant>
      <vt:variant>
        <vt:i4>5</vt:i4>
      </vt:variant>
      <vt:variant>
        <vt:lpwstr>https://www.gov.uk/government/publications/nhs-outcomes-framework-2013-to-2014</vt:lpwstr>
      </vt:variant>
      <vt:variant>
        <vt:lpwstr/>
      </vt:variant>
      <vt:variant>
        <vt:i4>6226039</vt:i4>
      </vt:variant>
      <vt:variant>
        <vt:i4>33</vt:i4>
      </vt:variant>
      <vt:variant>
        <vt:i4>0</vt:i4>
      </vt:variant>
      <vt:variant>
        <vt:i4>5</vt:i4>
      </vt:variant>
      <vt:variant>
        <vt:lpwstr>https://www.gov.uk/government/uploads/system/uploads/attachment_data/file/127177/Improving-outcomes-and-supporting-transparency-part-1A.pdf.pdf</vt:lpwstr>
      </vt:variant>
      <vt:variant>
        <vt:lpwstr/>
      </vt:variant>
      <vt:variant>
        <vt:i4>8192098</vt:i4>
      </vt:variant>
      <vt:variant>
        <vt:i4>30</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27</vt:i4>
      </vt:variant>
      <vt:variant>
        <vt:i4>0</vt:i4>
      </vt:variant>
      <vt:variant>
        <vt:i4>5</vt:i4>
      </vt:variant>
      <vt:variant>
        <vt:lpwstr>https://www.gov.uk/government/publications/nhs-outcomes-framework-2013-to-2014</vt:lpwstr>
      </vt:variant>
      <vt:variant>
        <vt:lpwstr/>
      </vt:variant>
      <vt:variant>
        <vt:i4>4390998</vt:i4>
      </vt:variant>
      <vt:variant>
        <vt:i4>24</vt:i4>
      </vt:variant>
      <vt:variant>
        <vt:i4>0</vt:i4>
      </vt:variant>
      <vt:variant>
        <vt:i4>5</vt:i4>
      </vt:variant>
      <vt:variant>
        <vt:lpwstr>https://www.gov.uk/government/publications/the-adult-social-care-outcomes-framework-2013-to-2014</vt:lpwstr>
      </vt:variant>
      <vt:variant>
        <vt:lpwstr/>
      </vt:variant>
      <vt:variant>
        <vt:i4>7798821</vt:i4>
      </vt:variant>
      <vt:variant>
        <vt:i4>21</vt:i4>
      </vt:variant>
      <vt:variant>
        <vt:i4>0</vt:i4>
      </vt:variant>
      <vt:variant>
        <vt:i4>5</vt:i4>
      </vt:variant>
      <vt:variant>
        <vt:lpwstr>http://www.jointepilepsycouncil.org.uk/resources/publications.html</vt:lpwstr>
      </vt:variant>
      <vt:variant>
        <vt:lpwstr/>
      </vt:variant>
      <vt:variant>
        <vt:i4>3801214</vt:i4>
      </vt:variant>
      <vt:variant>
        <vt:i4>0</vt:i4>
      </vt:variant>
      <vt:variant>
        <vt:i4>0</vt:i4>
      </vt:variant>
      <vt:variant>
        <vt:i4>5</vt:i4>
      </vt:variant>
      <vt:variant>
        <vt:lpwstr>http://intranet.nice.org.uk/NICEAndNicePeople/writingguides.cfm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Nicola Greenway</dc:creator>
  <cp:lastModifiedBy>Jamie Jason</cp:lastModifiedBy>
  <cp:revision>2</cp:revision>
  <cp:lastPrinted>2023-09-19T14:22:00Z</cp:lastPrinted>
  <dcterms:created xsi:type="dcterms:W3CDTF">2023-09-27T11:52:00Z</dcterms:created>
  <dcterms:modified xsi:type="dcterms:W3CDTF">2023-09-27T11:52:00Z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2023-07-07T12:54:07Z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3a4c6a81-3315-4b76-a433-f6ea5fd2e63d</vt:lpwstr>
  </property>
  <property fmtid="{D5CDD505-2E9C-101B-9397-08002B2CF9AE}" pid="8" name="MSIP_Label_c69d85d5-6d9e-4305-a294-1f636ec0f2d6_ContentBits">
    <vt:lpwstr>0</vt:lpwstr>
  </property>
</Properties>
</file>