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4109"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311EF400" w14:textId="77777777" w:rsidR="003C514C" w:rsidRDefault="0009123A" w:rsidP="00DE6F78">
      <w:pPr>
        <w:pStyle w:val="Title"/>
      </w:pPr>
      <w:r w:rsidRPr="00712CAA">
        <w:t>Q</w:t>
      </w:r>
      <w:r>
        <w:t>uality standard</w:t>
      </w:r>
      <w:r w:rsidR="003C514C">
        <w:t>s</w:t>
      </w:r>
    </w:p>
    <w:p w14:paraId="0B83760D" w14:textId="685A2A44" w:rsidR="00DE6F78" w:rsidRPr="00712CAA" w:rsidRDefault="003C514C" w:rsidP="003C514C">
      <w:pPr>
        <w:pStyle w:val="Title"/>
        <w:rPr>
          <w:b w:val="0"/>
          <w:bCs w:val="0"/>
          <w:sz w:val="32"/>
        </w:rPr>
      </w:pPr>
      <w:r>
        <w:t>C</w:t>
      </w:r>
      <w:r w:rsidR="0009123A">
        <w:t>onsultation summary report</w:t>
      </w:r>
      <w:r w:rsidR="004A1476">
        <w:t xml:space="preserve">: </w:t>
      </w:r>
      <w:r w:rsidR="00D64BA9">
        <w:t>ovarian cancer (update)</w:t>
      </w:r>
    </w:p>
    <w:p w14:paraId="55503693" w14:textId="77777777" w:rsidR="00250AB1" w:rsidRPr="005D7591" w:rsidRDefault="00250AB1" w:rsidP="00250AB1">
      <w:pPr>
        <w:pStyle w:val="TOC1"/>
      </w:pPr>
    </w:p>
    <w:p w14:paraId="4D54803A" w14:textId="0AAD8391" w:rsidR="00DE6F78" w:rsidRPr="003C514C" w:rsidRDefault="003C514C" w:rsidP="003C514C">
      <w:pPr>
        <w:pStyle w:val="Paragraph"/>
      </w:pPr>
      <w:r w:rsidRPr="005D7591">
        <w:rPr>
          <w:b/>
          <w:bCs/>
        </w:rPr>
        <w:t>Quality Standards Advisory</w:t>
      </w:r>
      <w:r w:rsidRPr="003C514C">
        <w:rPr>
          <w:rStyle w:val="Addbold"/>
        </w:rPr>
        <w:t xml:space="preserve"> Committee post-consultation meeting:</w:t>
      </w:r>
      <w:r w:rsidRPr="003C514C">
        <w:t xml:space="preserve"> </w:t>
      </w:r>
      <w:r w:rsidR="00D64BA9">
        <w:t>17 October 2024</w:t>
      </w:r>
    </w:p>
    <w:p w14:paraId="3DC8110E" w14:textId="77777777" w:rsidR="00DE6F78" w:rsidRPr="00712CAA" w:rsidRDefault="00DE6F78" w:rsidP="00DE6F78">
      <w:pPr>
        <w:pStyle w:val="Numberedheading1"/>
        <w:numPr>
          <w:ilvl w:val="0"/>
          <w:numId w:val="1"/>
        </w:numPr>
      </w:pPr>
      <w:r w:rsidRPr="00712CAA">
        <w:t>Introduction</w:t>
      </w:r>
    </w:p>
    <w:p w14:paraId="3F4313B6" w14:textId="4EB77F7E" w:rsidR="00DE6F78" w:rsidRDefault="00DE6F78" w:rsidP="00DE6F78">
      <w:pPr>
        <w:pStyle w:val="NICEnormal"/>
      </w:pPr>
      <w:r w:rsidRPr="00712CAA">
        <w:t xml:space="preserve">The draft quality standard for </w:t>
      </w:r>
      <w:r w:rsidR="00D64BA9">
        <w:t>ovarian cancer (update)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D64BA9">
        <w:t>20 August</w:t>
      </w:r>
      <w:r w:rsidRPr="00914EA4">
        <w:t xml:space="preserve"> and </w:t>
      </w:r>
      <w:r w:rsidR="00D64BA9">
        <w:t>18 September 2024</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0B580DDA" w14:textId="6202446F" w:rsidR="001774F4" w:rsidRDefault="00DE6F78" w:rsidP="004A1476">
      <w:pPr>
        <w:pStyle w:val="NICEnormal"/>
        <w:rPr>
          <w:rFonts w:cs="Arial"/>
          <w:b/>
          <w:bCs/>
        </w:rPr>
      </w:pPr>
      <w:r>
        <w:t xml:space="preserve">Comments were received from </w:t>
      </w:r>
      <w:r w:rsidR="00E76D48">
        <w:t>15</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4C182AC7"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562DF22D" w14:textId="7368F6FB"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requests to broaden statements out of scope, requests to include thresholds, targets, large volumes of supporting information, general comments on the role and purpose of </w:t>
      </w:r>
      <w:r w:rsidR="00674028">
        <w:lastRenderedPageBreak/>
        <w:t xml:space="preserve">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w:t>
      </w:r>
      <w:r w:rsidR="00CD6133">
        <w:t xml:space="preserve">the </w:t>
      </w:r>
      <w:r w:rsidR="00D411FB">
        <w:t xml:space="preserve">Appendix. </w:t>
      </w:r>
      <w:r w:rsidR="00EB11E0">
        <w:t xml:space="preserve"> </w:t>
      </w:r>
    </w:p>
    <w:p w14:paraId="3BB0990A" w14:textId="77777777" w:rsidR="001774F4" w:rsidRDefault="001774F4">
      <w:pPr>
        <w:rPr>
          <w:rFonts w:ascii="Arial" w:hAnsi="Arial" w:cs="Arial"/>
          <w:b/>
          <w:bCs/>
          <w:kern w:val="32"/>
          <w:sz w:val="32"/>
        </w:rPr>
      </w:pPr>
      <w:r>
        <w:br w:type="page"/>
      </w:r>
    </w:p>
    <w:p w14:paraId="00EBF5AB" w14:textId="77777777" w:rsidR="00DE6F78" w:rsidRDefault="00DE6F78" w:rsidP="00DE6F78">
      <w:pPr>
        <w:pStyle w:val="Numberedheading1"/>
        <w:numPr>
          <w:ilvl w:val="0"/>
          <w:numId w:val="1"/>
        </w:numPr>
      </w:pPr>
      <w:r>
        <w:lastRenderedPageBreak/>
        <w:t>Questions for consultation</w:t>
      </w:r>
    </w:p>
    <w:p w14:paraId="773C5D36" w14:textId="77777777" w:rsidR="00DE6F78" w:rsidRPr="00BD14E4" w:rsidRDefault="00DE6F78" w:rsidP="00DE6F78">
      <w:pPr>
        <w:pStyle w:val="NICEnormal"/>
      </w:pPr>
      <w:r w:rsidRPr="00BD14E4">
        <w:t xml:space="preserve">Stakeholders were invited to respond to the following general questions: </w:t>
      </w:r>
    </w:p>
    <w:p w14:paraId="61D0D461"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23708B0C" w14:textId="2C34323F"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w:t>
      </w:r>
      <w:r w:rsidR="00F41688">
        <w:t xml:space="preserve">for these to be </w:t>
      </w:r>
      <w:r w:rsidR="009F4BDF" w:rsidRPr="00547205">
        <w:t>put in place?</w:t>
      </w:r>
    </w:p>
    <w:p w14:paraId="2F92FDDD"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4205C121" w14:textId="6A25288B" w:rsidR="00D411FB" w:rsidRDefault="00E964C1" w:rsidP="000229A9">
      <w:pPr>
        <w:pStyle w:val="NICEnormal"/>
        <w:rPr>
          <w:b/>
          <w:bCs/>
        </w:rPr>
      </w:pPr>
      <w:r>
        <w:rPr>
          <w:b/>
          <w:bCs/>
        </w:rPr>
        <w:t>A</w:t>
      </w:r>
      <w:r w:rsidR="00D411FB">
        <w:rPr>
          <w:b/>
          <w:bCs/>
        </w:rPr>
        <w:t xml:space="preserve"> new question on equality and health inequalities was piloted in this consultation:</w:t>
      </w:r>
    </w:p>
    <w:p w14:paraId="671C45EC" w14:textId="748D5989" w:rsidR="00D411FB" w:rsidRPr="00D411FB" w:rsidRDefault="00E964C1" w:rsidP="000229A9">
      <w:pPr>
        <w:pStyle w:val="NICEnormal"/>
        <w:rPr>
          <w:b/>
          <w:bCs/>
        </w:rPr>
      </w:pPr>
      <w:r>
        <w:t xml:space="preserve">4. </w:t>
      </w:r>
      <w:r w:rsidR="00D411FB" w:rsidRPr="00D411FB">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r w:rsidR="00D411FB">
        <w:t xml:space="preserve">. </w:t>
      </w:r>
    </w:p>
    <w:p w14:paraId="3521CB19"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70C11D0D" w14:textId="4DCA00DD" w:rsidR="00D411FB" w:rsidRDefault="00D411FB" w:rsidP="00D411FB">
      <w:pPr>
        <w:pStyle w:val="NICEnormal"/>
      </w:pPr>
      <w:r>
        <w:t>5</w:t>
      </w:r>
      <w:r w:rsidRPr="00D411FB">
        <w:t>. For draft quality statement 3 (panel germline genetic testing): Please state whether data can be collected to support monitoring take-up of panel germline testing by ethnicity.</w:t>
      </w:r>
    </w:p>
    <w:p w14:paraId="0678EF68" w14:textId="5A550F8B" w:rsidR="00D411FB" w:rsidRDefault="00D411FB" w:rsidP="00D411FB">
      <w:pPr>
        <w:pStyle w:val="NICEnormal"/>
      </w:pPr>
      <w:r>
        <w:t xml:space="preserve">6. </w:t>
      </w:r>
      <w:r w:rsidRPr="00D411FB">
        <w:t xml:space="preserve">For draft quality statement 4 (tumour testing (stage 3, 4)): Please state whether data can be collected to support monitoring take-up of tumour testing by ethnicity.   </w:t>
      </w:r>
    </w:p>
    <w:p w14:paraId="5FE8F335" w14:textId="0A31663B" w:rsidR="00D411FB" w:rsidRPr="00D411FB" w:rsidRDefault="00D411FB" w:rsidP="00D411FB">
      <w:pPr>
        <w:pStyle w:val="NICEnormal"/>
      </w:pPr>
      <w:r>
        <w:t xml:space="preserve">7. </w:t>
      </w:r>
      <w:bookmarkStart w:id="1" w:name="_Hlk178602144"/>
      <w:r w:rsidRPr="00D411FB">
        <w:t>For draft quality statement 5 (treatment of high-risk stage 1, stage 2 to 4 (inclusive) ovarian cancer): Please state whether data can be collected to support monitoring the measures by age and comorbidity.</w:t>
      </w:r>
      <w:bookmarkEnd w:id="1"/>
    </w:p>
    <w:p w14:paraId="6AF1DE58" w14:textId="0269DF93" w:rsidR="00D411FB" w:rsidRDefault="00D411FB" w:rsidP="004F0733">
      <w:pPr>
        <w:pStyle w:val="NICEnormal"/>
      </w:pPr>
      <w:r w:rsidRPr="00E964C1">
        <w:lastRenderedPageBreak/>
        <w:t>8.</w:t>
      </w:r>
      <w:r w:rsidR="00E964C1">
        <w:t xml:space="preserve"> </w:t>
      </w:r>
      <w:r w:rsidR="00E964C1" w:rsidRPr="00002266">
        <w:t>Implementing NICE guidelines:</w:t>
      </w:r>
      <w:r w:rsidR="00E964C1">
        <w:t xml:space="preserve"> </w:t>
      </w:r>
      <w:r w:rsidR="00E964C1" w:rsidRPr="00E964C1">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50AB1">
        <w:t xml:space="preserve"> </w:t>
      </w:r>
    </w:p>
    <w:p w14:paraId="02A55326" w14:textId="77777777" w:rsidR="00DE6F78" w:rsidRDefault="00DE6F78" w:rsidP="00DE6F78">
      <w:pPr>
        <w:pStyle w:val="Numberedheading1"/>
        <w:numPr>
          <w:ilvl w:val="0"/>
          <w:numId w:val="1"/>
        </w:numPr>
      </w:pPr>
      <w:r>
        <w:t>General comments</w:t>
      </w:r>
    </w:p>
    <w:p w14:paraId="1B7385B0"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36C13FBB" w14:textId="71A4A9FC" w:rsidR="000C4ACE" w:rsidRDefault="008E469E" w:rsidP="000C4ACE">
      <w:pPr>
        <w:pStyle w:val="Bulletleft1"/>
      </w:pPr>
      <w:r>
        <w:t>Agreement in general with the statements in</w:t>
      </w:r>
      <w:r w:rsidR="004A46F8">
        <w:t xml:space="preserve">cluded </w:t>
      </w:r>
      <w:r w:rsidR="00943BCD">
        <w:t xml:space="preserve">in </w:t>
      </w:r>
      <w:r w:rsidR="00117D2B">
        <w:t>the</w:t>
      </w:r>
      <w:r>
        <w:t xml:space="preserve"> standard</w:t>
      </w:r>
      <w:r w:rsidR="000C4ACE">
        <w:t>.</w:t>
      </w:r>
    </w:p>
    <w:p w14:paraId="4E8FBB72" w14:textId="5C0EFDE8" w:rsidR="00957C2A" w:rsidRDefault="008E469E" w:rsidP="00324A95">
      <w:pPr>
        <w:pStyle w:val="Bulletleft1"/>
      </w:pPr>
      <w:r>
        <w:t xml:space="preserve">Query about use of inclusive language; </w:t>
      </w:r>
      <w:r w:rsidR="00B0138D">
        <w:t xml:space="preserve">suggestion to </w:t>
      </w:r>
      <w:r w:rsidR="00324A95">
        <w:t>includ</w:t>
      </w:r>
      <w:r w:rsidR="00B0138D">
        <w:t>e</w:t>
      </w:r>
      <w:r w:rsidR="00324A95">
        <w:t xml:space="preserve"> ‘women’ </w:t>
      </w:r>
      <w:r w:rsidR="00957C2A">
        <w:t xml:space="preserve">within the </w:t>
      </w:r>
      <w:r w:rsidR="00957C2A" w:rsidRPr="004624D0">
        <w:t xml:space="preserve">statements. </w:t>
      </w:r>
    </w:p>
    <w:p w14:paraId="3B4D4A35" w14:textId="1F24AD65" w:rsidR="006742BF" w:rsidRDefault="006742BF" w:rsidP="00324A95">
      <w:pPr>
        <w:pStyle w:val="Bulletleft1"/>
      </w:pPr>
      <w:r w:rsidRPr="004624D0">
        <w:t>Clarify the staging system to which the standard refers (presumed</w:t>
      </w:r>
      <w:r>
        <w:t xml:space="preserve"> to be FIGO</w:t>
      </w:r>
      <w:r w:rsidRPr="004624D0">
        <w:t>).</w:t>
      </w:r>
    </w:p>
    <w:p w14:paraId="4457B65F" w14:textId="5618F469" w:rsidR="006742BF" w:rsidRPr="004624D0" w:rsidRDefault="006742BF" w:rsidP="003B7B14">
      <w:pPr>
        <w:pStyle w:val="Bulletleft1last"/>
        <w:tabs>
          <w:tab w:val="clear" w:pos="568"/>
          <w:tab w:val="num" w:pos="284"/>
        </w:tabs>
        <w:ind w:left="284"/>
      </w:pPr>
      <w:r>
        <w:t xml:space="preserve">Concern that </w:t>
      </w:r>
      <w:r w:rsidR="006149D8">
        <w:t>statements on genetic testing may not apply in Wales</w:t>
      </w:r>
      <w:r>
        <w:t>.</w:t>
      </w:r>
    </w:p>
    <w:p w14:paraId="17E3AF50" w14:textId="77777777" w:rsidR="00674028" w:rsidRPr="004624D0" w:rsidRDefault="00674028" w:rsidP="00674028">
      <w:pPr>
        <w:pStyle w:val="Heading3"/>
      </w:pPr>
      <w:r w:rsidRPr="004624D0">
        <w:t>Consultation comments on data collection</w:t>
      </w:r>
    </w:p>
    <w:p w14:paraId="6EC42F2D" w14:textId="5D157C2D" w:rsidR="00FE78E1" w:rsidRDefault="00FE78E1" w:rsidP="00BE3582">
      <w:pPr>
        <w:pStyle w:val="Bulletleft1"/>
      </w:pPr>
      <w:r>
        <w:t>Conflicting views:</w:t>
      </w:r>
    </w:p>
    <w:p w14:paraId="278EA36C" w14:textId="03A76866" w:rsidR="00FE78E1" w:rsidRDefault="00FE78E1" w:rsidP="00FE78E1">
      <w:pPr>
        <w:pStyle w:val="Bulletleft1"/>
        <w:numPr>
          <w:ilvl w:val="1"/>
          <w:numId w:val="6"/>
        </w:numPr>
      </w:pPr>
      <w:r>
        <w:t>can be collected</w:t>
      </w:r>
      <w:r w:rsidR="00E53E9F">
        <w:t>, for all statements</w:t>
      </w:r>
      <w:r w:rsidR="00777A88">
        <w:t>,</w:t>
      </w:r>
      <w:r w:rsidR="00E53E9F">
        <w:t xml:space="preserve"> </w:t>
      </w:r>
      <w:r>
        <w:t>from</w:t>
      </w:r>
      <w:r w:rsidR="00E53E9F">
        <w:t xml:space="preserve"> a range of records, including</w:t>
      </w:r>
      <w:r>
        <w:t xml:space="preserve"> patient records</w:t>
      </w:r>
      <w:r w:rsidR="00943BCD">
        <w:t>,</w:t>
      </w:r>
      <w:r>
        <w:t xml:space="preserve"> and records held by hospitals, departments and services</w:t>
      </w:r>
      <w:r w:rsidR="00E53E9F">
        <w:t>.</w:t>
      </w:r>
    </w:p>
    <w:p w14:paraId="51FEBA2D" w14:textId="33BBE8A3" w:rsidR="001D3B03" w:rsidRDefault="0001472D" w:rsidP="00943BCD">
      <w:pPr>
        <w:pStyle w:val="Bulletleft1"/>
        <w:numPr>
          <w:ilvl w:val="1"/>
          <w:numId w:val="6"/>
        </w:numPr>
      </w:pPr>
      <w:r w:rsidRPr="004624D0">
        <w:t>initial resource and service development</w:t>
      </w:r>
      <w:r w:rsidR="00FE78E1">
        <w:t xml:space="preserve"> required</w:t>
      </w:r>
      <w:r w:rsidRPr="004624D0">
        <w:t xml:space="preserve"> to standardise measurement</w:t>
      </w:r>
      <w:r w:rsidR="001D3B03">
        <w:t>.</w:t>
      </w:r>
    </w:p>
    <w:p w14:paraId="4BCF098A" w14:textId="39E8A85F" w:rsidR="00FE78E1" w:rsidRDefault="00FE78E1" w:rsidP="00002266">
      <w:pPr>
        <w:pStyle w:val="Bulletleft1last"/>
        <w:tabs>
          <w:tab w:val="clear" w:pos="568"/>
        </w:tabs>
        <w:ind w:left="284"/>
      </w:pPr>
      <w:r>
        <w:t>Cancer registr</w:t>
      </w:r>
      <w:r w:rsidR="0013514F">
        <w:t>y</w:t>
      </w:r>
      <w:r>
        <w:t xml:space="preserve"> data </w:t>
      </w:r>
      <w:r w:rsidR="0013514F">
        <w:t xml:space="preserve">enables </w:t>
      </w:r>
      <w:r>
        <w:t>incidence and outcomes to be tracked.</w:t>
      </w:r>
    </w:p>
    <w:p w14:paraId="73982BAC" w14:textId="77777777" w:rsidR="00B014B3" w:rsidRDefault="00B014B3" w:rsidP="00B014B3">
      <w:pPr>
        <w:pStyle w:val="Heading3"/>
      </w:pPr>
      <w:r w:rsidRPr="00F56503">
        <w:t xml:space="preserve">Consultation </w:t>
      </w:r>
      <w:r w:rsidRPr="00660F4E">
        <w:t>comments</w:t>
      </w:r>
      <w:r>
        <w:t xml:space="preserve"> on resource impact</w:t>
      </w:r>
    </w:p>
    <w:p w14:paraId="3CD7B8E0" w14:textId="3A200F5B" w:rsidR="00F543E7" w:rsidRDefault="00BE3582" w:rsidP="00F543E7">
      <w:pPr>
        <w:pStyle w:val="Bulletleft1"/>
      </w:pPr>
      <w:r>
        <w:t xml:space="preserve">Stakeholders suggested </w:t>
      </w:r>
      <w:r w:rsidR="00F543E7">
        <w:t xml:space="preserve">additional resources </w:t>
      </w:r>
      <w:r w:rsidR="008F51DE">
        <w:t xml:space="preserve">would be </w:t>
      </w:r>
      <w:r w:rsidR="00F543E7">
        <w:t>needed</w:t>
      </w:r>
      <w:r w:rsidR="00F02C71">
        <w:t xml:space="preserve"> to implement statements</w:t>
      </w:r>
      <w:r>
        <w:t>:</w:t>
      </w:r>
    </w:p>
    <w:p w14:paraId="3483F8D1" w14:textId="3A408C9E" w:rsidR="00223009" w:rsidRDefault="00223009" w:rsidP="00223009">
      <w:pPr>
        <w:pStyle w:val="Bulletleft1"/>
        <w:numPr>
          <w:ilvl w:val="1"/>
          <w:numId w:val="6"/>
        </w:numPr>
      </w:pPr>
      <w:r>
        <w:t>investment in laboratory capabilities and resources for genetic counselling</w:t>
      </w:r>
      <w:r w:rsidR="00B0138D">
        <w:t xml:space="preserve"> </w:t>
      </w:r>
      <w:r w:rsidR="0001689B">
        <w:t xml:space="preserve">and additional staff </w:t>
      </w:r>
      <w:r w:rsidR="00943BCD">
        <w:t>to support increased genetic testing capacity</w:t>
      </w:r>
      <w:r w:rsidR="006149D8">
        <w:t>.</w:t>
      </w:r>
    </w:p>
    <w:p w14:paraId="4B044C0F" w14:textId="10B234F2" w:rsidR="004624D0" w:rsidRDefault="004624D0" w:rsidP="001B7269">
      <w:pPr>
        <w:pStyle w:val="Bulletleft1"/>
        <w:numPr>
          <w:ilvl w:val="1"/>
          <w:numId w:val="6"/>
        </w:numPr>
      </w:pPr>
      <w:r>
        <w:t xml:space="preserve">funding and staffing </w:t>
      </w:r>
      <w:r w:rsidR="00374043">
        <w:t>for</w:t>
      </w:r>
      <w:r>
        <w:t xml:space="preserve"> </w:t>
      </w:r>
      <w:r w:rsidR="00F543E7">
        <w:t>local familial cancer services</w:t>
      </w:r>
      <w:r w:rsidR="00223009">
        <w:t xml:space="preserve">; </w:t>
      </w:r>
      <w:r w:rsidR="00111A53">
        <w:t xml:space="preserve">comment that </w:t>
      </w:r>
      <w:r w:rsidR="00223009">
        <w:t xml:space="preserve">lack of capacity </w:t>
      </w:r>
      <w:r w:rsidR="00111A53">
        <w:t>can</w:t>
      </w:r>
      <w:r w:rsidR="00223009">
        <w:t xml:space="preserve"> prevent regional </w:t>
      </w:r>
      <w:r w:rsidR="00B0138D">
        <w:t xml:space="preserve">clinical </w:t>
      </w:r>
      <w:r w:rsidR="00223009">
        <w:t>genetics services</w:t>
      </w:r>
      <w:r w:rsidR="00CC4A6E">
        <w:t xml:space="preserve"> accept</w:t>
      </w:r>
      <w:r w:rsidR="00B0138D">
        <w:t>ing</w:t>
      </w:r>
      <w:r w:rsidR="00CC4A6E">
        <w:t xml:space="preserve"> referral</w:t>
      </w:r>
      <w:r w:rsidR="00111A53">
        <w:t>s but f</w:t>
      </w:r>
      <w:r w:rsidR="00CC4A6E">
        <w:t>unding and additional specialist nursing time</w:t>
      </w:r>
      <w:r w:rsidR="00111A53">
        <w:t xml:space="preserve"> is</w:t>
      </w:r>
      <w:r w:rsidR="00CC4A6E">
        <w:t xml:space="preserve"> needed for </w:t>
      </w:r>
      <w:r w:rsidR="00223009">
        <w:t>local centres to deliver mainstream testing, counselling</w:t>
      </w:r>
      <w:r w:rsidR="00CC4A6E">
        <w:t>,</w:t>
      </w:r>
      <w:r w:rsidR="00223009">
        <w:t xml:space="preserve"> and surgery</w:t>
      </w:r>
      <w:r w:rsidR="00CC4A6E">
        <w:t xml:space="preserve"> </w:t>
      </w:r>
      <w:r w:rsidR="00111A53">
        <w:t>when activities</w:t>
      </w:r>
      <w:r w:rsidR="00CC4A6E">
        <w:t xml:space="preserve"> </w:t>
      </w:r>
      <w:r w:rsidR="00111A53">
        <w:t xml:space="preserve">are </w:t>
      </w:r>
      <w:r w:rsidR="00B0138D">
        <w:t xml:space="preserve">delegated </w:t>
      </w:r>
      <w:r w:rsidR="00111A53">
        <w:t>from clinical genetics hubs</w:t>
      </w:r>
      <w:r w:rsidR="00CC4A6E">
        <w:t xml:space="preserve">.  </w:t>
      </w:r>
    </w:p>
    <w:p w14:paraId="3E482B94" w14:textId="47B0E468" w:rsidR="00F543E7" w:rsidRDefault="00BE3582" w:rsidP="00F543E7">
      <w:pPr>
        <w:pStyle w:val="Bulletleft1"/>
        <w:numPr>
          <w:ilvl w:val="1"/>
          <w:numId w:val="6"/>
        </w:numPr>
      </w:pPr>
      <w:r>
        <w:t xml:space="preserve">multidisciplinary coordination </w:t>
      </w:r>
      <w:r w:rsidR="00223009">
        <w:t xml:space="preserve">for local services and referral pathways. </w:t>
      </w:r>
    </w:p>
    <w:p w14:paraId="5A636EA9" w14:textId="71C20F48" w:rsidR="00223009" w:rsidRDefault="00CF7D9F" w:rsidP="00374043">
      <w:pPr>
        <w:pStyle w:val="Bulletleft1"/>
      </w:pPr>
      <w:r>
        <w:lastRenderedPageBreak/>
        <w:t>P</w:t>
      </w:r>
      <w:r w:rsidR="001A05BE">
        <w:t>otential for cost savings</w:t>
      </w:r>
      <w:r w:rsidR="009A5189">
        <w:t xml:space="preserve"> </w:t>
      </w:r>
      <w:r w:rsidR="00F02C71">
        <w:t>highlighted</w:t>
      </w:r>
      <w:r w:rsidR="00374043">
        <w:t xml:space="preserve">; </w:t>
      </w:r>
      <w:r w:rsidR="001A05BE">
        <w:t>risk</w:t>
      </w:r>
      <w:r w:rsidR="008F51DE">
        <w:t>-</w:t>
      </w:r>
      <w:r w:rsidR="001A05BE">
        <w:t>reducing surgery</w:t>
      </w:r>
      <w:r w:rsidR="00223009">
        <w:t xml:space="preserve"> and</w:t>
      </w:r>
      <w:r w:rsidR="001A05BE">
        <w:t xml:space="preserve"> genetic testing</w:t>
      </w:r>
      <w:r w:rsidR="00B0138D">
        <w:t xml:space="preserve"> </w:t>
      </w:r>
      <w:r w:rsidR="00F02C71">
        <w:t xml:space="preserve">may </w:t>
      </w:r>
      <w:r w:rsidR="00294BCC">
        <w:t>lead to early intervention</w:t>
      </w:r>
      <w:r w:rsidR="00EC629C">
        <w:t>;</w:t>
      </w:r>
      <w:r w:rsidR="00374043">
        <w:t xml:space="preserve"> </w:t>
      </w:r>
      <w:r w:rsidR="00223009">
        <w:t>standardis</w:t>
      </w:r>
      <w:r w:rsidR="009A5189">
        <w:t>ing</w:t>
      </w:r>
      <w:r w:rsidR="00223009">
        <w:t xml:space="preserve"> pathways </w:t>
      </w:r>
      <w:r w:rsidR="009A5189">
        <w:t>may reduce variability in treatment outcomes</w:t>
      </w:r>
      <w:r w:rsidR="00F70DA7">
        <w:t xml:space="preserve"> and</w:t>
      </w:r>
      <w:r w:rsidR="009A5189">
        <w:t xml:space="preserve"> reduc</w:t>
      </w:r>
      <w:r w:rsidR="00F70DA7">
        <w:t>e</w:t>
      </w:r>
      <w:r w:rsidR="009A5189">
        <w:t xml:space="preserve"> </w:t>
      </w:r>
      <w:r w:rsidR="00111A53">
        <w:t xml:space="preserve">some treatment-related </w:t>
      </w:r>
      <w:r w:rsidR="009A5189">
        <w:t>costs.</w:t>
      </w:r>
    </w:p>
    <w:p w14:paraId="724C79C3" w14:textId="480126A0" w:rsidR="00A80626" w:rsidRDefault="00A80626" w:rsidP="00A80626">
      <w:pPr>
        <w:pStyle w:val="Heading3"/>
      </w:pPr>
      <w:r w:rsidRPr="00F56503">
        <w:t xml:space="preserve">Consultation </w:t>
      </w:r>
      <w:r w:rsidRPr="00660F4E">
        <w:t>comments</w:t>
      </w:r>
      <w:r>
        <w:t xml:space="preserve"> </w:t>
      </w:r>
      <w:r w:rsidR="00452C35">
        <w:t xml:space="preserve">on the </w:t>
      </w:r>
      <w:r w:rsidRPr="00A80626">
        <w:t xml:space="preserve">equality and health inequalities </w:t>
      </w:r>
    </w:p>
    <w:p w14:paraId="5BA38FCF" w14:textId="23D234B1" w:rsidR="0096660C" w:rsidRDefault="00E81551" w:rsidP="0096660C">
      <w:pPr>
        <w:pStyle w:val="Bulletleft1"/>
      </w:pPr>
      <w:r>
        <w:t>A</w:t>
      </w:r>
      <w:r w:rsidR="00033904">
        <w:t>dditional considerations</w:t>
      </w:r>
      <w:r w:rsidR="00182090">
        <w:t xml:space="preserve"> </w:t>
      </w:r>
      <w:r w:rsidR="0096660C">
        <w:t>were raised</w:t>
      </w:r>
      <w:r w:rsidR="006149D8">
        <w:t>,</w:t>
      </w:r>
      <w:r w:rsidR="00C5523B">
        <w:t xml:space="preserve"> and strategies </w:t>
      </w:r>
      <w:r w:rsidR="006149D8">
        <w:t xml:space="preserve">suggested, </w:t>
      </w:r>
      <w:r w:rsidR="00C5523B">
        <w:t>for supporting needs relating to learning disabilit</w:t>
      </w:r>
      <w:r w:rsidR="00354D58">
        <w:t>ies</w:t>
      </w:r>
      <w:r w:rsidR="00C5523B">
        <w:t>,</w:t>
      </w:r>
      <w:r w:rsidR="00C5523B" w:rsidRPr="00EC629C">
        <w:rPr>
          <w:rStyle w:val="CommentReference"/>
          <w:rFonts w:ascii="Times New Roman" w:hAnsi="Times New Roman"/>
        </w:rPr>
        <w:t xml:space="preserve"> </w:t>
      </w:r>
      <w:r w:rsidR="00C5523B">
        <w:t>neurodiversity</w:t>
      </w:r>
      <w:r w:rsidR="00844AD9">
        <w:t xml:space="preserve">, </w:t>
      </w:r>
      <w:r w:rsidR="00C5523B">
        <w:t xml:space="preserve">or both. </w:t>
      </w:r>
    </w:p>
    <w:p w14:paraId="61358F08" w14:textId="043347E9" w:rsidR="00920208" w:rsidRDefault="00C47CC3" w:rsidP="001421F0">
      <w:pPr>
        <w:pStyle w:val="Bulletleft1"/>
      </w:pPr>
      <w:r>
        <w:t xml:space="preserve">The impact of socioeconomic status and deprivation on outcomes </w:t>
      </w:r>
      <w:r w:rsidR="000D77A1">
        <w:t>should</w:t>
      </w:r>
      <w:r w:rsidR="00920208">
        <w:t xml:space="preserve"> be addressed by </w:t>
      </w:r>
      <w:r w:rsidR="00182090">
        <w:t xml:space="preserve">referencing </w:t>
      </w:r>
      <w:r w:rsidR="00920208">
        <w:t xml:space="preserve">specific strategies such as improving access </w:t>
      </w:r>
      <w:r w:rsidR="00EC629C">
        <w:t xml:space="preserve">in deprived areas </w:t>
      </w:r>
      <w:r w:rsidR="00920208">
        <w:t>or reducing costs for patients.</w:t>
      </w:r>
    </w:p>
    <w:p w14:paraId="04494C20" w14:textId="77777777" w:rsidR="00603B68" w:rsidRPr="0096660C" w:rsidRDefault="00603B68" w:rsidP="00603B68">
      <w:pPr>
        <w:pStyle w:val="Heading3"/>
      </w:pPr>
      <w:r w:rsidRPr="0096660C">
        <w:t>Issues for consideration</w:t>
      </w:r>
    </w:p>
    <w:p w14:paraId="0AFA231F" w14:textId="77777777" w:rsidR="00603B68" w:rsidRPr="0096660C" w:rsidRDefault="00603B68" w:rsidP="00603B68">
      <w:pPr>
        <w:pStyle w:val="Heading4"/>
      </w:pPr>
      <w:r w:rsidRPr="0096660C">
        <w:t>For discussion:</w:t>
      </w:r>
    </w:p>
    <w:p w14:paraId="0552A329" w14:textId="24B6AB99" w:rsidR="006742BF" w:rsidRDefault="006742BF" w:rsidP="001421F0">
      <w:pPr>
        <w:pStyle w:val="Bulletleft1"/>
      </w:pPr>
      <w:r>
        <w:t>Can the committee offer any insights as to whether any statements may not ap</w:t>
      </w:r>
      <w:r w:rsidR="00E43EC1">
        <w:t xml:space="preserve">ply in Wales? </w:t>
      </w:r>
    </w:p>
    <w:p w14:paraId="73121815" w14:textId="2E63EF23" w:rsidR="005C54F2" w:rsidRDefault="00214E40" w:rsidP="001421F0">
      <w:pPr>
        <w:pStyle w:val="Bulletleft1"/>
      </w:pPr>
      <w:r>
        <w:t>L</w:t>
      </w:r>
      <w:r w:rsidR="00CA215D">
        <w:t>earning disabilities</w:t>
      </w:r>
      <w:r>
        <w:t>,</w:t>
      </w:r>
      <w:r w:rsidR="00CA215D">
        <w:t xml:space="preserve"> neurodiversity</w:t>
      </w:r>
      <w:r w:rsidR="00844AD9">
        <w:t>, or</w:t>
      </w:r>
      <w:r w:rsidR="00CA215D">
        <w:t xml:space="preserve"> both: what additional</w:t>
      </w:r>
      <w:r w:rsidR="00C47CC3">
        <w:t xml:space="preserve"> </w:t>
      </w:r>
      <w:r w:rsidR="00CA215D">
        <w:t>adjustments</w:t>
      </w:r>
      <w:r>
        <w:t>,</w:t>
      </w:r>
      <w:r w:rsidR="00CA215D">
        <w:t xml:space="preserve"> specific</w:t>
      </w:r>
      <w:r w:rsidR="00C47CC3">
        <w:t xml:space="preserve"> to the statements</w:t>
      </w:r>
      <w:r>
        <w:t>, are required</w:t>
      </w:r>
      <w:r w:rsidR="00C47CC3">
        <w:t xml:space="preserve">? </w:t>
      </w:r>
    </w:p>
    <w:p w14:paraId="6F671D05" w14:textId="6CD95B41" w:rsidR="00F118F9" w:rsidRDefault="00E526D7" w:rsidP="001421F0">
      <w:pPr>
        <w:pStyle w:val="Bulletleft1"/>
      </w:pPr>
      <w:r>
        <w:t xml:space="preserve">Are </w:t>
      </w:r>
      <w:r w:rsidRPr="00E526D7">
        <w:t>suggestions about socio</w:t>
      </w:r>
      <w:r>
        <w:t>-</w:t>
      </w:r>
      <w:r w:rsidRPr="00E526D7">
        <w:t>econ</w:t>
      </w:r>
      <w:r>
        <w:t>omic</w:t>
      </w:r>
      <w:r w:rsidRPr="00E526D7">
        <w:t xml:space="preserve"> status </w:t>
      </w:r>
      <w:r>
        <w:t xml:space="preserve">and deprivation </w:t>
      </w:r>
      <w:r w:rsidRPr="00E526D7">
        <w:t xml:space="preserve">are too general to be addressed in the </w:t>
      </w:r>
      <w:r>
        <w:t>quality standard</w:t>
      </w:r>
      <w:r w:rsidRPr="00E526D7">
        <w:t xml:space="preserve"> or should they be included under any relevant statement</w:t>
      </w:r>
      <w:r>
        <w:t>?</w:t>
      </w:r>
      <w:r w:rsidRPr="00E526D7">
        <w:t xml:space="preserve"> </w:t>
      </w:r>
      <w:r>
        <w:t>I</w:t>
      </w:r>
      <w:r w:rsidRPr="00E526D7">
        <w:t>f so</w:t>
      </w:r>
      <w:r w:rsidR="00002266">
        <w:t>,</w:t>
      </w:r>
      <w:r w:rsidRPr="00E526D7">
        <w:t xml:space="preserve"> is there any evidence as to effective strategies?</w:t>
      </w:r>
    </w:p>
    <w:p w14:paraId="698EC612" w14:textId="77777777" w:rsidR="00F118F9" w:rsidRDefault="00F118F9">
      <w:pPr>
        <w:rPr>
          <w:rFonts w:ascii="Arial" w:hAnsi="Arial"/>
        </w:rPr>
      </w:pPr>
      <w:r>
        <w:br w:type="page"/>
      </w:r>
    </w:p>
    <w:p w14:paraId="394F6A33" w14:textId="4A79F9AA" w:rsidR="00DE6F78" w:rsidRPr="00712CAA" w:rsidRDefault="00DE6F78" w:rsidP="00DE6F78">
      <w:pPr>
        <w:pStyle w:val="Numberedheading1"/>
        <w:numPr>
          <w:ilvl w:val="0"/>
          <w:numId w:val="1"/>
        </w:numPr>
      </w:pPr>
      <w:r>
        <w:lastRenderedPageBreak/>
        <w:t>Summary of consultation feedback by draft statement</w:t>
      </w:r>
    </w:p>
    <w:p w14:paraId="36A9F188" w14:textId="77777777" w:rsidR="00DE6F78" w:rsidRDefault="00DE6F78" w:rsidP="004A1476">
      <w:pPr>
        <w:pStyle w:val="Numberedheading2"/>
      </w:pPr>
      <w:r>
        <w:t>Draft statement 1</w:t>
      </w:r>
    </w:p>
    <w:p w14:paraId="3F2C9F53" w14:textId="77777777" w:rsidR="004C128D" w:rsidRDefault="004C128D" w:rsidP="00DE6F78">
      <w:pPr>
        <w:pStyle w:val="Heading3"/>
        <w:rPr>
          <w:rFonts w:cs="Times New Roman"/>
          <w:b w:val="0"/>
          <w:bCs w:val="0"/>
          <w:sz w:val="24"/>
        </w:rPr>
      </w:pPr>
      <w:r w:rsidRPr="004C128D">
        <w:rPr>
          <w:rFonts w:cs="Times New Roman"/>
          <w:b w:val="0"/>
          <w:bCs w:val="0"/>
          <w:sz w:val="24"/>
        </w:rPr>
        <w:t xml:space="preserve">Adults with a total lifetime risk of 5% or more of developing ovarian cancer have a discussion about risk-reducing surgery. [new 2025]   </w:t>
      </w:r>
    </w:p>
    <w:p w14:paraId="15405655" w14:textId="6D768131" w:rsidR="00DE6F78" w:rsidRDefault="00DE6F78" w:rsidP="00DE6F78">
      <w:pPr>
        <w:pStyle w:val="Heading3"/>
      </w:pPr>
      <w:r w:rsidRPr="00F56503">
        <w:t xml:space="preserve">Consultation </w:t>
      </w:r>
      <w:r w:rsidRPr="00660F4E">
        <w:t>comments</w:t>
      </w:r>
    </w:p>
    <w:p w14:paraId="603CA549" w14:textId="77777777" w:rsidR="00DE6F78" w:rsidRDefault="00DE6F78" w:rsidP="00DE6F78">
      <w:pPr>
        <w:pStyle w:val="NICEnormal"/>
      </w:pPr>
      <w:r>
        <w:t>Stakeholders made the following comments in relation to draft statement 1:</w:t>
      </w:r>
    </w:p>
    <w:p w14:paraId="27DD0A0C" w14:textId="3776EAEA" w:rsidR="00F32354" w:rsidRPr="00660F4E" w:rsidRDefault="00695031" w:rsidP="00BA7388">
      <w:pPr>
        <w:pStyle w:val="NICEnormal"/>
        <w:spacing w:after="0"/>
      </w:pPr>
      <w:r>
        <w:t>Statement</w:t>
      </w:r>
    </w:p>
    <w:p w14:paraId="519DE19A" w14:textId="33EA3E64" w:rsidR="007D3DA6" w:rsidRDefault="00664651" w:rsidP="00F32354">
      <w:pPr>
        <w:pStyle w:val="Bulletleft1"/>
      </w:pPr>
      <w:r>
        <w:t xml:space="preserve">Support for including </w:t>
      </w:r>
      <w:r w:rsidR="007D3DA6">
        <w:t>a statement which would increase awareness of</w:t>
      </w:r>
      <w:r w:rsidR="00214E40">
        <w:t xml:space="preserve"> risk-reducing</w:t>
      </w:r>
      <w:r w:rsidR="007D3DA6">
        <w:t xml:space="preserve"> surgery in this high-risk cohort. </w:t>
      </w:r>
    </w:p>
    <w:p w14:paraId="5A9B1A18" w14:textId="1DFE2460" w:rsidR="00DE01C7" w:rsidRDefault="00214E40" w:rsidP="00214E40">
      <w:pPr>
        <w:pStyle w:val="Bulletleft1"/>
      </w:pPr>
      <w:r>
        <w:t xml:space="preserve">Clarify the population; </w:t>
      </w:r>
      <w:r w:rsidR="00695031">
        <w:t>suggestion to refer to ‘known’ 5% or above risk (based on family history, known genetic mutations)</w:t>
      </w:r>
      <w:r>
        <w:t>,</w:t>
      </w:r>
      <w:r w:rsidR="00695031">
        <w:t xml:space="preserve"> and age limits.</w:t>
      </w:r>
    </w:p>
    <w:p w14:paraId="58AE0B90" w14:textId="77AC8C2D" w:rsidR="00DE01C7" w:rsidRDefault="00214E40" w:rsidP="00DE01C7">
      <w:pPr>
        <w:pStyle w:val="Bulletleft1"/>
      </w:pPr>
      <w:r>
        <w:t xml:space="preserve">Query about whether </w:t>
      </w:r>
      <w:r w:rsidR="00695031">
        <w:t>it</w:t>
      </w:r>
      <w:r>
        <w:t xml:space="preserve"> is</w:t>
      </w:r>
      <w:r w:rsidR="00695031">
        <w:t xml:space="preserve"> </w:t>
      </w:r>
      <w:r w:rsidR="00DE01C7">
        <w:t>appropriate to discuss risk-reducing surgery prior to genetic testing</w:t>
      </w:r>
      <w:r>
        <w:t>.</w:t>
      </w:r>
    </w:p>
    <w:p w14:paraId="22D5E652" w14:textId="0F935381" w:rsidR="00774A9C" w:rsidRDefault="00774A9C" w:rsidP="00F32354">
      <w:pPr>
        <w:pStyle w:val="Bulletleft1"/>
      </w:pPr>
      <w:r>
        <w:t>Opportunity for</w:t>
      </w:r>
      <w:r w:rsidR="00DE01C7">
        <w:t xml:space="preserve"> including</w:t>
      </w:r>
      <w:r>
        <w:t xml:space="preserve"> </w:t>
      </w:r>
      <w:r w:rsidR="000C4785">
        <w:t xml:space="preserve">discussion of lifestyle behaviours (‘Making Every Contact Count’). </w:t>
      </w:r>
    </w:p>
    <w:p w14:paraId="5EA9E1A5" w14:textId="0F12A09A" w:rsidR="004E2144" w:rsidRDefault="00DE01C7" w:rsidP="00F32354">
      <w:pPr>
        <w:pStyle w:val="Bulletleft1"/>
      </w:pPr>
      <w:r>
        <w:t>Suggestion to r</w:t>
      </w:r>
      <w:r w:rsidR="00CF7D9F">
        <w:t>efer</w:t>
      </w:r>
      <w:r w:rsidR="004B1839">
        <w:t xml:space="preserve">ence </w:t>
      </w:r>
      <w:hyperlink r:id="rId8" w:anchor=":~:text=British%20Gynaecological%20Cancer%20Society%20and%20British" w:history="1">
        <w:r w:rsidR="004B1839" w:rsidRPr="00701208">
          <w:rPr>
            <w:rStyle w:val="Hyperlink"/>
          </w:rPr>
          <w:t xml:space="preserve">British Gynaecological </w:t>
        </w:r>
        <w:r w:rsidR="005C54F2">
          <w:rPr>
            <w:rStyle w:val="Hyperlink"/>
          </w:rPr>
          <w:t xml:space="preserve">Cancer </w:t>
        </w:r>
        <w:r w:rsidR="004B1839" w:rsidRPr="00701208">
          <w:rPr>
            <w:rStyle w:val="Hyperlink"/>
          </w:rPr>
          <w:t>Society</w:t>
        </w:r>
        <w:r w:rsidR="00CF7D9F" w:rsidRPr="00701208">
          <w:rPr>
            <w:rStyle w:val="Hyperlink"/>
          </w:rPr>
          <w:t xml:space="preserve"> </w:t>
        </w:r>
        <w:r w:rsidR="004B1839" w:rsidRPr="00701208">
          <w:rPr>
            <w:rStyle w:val="Hyperlink"/>
          </w:rPr>
          <w:t xml:space="preserve">(BGCS, </w:t>
        </w:r>
        <w:r w:rsidR="00214E40">
          <w:rPr>
            <w:rStyle w:val="Hyperlink"/>
          </w:rPr>
          <w:t xml:space="preserve">updated </w:t>
        </w:r>
        <w:r w:rsidR="004B1839" w:rsidRPr="00701208">
          <w:rPr>
            <w:rStyle w:val="Hyperlink"/>
          </w:rPr>
          <w:t>2024)</w:t>
        </w:r>
        <w:r w:rsidR="005C54F2">
          <w:rPr>
            <w:rStyle w:val="Hyperlink"/>
          </w:rPr>
          <w:t>’s</w:t>
        </w:r>
        <w:r w:rsidR="004B1839" w:rsidRPr="00701208">
          <w:rPr>
            <w:rStyle w:val="Hyperlink"/>
          </w:rPr>
          <w:t xml:space="preserve"> </w:t>
        </w:r>
        <w:r w:rsidR="00CF7D9F" w:rsidRPr="00701208">
          <w:rPr>
            <w:rStyle w:val="Hyperlink"/>
          </w:rPr>
          <w:t>guideline</w:t>
        </w:r>
        <w:r w:rsidR="004B1839" w:rsidRPr="00701208">
          <w:rPr>
            <w:rStyle w:val="Hyperlink"/>
          </w:rPr>
          <w:t xml:space="preserve"> on ovarian</w:t>
        </w:r>
        <w:r w:rsidR="004E2144" w:rsidRPr="00701208">
          <w:rPr>
            <w:rStyle w:val="Hyperlink"/>
          </w:rPr>
          <w:t>, tubal and primary peritoneal</w:t>
        </w:r>
        <w:r w:rsidR="004B1839" w:rsidRPr="00701208">
          <w:rPr>
            <w:rStyle w:val="Hyperlink"/>
          </w:rPr>
          <w:t xml:space="preserve"> cancer</w:t>
        </w:r>
      </w:hyperlink>
      <w:r w:rsidR="00CF7D9F">
        <w:t>.</w:t>
      </w:r>
    </w:p>
    <w:p w14:paraId="3D9307DC" w14:textId="54B7ED8F" w:rsidR="006149D8" w:rsidRDefault="006149D8" w:rsidP="006149D8">
      <w:pPr>
        <w:pStyle w:val="Bulletleft1"/>
      </w:pPr>
      <w:r>
        <w:t>Additional training in shared decision making and communication of genetic risk needed.</w:t>
      </w:r>
    </w:p>
    <w:p w14:paraId="4A9AB296" w14:textId="247C5BF2" w:rsidR="00695031" w:rsidRDefault="00E40387" w:rsidP="001421F0">
      <w:pPr>
        <w:pStyle w:val="Bulletleft1last"/>
        <w:tabs>
          <w:tab w:val="clear" w:pos="568"/>
          <w:tab w:val="num" w:pos="284"/>
        </w:tabs>
        <w:ind w:left="284"/>
      </w:pPr>
      <w:r>
        <w:t>S</w:t>
      </w:r>
      <w:r w:rsidR="00DE01C7">
        <w:t>uggestion that opportunistic bilateral salpingo-oophorectomy or salpingectomy is discussed when other abdominal surgery is planned</w:t>
      </w:r>
      <w:r>
        <w:t xml:space="preserve"> in light of current resources</w:t>
      </w:r>
      <w:r w:rsidR="004D60B3">
        <w:t>.</w:t>
      </w:r>
    </w:p>
    <w:p w14:paraId="1489BCE6" w14:textId="0829E74A" w:rsidR="004F0733" w:rsidRPr="00F32354" w:rsidRDefault="004F0733" w:rsidP="004F0733">
      <w:pPr>
        <w:pStyle w:val="Bulletleft1"/>
        <w:numPr>
          <w:ilvl w:val="0"/>
          <w:numId w:val="0"/>
        </w:numPr>
      </w:pPr>
      <w:r w:rsidRPr="00F32354">
        <w:t>Measures</w:t>
      </w:r>
    </w:p>
    <w:p w14:paraId="33B609C3" w14:textId="77FD2910" w:rsidR="00695031" w:rsidRDefault="000D4BAA" w:rsidP="00695031">
      <w:pPr>
        <w:pStyle w:val="Bulletleft1"/>
      </w:pPr>
      <w:r>
        <w:t>Specific</w:t>
      </w:r>
      <w:r w:rsidR="00695031">
        <w:t xml:space="preserve"> issues around constraints of existing systems for data collection:</w:t>
      </w:r>
    </w:p>
    <w:p w14:paraId="050959B7" w14:textId="1ACF6DDB" w:rsidR="00C043F7" w:rsidRDefault="00C043F7" w:rsidP="00695031">
      <w:pPr>
        <w:pStyle w:val="Bulletleft1"/>
        <w:numPr>
          <w:ilvl w:val="1"/>
          <w:numId w:val="6"/>
        </w:numPr>
      </w:pPr>
      <w:r>
        <w:t>resource intensive to identify records documenting 5% lifetime risk and  whether the relevant discussion took place</w:t>
      </w:r>
      <w:r w:rsidR="006742BF">
        <w:t>.</w:t>
      </w:r>
    </w:p>
    <w:p w14:paraId="15497B13" w14:textId="32C3E7D4" w:rsidR="00C043F7" w:rsidRDefault="00C043F7" w:rsidP="000D4BAA">
      <w:pPr>
        <w:pStyle w:val="Bulletleft1"/>
        <w:numPr>
          <w:ilvl w:val="1"/>
          <w:numId w:val="6"/>
        </w:numPr>
      </w:pPr>
      <w:r>
        <w:t xml:space="preserve">services indicated they may </w:t>
      </w:r>
      <w:r w:rsidR="000D4BAA">
        <w:t>be unable</w:t>
      </w:r>
      <w:r w:rsidR="00043564">
        <w:t xml:space="preserve"> </w:t>
      </w:r>
      <w:r>
        <w:t xml:space="preserve">to </w:t>
      </w:r>
      <w:r w:rsidR="000D4BAA">
        <w:t xml:space="preserve">easily </w:t>
      </w:r>
      <w:r>
        <w:t>provide the dat</w:t>
      </w:r>
      <w:r w:rsidR="000D4BAA">
        <w:t>a</w:t>
      </w:r>
      <w:r w:rsidR="0069368C">
        <w:t>.</w:t>
      </w:r>
    </w:p>
    <w:p w14:paraId="382B23DC" w14:textId="3DBF913A" w:rsidR="000E4EDC" w:rsidRPr="003B7B14" w:rsidRDefault="000E4EDC" w:rsidP="003B7B14">
      <w:pPr>
        <w:spacing w:line="360" w:lineRule="auto"/>
        <w:ind w:left="284"/>
        <w:rPr>
          <w:rFonts w:ascii="Arial" w:hAnsi="Arial"/>
        </w:rPr>
      </w:pPr>
    </w:p>
    <w:p w14:paraId="1E4653FA" w14:textId="77777777" w:rsidR="00F26F71" w:rsidRDefault="00F26F71" w:rsidP="00C043F7">
      <w:pPr>
        <w:pStyle w:val="Bulletleft1"/>
      </w:pPr>
      <w:r>
        <w:lastRenderedPageBreak/>
        <w:t>It was suggested that data could be collected through:</w:t>
      </w:r>
    </w:p>
    <w:p w14:paraId="4888D96A" w14:textId="5A45AC31" w:rsidR="00C043F7" w:rsidRPr="00002266" w:rsidRDefault="00E526D7" w:rsidP="00002266">
      <w:pPr>
        <w:pStyle w:val="Bulletleft1"/>
        <w:numPr>
          <w:ilvl w:val="1"/>
          <w:numId w:val="6"/>
        </w:numPr>
      </w:pPr>
      <w:r>
        <w:t>including the cohort on summary care o</w:t>
      </w:r>
      <w:r w:rsidR="00C5523B">
        <w:t>r</w:t>
      </w:r>
      <w:r>
        <w:t xml:space="preserve"> Infoflex records </w:t>
      </w:r>
    </w:p>
    <w:p w14:paraId="13D64321" w14:textId="2405BEEF" w:rsidR="00C043F7" w:rsidRPr="003B7B14" w:rsidRDefault="00F26F71" w:rsidP="004D60B3">
      <w:pPr>
        <w:pStyle w:val="Bulletleft1"/>
        <w:numPr>
          <w:ilvl w:val="1"/>
          <w:numId w:val="6"/>
        </w:numPr>
      </w:pPr>
      <w:r>
        <w:t xml:space="preserve">by adding a </w:t>
      </w:r>
      <w:r w:rsidR="00C043F7">
        <w:t>code to record assessed risk (5%)</w:t>
      </w:r>
      <w:r w:rsidR="004D60B3">
        <w:t>;</w:t>
      </w:r>
      <w:r w:rsidR="00C043F7">
        <w:t xml:space="preserve"> medical letter summarising discussion or medical notes to record the discussion</w:t>
      </w:r>
      <w:r w:rsidR="003B7B14">
        <w:t>.</w:t>
      </w:r>
      <w:r w:rsidR="00C043F7">
        <w:t xml:space="preserve"> </w:t>
      </w:r>
    </w:p>
    <w:p w14:paraId="6C36A399" w14:textId="6A439DF8" w:rsidR="00844AD9" w:rsidRPr="00844AD9" w:rsidRDefault="00844AD9" w:rsidP="003B7B14">
      <w:pPr>
        <w:pStyle w:val="ListParagraph"/>
        <w:numPr>
          <w:ilvl w:val="1"/>
          <w:numId w:val="6"/>
        </w:numPr>
        <w:spacing w:line="360" w:lineRule="auto"/>
        <w:rPr>
          <w:rFonts w:ascii="Arial" w:hAnsi="Arial"/>
        </w:rPr>
      </w:pPr>
      <w:r w:rsidRPr="00844AD9">
        <w:rPr>
          <w:rFonts w:ascii="Arial" w:hAnsi="Arial"/>
        </w:rPr>
        <w:t xml:space="preserve">pathology laboratory information management systems and other related systems </w:t>
      </w:r>
      <w:r>
        <w:rPr>
          <w:rFonts w:ascii="Arial" w:hAnsi="Arial"/>
        </w:rPr>
        <w:t xml:space="preserve">which </w:t>
      </w:r>
      <w:r w:rsidRPr="00844AD9">
        <w:rPr>
          <w:rFonts w:ascii="Arial" w:hAnsi="Arial"/>
        </w:rPr>
        <w:t>can reliably collate data; some trust and laboratory IT systems store the data as non-structured text; additional or new IT systems may be needed.</w:t>
      </w:r>
    </w:p>
    <w:p w14:paraId="7625F0D2" w14:textId="7DF08531" w:rsidR="00C043F7" w:rsidRDefault="00C043F7" w:rsidP="00C043F7">
      <w:pPr>
        <w:pStyle w:val="Bulletleft1"/>
        <w:numPr>
          <w:ilvl w:val="1"/>
          <w:numId w:val="6"/>
        </w:numPr>
      </w:pPr>
      <w:r>
        <w:t>patient records, records from clinical genetics services</w:t>
      </w:r>
      <w:r w:rsidR="0069368C">
        <w:t>,</w:t>
      </w:r>
      <w:r>
        <w:t xml:space="preserve"> and </w:t>
      </w:r>
      <w:r w:rsidR="004D60B3">
        <w:t>MDT</w:t>
      </w:r>
      <w:r>
        <w:t xml:space="preserve"> meetings (for the discussion of risk-reducing surgery).</w:t>
      </w:r>
    </w:p>
    <w:p w14:paraId="3BCAD1DC" w14:textId="0268FC10" w:rsidR="007F2DB2" w:rsidRPr="007F2DB2" w:rsidRDefault="007F2DB2" w:rsidP="001421F0">
      <w:pPr>
        <w:pStyle w:val="Bulletleft1"/>
        <w:numPr>
          <w:ilvl w:val="0"/>
          <w:numId w:val="0"/>
        </w:numPr>
      </w:pPr>
    </w:p>
    <w:p w14:paraId="670EDF58" w14:textId="7A5221C2" w:rsidR="004F0733" w:rsidRPr="00F32354" w:rsidRDefault="004F0733" w:rsidP="004F0733">
      <w:pPr>
        <w:pStyle w:val="Bulletleft1"/>
        <w:numPr>
          <w:ilvl w:val="0"/>
          <w:numId w:val="0"/>
        </w:numPr>
      </w:pPr>
      <w:r w:rsidRPr="00F32354">
        <w:t>Audience descriptors</w:t>
      </w:r>
      <w:r w:rsidR="003D4B09">
        <w:t xml:space="preserve"> – healthcare professionals</w:t>
      </w:r>
    </w:p>
    <w:p w14:paraId="409B1952" w14:textId="3237A243" w:rsidR="004F0733" w:rsidRPr="00F32354" w:rsidRDefault="0056014D" w:rsidP="004025A7">
      <w:pPr>
        <w:pStyle w:val="Bulletleft1last"/>
        <w:ind w:left="284"/>
      </w:pPr>
      <w:r>
        <w:t>Clinical psycholog</w:t>
      </w:r>
      <w:r w:rsidR="00F20765">
        <w:t>ists</w:t>
      </w:r>
      <w:r>
        <w:t xml:space="preserve"> should be included</w:t>
      </w:r>
      <w:r w:rsidR="00851AA6">
        <w:t>.</w:t>
      </w:r>
    </w:p>
    <w:p w14:paraId="7D5D8B50" w14:textId="77777777" w:rsidR="004F0733" w:rsidRPr="00F32354" w:rsidRDefault="004F0733" w:rsidP="004F0733">
      <w:pPr>
        <w:pStyle w:val="Bulletleft1"/>
        <w:numPr>
          <w:ilvl w:val="0"/>
          <w:numId w:val="0"/>
        </w:numPr>
        <w:rPr>
          <w:rFonts w:cs="Arial"/>
        </w:rPr>
      </w:pPr>
      <w:r w:rsidRPr="00F32354">
        <w:rPr>
          <w:rFonts w:cs="Arial"/>
        </w:rPr>
        <w:t>Equality and diversity considerations</w:t>
      </w:r>
    </w:p>
    <w:p w14:paraId="1AECFEC8" w14:textId="591736A0" w:rsidR="005F6680" w:rsidRDefault="005F4B12" w:rsidP="004A4FDA">
      <w:pPr>
        <w:pStyle w:val="Bulletleft1"/>
      </w:pPr>
      <w:r>
        <w:t xml:space="preserve">Generally, there was support for the current </w:t>
      </w:r>
      <w:r w:rsidR="005F6680">
        <w:t>content</w:t>
      </w:r>
      <w:r w:rsidR="00A51273">
        <w:t>.</w:t>
      </w:r>
    </w:p>
    <w:p w14:paraId="41111CE5" w14:textId="1CB811C1" w:rsidR="005F6680" w:rsidRDefault="005F6680" w:rsidP="001421F0">
      <w:pPr>
        <w:pStyle w:val="Bulletleft1"/>
      </w:pPr>
      <w:r>
        <w:t>Suggestions</w:t>
      </w:r>
      <w:r w:rsidR="000D4BAA">
        <w:t xml:space="preserve"> to reference</w:t>
      </w:r>
      <w:r>
        <w:t>:</w:t>
      </w:r>
    </w:p>
    <w:p w14:paraId="7C7BB6BF" w14:textId="78241F14" w:rsidR="004A4FDA" w:rsidRDefault="004A4FDA" w:rsidP="004A4FDA">
      <w:pPr>
        <w:pStyle w:val="Bulletleft1"/>
        <w:numPr>
          <w:ilvl w:val="1"/>
          <w:numId w:val="6"/>
        </w:numPr>
      </w:pPr>
      <w:r>
        <w:t xml:space="preserve">British Sign Language </w:t>
      </w:r>
    </w:p>
    <w:p w14:paraId="29F45DAD" w14:textId="28F085A2" w:rsidR="00DC7829" w:rsidRDefault="007F2DB2" w:rsidP="00151AE9">
      <w:pPr>
        <w:pStyle w:val="Bulletleft1"/>
        <w:numPr>
          <w:ilvl w:val="1"/>
          <w:numId w:val="6"/>
        </w:numPr>
      </w:pPr>
      <w:r>
        <w:t>Easy Read information</w:t>
      </w:r>
    </w:p>
    <w:p w14:paraId="2B04C0AC" w14:textId="0FCEFE04" w:rsidR="00A51273" w:rsidRDefault="00151AE9" w:rsidP="00151AE9">
      <w:pPr>
        <w:pStyle w:val="Bulletleft1"/>
        <w:numPr>
          <w:ilvl w:val="1"/>
          <w:numId w:val="6"/>
        </w:numPr>
      </w:pPr>
      <w:r>
        <w:t xml:space="preserve">potential to work with </w:t>
      </w:r>
      <w:r w:rsidR="004A4FDA">
        <w:t>voluntary, community and social enterprise organisations</w:t>
      </w:r>
      <w:r>
        <w:t xml:space="preserve"> who have </w:t>
      </w:r>
      <w:r w:rsidR="004A4FDA">
        <w:t>buil</w:t>
      </w:r>
      <w:r>
        <w:t>t</w:t>
      </w:r>
      <w:r w:rsidR="004A4FDA">
        <w:t xml:space="preserve"> trust </w:t>
      </w:r>
      <w:r>
        <w:t xml:space="preserve">with </w:t>
      </w:r>
      <w:r w:rsidR="004A4FDA">
        <w:t>vulnerable</w:t>
      </w:r>
      <w:r w:rsidR="004D60B3">
        <w:t xml:space="preserve"> health inclusion</w:t>
      </w:r>
      <w:r w:rsidR="004A4FDA">
        <w:t xml:space="preserve"> groups</w:t>
      </w:r>
      <w:r w:rsidR="00A51273">
        <w:t xml:space="preserve"> </w:t>
      </w:r>
      <w:r w:rsidR="000D4BAA">
        <w:t>to address considerations</w:t>
      </w:r>
      <w:r w:rsidR="001D67FA">
        <w:t xml:space="preserve"> which may impact on genetic testing around</w:t>
      </w:r>
      <w:r w:rsidR="000D4BAA">
        <w:t xml:space="preserve"> </w:t>
      </w:r>
      <w:r w:rsidR="00A51273">
        <w:t>cultural sensitivities</w:t>
      </w:r>
      <w:r w:rsidR="000D4BAA">
        <w:t xml:space="preserve">, </w:t>
      </w:r>
      <w:r w:rsidR="001D67FA">
        <w:t xml:space="preserve">and </w:t>
      </w:r>
      <w:r w:rsidR="007F2DB2">
        <w:t>stigma around gender</w:t>
      </w:r>
      <w:r w:rsidR="000D4BAA">
        <w:t>, help-seeking,</w:t>
      </w:r>
      <w:r w:rsidR="00A51273">
        <w:t xml:space="preserve"> </w:t>
      </w:r>
      <w:r w:rsidR="007F2DB2">
        <w:t>health</w:t>
      </w:r>
      <w:r w:rsidR="004C687B">
        <w:t xml:space="preserve">, </w:t>
      </w:r>
      <w:r w:rsidR="007F2DB2">
        <w:t xml:space="preserve">and distrust of statutory services. </w:t>
      </w:r>
      <w:r w:rsidR="004A4FDA">
        <w:t xml:space="preserve">   </w:t>
      </w:r>
    </w:p>
    <w:p w14:paraId="48FAD383" w14:textId="1F6938E8" w:rsidR="005F4B12" w:rsidRDefault="00851AA6" w:rsidP="005F4B12">
      <w:pPr>
        <w:pStyle w:val="Bulletleft1"/>
      </w:pPr>
      <w:r>
        <w:t>Resource constraints</w:t>
      </w:r>
      <w:r w:rsidR="004C687B">
        <w:t xml:space="preserve"> raised</w:t>
      </w:r>
      <w:r w:rsidR="004D60B3">
        <w:t>,</w:t>
      </w:r>
      <w:r w:rsidR="004C687B">
        <w:t xml:space="preserve"> in relation to</w:t>
      </w:r>
      <w:r w:rsidR="005F4B12">
        <w:t>:</w:t>
      </w:r>
    </w:p>
    <w:p w14:paraId="774DE958" w14:textId="2ADC3799" w:rsidR="00F20765" w:rsidRDefault="00A51273" w:rsidP="001421F0">
      <w:pPr>
        <w:pStyle w:val="Bulletleft1"/>
        <w:numPr>
          <w:ilvl w:val="1"/>
          <w:numId w:val="6"/>
        </w:numPr>
      </w:pPr>
      <w:r>
        <w:t>scope for</w:t>
      </w:r>
      <w:r w:rsidR="005F6680">
        <w:t xml:space="preserve"> </w:t>
      </w:r>
      <w:r>
        <w:t xml:space="preserve">professional organisations to </w:t>
      </w:r>
      <w:r w:rsidR="000D4BAA">
        <w:t>support development</w:t>
      </w:r>
      <w:r w:rsidR="00692A69">
        <w:t xml:space="preserve"> </w:t>
      </w:r>
      <w:r w:rsidR="007F2BF7">
        <w:t xml:space="preserve">of a range of materials in line with the </w:t>
      </w:r>
      <w:hyperlink r:id="rId9" w:history="1">
        <w:r w:rsidR="007F2BF7" w:rsidRPr="00844AD9">
          <w:rPr>
            <w:rStyle w:val="Hyperlink"/>
          </w:rPr>
          <w:t>NHS Accessible Information Standard</w:t>
        </w:r>
      </w:hyperlink>
      <w:r w:rsidR="004D60B3">
        <w:t xml:space="preserve">, but </w:t>
      </w:r>
      <w:r w:rsidR="001421F0">
        <w:t xml:space="preserve">do not have </w:t>
      </w:r>
      <w:r w:rsidR="005F6680">
        <w:t xml:space="preserve">funding </w:t>
      </w:r>
      <w:r w:rsidR="001421F0">
        <w:t>to</w:t>
      </w:r>
      <w:r w:rsidR="001D67FA">
        <w:t xml:space="preserve"> translate </w:t>
      </w:r>
      <w:r w:rsidR="005F4B12">
        <w:t>materials</w:t>
      </w:r>
      <w:r w:rsidR="0069368C">
        <w:t>.</w:t>
      </w:r>
    </w:p>
    <w:p w14:paraId="5B9F47A5" w14:textId="6586DE3A" w:rsidR="00E81551" w:rsidRDefault="005F6680" w:rsidP="00E81551">
      <w:pPr>
        <w:pStyle w:val="Bulletleft1"/>
        <w:numPr>
          <w:ilvl w:val="1"/>
          <w:numId w:val="6"/>
        </w:numPr>
      </w:pPr>
      <w:r>
        <w:t>translators</w:t>
      </w:r>
      <w:r w:rsidR="001421F0">
        <w:t xml:space="preserve"> </w:t>
      </w:r>
      <w:r w:rsidR="007F2BF7">
        <w:t xml:space="preserve">may </w:t>
      </w:r>
      <w:r w:rsidR="001421F0">
        <w:t xml:space="preserve">not </w:t>
      </w:r>
      <w:r w:rsidR="007F2BF7">
        <w:t xml:space="preserve">be </w:t>
      </w:r>
      <w:r w:rsidR="001421F0">
        <w:t xml:space="preserve">available to genetic services for </w:t>
      </w:r>
      <w:r>
        <w:t>translat</w:t>
      </w:r>
      <w:r w:rsidR="001421F0">
        <w:t>ion of</w:t>
      </w:r>
      <w:r>
        <w:t xml:space="preserve"> medical letters</w:t>
      </w:r>
      <w:r w:rsidR="001421F0">
        <w:t>.</w:t>
      </w:r>
    </w:p>
    <w:p w14:paraId="167EFAF3" w14:textId="02083B07" w:rsidR="00E81551" w:rsidRDefault="00E81551" w:rsidP="00E81551">
      <w:pPr>
        <w:pStyle w:val="Bulletleft1"/>
        <w:numPr>
          <w:ilvl w:val="1"/>
          <w:numId w:val="6"/>
        </w:numPr>
      </w:pPr>
      <w:r>
        <w:t xml:space="preserve">funding </w:t>
      </w:r>
      <w:r w:rsidR="001421F0">
        <w:t xml:space="preserve">needed </w:t>
      </w:r>
      <w:r>
        <w:t>for appropriately-skilled face-to-face translators.</w:t>
      </w:r>
    </w:p>
    <w:p w14:paraId="65E8293B" w14:textId="77777777" w:rsidR="00DB11C5" w:rsidRPr="0067426A" w:rsidRDefault="00DB11C5" w:rsidP="005D7E50">
      <w:pPr>
        <w:pStyle w:val="Heading3"/>
      </w:pPr>
      <w:r w:rsidRPr="0067426A">
        <w:lastRenderedPageBreak/>
        <w:t>Issues for consideration</w:t>
      </w:r>
    </w:p>
    <w:p w14:paraId="1682B752" w14:textId="77777777" w:rsidR="00DB11C5" w:rsidRPr="00B413F2" w:rsidRDefault="00DB11C5" w:rsidP="005D7E50">
      <w:pPr>
        <w:pStyle w:val="Heading4"/>
      </w:pPr>
      <w:r w:rsidRPr="00A6218A">
        <w:t>For discussion:</w:t>
      </w:r>
    </w:p>
    <w:p w14:paraId="67828582" w14:textId="45C64C38" w:rsidR="001652DD" w:rsidRDefault="004B1839" w:rsidP="001652DD">
      <w:pPr>
        <w:pStyle w:val="Bulletleft1"/>
      </w:pPr>
      <w:r>
        <w:t>S</w:t>
      </w:r>
      <w:r w:rsidR="0026073D">
        <w:t xml:space="preserve">hould statement and measure wording refer </w:t>
      </w:r>
      <w:r>
        <w:t xml:space="preserve">to </w:t>
      </w:r>
      <w:r w:rsidR="0026073D">
        <w:t>family history</w:t>
      </w:r>
      <w:r w:rsidR="00E82A6F">
        <w:t xml:space="preserve"> and</w:t>
      </w:r>
      <w:r w:rsidR="0026073D">
        <w:t xml:space="preserve"> genetic mutations </w:t>
      </w:r>
      <w:r w:rsidR="00E82A6F">
        <w:t>already being known</w:t>
      </w:r>
      <w:r w:rsidR="001652DD">
        <w:t xml:space="preserve">? </w:t>
      </w:r>
    </w:p>
    <w:p w14:paraId="742CB801" w14:textId="7F75F9E0" w:rsidR="00851AA6" w:rsidRDefault="001652DD" w:rsidP="005D7E50">
      <w:pPr>
        <w:pStyle w:val="Bulletleft1"/>
      </w:pPr>
      <w:r>
        <w:t>Should age thresholds be referenced in statement wording?</w:t>
      </w:r>
    </w:p>
    <w:p w14:paraId="6406E6F6" w14:textId="7993E859" w:rsidR="00774A9C" w:rsidRDefault="00043564" w:rsidP="00774A9C">
      <w:pPr>
        <w:pStyle w:val="Bulletleft1"/>
      </w:pPr>
      <w:r>
        <w:t xml:space="preserve">Where </w:t>
      </w:r>
      <w:r w:rsidR="00E82A6F" w:rsidRPr="00E82A6F">
        <w:t xml:space="preserve">in </w:t>
      </w:r>
      <w:r w:rsidR="0026073D" w:rsidRPr="00E82A6F">
        <w:t>the pathway does discussion take place relative to genetic testing?</w:t>
      </w:r>
    </w:p>
    <w:p w14:paraId="705D75F8" w14:textId="11CF3875" w:rsidR="00774A9C" w:rsidRDefault="001652DD" w:rsidP="00774A9C">
      <w:pPr>
        <w:pStyle w:val="Bulletleft1"/>
      </w:pPr>
      <w:r>
        <w:t>Is advice and information about lifestyle factors (as a risk factor for ovarian cancer) given during</w:t>
      </w:r>
      <w:r w:rsidR="00043564">
        <w:t xml:space="preserve"> discussion</w:t>
      </w:r>
      <w:r>
        <w:t xml:space="preserve">? </w:t>
      </w:r>
    </w:p>
    <w:p w14:paraId="6BCC2833" w14:textId="0BBA01DF" w:rsidR="00F95BF9" w:rsidRDefault="00F95BF9" w:rsidP="00E82A6F">
      <w:pPr>
        <w:pStyle w:val="Bulletleft1"/>
      </w:pPr>
      <w:r>
        <w:t>Can data be collected for this statement?</w:t>
      </w:r>
      <w:r w:rsidR="00B375E5">
        <w:t xml:space="preserve"> </w:t>
      </w:r>
    </w:p>
    <w:p w14:paraId="35B6B4B7" w14:textId="22D8A204" w:rsidR="0026073D" w:rsidRDefault="0026073D" w:rsidP="00E82A6F">
      <w:pPr>
        <w:pStyle w:val="Bulletleft1"/>
      </w:pPr>
      <w:r w:rsidRPr="00E82A6F">
        <w:t>Which healthcare professionals are routinely involved?</w:t>
      </w:r>
    </w:p>
    <w:p w14:paraId="0B29DDBB" w14:textId="3A2D2229" w:rsidR="004C687B" w:rsidRDefault="00A73BC8" w:rsidP="00352BD0">
      <w:pPr>
        <w:pStyle w:val="Bulletleft1"/>
      </w:pPr>
      <w:r>
        <w:t>Are any</w:t>
      </w:r>
      <w:r w:rsidRPr="00A73BC8">
        <w:t xml:space="preserve"> amendments needed to the E&amp;D section?</w:t>
      </w:r>
      <w:r w:rsidR="00EC493B">
        <w:t xml:space="preserve"> W</w:t>
      </w:r>
      <w:r w:rsidR="004C687B">
        <w:t xml:space="preserve">ill lack of translated </w:t>
      </w:r>
      <w:r w:rsidR="00180010">
        <w:t>information</w:t>
      </w:r>
      <w:r w:rsidR="004C687B">
        <w:t xml:space="preserve"> in accessible formats result in </w:t>
      </w:r>
      <w:r w:rsidR="00844AD9">
        <w:t xml:space="preserve">an </w:t>
      </w:r>
      <w:r w:rsidR="004C687B">
        <w:t>inequalit</w:t>
      </w:r>
      <w:r w:rsidR="00844AD9">
        <w:t>y</w:t>
      </w:r>
      <w:r w:rsidR="004C687B">
        <w:t xml:space="preserve"> </w:t>
      </w:r>
      <w:r w:rsidR="00043564">
        <w:t>for</w:t>
      </w:r>
      <w:r w:rsidR="004C687B">
        <w:t xml:space="preserve"> </w:t>
      </w:r>
      <w:r w:rsidR="00180010">
        <w:t>adults with</w:t>
      </w:r>
      <w:r w:rsidR="00043564">
        <w:t xml:space="preserve"> </w:t>
      </w:r>
      <w:r w:rsidR="004C687B">
        <w:t>disabilities</w:t>
      </w:r>
      <w:r w:rsidR="00180010">
        <w:t xml:space="preserve">, learning disabilities, </w:t>
      </w:r>
      <w:r w:rsidR="0069368C">
        <w:t xml:space="preserve">who </w:t>
      </w:r>
      <w:r w:rsidR="00043564">
        <w:t>are</w:t>
      </w:r>
      <w:r w:rsidR="001D67FA">
        <w:t xml:space="preserve"> neurodivers</w:t>
      </w:r>
      <w:r w:rsidR="00043564">
        <w:t>e</w:t>
      </w:r>
      <w:r w:rsidR="0069368C">
        <w:t>,</w:t>
      </w:r>
      <w:r w:rsidR="00180010">
        <w:t xml:space="preserve"> </w:t>
      </w:r>
      <w:r w:rsidR="004C687B">
        <w:t xml:space="preserve">and do not speak or read English? </w:t>
      </w:r>
    </w:p>
    <w:p w14:paraId="59C99945" w14:textId="77777777" w:rsidR="00DB11C5" w:rsidRDefault="00DB11C5" w:rsidP="005D7E50">
      <w:pPr>
        <w:pStyle w:val="Heading4"/>
      </w:pPr>
      <w:r w:rsidRPr="00A65BD8">
        <w:t>For decision:</w:t>
      </w:r>
    </w:p>
    <w:p w14:paraId="5E7C8AA0" w14:textId="49873AEB" w:rsidR="00DB11C5" w:rsidRPr="00201387" w:rsidRDefault="00DB11C5" w:rsidP="005D7E50">
      <w:pPr>
        <w:pStyle w:val="Bulletleft1last"/>
      </w:pPr>
      <w:r w:rsidRPr="00201387">
        <w:t>Should this quality statement remain in the quality standard?</w:t>
      </w:r>
      <w:r w:rsidR="00565924">
        <w:t xml:space="preserve"> If so, what amendments are needed?</w:t>
      </w:r>
    </w:p>
    <w:p w14:paraId="36DF619E" w14:textId="77777777" w:rsidR="004025A7" w:rsidRDefault="004025A7">
      <w:pPr>
        <w:rPr>
          <w:rFonts w:ascii="Arial" w:hAnsi="Arial" w:cs="Arial"/>
          <w:b/>
          <w:bCs/>
          <w:sz w:val="28"/>
          <w:szCs w:val="28"/>
        </w:rPr>
      </w:pPr>
      <w:r>
        <w:br w:type="page"/>
      </w:r>
    </w:p>
    <w:p w14:paraId="6ADEF54A" w14:textId="6BF526D3" w:rsidR="00DE6F78" w:rsidRDefault="00DE6F78" w:rsidP="004A1476">
      <w:pPr>
        <w:pStyle w:val="Numberedheading2"/>
      </w:pPr>
      <w:r>
        <w:lastRenderedPageBreak/>
        <w:t>Draft statement 2</w:t>
      </w:r>
    </w:p>
    <w:p w14:paraId="64C23B38" w14:textId="6B52DB39" w:rsidR="0056014D" w:rsidRDefault="0056014D" w:rsidP="004C128D">
      <w:pPr>
        <w:pStyle w:val="Heading3"/>
        <w:rPr>
          <w:rFonts w:cs="Times New Roman"/>
          <w:b w:val="0"/>
          <w:bCs w:val="0"/>
          <w:sz w:val="24"/>
        </w:rPr>
      </w:pPr>
      <w:r>
        <w:rPr>
          <w:rFonts w:cs="Times New Roman"/>
          <w:b w:val="0"/>
          <w:bCs w:val="0"/>
          <w:sz w:val="24"/>
        </w:rPr>
        <w:t xml:space="preserve">Placeholder statement </w:t>
      </w:r>
      <w:r w:rsidR="00CB641F">
        <w:rPr>
          <w:rFonts w:cs="Times New Roman"/>
          <w:b w:val="0"/>
          <w:bCs w:val="0"/>
          <w:sz w:val="24"/>
        </w:rPr>
        <w:t>on CA125 blood test – age specific thresholds</w:t>
      </w:r>
      <w:r>
        <w:rPr>
          <w:rFonts w:cs="Times New Roman"/>
          <w:b w:val="0"/>
          <w:bCs w:val="0"/>
          <w:sz w:val="24"/>
        </w:rPr>
        <w:t xml:space="preserve">: </w:t>
      </w:r>
      <w:r w:rsidR="00E43734">
        <w:rPr>
          <w:rFonts w:cs="Times New Roman"/>
          <w:b w:val="0"/>
          <w:bCs w:val="0"/>
          <w:sz w:val="24"/>
        </w:rPr>
        <w:t>a</w:t>
      </w:r>
      <w:r w:rsidR="00CB641F">
        <w:rPr>
          <w:rFonts w:cs="Times New Roman"/>
          <w:b w:val="0"/>
          <w:bCs w:val="0"/>
          <w:sz w:val="24"/>
        </w:rPr>
        <w:t xml:space="preserve"> </w:t>
      </w:r>
      <w:r w:rsidRPr="0056014D">
        <w:rPr>
          <w:rFonts w:cs="Times New Roman"/>
          <w:b w:val="0"/>
          <w:bCs w:val="0"/>
          <w:sz w:val="24"/>
        </w:rPr>
        <w:t xml:space="preserve">recent </w:t>
      </w:r>
      <w:hyperlink r:id="rId10" w:history="1">
        <w:r w:rsidRPr="00423286">
          <w:rPr>
            <w:rStyle w:val="Hyperlink"/>
            <w:rFonts w:cs="Times New Roman"/>
            <w:b w:val="0"/>
            <w:bCs w:val="0"/>
            <w:sz w:val="24"/>
          </w:rPr>
          <w:t>review of recommendations on the recognition of suspected ovarian cancer in NICE’s guideline on suspected cancer: recognition and referral</w:t>
        </w:r>
      </w:hyperlink>
      <w:r w:rsidRPr="0056014D">
        <w:rPr>
          <w:rFonts w:cs="Times New Roman"/>
          <w:b w:val="0"/>
          <w:bCs w:val="0"/>
          <w:sz w:val="24"/>
        </w:rPr>
        <w:t xml:space="preserve"> has identified that recommendations on thresholds for referral following CA125 testing should be updated. This placeholder statement will be reviewed following publication of the updated NICE guideline recommendations.</w:t>
      </w:r>
    </w:p>
    <w:p w14:paraId="7944E096" w14:textId="06EA4769" w:rsidR="004C128D" w:rsidRDefault="004C128D" w:rsidP="004C128D">
      <w:pPr>
        <w:pStyle w:val="Heading3"/>
      </w:pPr>
      <w:r w:rsidRPr="00F56503">
        <w:t xml:space="preserve">Consultation </w:t>
      </w:r>
      <w:r w:rsidRPr="00660F4E">
        <w:t>comments</w:t>
      </w:r>
    </w:p>
    <w:p w14:paraId="6268DDB1" w14:textId="2947FCDA" w:rsidR="004C128D" w:rsidRDefault="004C128D" w:rsidP="004C128D">
      <w:pPr>
        <w:pStyle w:val="NICEnormal"/>
      </w:pPr>
      <w:r>
        <w:t xml:space="preserve">Stakeholders made the following comments in relation to draft statement </w:t>
      </w:r>
      <w:r w:rsidR="00CB641F">
        <w:t>2</w:t>
      </w:r>
      <w:r>
        <w:t>:</w:t>
      </w:r>
    </w:p>
    <w:p w14:paraId="535094B4" w14:textId="1AC4C2EE" w:rsidR="004B08E5" w:rsidRPr="00660F4E" w:rsidRDefault="004B08E5" w:rsidP="00BA7388">
      <w:pPr>
        <w:pStyle w:val="NICEnormal"/>
        <w:spacing w:after="0"/>
      </w:pPr>
      <w:r>
        <w:t xml:space="preserve">Statement </w:t>
      </w:r>
    </w:p>
    <w:p w14:paraId="424824F9" w14:textId="2D2BFF37" w:rsidR="00E112C2" w:rsidRDefault="00E112C2" w:rsidP="00E112C2">
      <w:pPr>
        <w:pStyle w:val="Bulletleft1"/>
      </w:pPr>
      <w:r>
        <w:t>Generally there was s</w:t>
      </w:r>
      <w:r w:rsidR="00CB641F">
        <w:t xml:space="preserve">upport for a statement on </w:t>
      </w:r>
      <w:r w:rsidR="009F27AB">
        <w:t>this area</w:t>
      </w:r>
      <w:r>
        <w:t>.</w:t>
      </w:r>
    </w:p>
    <w:p w14:paraId="5CD0CACA" w14:textId="4B58C82A" w:rsidR="00EB0F97" w:rsidRDefault="00E112C2" w:rsidP="00E112C2">
      <w:pPr>
        <w:pStyle w:val="Bulletleft1"/>
      </w:pPr>
      <w:r>
        <w:t>S</w:t>
      </w:r>
      <w:r w:rsidRPr="009F27AB">
        <w:t>uggest</w:t>
      </w:r>
      <w:r>
        <w:t>ion</w:t>
      </w:r>
      <w:r w:rsidRPr="009F27AB">
        <w:t xml:space="preserve"> that </w:t>
      </w:r>
      <w:r w:rsidR="00E17E9E">
        <w:t xml:space="preserve">national </w:t>
      </w:r>
      <w:r w:rsidRPr="009F27AB">
        <w:t>a</w:t>
      </w:r>
      <w:r w:rsidR="00E17E9E">
        <w:t>ccess to an</w:t>
      </w:r>
      <w:r>
        <w:t xml:space="preserve"> </w:t>
      </w:r>
      <w:r w:rsidRPr="009F27AB">
        <w:t xml:space="preserve">algorithmic tool </w:t>
      </w:r>
      <w:r w:rsidR="00E17E9E">
        <w:t>is</w:t>
      </w:r>
      <w:r w:rsidRPr="009F27AB">
        <w:t xml:space="preserve"> needed</w:t>
      </w:r>
      <w:r w:rsidR="00DA7967">
        <w:t>.</w:t>
      </w:r>
    </w:p>
    <w:p w14:paraId="1CAD98C2" w14:textId="111CA88F" w:rsidR="007129F8" w:rsidRDefault="00EB0F97" w:rsidP="00E112C2">
      <w:pPr>
        <w:pStyle w:val="Bulletleft1"/>
      </w:pPr>
      <w:r>
        <w:t>C</w:t>
      </w:r>
      <w:r w:rsidR="00E112C2">
        <w:t>oncern over a lack of robust data demonstrating that this area of care may improve outcomes.</w:t>
      </w:r>
    </w:p>
    <w:p w14:paraId="399ACE4B" w14:textId="3A8BDC13" w:rsidR="00566EDE" w:rsidRDefault="00A73BC8" w:rsidP="00002266">
      <w:pPr>
        <w:pStyle w:val="Bulletleft1"/>
      </w:pPr>
      <w:r w:rsidRPr="00A73BC8">
        <w:t>Suggestions on other areas related to diagnosis should be considered</w:t>
      </w:r>
      <w:r>
        <w:t xml:space="preserve">: </w:t>
      </w:r>
    </w:p>
    <w:p w14:paraId="60EAF541" w14:textId="1069DE1A" w:rsidR="00E45E85" w:rsidRDefault="00E45E85" w:rsidP="007129F8">
      <w:pPr>
        <w:pStyle w:val="Bulletleft1"/>
        <w:numPr>
          <w:ilvl w:val="1"/>
          <w:numId w:val="6"/>
        </w:numPr>
      </w:pPr>
      <w:r>
        <w:t>reducing population- and geographic-level opportunities for diagnosis</w:t>
      </w:r>
      <w:r w:rsidR="00DA7967">
        <w:t>.</w:t>
      </w:r>
      <w:r>
        <w:t xml:space="preserve">  </w:t>
      </w:r>
    </w:p>
    <w:p w14:paraId="7F6ED7F2" w14:textId="76FE9CB2" w:rsidR="007129F8" w:rsidRPr="007129F8" w:rsidRDefault="007129F8" w:rsidP="007129F8">
      <w:pPr>
        <w:pStyle w:val="Bulletleft1"/>
        <w:numPr>
          <w:ilvl w:val="1"/>
          <w:numId w:val="6"/>
        </w:numPr>
        <w:rPr>
          <w:rStyle w:val="CommentReference"/>
          <w:sz w:val="24"/>
          <w:szCs w:val="24"/>
        </w:rPr>
      </w:pPr>
      <w:r w:rsidRPr="007129F8">
        <w:rPr>
          <w:rStyle w:val="CommentReference"/>
          <w:sz w:val="24"/>
          <w:szCs w:val="24"/>
        </w:rPr>
        <w:t>access to ultrasound and skilled</w:t>
      </w:r>
      <w:r w:rsidR="00C67E56">
        <w:rPr>
          <w:rStyle w:val="CommentReference"/>
          <w:sz w:val="24"/>
          <w:szCs w:val="24"/>
        </w:rPr>
        <w:t xml:space="preserve"> sonographer / radiologist</w:t>
      </w:r>
      <w:r w:rsidRPr="007129F8">
        <w:rPr>
          <w:rStyle w:val="CommentReference"/>
          <w:sz w:val="24"/>
          <w:szCs w:val="24"/>
        </w:rPr>
        <w:t xml:space="preserve"> workforce</w:t>
      </w:r>
      <w:r w:rsidR="00DA7967">
        <w:rPr>
          <w:rStyle w:val="CommentReference"/>
          <w:sz w:val="24"/>
          <w:szCs w:val="24"/>
        </w:rPr>
        <w:t>.</w:t>
      </w:r>
    </w:p>
    <w:p w14:paraId="22AC455F" w14:textId="69001A28" w:rsidR="00E45E85" w:rsidRDefault="00566EDE" w:rsidP="00E45E85">
      <w:pPr>
        <w:pStyle w:val="Bulletleft1"/>
        <w:numPr>
          <w:ilvl w:val="1"/>
          <w:numId w:val="6"/>
        </w:numPr>
        <w:rPr>
          <w:rStyle w:val="CommentReference"/>
          <w:sz w:val="24"/>
          <w:szCs w:val="24"/>
        </w:rPr>
      </w:pPr>
      <w:r>
        <w:rPr>
          <w:rStyle w:val="CommentReference"/>
          <w:sz w:val="24"/>
          <w:szCs w:val="24"/>
        </w:rPr>
        <w:t xml:space="preserve">common </w:t>
      </w:r>
      <w:r w:rsidR="004C687B">
        <w:rPr>
          <w:rStyle w:val="CommentReference"/>
          <w:sz w:val="24"/>
          <w:szCs w:val="24"/>
        </w:rPr>
        <w:t xml:space="preserve">language </w:t>
      </w:r>
      <w:r>
        <w:rPr>
          <w:rStyle w:val="CommentReference"/>
          <w:sz w:val="24"/>
          <w:szCs w:val="24"/>
        </w:rPr>
        <w:t xml:space="preserve">and reporting standards </w:t>
      </w:r>
      <w:r w:rsidR="00E94646">
        <w:rPr>
          <w:rStyle w:val="CommentReference"/>
          <w:sz w:val="24"/>
          <w:szCs w:val="24"/>
        </w:rPr>
        <w:t>used for</w:t>
      </w:r>
      <w:r w:rsidR="004C687B">
        <w:rPr>
          <w:rStyle w:val="CommentReference"/>
          <w:sz w:val="24"/>
          <w:szCs w:val="24"/>
        </w:rPr>
        <w:t xml:space="preserve"> ultrasound</w:t>
      </w:r>
      <w:r w:rsidR="00E51B6E">
        <w:rPr>
          <w:rStyle w:val="CommentReference"/>
          <w:sz w:val="24"/>
          <w:szCs w:val="24"/>
        </w:rPr>
        <w:t xml:space="preserve">; </w:t>
      </w:r>
      <w:r w:rsidR="00423286">
        <w:rPr>
          <w:rStyle w:val="CommentReference"/>
          <w:sz w:val="24"/>
          <w:szCs w:val="24"/>
        </w:rPr>
        <w:t>suggestion to use</w:t>
      </w:r>
      <w:r w:rsidR="00E51B6E">
        <w:rPr>
          <w:rStyle w:val="CommentReference"/>
          <w:sz w:val="24"/>
          <w:szCs w:val="24"/>
        </w:rPr>
        <w:t xml:space="preserve"> O-RADS (preferably) or IOTA-ADNEX</w:t>
      </w:r>
      <w:r w:rsidR="004C687B">
        <w:rPr>
          <w:rStyle w:val="CommentReference"/>
          <w:sz w:val="24"/>
          <w:szCs w:val="24"/>
        </w:rPr>
        <w:t>.</w:t>
      </w:r>
    </w:p>
    <w:p w14:paraId="5F6A9C55" w14:textId="739CBCED" w:rsidR="00E51B6E" w:rsidRDefault="00E51B6E" w:rsidP="002A4965">
      <w:pPr>
        <w:pStyle w:val="Bulletleft1"/>
      </w:pPr>
      <w:r w:rsidRPr="000613A0">
        <w:rPr>
          <w:rStyle w:val="CommentReference"/>
          <w:sz w:val="24"/>
          <w:szCs w:val="24"/>
        </w:rPr>
        <w:t xml:space="preserve">Suggestion </w:t>
      </w:r>
      <w:r w:rsidRPr="000613A0">
        <w:t xml:space="preserve">to retain </w:t>
      </w:r>
      <w:hyperlink r:id="rId11" w:history="1">
        <w:r w:rsidR="002A4965" w:rsidRPr="000613A0">
          <w:rPr>
            <w:rStyle w:val="Hyperlink"/>
          </w:rPr>
          <w:t>statement 2 in the current quality standard on ovarian cancer (QS18)</w:t>
        </w:r>
      </w:hyperlink>
      <w:r w:rsidRPr="000613A0">
        <w:t xml:space="preserve"> (</w:t>
      </w:r>
      <w:r w:rsidR="004866A3" w:rsidRPr="000613A0">
        <w:t>‘women with raised CA125 have an ultrasound of their abdomen and pelvis within 2 weeks of receiving the CA125 test results’)</w:t>
      </w:r>
      <w:r w:rsidR="000613A0" w:rsidRPr="00352BD0">
        <w:t>.</w:t>
      </w:r>
    </w:p>
    <w:p w14:paraId="1DA1ECC4" w14:textId="02B449FC" w:rsidR="009F27AB" w:rsidRDefault="00FB4605" w:rsidP="007E1B0C">
      <w:pPr>
        <w:pStyle w:val="Bulletleft1"/>
      </w:pPr>
      <w:r>
        <w:t>S</w:t>
      </w:r>
      <w:r w:rsidR="009F27AB">
        <w:t>uggest</w:t>
      </w:r>
      <w:r w:rsidR="008B5850">
        <w:t>ion</w:t>
      </w:r>
      <w:r w:rsidR="009F27AB">
        <w:t xml:space="preserve"> </w:t>
      </w:r>
      <w:r w:rsidR="004866A3">
        <w:t>to include a statement</w:t>
      </w:r>
      <w:r w:rsidR="00201387">
        <w:t xml:space="preserve"> on safety netting </w:t>
      </w:r>
      <w:r w:rsidR="007E1B0C">
        <w:t>in the standard</w:t>
      </w:r>
      <w:r w:rsidR="002F2286">
        <w:t>:</w:t>
      </w:r>
      <w:r w:rsidR="007E1B0C">
        <w:t xml:space="preserve"> </w:t>
      </w:r>
    </w:p>
    <w:p w14:paraId="2A492673" w14:textId="387FA3A4" w:rsidR="00201387" w:rsidRDefault="002F2286" w:rsidP="009F27AB">
      <w:pPr>
        <w:pStyle w:val="Bulletleft1"/>
        <w:numPr>
          <w:ilvl w:val="1"/>
          <w:numId w:val="6"/>
        </w:numPr>
      </w:pPr>
      <w:r>
        <w:t xml:space="preserve">amend </w:t>
      </w:r>
      <w:r w:rsidRPr="0023487E">
        <w:t xml:space="preserve">statement 3 in the </w:t>
      </w:r>
      <w:hyperlink r:id="rId12" w:history="1">
        <w:r w:rsidR="005E2156">
          <w:rPr>
            <w:rStyle w:val="Hyperlink"/>
          </w:rPr>
          <w:t>current QS18</w:t>
        </w:r>
      </w:hyperlink>
      <w:r w:rsidR="007E1B0C">
        <w:t xml:space="preserve"> </w:t>
      </w:r>
      <w:r>
        <w:t>(‘w</w:t>
      </w:r>
      <w:r w:rsidRPr="002F2286">
        <w:t>omen with normal CA125, or raised CA125 but normal ultrasound, with no confirmed diagnosis but continuing symptoms, are reassessed by their GP within 1 month</w:t>
      </w:r>
      <w:r>
        <w:t>’)</w:t>
      </w:r>
      <w:r w:rsidRPr="002F2286" w:rsidDel="000A4451">
        <w:t xml:space="preserve"> </w:t>
      </w:r>
      <w:r w:rsidR="007E1B0C">
        <w:t>to</w:t>
      </w:r>
      <w:r>
        <w:t xml:space="preserve"> highlight that reassessment is triggered by electronic safety netting measures.</w:t>
      </w:r>
    </w:p>
    <w:p w14:paraId="16A20C7C" w14:textId="79906464" w:rsidR="009F27AB" w:rsidRDefault="009F27AB" w:rsidP="009F27AB">
      <w:pPr>
        <w:pStyle w:val="Bulletleft1"/>
        <w:numPr>
          <w:ilvl w:val="1"/>
          <w:numId w:val="6"/>
        </w:numPr>
      </w:pPr>
      <w:r>
        <w:t>a range of</w:t>
      </w:r>
      <w:r w:rsidR="000A4451">
        <w:t xml:space="preserve"> supporting</w:t>
      </w:r>
      <w:r w:rsidR="004C687B">
        <w:t xml:space="preserve"> </w:t>
      </w:r>
      <w:r w:rsidR="002F2286">
        <w:t>mechanisms</w:t>
      </w:r>
      <w:r w:rsidR="004C687B">
        <w:t xml:space="preserve"> </w:t>
      </w:r>
      <w:r>
        <w:t>was suggested</w:t>
      </w:r>
      <w:r w:rsidR="0003666C">
        <w:t xml:space="preserve">, </w:t>
      </w:r>
      <w:r w:rsidR="00C57F78">
        <w:t xml:space="preserve">such as </w:t>
      </w:r>
      <w:r w:rsidR="00886E63">
        <w:t xml:space="preserve">searching GP records to identify women with a </w:t>
      </w:r>
      <w:r w:rsidR="000A4451">
        <w:t xml:space="preserve">recent normal CA125 test </w:t>
      </w:r>
      <w:r w:rsidR="00E112C2">
        <w:t xml:space="preserve">who </w:t>
      </w:r>
      <w:r w:rsidR="00E17E9E">
        <w:t>are to be</w:t>
      </w:r>
      <w:r w:rsidR="00E112C2">
        <w:t xml:space="preserve"> reviewed</w:t>
      </w:r>
      <w:r w:rsidR="00886E63">
        <w:t xml:space="preserve"> </w:t>
      </w:r>
      <w:r w:rsidR="00E17E9E">
        <w:t xml:space="preserve">for persisting symptoms. </w:t>
      </w:r>
    </w:p>
    <w:p w14:paraId="60AEE46F" w14:textId="2F42E5EB" w:rsidR="00FF38A4" w:rsidRDefault="00FF38A4" w:rsidP="00FF38A4">
      <w:pPr>
        <w:pStyle w:val="Bulletleft1"/>
      </w:pPr>
      <w:r>
        <w:lastRenderedPageBreak/>
        <w:t xml:space="preserve">Stakeholders </w:t>
      </w:r>
      <w:r w:rsidR="00A73BC8">
        <w:t xml:space="preserve">suggested </w:t>
      </w:r>
      <w:r w:rsidR="00A20E61">
        <w:t xml:space="preserve">equity and </w:t>
      </w:r>
      <w:r w:rsidR="00A20E61" w:rsidRPr="00036E80">
        <w:t>health in</w:t>
      </w:r>
      <w:r w:rsidR="00A73BC8" w:rsidRPr="00036E80">
        <w:t>equality issues</w:t>
      </w:r>
      <w:r w:rsidR="00A73BC8">
        <w:t xml:space="preserve"> that should be considered when the placeholder is reviewed</w:t>
      </w:r>
      <w:r w:rsidR="003472CF">
        <w:t xml:space="preserve">; </w:t>
      </w:r>
      <w:r w:rsidR="003472CF" w:rsidRPr="00123C3A">
        <w:t>the majority around learning disabilities, neurodiversity, or both</w:t>
      </w:r>
      <w:r w:rsidR="00A73BC8" w:rsidRPr="00123C3A">
        <w:t>:</w:t>
      </w:r>
      <w:r w:rsidR="00A73BC8">
        <w:t xml:space="preserve"> </w:t>
      </w:r>
    </w:p>
    <w:p w14:paraId="48D41015" w14:textId="7589CA61" w:rsidR="00FF38A4" w:rsidRDefault="00FF38A4" w:rsidP="00FF38A4">
      <w:pPr>
        <w:pStyle w:val="Bulletleft1"/>
        <w:numPr>
          <w:ilvl w:val="1"/>
          <w:numId w:val="6"/>
        </w:numPr>
      </w:pPr>
      <w:r>
        <w:t xml:space="preserve">challenges around </w:t>
      </w:r>
      <w:r w:rsidR="007D3DA6" w:rsidRPr="00211B6C">
        <w:t>expressing symptoms</w:t>
      </w:r>
      <w:r w:rsidR="00043564">
        <w:t xml:space="preserve"> (</w:t>
      </w:r>
      <w:r w:rsidR="007D3DA6" w:rsidRPr="00211B6C">
        <w:t>which may be vague for ovarian cancer</w:t>
      </w:r>
      <w:r w:rsidR="00043564">
        <w:t>)</w:t>
      </w:r>
      <w:r w:rsidR="00DA7967">
        <w:t>.</w:t>
      </w:r>
      <w:r>
        <w:t xml:space="preserve"> </w:t>
      </w:r>
    </w:p>
    <w:p w14:paraId="13B0A23E" w14:textId="5F41E746" w:rsidR="00FF38A4" w:rsidRDefault="00211B6C" w:rsidP="00FF38A4">
      <w:pPr>
        <w:pStyle w:val="Bulletleft1"/>
        <w:numPr>
          <w:ilvl w:val="1"/>
          <w:numId w:val="6"/>
        </w:numPr>
      </w:pPr>
      <w:r w:rsidRPr="007D3DA6">
        <w:t>low-uptake of screening interventions</w:t>
      </w:r>
      <w:r>
        <w:t>, which</w:t>
      </w:r>
      <w:r w:rsidRPr="007D3DA6">
        <w:t xml:space="preserve"> </w:t>
      </w:r>
      <w:r>
        <w:t xml:space="preserve">may </w:t>
      </w:r>
      <w:r w:rsidRPr="007D3DA6">
        <w:t>result in opportunistic diagnosis of pelvic masses</w:t>
      </w:r>
      <w:r w:rsidR="00DA7967">
        <w:t>.</w:t>
      </w:r>
      <w:r w:rsidRPr="007D3DA6">
        <w:t xml:space="preserve">  </w:t>
      </w:r>
    </w:p>
    <w:p w14:paraId="4ACDC0E6" w14:textId="7F662636" w:rsidR="00DC7829" w:rsidRPr="00211B6C" w:rsidRDefault="00211B6C" w:rsidP="00FF38A4">
      <w:pPr>
        <w:pStyle w:val="Bulletleft1"/>
        <w:numPr>
          <w:ilvl w:val="1"/>
          <w:numId w:val="6"/>
        </w:numPr>
      </w:pPr>
      <w:r>
        <w:t xml:space="preserve">higher incidence of </w:t>
      </w:r>
      <w:r w:rsidR="00DC7829" w:rsidRPr="00FF38A4">
        <w:rPr>
          <w:rFonts w:cs="Arial"/>
        </w:rPr>
        <w:t>endometrial cancer</w:t>
      </w:r>
      <w:r w:rsidR="00E17E9E">
        <w:rPr>
          <w:rFonts w:cs="Arial"/>
        </w:rPr>
        <w:t>,</w:t>
      </w:r>
      <w:r w:rsidR="00DC7829" w:rsidRPr="00FF38A4">
        <w:rPr>
          <w:rFonts w:cs="Arial"/>
        </w:rPr>
        <w:t xml:space="preserve"> and greater risk </w:t>
      </w:r>
      <w:r w:rsidRPr="00FF38A4">
        <w:rPr>
          <w:rFonts w:cs="Arial"/>
        </w:rPr>
        <w:t xml:space="preserve">of ovarian cancer </w:t>
      </w:r>
      <w:r w:rsidR="00DC7829" w:rsidRPr="00FF38A4">
        <w:rPr>
          <w:rFonts w:cs="Arial"/>
        </w:rPr>
        <w:t>through lack of protective factors</w:t>
      </w:r>
      <w:r w:rsidRPr="00FF38A4">
        <w:rPr>
          <w:rFonts w:cs="Arial"/>
        </w:rPr>
        <w:t xml:space="preserve"> such as pregnancy</w:t>
      </w:r>
      <w:r w:rsidR="00FF38A4">
        <w:rPr>
          <w:rFonts w:cs="Arial"/>
        </w:rPr>
        <w:t>.</w:t>
      </w:r>
    </w:p>
    <w:p w14:paraId="6BC2B43B" w14:textId="05374A37" w:rsidR="00F169CA" w:rsidRPr="00F169CA" w:rsidRDefault="007032F5" w:rsidP="00111D14">
      <w:pPr>
        <w:pStyle w:val="Bulletleft1"/>
        <w:numPr>
          <w:ilvl w:val="1"/>
          <w:numId w:val="6"/>
        </w:numPr>
      </w:pPr>
      <w:r>
        <w:t>v</w:t>
      </w:r>
      <w:r w:rsidR="004C0804">
        <w:t xml:space="preserve">ulnerable and </w:t>
      </w:r>
      <w:r w:rsidR="009778C2">
        <w:t xml:space="preserve">certain </w:t>
      </w:r>
      <w:r w:rsidR="004C0804">
        <w:t>health inclusion groups</w:t>
      </w:r>
      <w:r w:rsidR="009778C2">
        <w:t xml:space="preserve">, </w:t>
      </w:r>
      <w:r w:rsidR="003860D6">
        <w:t>particularly</w:t>
      </w:r>
      <w:r w:rsidR="00633EB9">
        <w:t>,</w:t>
      </w:r>
      <w:r w:rsidR="003860D6">
        <w:t xml:space="preserve"> </w:t>
      </w:r>
      <w:r w:rsidR="00633EB9">
        <w:t xml:space="preserve">groups </w:t>
      </w:r>
      <w:r w:rsidR="003860D6">
        <w:t>who would not have a fixed abode</w:t>
      </w:r>
      <w:r w:rsidR="00633EB9">
        <w:t xml:space="preserve"> and experience barriers to accessing healthcare services</w:t>
      </w:r>
      <w:r w:rsidR="00DC7829">
        <w:t xml:space="preserve"> (including lack of GP registration)</w:t>
      </w:r>
      <w:r w:rsidR="00FF38A4">
        <w:t>.</w:t>
      </w:r>
      <w:r w:rsidR="00DC7829">
        <w:t xml:space="preserve"> </w:t>
      </w:r>
      <w:r w:rsidR="00FF38A4">
        <w:t>It was noted that s</w:t>
      </w:r>
      <w:r w:rsidR="009778C2">
        <w:t xml:space="preserve">ome of these </w:t>
      </w:r>
      <w:r w:rsidR="00633EB9">
        <w:t>groups</w:t>
      </w:r>
      <w:r w:rsidR="009778C2">
        <w:t xml:space="preserve">, such as </w:t>
      </w:r>
      <w:r w:rsidR="00111D14">
        <w:t>Gypsy, Traveller, Roma, Showmen and Boaters (</w:t>
      </w:r>
      <w:r w:rsidR="009778C2">
        <w:t>GTRSB</w:t>
      </w:r>
      <w:r w:rsidR="00111D14">
        <w:t>)</w:t>
      </w:r>
      <w:r w:rsidR="009778C2">
        <w:t xml:space="preserve"> communities, </w:t>
      </w:r>
      <w:r w:rsidR="00633EB9">
        <w:t>experience stigma around cancer</w:t>
      </w:r>
      <w:r w:rsidR="009778C2">
        <w:t xml:space="preserve"> </w:t>
      </w:r>
      <w:r w:rsidR="00633EB9">
        <w:t>and</w:t>
      </w:r>
      <w:r w:rsidR="00DC7829">
        <w:t xml:space="preserve"> </w:t>
      </w:r>
      <w:r w:rsidR="00633EB9">
        <w:t xml:space="preserve">mistrust </w:t>
      </w:r>
      <w:r w:rsidR="009778C2">
        <w:t xml:space="preserve">healthcare </w:t>
      </w:r>
      <w:r w:rsidR="00633EB9">
        <w:t>services</w:t>
      </w:r>
      <w:r w:rsidR="009778C2">
        <w:t>.</w:t>
      </w:r>
    </w:p>
    <w:p w14:paraId="56A2C704" w14:textId="29B2D9FE" w:rsidR="004C128D" w:rsidRDefault="004C128D" w:rsidP="004C128D">
      <w:pPr>
        <w:pStyle w:val="Heading4"/>
      </w:pPr>
      <w:r w:rsidRPr="00A65BD8">
        <w:t>For</w:t>
      </w:r>
      <w:r w:rsidR="00F169CA">
        <w:t xml:space="preserve"> discussion /</w:t>
      </w:r>
      <w:r w:rsidRPr="00A65BD8">
        <w:t xml:space="preserve"> decision:</w:t>
      </w:r>
    </w:p>
    <w:p w14:paraId="7D8ABCEA" w14:textId="77777777" w:rsidR="00525C6B" w:rsidRPr="00525C6B" w:rsidRDefault="00525C6B" w:rsidP="00525C6B">
      <w:pPr>
        <w:pStyle w:val="Bulletleft1"/>
      </w:pPr>
      <w:r w:rsidRPr="00525C6B">
        <w:t xml:space="preserve">Are the committee happy with the focus of the placeholder </w:t>
      </w:r>
    </w:p>
    <w:p w14:paraId="042870B7" w14:textId="74E12D10" w:rsidR="00CE2291" w:rsidRPr="007032F5" w:rsidRDefault="00CE2291" w:rsidP="00352BD0">
      <w:pPr>
        <w:pStyle w:val="Bulletleft1last"/>
        <w:ind w:left="284"/>
        <w:rPr>
          <w:b/>
          <w:bCs/>
        </w:rPr>
      </w:pPr>
      <w:r>
        <w:t xml:space="preserve">Are the committee happy with </w:t>
      </w:r>
      <w:r w:rsidR="007100CD">
        <w:t xml:space="preserve">the wording of </w:t>
      </w:r>
      <w:r>
        <w:t>the placeholder?</w:t>
      </w:r>
    </w:p>
    <w:p w14:paraId="658D411C" w14:textId="6662013C" w:rsidR="00CE2291" w:rsidRPr="007032F5" w:rsidRDefault="00CE2291" w:rsidP="007032F5">
      <w:pPr>
        <w:pStyle w:val="Bulletleft1"/>
        <w:numPr>
          <w:ilvl w:val="0"/>
          <w:numId w:val="0"/>
        </w:numPr>
        <w:rPr>
          <w:b/>
          <w:bCs/>
        </w:rPr>
      </w:pPr>
    </w:p>
    <w:p w14:paraId="684E6AFE" w14:textId="77777777" w:rsidR="00C57F78" w:rsidRDefault="00C57F78">
      <w:pPr>
        <w:rPr>
          <w:rFonts w:ascii="Arial" w:hAnsi="Arial" w:cs="Arial"/>
          <w:b/>
          <w:bCs/>
          <w:sz w:val="28"/>
          <w:szCs w:val="28"/>
        </w:rPr>
      </w:pPr>
      <w:r>
        <w:br w:type="page"/>
      </w:r>
    </w:p>
    <w:p w14:paraId="61C64120" w14:textId="230DED1E" w:rsidR="004C128D" w:rsidRDefault="004C128D" w:rsidP="004C128D">
      <w:pPr>
        <w:pStyle w:val="Numberedheading2"/>
      </w:pPr>
      <w:r>
        <w:lastRenderedPageBreak/>
        <w:t>Draft statement 3</w:t>
      </w:r>
    </w:p>
    <w:p w14:paraId="72733999" w14:textId="77777777" w:rsidR="00B2432B" w:rsidRDefault="00B2432B" w:rsidP="004C128D">
      <w:pPr>
        <w:pStyle w:val="Heading3"/>
        <w:rPr>
          <w:rFonts w:cs="Times New Roman"/>
          <w:b w:val="0"/>
          <w:bCs w:val="0"/>
          <w:sz w:val="24"/>
        </w:rPr>
      </w:pPr>
      <w:r w:rsidRPr="00B2432B">
        <w:rPr>
          <w:rFonts w:cs="Times New Roman"/>
          <w:b w:val="0"/>
          <w:bCs w:val="0"/>
          <w:sz w:val="24"/>
        </w:rPr>
        <w:t>Adults with a new diagnosis of high-grade epithelial ovarian cancer have panel germline testing. [new 2025]</w:t>
      </w:r>
    </w:p>
    <w:p w14:paraId="1B99A5E2" w14:textId="5C6038E3" w:rsidR="004C128D" w:rsidRDefault="004C128D" w:rsidP="004C128D">
      <w:pPr>
        <w:pStyle w:val="Heading3"/>
      </w:pPr>
      <w:r w:rsidRPr="00F56503">
        <w:t xml:space="preserve">Consultation </w:t>
      </w:r>
      <w:r w:rsidRPr="00660F4E">
        <w:t>comments</w:t>
      </w:r>
    </w:p>
    <w:p w14:paraId="707D8EB7" w14:textId="2F28B9AD" w:rsidR="004C128D" w:rsidRPr="00660F4E" w:rsidRDefault="004C128D" w:rsidP="004C128D">
      <w:pPr>
        <w:pStyle w:val="NICEnormal"/>
      </w:pPr>
      <w:bookmarkStart w:id="2" w:name="_Hlk178692710"/>
      <w:r>
        <w:t xml:space="preserve">Stakeholders made the following comments in relation to draft statement </w:t>
      </w:r>
      <w:r w:rsidR="004B08E5">
        <w:t>3</w:t>
      </w:r>
      <w:r>
        <w:t>:</w:t>
      </w:r>
    </w:p>
    <w:p w14:paraId="0354DA8F" w14:textId="23C206FA" w:rsidR="007032F5" w:rsidRPr="00036E80" w:rsidRDefault="004B08E5" w:rsidP="008D40AA">
      <w:pPr>
        <w:pStyle w:val="Bulletleft1"/>
      </w:pPr>
      <w:r w:rsidRPr="00036E80">
        <w:t xml:space="preserve">There was </w:t>
      </w:r>
      <w:r w:rsidR="00D27C0E" w:rsidRPr="00036E80">
        <w:t>some</w:t>
      </w:r>
      <w:r w:rsidRPr="00036E80">
        <w:t xml:space="preserve"> support for the statement</w:t>
      </w:r>
      <w:r w:rsidR="0094786B">
        <w:t>.</w:t>
      </w:r>
    </w:p>
    <w:p w14:paraId="27B0DEAD" w14:textId="639E1E59" w:rsidR="00E84EDB" w:rsidRPr="00E84EDB" w:rsidRDefault="00E84EDB" w:rsidP="007032F5">
      <w:pPr>
        <w:pStyle w:val="Bulletleft1"/>
      </w:pPr>
      <w:r w:rsidRPr="004042CC">
        <w:t>Targeted outreach and education programmes, to help increase uptake of genetic testing among adults from ethnic minority backgrounds</w:t>
      </w:r>
      <w:r w:rsidR="00CA3058">
        <w:t>,</w:t>
      </w:r>
      <w:r>
        <w:t xml:space="preserve"> is </w:t>
      </w:r>
      <w:r w:rsidRPr="004042CC">
        <w:t>a</w:t>
      </w:r>
      <w:r>
        <w:t>n</w:t>
      </w:r>
      <w:r w:rsidRPr="004042CC">
        <w:t xml:space="preserve"> equity and health inequalities issue.</w:t>
      </w:r>
    </w:p>
    <w:p w14:paraId="00E1B205" w14:textId="38D0FCB4" w:rsidR="00E84EDB" w:rsidRDefault="00E84EDB" w:rsidP="007032F5">
      <w:pPr>
        <w:pStyle w:val="Bulletleft1"/>
      </w:pPr>
      <w:r>
        <w:t>D</w:t>
      </w:r>
      <w:r w:rsidRPr="00E84EDB">
        <w:t xml:space="preserve">oes not align with the </w:t>
      </w:r>
      <w:hyperlink r:id="rId13" w:history="1">
        <w:r w:rsidRPr="00F04550">
          <w:rPr>
            <w:rStyle w:val="Hyperlink"/>
          </w:rPr>
          <w:t>national genomic test directory</w:t>
        </w:r>
      </w:hyperlink>
      <w:r w:rsidRPr="00E84EDB">
        <w:t xml:space="preserve"> (R207 ovarian cancer)</w:t>
      </w:r>
      <w:r w:rsidR="00960994">
        <w:t>:</w:t>
      </w:r>
      <w:r w:rsidRPr="00E84EDB">
        <w:t xml:space="preserve"> mucinous ovarian cancer should be excluded and it is unlikely that testing for this sub-type would be added to the directory</w:t>
      </w:r>
      <w:r w:rsidR="00360438">
        <w:t>.</w:t>
      </w:r>
    </w:p>
    <w:p w14:paraId="3C0B746D" w14:textId="15EA018A" w:rsidR="005E2156" w:rsidRDefault="00141036" w:rsidP="005E2156">
      <w:pPr>
        <w:pStyle w:val="Bulletleft1"/>
      </w:pPr>
      <w:r>
        <w:t>Conflicting views on data collection:</w:t>
      </w:r>
    </w:p>
    <w:p w14:paraId="4FA247DF" w14:textId="38212814" w:rsidR="0046611C" w:rsidRDefault="00844AD9" w:rsidP="00844AD9">
      <w:pPr>
        <w:pStyle w:val="Bulletleft1"/>
        <w:numPr>
          <w:ilvl w:val="1"/>
          <w:numId w:val="6"/>
        </w:numPr>
      </w:pPr>
      <w:bookmarkStart w:id="3" w:name="_Hlk179366717"/>
      <w:r>
        <w:t xml:space="preserve">data can be collected </w:t>
      </w:r>
      <w:r w:rsidRPr="00796B54">
        <w:t xml:space="preserve">where pathology laboratory information </w:t>
      </w:r>
      <w:r>
        <w:t xml:space="preserve">management </w:t>
      </w:r>
      <w:r w:rsidRPr="00796B54">
        <w:t xml:space="preserve">systems </w:t>
      </w:r>
      <w:r>
        <w:t xml:space="preserve">and other related systems </w:t>
      </w:r>
      <w:r w:rsidRPr="00796B54">
        <w:t>can reliably collate data</w:t>
      </w:r>
      <w:r>
        <w:t xml:space="preserve">; </w:t>
      </w:r>
      <w:r w:rsidR="0046611C" w:rsidRPr="0046611C">
        <w:t>some</w:t>
      </w:r>
      <w:r w:rsidR="000E4EDC">
        <w:t xml:space="preserve"> </w:t>
      </w:r>
      <w:r w:rsidR="00010CAE">
        <w:t xml:space="preserve">trust and </w:t>
      </w:r>
      <w:r w:rsidR="000E4EDC">
        <w:t xml:space="preserve">laboratory </w:t>
      </w:r>
      <w:r w:rsidR="00010CAE">
        <w:t xml:space="preserve">IT </w:t>
      </w:r>
      <w:r w:rsidR="000E4EDC">
        <w:t>systems</w:t>
      </w:r>
      <w:r w:rsidR="001D3B03">
        <w:t xml:space="preserve"> </w:t>
      </w:r>
      <w:r w:rsidR="0046611C" w:rsidRPr="0046611C">
        <w:t>store the data as non-structured text; additional or new IT systems may be needed</w:t>
      </w:r>
      <w:bookmarkEnd w:id="3"/>
      <w:r w:rsidR="0046611C" w:rsidRPr="0046611C">
        <w:t>.</w:t>
      </w:r>
    </w:p>
    <w:p w14:paraId="7EEEA39D" w14:textId="39F442E2" w:rsidR="00141036" w:rsidRDefault="00141036" w:rsidP="00141036">
      <w:pPr>
        <w:pStyle w:val="Bulletleft1"/>
        <w:numPr>
          <w:ilvl w:val="1"/>
          <w:numId w:val="6"/>
        </w:numPr>
      </w:pPr>
      <w:r>
        <w:t>upgraded summary care records needed</w:t>
      </w:r>
      <w:r w:rsidR="00DA7967">
        <w:t>.</w:t>
      </w:r>
      <w:r>
        <w:t xml:space="preserve"> </w:t>
      </w:r>
    </w:p>
    <w:p w14:paraId="1136E1B6" w14:textId="33EB64E3" w:rsidR="00141036" w:rsidRPr="00E84EDB" w:rsidRDefault="00141036" w:rsidP="007032F5">
      <w:pPr>
        <w:pStyle w:val="Bulletleft1"/>
        <w:numPr>
          <w:ilvl w:val="1"/>
          <w:numId w:val="6"/>
        </w:numPr>
      </w:pPr>
      <w:r>
        <w:t xml:space="preserve">data can be collected from existing data sources, such as clinical genetics records and multidisciplinary team meeting records. </w:t>
      </w:r>
    </w:p>
    <w:p w14:paraId="6068516F" w14:textId="068D649F" w:rsidR="004C128D" w:rsidRDefault="004C128D" w:rsidP="004C128D">
      <w:pPr>
        <w:pStyle w:val="Heading3"/>
      </w:pPr>
      <w:r w:rsidRPr="00F56503">
        <w:t xml:space="preserve">Consultation </w:t>
      </w:r>
      <w:r>
        <w:t xml:space="preserve">question </w:t>
      </w:r>
      <w:r w:rsidR="004B08E5">
        <w:t>5</w:t>
      </w:r>
    </w:p>
    <w:p w14:paraId="62ECA10F" w14:textId="13D7FA9E" w:rsidR="00D27C0E" w:rsidRDefault="00D27C0E" w:rsidP="004C128D">
      <w:pPr>
        <w:pStyle w:val="NICEnormal"/>
      </w:pPr>
      <w:r w:rsidRPr="00D27C0E">
        <w:t>For draft quality statement 3 (panel germline genetic testing): Please state whether data can be collected to support monitoring take-up of panel germline testing by ethnicity.</w:t>
      </w:r>
    </w:p>
    <w:p w14:paraId="1D08E7D1" w14:textId="70264AFD" w:rsidR="004C128D" w:rsidRPr="00123C3A" w:rsidRDefault="004C128D" w:rsidP="00BA7388">
      <w:pPr>
        <w:pStyle w:val="NICEnormal"/>
        <w:spacing w:after="0"/>
      </w:pPr>
      <w:r w:rsidRPr="00123C3A">
        <w:t xml:space="preserve">Stakeholders made the following comments in relation to consultation question </w:t>
      </w:r>
      <w:r w:rsidR="004B08E5" w:rsidRPr="00123C3A">
        <w:t>5</w:t>
      </w:r>
      <w:r w:rsidRPr="00123C3A">
        <w:t>:</w:t>
      </w:r>
    </w:p>
    <w:p w14:paraId="79B20441" w14:textId="6B6B3E97" w:rsidR="004C128D" w:rsidRPr="00123C3A" w:rsidRDefault="00D27C0E" w:rsidP="004C128D">
      <w:pPr>
        <w:pStyle w:val="Bulletleft1"/>
      </w:pPr>
      <w:r w:rsidRPr="00123C3A">
        <w:t xml:space="preserve">Support for collecting </w:t>
      </w:r>
      <w:r w:rsidR="00596D76" w:rsidRPr="00123C3A">
        <w:t xml:space="preserve">these </w:t>
      </w:r>
      <w:r w:rsidRPr="00123C3A">
        <w:t>data</w:t>
      </w:r>
      <w:r w:rsidR="00E84EDB" w:rsidRPr="00123C3A">
        <w:t xml:space="preserve"> in principle</w:t>
      </w:r>
      <w:r w:rsidRPr="00123C3A">
        <w:t xml:space="preserve">, with </w:t>
      </w:r>
      <w:r w:rsidR="00D077C6" w:rsidRPr="00123C3A">
        <w:t xml:space="preserve">concerns </w:t>
      </w:r>
      <w:r w:rsidR="00E84EDB" w:rsidRPr="00123C3A">
        <w:t xml:space="preserve">regarding </w:t>
      </w:r>
      <w:r w:rsidR="00D077C6" w:rsidRPr="00123C3A">
        <w:t>feasibility:</w:t>
      </w:r>
    </w:p>
    <w:p w14:paraId="440CC902" w14:textId="4BB4248A" w:rsidR="00544A92" w:rsidRDefault="00544A92" w:rsidP="00544A92">
      <w:pPr>
        <w:pStyle w:val="Bulletleft1"/>
        <w:numPr>
          <w:ilvl w:val="1"/>
          <w:numId w:val="6"/>
        </w:numPr>
      </w:pPr>
      <w:r>
        <w:t xml:space="preserve">standardised and automated collection not supported </w:t>
      </w:r>
      <w:r w:rsidR="00E84EDB">
        <w:t>as</w:t>
      </w:r>
      <w:r w:rsidR="00F70DA7">
        <w:t xml:space="preserve"> part of </w:t>
      </w:r>
      <w:r>
        <w:t xml:space="preserve">data collected centrally </w:t>
      </w:r>
      <w:r w:rsidR="00F70DA7">
        <w:t>for</w:t>
      </w:r>
      <w:r>
        <w:t xml:space="preserve"> Patient Level Monitoring Contracting returns</w:t>
      </w:r>
      <w:r w:rsidR="00596D76">
        <w:t xml:space="preserve"> to NHS England</w:t>
      </w:r>
      <w:r>
        <w:t xml:space="preserve">, </w:t>
      </w:r>
      <w:r w:rsidR="00F70DA7">
        <w:t xml:space="preserve">by </w:t>
      </w:r>
      <w:r>
        <w:t xml:space="preserve">Genomic Laboratory Hubs or </w:t>
      </w:r>
      <w:r w:rsidR="00F70DA7">
        <w:t xml:space="preserve">by </w:t>
      </w:r>
      <w:r>
        <w:t>mainstream services</w:t>
      </w:r>
      <w:r w:rsidR="00DA7967">
        <w:t>.</w:t>
      </w:r>
    </w:p>
    <w:p w14:paraId="75F89688" w14:textId="6219E754" w:rsidR="00EE3EF4" w:rsidRDefault="00EE3EF4" w:rsidP="004B08E5">
      <w:pPr>
        <w:pStyle w:val="Bulletleft1"/>
        <w:numPr>
          <w:ilvl w:val="1"/>
          <w:numId w:val="6"/>
        </w:numPr>
      </w:pPr>
      <w:r>
        <w:lastRenderedPageBreak/>
        <w:t>hubs rely on the field being completed on the test request form and this is completed to a variable standard</w:t>
      </w:r>
      <w:r w:rsidR="00DA7967">
        <w:t>.</w:t>
      </w:r>
    </w:p>
    <w:p w14:paraId="1124165E" w14:textId="0470E147" w:rsidR="00B546B0" w:rsidRDefault="00B546B0" w:rsidP="00B546B0">
      <w:pPr>
        <w:pStyle w:val="Bulletleft1"/>
        <w:numPr>
          <w:ilvl w:val="1"/>
          <w:numId w:val="6"/>
        </w:numPr>
      </w:pPr>
      <w:r>
        <w:t>aligning genomic hub data to ethnicity data collected from the NHS Spine was suggested as a supporting mechanism.</w:t>
      </w:r>
    </w:p>
    <w:p w14:paraId="47C2F5D8" w14:textId="77777777" w:rsidR="004C128D" w:rsidRPr="0067426A" w:rsidRDefault="004C128D" w:rsidP="004C128D">
      <w:pPr>
        <w:pStyle w:val="Heading3"/>
      </w:pPr>
      <w:r w:rsidRPr="0067426A">
        <w:t>Issues for consideration</w:t>
      </w:r>
    </w:p>
    <w:p w14:paraId="1D5E4B38" w14:textId="77777777" w:rsidR="004C128D" w:rsidRPr="00B413F2" w:rsidRDefault="004C128D" w:rsidP="004C128D">
      <w:pPr>
        <w:pStyle w:val="Heading4"/>
      </w:pPr>
      <w:r w:rsidRPr="00A6218A">
        <w:t>For discussion:</w:t>
      </w:r>
    </w:p>
    <w:p w14:paraId="7EA96779" w14:textId="5081E1C6" w:rsidR="00B375E5" w:rsidRPr="00061F65" w:rsidRDefault="00B375E5" w:rsidP="00B375E5">
      <w:pPr>
        <w:pStyle w:val="Bulletleft1"/>
        <w:rPr>
          <w:strike/>
        </w:rPr>
      </w:pPr>
      <w:r w:rsidRPr="00B375E5">
        <w:t xml:space="preserve">Can data be collected </w:t>
      </w:r>
      <w:r>
        <w:t>for this statement?</w:t>
      </w:r>
      <w:r w:rsidRPr="00061F65">
        <w:rPr>
          <w:strike/>
        </w:rPr>
        <w:t xml:space="preserve"> </w:t>
      </w:r>
    </w:p>
    <w:p w14:paraId="791414D8" w14:textId="2F1D1D01" w:rsidR="00B364FB" w:rsidRPr="007032F5" w:rsidRDefault="008714AA" w:rsidP="004C128D">
      <w:pPr>
        <w:pStyle w:val="Bulletleft1"/>
        <w:rPr>
          <w:strike/>
        </w:rPr>
      </w:pPr>
      <w:r>
        <w:t>Regarding</w:t>
      </w:r>
      <w:r w:rsidR="002D47A6">
        <w:t xml:space="preserve"> align</w:t>
      </w:r>
      <w:r>
        <w:t>ment</w:t>
      </w:r>
      <w:r w:rsidR="002D47A6">
        <w:t xml:space="preserve"> with the </w:t>
      </w:r>
      <w:hyperlink r:id="rId14" w:history="1">
        <w:r w:rsidR="002D47A6" w:rsidRPr="00307758">
          <w:rPr>
            <w:rStyle w:val="Hyperlink"/>
          </w:rPr>
          <w:t>national genomic test directory</w:t>
        </w:r>
      </w:hyperlink>
      <w:r>
        <w:rPr>
          <w:rStyle w:val="Hyperlink"/>
        </w:rPr>
        <w:t>:</w:t>
      </w:r>
      <w:r w:rsidR="002D47A6">
        <w:t xml:space="preserve"> </w:t>
      </w:r>
      <w:r>
        <w:t xml:space="preserve">do the subtypes of ‘high-grade epithelial ovarian cancer’ need to be </w:t>
      </w:r>
      <w:r w:rsidR="00525C6B">
        <w:t>referenced in the statement</w:t>
      </w:r>
      <w:r>
        <w:t xml:space="preserve">? </w:t>
      </w:r>
    </w:p>
    <w:p w14:paraId="464EDCDA" w14:textId="60DC818B" w:rsidR="004701CF" w:rsidRDefault="00CA3058" w:rsidP="00155869">
      <w:pPr>
        <w:pStyle w:val="Bulletleft1"/>
      </w:pPr>
      <w:r>
        <w:t xml:space="preserve">Is </w:t>
      </w:r>
      <w:r w:rsidR="00155869">
        <w:t>the committee aware of any examples of t</w:t>
      </w:r>
      <w:r w:rsidR="00155869" w:rsidRPr="004042CC">
        <w:t xml:space="preserve">argeted outreach and education programmes to help increase uptake of genetic testing among adults </w:t>
      </w:r>
      <w:r w:rsidR="00155869">
        <w:t xml:space="preserve">with ovarian cancer </w:t>
      </w:r>
      <w:r w:rsidR="00155869" w:rsidRPr="004042CC">
        <w:t>from ethnic minority backgrounds</w:t>
      </w:r>
      <w:r w:rsidR="00155869">
        <w:t>?</w:t>
      </w:r>
    </w:p>
    <w:p w14:paraId="6C604BBD" w14:textId="7D29C3F1" w:rsidR="00F04550" w:rsidRDefault="00F04550" w:rsidP="00F04550">
      <w:pPr>
        <w:pStyle w:val="Bulletleft1"/>
      </w:pPr>
      <w:r>
        <w:t xml:space="preserve">Should </w:t>
      </w:r>
      <w:r w:rsidRPr="00276EBA">
        <w:t xml:space="preserve">the breakdown of the measures by </w:t>
      </w:r>
      <w:r>
        <w:t>ethnicity</w:t>
      </w:r>
      <w:r w:rsidRPr="00276EBA">
        <w:t xml:space="preserve"> remain in the </w:t>
      </w:r>
      <w:r>
        <w:t>quality standard</w:t>
      </w:r>
      <w:r w:rsidRPr="00276EBA">
        <w:t xml:space="preserve"> given concerns about the feasibility of data collection?</w:t>
      </w:r>
      <w:r>
        <w:t xml:space="preserve"> </w:t>
      </w:r>
    </w:p>
    <w:p w14:paraId="3B0135F4" w14:textId="77777777" w:rsidR="004C128D" w:rsidRDefault="004C128D" w:rsidP="004C128D">
      <w:pPr>
        <w:pStyle w:val="Heading4"/>
      </w:pPr>
      <w:r w:rsidRPr="00A65BD8">
        <w:t>For decision:</w:t>
      </w:r>
    </w:p>
    <w:p w14:paraId="7827B913" w14:textId="77777777" w:rsidR="004C128D" w:rsidRPr="00675AD7" w:rsidRDefault="004C128D" w:rsidP="004C128D">
      <w:pPr>
        <w:pStyle w:val="Bulletleft1last"/>
      </w:pPr>
      <w:r w:rsidRPr="00675AD7">
        <w:t>Should this quality statement remain in the quality standard?</w:t>
      </w:r>
    </w:p>
    <w:bookmarkEnd w:id="2"/>
    <w:p w14:paraId="72956B87" w14:textId="77777777" w:rsidR="00D50DD8" w:rsidRDefault="00D50DD8">
      <w:pPr>
        <w:rPr>
          <w:rFonts w:ascii="Arial" w:hAnsi="Arial" w:cs="Arial"/>
          <w:b/>
          <w:bCs/>
          <w:sz w:val="28"/>
          <w:szCs w:val="28"/>
        </w:rPr>
      </w:pPr>
      <w:r>
        <w:br w:type="page"/>
      </w:r>
    </w:p>
    <w:p w14:paraId="3C12C856" w14:textId="04595819" w:rsidR="00B2432B" w:rsidRDefault="00B2432B" w:rsidP="00B2432B">
      <w:pPr>
        <w:pStyle w:val="Numberedheading2"/>
      </w:pPr>
      <w:r>
        <w:lastRenderedPageBreak/>
        <w:t>Draft statement 4</w:t>
      </w:r>
    </w:p>
    <w:p w14:paraId="4011B853" w14:textId="77777777" w:rsidR="00B2432B" w:rsidRDefault="00B2432B" w:rsidP="00B2432B">
      <w:pPr>
        <w:pStyle w:val="Heading3"/>
        <w:rPr>
          <w:rFonts w:cs="Times New Roman"/>
          <w:b w:val="0"/>
          <w:bCs w:val="0"/>
          <w:sz w:val="24"/>
        </w:rPr>
      </w:pPr>
      <w:r w:rsidRPr="00B2432B">
        <w:rPr>
          <w:rFonts w:cs="Times New Roman"/>
          <w:b w:val="0"/>
          <w:bCs w:val="0"/>
          <w:sz w:val="24"/>
        </w:rPr>
        <w:t>Adults with a new diagnosis of stage 3 or 4 high-grade epithelial ovarian cancer have tumour testing. [new 2025]</w:t>
      </w:r>
    </w:p>
    <w:p w14:paraId="04DBF3F2" w14:textId="28939040" w:rsidR="00B2432B" w:rsidRDefault="00B2432B" w:rsidP="00B2432B">
      <w:pPr>
        <w:pStyle w:val="Heading3"/>
      </w:pPr>
      <w:r w:rsidRPr="00F56503">
        <w:t xml:space="preserve">Consultation </w:t>
      </w:r>
      <w:r w:rsidRPr="00660F4E">
        <w:t>comments</w:t>
      </w:r>
    </w:p>
    <w:p w14:paraId="153C28A6" w14:textId="42270FF5" w:rsidR="005A6186" w:rsidRPr="00660F4E" w:rsidRDefault="005A6186" w:rsidP="005A6186">
      <w:pPr>
        <w:pStyle w:val="NICEnormal"/>
      </w:pPr>
      <w:r>
        <w:t xml:space="preserve">Stakeholders made the following comments in relation to draft statement </w:t>
      </w:r>
      <w:r w:rsidR="00544A92">
        <w:t>4</w:t>
      </w:r>
      <w:r>
        <w:t>:</w:t>
      </w:r>
    </w:p>
    <w:p w14:paraId="3FF02D77" w14:textId="5FE283D0" w:rsidR="005A6186" w:rsidRDefault="005A6186" w:rsidP="00BA7388">
      <w:pPr>
        <w:pStyle w:val="NICEnormal"/>
        <w:spacing w:after="0"/>
        <w:rPr>
          <w:highlight w:val="cyan"/>
        </w:rPr>
      </w:pPr>
      <w:r w:rsidRPr="004B08E5">
        <w:t>Statement</w:t>
      </w:r>
      <w:r>
        <w:t xml:space="preserve"> </w:t>
      </w:r>
    </w:p>
    <w:p w14:paraId="7C0CFACE" w14:textId="01524C4F" w:rsidR="005A6186" w:rsidRDefault="00BA7388" w:rsidP="005A6186">
      <w:pPr>
        <w:pStyle w:val="Bulletleft1"/>
      </w:pPr>
      <w:r>
        <w:t>G</w:t>
      </w:r>
      <w:r w:rsidR="005A6186">
        <w:t>eneral support for this statement.</w:t>
      </w:r>
    </w:p>
    <w:p w14:paraId="5AD20FAD" w14:textId="31A805D8" w:rsidR="005A6186" w:rsidRDefault="005A6186" w:rsidP="0023487E">
      <w:pPr>
        <w:pStyle w:val="Bulletleft1"/>
      </w:pPr>
      <w:r w:rsidRPr="005A6186">
        <w:t>Tumour testing presents a good time to do prerehabilitation</w:t>
      </w:r>
      <w:r>
        <w:t>.</w:t>
      </w:r>
    </w:p>
    <w:p w14:paraId="6A485733" w14:textId="499A25BC" w:rsidR="00CA3058" w:rsidRPr="00CA3058" w:rsidRDefault="00CA3058" w:rsidP="00CA3058">
      <w:pPr>
        <w:pStyle w:val="Bulletleft1"/>
      </w:pPr>
      <w:r w:rsidRPr="00CA3058">
        <w:t>Targeted outreach and education programmes, to help increase uptake of genetic testing among adults from ethnic minority backgrounds</w:t>
      </w:r>
      <w:r>
        <w:t>,</w:t>
      </w:r>
      <w:r w:rsidRPr="00CA3058">
        <w:t xml:space="preserve"> is an equity and health inequalities issue.</w:t>
      </w:r>
    </w:p>
    <w:p w14:paraId="1D3464FE" w14:textId="67A595FD" w:rsidR="00151BD6" w:rsidRDefault="00141036" w:rsidP="00B56065">
      <w:pPr>
        <w:pStyle w:val="Bulletleft1"/>
      </w:pPr>
      <w:r>
        <w:t>Conflicting views on data collection:</w:t>
      </w:r>
    </w:p>
    <w:p w14:paraId="638292FA" w14:textId="179A25B7" w:rsidR="00844AD9" w:rsidRPr="00844AD9" w:rsidRDefault="00844AD9" w:rsidP="00352BD0">
      <w:pPr>
        <w:pStyle w:val="Bulletleft1"/>
        <w:numPr>
          <w:ilvl w:val="1"/>
          <w:numId w:val="6"/>
        </w:numPr>
      </w:pPr>
      <w:r w:rsidRPr="00844AD9">
        <w:t>data can be collected where pathology laboratory information management systems and other related systems can reliably collate data; some trust and laboratory IT systems store the data as non-structured text; additional or new IT systems may be needed.</w:t>
      </w:r>
    </w:p>
    <w:p w14:paraId="4CFDA33F" w14:textId="34C4DEEB" w:rsidR="00151BD6" w:rsidRDefault="00151BD6" w:rsidP="00151BD6">
      <w:pPr>
        <w:pStyle w:val="Bulletleft1"/>
        <w:numPr>
          <w:ilvl w:val="1"/>
          <w:numId w:val="6"/>
        </w:numPr>
      </w:pPr>
      <w:r>
        <w:t>upgraded summary care records needed</w:t>
      </w:r>
      <w:r w:rsidR="00CA3058">
        <w:t>.</w:t>
      </w:r>
      <w:r>
        <w:t xml:space="preserve"> </w:t>
      </w:r>
    </w:p>
    <w:p w14:paraId="396C7D3B" w14:textId="77777777" w:rsidR="00151BD6" w:rsidRPr="00E84EDB" w:rsidRDefault="00151BD6" w:rsidP="00151BD6">
      <w:pPr>
        <w:pStyle w:val="Bulletleft1"/>
        <w:numPr>
          <w:ilvl w:val="1"/>
          <w:numId w:val="6"/>
        </w:numPr>
      </w:pPr>
      <w:r>
        <w:t xml:space="preserve">data can be collected from existing data sources, such as clinical genetics records and multidisciplinary team meeting records. </w:t>
      </w:r>
    </w:p>
    <w:p w14:paraId="772A0550" w14:textId="77777777" w:rsidR="00141036" w:rsidRDefault="00141036" w:rsidP="00151BD6">
      <w:pPr>
        <w:pStyle w:val="Bulletleft1"/>
        <w:numPr>
          <w:ilvl w:val="0"/>
          <w:numId w:val="0"/>
        </w:numPr>
        <w:ind w:left="567"/>
      </w:pPr>
    </w:p>
    <w:p w14:paraId="4FC4614B" w14:textId="674D4A14" w:rsidR="005A6186" w:rsidRDefault="005A6186" w:rsidP="00BA7388">
      <w:pPr>
        <w:pStyle w:val="Bulletleft1last"/>
        <w:numPr>
          <w:ilvl w:val="0"/>
          <w:numId w:val="0"/>
        </w:numPr>
        <w:spacing w:after="0"/>
      </w:pPr>
      <w:r>
        <w:t>Definitions (</w:t>
      </w:r>
      <w:r w:rsidR="00360438">
        <w:t>‘</w:t>
      </w:r>
      <w:r>
        <w:t>high-grade epithelial ovarian cancers</w:t>
      </w:r>
      <w:r w:rsidR="00360438">
        <w:t>’</w:t>
      </w:r>
      <w:r>
        <w:t>)</w:t>
      </w:r>
    </w:p>
    <w:p w14:paraId="384F1EF0" w14:textId="4867A3C9" w:rsidR="005A6186" w:rsidRDefault="005A6186" w:rsidP="005A6186">
      <w:pPr>
        <w:pStyle w:val="Bulletleft1"/>
      </w:pPr>
      <w:r w:rsidRPr="005A6186">
        <w:t>Add 'grade 3' to the subtypes endometrioid and mucinous</w:t>
      </w:r>
      <w:r>
        <w:t>.</w:t>
      </w:r>
    </w:p>
    <w:p w14:paraId="7D603590" w14:textId="419BB8DC" w:rsidR="00360438" w:rsidRDefault="00360438" w:rsidP="005A6186">
      <w:pPr>
        <w:pStyle w:val="Bulletleft1"/>
      </w:pPr>
      <w:r>
        <w:t xml:space="preserve">Add ‘high grade’ to serous. </w:t>
      </w:r>
    </w:p>
    <w:p w14:paraId="38D71F4B" w14:textId="5150809D" w:rsidR="00B4730F" w:rsidRDefault="00B4730F" w:rsidP="005A6186">
      <w:pPr>
        <w:pStyle w:val="Bulletleft1"/>
      </w:pPr>
      <w:r>
        <w:t>Add ‘</w:t>
      </w:r>
      <w:r w:rsidR="00360438">
        <w:t>/</w:t>
      </w:r>
      <w:r>
        <w:t xml:space="preserve">dedifferentiated tumours’ </w:t>
      </w:r>
      <w:r w:rsidR="004E30A1">
        <w:t xml:space="preserve">after </w:t>
      </w:r>
      <w:r w:rsidR="00111D14">
        <w:t>u</w:t>
      </w:r>
      <w:r w:rsidR="00111D14" w:rsidRPr="00111D14">
        <w:t>ndifferentiated</w:t>
      </w:r>
      <w:r w:rsidRPr="004F0C97">
        <w:t>.</w:t>
      </w:r>
    </w:p>
    <w:p w14:paraId="57E96C7F" w14:textId="6226524E" w:rsidR="005A6186" w:rsidRDefault="005A6186" w:rsidP="005A6186">
      <w:pPr>
        <w:pStyle w:val="Bulletleft1last"/>
        <w:tabs>
          <w:tab w:val="clear" w:pos="568"/>
        </w:tabs>
        <w:ind w:left="284"/>
      </w:pPr>
      <w:r>
        <w:t>Suggestion to i</w:t>
      </w:r>
      <w:r w:rsidRPr="005A6186">
        <w:t xml:space="preserve">nclude </w:t>
      </w:r>
      <w:r>
        <w:t>M</w:t>
      </w:r>
      <w:r w:rsidRPr="005A6186">
        <w:t>esonephric-</w:t>
      </w:r>
      <w:r>
        <w:t xml:space="preserve">like </w:t>
      </w:r>
      <w:r w:rsidRPr="005A6186">
        <w:t>adenocarcinomas</w:t>
      </w:r>
      <w:r>
        <w:t xml:space="preserve">. </w:t>
      </w:r>
    </w:p>
    <w:p w14:paraId="27D1DFEF" w14:textId="7C1F0E45" w:rsidR="005A6186" w:rsidRDefault="005A6186" w:rsidP="005A6186">
      <w:pPr>
        <w:pStyle w:val="Heading3"/>
      </w:pPr>
      <w:r w:rsidRPr="00F56503">
        <w:t xml:space="preserve">Consultation </w:t>
      </w:r>
      <w:r>
        <w:t>question 6</w:t>
      </w:r>
    </w:p>
    <w:p w14:paraId="3988A4F9" w14:textId="798DDE04" w:rsidR="005A6186" w:rsidRDefault="005A6186" w:rsidP="005A6186">
      <w:pPr>
        <w:pStyle w:val="NICEnormal"/>
      </w:pPr>
      <w:r w:rsidRPr="005A6186">
        <w:t xml:space="preserve">For draft quality statement 4 (tumour testing (stage 3, 4)): Please state whether data can be collected to support monitoring take-up of tumour testing by ethnicity.   </w:t>
      </w:r>
    </w:p>
    <w:p w14:paraId="5F999C71" w14:textId="28D119E0" w:rsidR="00CA3058" w:rsidRPr="00660F4E" w:rsidRDefault="005A6186" w:rsidP="00CA3058">
      <w:pPr>
        <w:pStyle w:val="NICEnormal"/>
        <w:spacing w:after="0"/>
      </w:pPr>
      <w:r>
        <w:t>Stakeholders made the following comments in relation to consultation question 6</w:t>
      </w:r>
      <w:r w:rsidR="0046611C">
        <w:t xml:space="preserve"> </w:t>
      </w:r>
    </w:p>
    <w:p w14:paraId="48E80552" w14:textId="11BC697B" w:rsidR="005E4BB3" w:rsidRDefault="005E4BB3" w:rsidP="00352BD0">
      <w:pPr>
        <w:pStyle w:val="Bulletleft1last"/>
        <w:tabs>
          <w:tab w:val="clear" w:pos="568"/>
          <w:tab w:val="num" w:pos="426"/>
        </w:tabs>
        <w:ind w:left="284"/>
      </w:pPr>
      <w:r>
        <w:lastRenderedPageBreak/>
        <w:t xml:space="preserve">Given expectation around reflex testing </w:t>
      </w:r>
      <w:r w:rsidR="00F74C8C">
        <w:t xml:space="preserve">variation of testing by ethnicity is likely to reflect geographic variations in testing.  </w:t>
      </w:r>
    </w:p>
    <w:p w14:paraId="5B894BCA" w14:textId="77777777" w:rsidR="005A6186" w:rsidRPr="0067426A" w:rsidRDefault="005A6186" w:rsidP="005A6186">
      <w:pPr>
        <w:pStyle w:val="Heading3"/>
      </w:pPr>
      <w:r w:rsidRPr="0067426A">
        <w:t>Issues for consideration</w:t>
      </w:r>
    </w:p>
    <w:p w14:paraId="3D2D6989" w14:textId="77777777" w:rsidR="005A6186" w:rsidRPr="00B413F2" w:rsidRDefault="005A6186" w:rsidP="005A6186">
      <w:pPr>
        <w:pStyle w:val="Heading4"/>
      </w:pPr>
      <w:r w:rsidRPr="00A6218A">
        <w:t>For discussion:</w:t>
      </w:r>
    </w:p>
    <w:p w14:paraId="1E306045" w14:textId="78381BD7" w:rsidR="00B375E5" w:rsidRPr="00061F65" w:rsidRDefault="00B375E5" w:rsidP="00B375E5">
      <w:pPr>
        <w:pStyle w:val="Bulletleft1"/>
        <w:rPr>
          <w:strike/>
        </w:rPr>
      </w:pPr>
      <w:r>
        <w:t>Can data be collected for this statement?</w:t>
      </w:r>
    </w:p>
    <w:p w14:paraId="61247E66" w14:textId="537E9B31" w:rsidR="008714AA" w:rsidRDefault="00525C6B" w:rsidP="008714AA">
      <w:pPr>
        <w:pStyle w:val="Bulletleft1"/>
      </w:pPr>
      <w:r>
        <w:t>D</w:t>
      </w:r>
      <w:r w:rsidR="008714AA" w:rsidRPr="008714AA">
        <w:t xml:space="preserve">o the subtypes of ‘high-grade epithelial ovarian cancer’ need to be </w:t>
      </w:r>
      <w:r>
        <w:t>referenced in the statement</w:t>
      </w:r>
      <w:r w:rsidR="008714AA" w:rsidRPr="008714AA">
        <w:t xml:space="preserve">? </w:t>
      </w:r>
    </w:p>
    <w:p w14:paraId="11741397" w14:textId="1FC43C18" w:rsidR="00CA3058" w:rsidRDefault="004E30A1" w:rsidP="00CA3058">
      <w:pPr>
        <w:pStyle w:val="Bulletleft1"/>
      </w:pPr>
      <w:r>
        <w:t>Are</w:t>
      </w:r>
      <w:r w:rsidR="00CA3058">
        <w:t xml:space="preserve"> the committee aware of any examples of t</w:t>
      </w:r>
      <w:r w:rsidR="00CA3058" w:rsidRPr="004042CC">
        <w:t xml:space="preserve">argeted outreach and education programmes to help increase uptake of genetic testing among adults </w:t>
      </w:r>
      <w:r w:rsidR="00CA3058">
        <w:t xml:space="preserve">with ovarian cancer </w:t>
      </w:r>
      <w:r w:rsidR="00CA3058" w:rsidRPr="004042CC">
        <w:t>from ethnic minority backgrounds</w:t>
      </w:r>
      <w:r w:rsidR="00CA3058">
        <w:t>?</w:t>
      </w:r>
    </w:p>
    <w:p w14:paraId="1C3DBD00" w14:textId="5461067B" w:rsidR="00596D76" w:rsidRPr="00596D76" w:rsidRDefault="00596D76" w:rsidP="00352BD0">
      <w:pPr>
        <w:pStyle w:val="Bulletleft1last"/>
        <w:tabs>
          <w:tab w:val="clear" w:pos="568"/>
        </w:tabs>
        <w:ind w:left="284"/>
      </w:pPr>
      <w:bookmarkStart w:id="4" w:name="_Hlk178812346"/>
      <w:r w:rsidRPr="00596D76">
        <w:t xml:space="preserve">Should the breakdown of the measures by ethnicity remain in the quality standard given concerns about the feasibility of data collection? </w:t>
      </w:r>
    </w:p>
    <w:bookmarkEnd w:id="4"/>
    <w:p w14:paraId="04C46053" w14:textId="77777777" w:rsidR="00596D76" w:rsidRDefault="00596D76" w:rsidP="00596D76">
      <w:pPr>
        <w:pStyle w:val="Heading4"/>
      </w:pPr>
      <w:r w:rsidRPr="00A65BD8">
        <w:t>For decision:</w:t>
      </w:r>
    </w:p>
    <w:p w14:paraId="0D05AA9B" w14:textId="77777777" w:rsidR="008B66EC" w:rsidRDefault="00596D76" w:rsidP="00265966">
      <w:pPr>
        <w:pStyle w:val="Bulletleft1last"/>
      </w:pPr>
      <w:r w:rsidRPr="00675AD7">
        <w:t>Should this quality statement remain in the quality standard?</w:t>
      </w:r>
      <w:r w:rsidR="004E30A1">
        <w:t xml:space="preserve"> </w:t>
      </w:r>
    </w:p>
    <w:p w14:paraId="0B37D9BD" w14:textId="6876007C" w:rsidR="008B66EC" w:rsidRDefault="008B66EC">
      <w:pPr>
        <w:rPr>
          <w:rFonts w:ascii="Arial" w:hAnsi="Arial" w:cs="Arial"/>
        </w:rPr>
      </w:pPr>
    </w:p>
    <w:p w14:paraId="6A435FAC" w14:textId="14C52D87" w:rsidR="00BA7388" w:rsidRDefault="008B66EC" w:rsidP="00352BD0">
      <w:r>
        <w:br w:type="page"/>
      </w:r>
    </w:p>
    <w:p w14:paraId="4B8079A1" w14:textId="0441C586" w:rsidR="00B2432B" w:rsidRDefault="00B2432B" w:rsidP="00B2432B">
      <w:pPr>
        <w:pStyle w:val="Numberedheading2"/>
      </w:pPr>
      <w:r>
        <w:lastRenderedPageBreak/>
        <w:t>Draft statement 5</w:t>
      </w:r>
    </w:p>
    <w:bookmarkEnd w:id="0"/>
    <w:p w14:paraId="31531679" w14:textId="77777777" w:rsidR="005F0D52" w:rsidRDefault="005F0D52" w:rsidP="005F0D52">
      <w:pPr>
        <w:pStyle w:val="Heading3"/>
        <w:rPr>
          <w:rFonts w:cs="Times New Roman"/>
          <w:b w:val="0"/>
          <w:bCs w:val="0"/>
          <w:sz w:val="24"/>
        </w:rPr>
      </w:pPr>
      <w:r w:rsidRPr="00B2432B">
        <w:rPr>
          <w:rFonts w:cs="Times New Roman"/>
          <w:b w:val="0"/>
          <w:bCs w:val="0"/>
          <w:sz w:val="24"/>
        </w:rPr>
        <w:t>Adults who have high-risk stage 1 ovarian cancer, or stage 2 to 4 inclusive ovarian cancer, have both surgery and chemotherapy. [new 2025]</w:t>
      </w:r>
    </w:p>
    <w:p w14:paraId="5B91E09E" w14:textId="77777777" w:rsidR="005F0D52" w:rsidRDefault="005F0D52" w:rsidP="005F0D52">
      <w:pPr>
        <w:pStyle w:val="Heading3"/>
      </w:pPr>
      <w:r w:rsidRPr="00F56503">
        <w:t xml:space="preserve">Consultation </w:t>
      </w:r>
      <w:r w:rsidRPr="00660F4E">
        <w:t>comments</w:t>
      </w:r>
    </w:p>
    <w:p w14:paraId="0663043D" w14:textId="77777777" w:rsidR="005F0D52" w:rsidRPr="00660F4E" w:rsidRDefault="005F0D52" w:rsidP="005F0D52">
      <w:pPr>
        <w:pStyle w:val="NICEnormal"/>
      </w:pPr>
      <w:r>
        <w:t>Stakeholders made the following comments in relation to draft statement 5:</w:t>
      </w:r>
    </w:p>
    <w:p w14:paraId="1FA64EC9" w14:textId="77777777" w:rsidR="005F0D52" w:rsidRPr="00E43734" w:rsidRDefault="005F0D52" w:rsidP="00151BD6">
      <w:pPr>
        <w:pStyle w:val="NICEnormal"/>
        <w:spacing w:after="0"/>
      </w:pPr>
      <w:r w:rsidRPr="00E43734">
        <w:t>Statement</w:t>
      </w:r>
    </w:p>
    <w:p w14:paraId="726B635A" w14:textId="22A8A3C0" w:rsidR="005F0D52" w:rsidRDefault="00CF7C81" w:rsidP="005F0D52">
      <w:pPr>
        <w:pStyle w:val="Bulletleft1"/>
      </w:pPr>
      <w:r>
        <w:t>S</w:t>
      </w:r>
      <w:r w:rsidR="005F0D52">
        <w:t>ome support in principle for this statement</w:t>
      </w:r>
      <w:r w:rsidR="00E53E9F">
        <w:t>.</w:t>
      </w:r>
    </w:p>
    <w:p w14:paraId="4A293874" w14:textId="4B27B153" w:rsidR="005F0D52" w:rsidRDefault="005F0D52" w:rsidP="005F0D52">
      <w:pPr>
        <w:pStyle w:val="Bulletleft1"/>
      </w:pPr>
      <w:r>
        <w:t>Presents an opportunity for prerehabilitation.</w:t>
      </w:r>
    </w:p>
    <w:p w14:paraId="2A67A644" w14:textId="76CF9C3D" w:rsidR="005F0D52" w:rsidRDefault="005F0D52" w:rsidP="005F0D52">
      <w:pPr>
        <w:pStyle w:val="Bulletleft1"/>
      </w:pPr>
      <w:r>
        <w:t>Concern over apply</w:t>
      </w:r>
      <w:r w:rsidR="00E53E9F">
        <w:t>ing it</w:t>
      </w:r>
      <w:r>
        <w:t xml:space="preserve"> to the </w:t>
      </w:r>
      <w:r w:rsidR="00596D76">
        <w:t xml:space="preserve">whole </w:t>
      </w:r>
      <w:r>
        <w:t>population; suggestions that surgery and chemotherapy may have less or minimal benefit to:</w:t>
      </w:r>
    </w:p>
    <w:p w14:paraId="6562364C" w14:textId="06DA0B59" w:rsidR="005F0D52" w:rsidRPr="00E53E9F" w:rsidRDefault="005F0D52" w:rsidP="005F0D52">
      <w:pPr>
        <w:pStyle w:val="Bulletleft1"/>
        <w:numPr>
          <w:ilvl w:val="1"/>
          <w:numId w:val="6"/>
        </w:numPr>
      </w:pPr>
      <w:r w:rsidRPr="00E53E9F">
        <w:t>some patients with stage 4 ovarian cancer</w:t>
      </w:r>
      <w:r w:rsidR="00B25D2A" w:rsidRPr="00E53E9F">
        <w:t xml:space="preserve"> at presentation</w:t>
      </w:r>
      <w:r w:rsidRPr="00E53E9F">
        <w:t xml:space="preserve"> (based on emerging evidence); and patients with poor performance status.</w:t>
      </w:r>
    </w:p>
    <w:p w14:paraId="03C9F946" w14:textId="77777777" w:rsidR="005F0D52" w:rsidRPr="00E53E9F" w:rsidRDefault="005F0D52" w:rsidP="005F0D52">
      <w:pPr>
        <w:pStyle w:val="Bulletleft1"/>
        <w:numPr>
          <w:ilvl w:val="1"/>
          <w:numId w:val="6"/>
        </w:numPr>
      </w:pPr>
      <w:r w:rsidRPr="00E53E9F">
        <w:t>cohort within the over 75s may benefit from receiving chemotherapy alone.</w:t>
      </w:r>
    </w:p>
    <w:p w14:paraId="766CA8F9" w14:textId="6A5EC61F" w:rsidR="005F0D52" w:rsidRDefault="005F0D52" w:rsidP="005F0D52">
      <w:pPr>
        <w:pStyle w:val="Bulletleft1"/>
        <w:numPr>
          <w:ilvl w:val="1"/>
          <w:numId w:val="6"/>
        </w:numPr>
      </w:pPr>
      <w:r w:rsidRPr="00E53E9F">
        <w:t>patients who would benefit from palliative care.</w:t>
      </w:r>
      <w:r>
        <w:t xml:space="preserve"> </w:t>
      </w:r>
    </w:p>
    <w:p w14:paraId="299A6E51" w14:textId="0C7AD5F7" w:rsidR="00B25D2A" w:rsidRPr="00E53E9F" w:rsidRDefault="00B25D2A" w:rsidP="005F0D52">
      <w:pPr>
        <w:pStyle w:val="Bulletleft1"/>
      </w:pPr>
      <w:r w:rsidRPr="00E53E9F">
        <w:t xml:space="preserve">It was estimated that between 10% and 20% may not be well enough or want treatment at diagnosis. </w:t>
      </w:r>
    </w:p>
    <w:p w14:paraId="419B61A7" w14:textId="47B298BD" w:rsidR="005F0D52" w:rsidRDefault="005F0D52" w:rsidP="005F0D52">
      <w:pPr>
        <w:pStyle w:val="Bulletleft1"/>
      </w:pPr>
      <w:r>
        <w:t xml:space="preserve">Statement wording does not align with all elements of shared decision making; specific suggestion to change ‘have’ to ‘should receive’. </w:t>
      </w:r>
    </w:p>
    <w:p w14:paraId="00FE0DA0" w14:textId="139EE828" w:rsidR="005F0D52" w:rsidRDefault="005F0D52" w:rsidP="00DC7829">
      <w:pPr>
        <w:pStyle w:val="Bulletleft1"/>
      </w:pPr>
      <w:r>
        <w:t xml:space="preserve">Suggestion to change the focus, to surgery and chemotherapy being considered        </w:t>
      </w:r>
      <w:r w:rsidR="00CF7C81">
        <w:t xml:space="preserve">by </w:t>
      </w:r>
      <w:r>
        <w:t>a gynaecology MDT (at a cancer centre).</w:t>
      </w:r>
    </w:p>
    <w:p w14:paraId="3C1D32E4" w14:textId="1B4E00AC" w:rsidR="00211B6C" w:rsidRDefault="00211B6C" w:rsidP="00DC7829">
      <w:pPr>
        <w:pStyle w:val="Bulletleft1"/>
      </w:pPr>
      <w:r>
        <w:t>Suggestion to reference additional equity and health inequality issues:</w:t>
      </w:r>
    </w:p>
    <w:p w14:paraId="2A639F0E" w14:textId="23FAA773" w:rsidR="00211B6C" w:rsidRDefault="00596D76" w:rsidP="00211B6C">
      <w:pPr>
        <w:pStyle w:val="Bulletleft1"/>
        <w:numPr>
          <w:ilvl w:val="1"/>
          <w:numId w:val="6"/>
        </w:numPr>
      </w:pPr>
      <w:r>
        <w:t>s</w:t>
      </w:r>
      <w:r w:rsidR="00DC7829" w:rsidRPr="00DC7829">
        <w:t>pecific strategies to address reduced access to</w:t>
      </w:r>
      <w:r w:rsidR="004E30A1">
        <w:t xml:space="preserve"> </w:t>
      </w:r>
      <w:r w:rsidR="004E30A1" w:rsidRPr="00123C3A">
        <w:t>certain</w:t>
      </w:r>
      <w:r w:rsidR="004E30A1">
        <w:t xml:space="preserve"> </w:t>
      </w:r>
      <w:r w:rsidR="00DC7829" w:rsidRPr="00DC7829">
        <w:t>treatment</w:t>
      </w:r>
      <w:r w:rsidR="004E30A1">
        <w:t>s</w:t>
      </w:r>
      <w:r w:rsidR="00DC7829" w:rsidRPr="00DC7829">
        <w:t xml:space="preserve"> in older age groups</w:t>
      </w:r>
      <w:r w:rsidR="00211B6C">
        <w:t>.</w:t>
      </w:r>
    </w:p>
    <w:p w14:paraId="36F8E8EC" w14:textId="2A2155DC" w:rsidR="00211B6C" w:rsidRPr="00DC7829" w:rsidRDefault="00211B6C" w:rsidP="0023487E">
      <w:pPr>
        <w:pStyle w:val="Bulletleft1"/>
        <w:numPr>
          <w:ilvl w:val="1"/>
          <w:numId w:val="6"/>
        </w:numPr>
      </w:pPr>
      <w:r w:rsidRPr="00211B6C">
        <w:t xml:space="preserve">impact of religion and belief on decision-making for cancer treatment </w:t>
      </w:r>
      <w:r w:rsidR="00596D76">
        <w:t xml:space="preserve">and importance of </w:t>
      </w:r>
      <w:r w:rsidRPr="00211B6C">
        <w:t>healthcare professionals understanding psychosocial barriers when religious beliefs prevent use of recommended treatments</w:t>
      </w:r>
      <w:r>
        <w:t>.</w:t>
      </w:r>
      <w:r w:rsidRPr="00211B6C">
        <w:t xml:space="preserve"> </w:t>
      </w:r>
    </w:p>
    <w:p w14:paraId="098A8652" w14:textId="77777777" w:rsidR="00DC7829" w:rsidRDefault="00DC7829" w:rsidP="0023487E">
      <w:pPr>
        <w:pStyle w:val="Bulletleft1"/>
        <w:numPr>
          <w:ilvl w:val="0"/>
          <w:numId w:val="0"/>
        </w:numPr>
      </w:pPr>
    </w:p>
    <w:p w14:paraId="308FC9EB" w14:textId="77777777" w:rsidR="004F0C97" w:rsidRDefault="004F0C97" w:rsidP="0023487E">
      <w:pPr>
        <w:pStyle w:val="Bulletleft1"/>
        <w:numPr>
          <w:ilvl w:val="0"/>
          <w:numId w:val="0"/>
        </w:numPr>
      </w:pPr>
    </w:p>
    <w:p w14:paraId="5E0B67EF" w14:textId="77777777" w:rsidR="00D655CA" w:rsidRDefault="00D655CA" w:rsidP="0023487E">
      <w:pPr>
        <w:pStyle w:val="Bulletleft1"/>
        <w:numPr>
          <w:ilvl w:val="0"/>
          <w:numId w:val="0"/>
        </w:numPr>
      </w:pPr>
    </w:p>
    <w:p w14:paraId="2A095B9B" w14:textId="77777777" w:rsidR="004F0C97" w:rsidRDefault="004F0C97" w:rsidP="0023487E">
      <w:pPr>
        <w:pStyle w:val="Bulletleft1"/>
        <w:numPr>
          <w:ilvl w:val="0"/>
          <w:numId w:val="0"/>
        </w:numPr>
      </w:pPr>
    </w:p>
    <w:p w14:paraId="162E7D80" w14:textId="37E77BA9" w:rsidR="00F17988" w:rsidRPr="00CA7C78" w:rsidRDefault="00F17988" w:rsidP="005F0D52">
      <w:pPr>
        <w:pStyle w:val="Bulletleft1"/>
        <w:numPr>
          <w:ilvl w:val="0"/>
          <w:numId w:val="0"/>
        </w:numPr>
      </w:pPr>
      <w:r w:rsidRPr="00CA7C78">
        <w:lastRenderedPageBreak/>
        <w:t>Measures</w:t>
      </w:r>
    </w:p>
    <w:p w14:paraId="58CFFE02" w14:textId="726509B3" w:rsidR="00844AD9" w:rsidRPr="00844AD9" w:rsidRDefault="008B66EC" w:rsidP="00844AD9">
      <w:pPr>
        <w:pStyle w:val="Bulletleft1"/>
      </w:pPr>
      <w:r>
        <w:t>D</w:t>
      </w:r>
      <w:r w:rsidR="00844AD9" w:rsidRPr="00844AD9">
        <w:t>ata can be collected where pathology laboratory information management systems and other related systems can reliably collate data; some trust and laboratory IT systems store the data as non-structured text; additional or new IT systems may be needed.</w:t>
      </w:r>
    </w:p>
    <w:p w14:paraId="54445BC0" w14:textId="062663DE" w:rsidR="00CA7C78" w:rsidRPr="0023487E" w:rsidRDefault="00F17988" w:rsidP="00CA7C78">
      <w:pPr>
        <w:pStyle w:val="Bulletleft1"/>
      </w:pPr>
      <w:r w:rsidRPr="00CA7C78">
        <w:t xml:space="preserve">A reasonable percentage for receiving surgery and chemotherapy should be specified. </w:t>
      </w:r>
    </w:p>
    <w:p w14:paraId="37E2EEE4" w14:textId="77777777" w:rsidR="00CA7C78" w:rsidRDefault="00CA7C78" w:rsidP="00CA7C78">
      <w:pPr>
        <w:pStyle w:val="Bulletleft1"/>
      </w:pPr>
      <w:r w:rsidRPr="0023487E">
        <w:t>Data needs to be standardised to adjust for age, performance status and comorbidities.</w:t>
      </w:r>
    </w:p>
    <w:p w14:paraId="1846AB72" w14:textId="5B99D73C" w:rsidR="00CA7C78" w:rsidRPr="00CA7C78" w:rsidRDefault="00CA7C78" w:rsidP="0023487E">
      <w:pPr>
        <w:pStyle w:val="Bulletleft1"/>
        <w:numPr>
          <w:ilvl w:val="0"/>
          <w:numId w:val="0"/>
        </w:numPr>
        <w:ind w:left="284"/>
      </w:pPr>
      <w:r w:rsidRPr="0023487E">
        <w:t xml:space="preserve"> </w:t>
      </w:r>
    </w:p>
    <w:p w14:paraId="2D5D7151" w14:textId="277387D3" w:rsidR="005F0D52" w:rsidRPr="00E43734" w:rsidRDefault="005F0D52" w:rsidP="005F0D52">
      <w:pPr>
        <w:pStyle w:val="Bulletleft1"/>
        <w:numPr>
          <w:ilvl w:val="0"/>
          <w:numId w:val="0"/>
        </w:numPr>
      </w:pPr>
      <w:r w:rsidRPr="00E43734">
        <w:t>Definitions</w:t>
      </w:r>
    </w:p>
    <w:p w14:paraId="74D1011F" w14:textId="1908E63F" w:rsidR="005F0D52" w:rsidRDefault="005F0D52" w:rsidP="005F0D52">
      <w:pPr>
        <w:pStyle w:val="Bulletleft1"/>
      </w:pPr>
      <w:r>
        <w:t>Query over whether borderline tumours should be included in the definition of ‘h</w:t>
      </w:r>
      <w:r w:rsidRPr="00766281">
        <w:t>igh-risk stage 1 ovarian cancer</w:t>
      </w:r>
      <w:r>
        <w:t>’</w:t>
      </w:r>
      <w:r w:rsidR="00812407">
        <w:t xml:space="preserve"> and ‘stages 2 to 4 ovarian cancer’</w:t>
      </w:r>
      <w:r w:rsidR="00CA7C78">
        <w:t xml:space="preserve">; </w:t>
      </w:r>
      <w:r>
        <w:t xml:space="preserve">most people with borderline tumours are told that they do not have a cancer diagnosis. </w:t>
      </w:r>
    </w:p>
    <w:p w14:paraId="1124FFA8" w14:textId="5066F5C9" w:rsidR="005F0D52" w:rsidRPr="00766281" w:rsidRDefault="005F0D52" w:rsidP="005F0D52">
      <w:pPr>
        <w:pStyle w:val="Bulletleft1"/>
      </w:pPr>
      <w:r>
        <w:t>Suggestion to refer to ‘complete cytoreduction of macroscopic disease’ as the aim of surgery</w:t>
      </w:r>
      <w:r w:rsidR="00B73084">
        <w:t xml:space="preserve"> in the definition of ‘surgery’.</w:t>
      </w:r>
      <w:r>
        <w:t xml:space="preserve"> </w:t>
      </w:r>
    </w:p>
    <w:p w14:paraId="537095CA" w14:textId="77777777" w:rsidR="005F0D52" w:rsidRDefault="005F0D52" w:rsidP="005F0D52">
      <w:pPr>
        <w:pStyle w:val="Heading3"/>
      </w:pPr>
      <w:r w:rsidRPr="00F56503">
        <w:t xml:space="preserve">Consultation </w:t>
      </w:r>
      <w:r>
        <w:t>question 7</w:t>
      </w:r>
    </w:p>
    <w:p w14:paraId="212F4458" w14:textId="77777777" w:rsidR="005F0D52" w:rsidRPr="00352BD0" w:rsidRDefault="005F0D52" w:rsidP="005F0D52">
      <w:pPr>
        <w:pStyle w:val="NICEnormal"/>
      </w:pPr>
      <w:r w:rsidRPr="00352BD0">
        <w:t>For draft quality statement 5 (treatment of high-risk stage 1, stage 2 to 4 (inclusive) ovarian cancer): Please state whether data can be collected to support monitoring the measures by age and comorbidity.</w:t>
      </w:r>
    </w:p>
    <w:p w14:paraId="2D5DB544" w14:textId="42E044A9" w:rsidR="005F0D52" w:rsidRPr="00352BD0" w:rsidRDefault="005F0D52" w:rsidP="003D6483">
      <w:pPr>
        <w:pStyle w:val="NICEnormal"/>
        <w:spacing w:after="0"/>
      </w:pPr>
      <w:r w:rsidRPr="00352BD0">
        <w:t>Stakeholders made the following comments in relation to consultation question 7</w:t>
      </w:r>
      <w:r w:rsidR="00C41B60" w:rsidRPr="00352BD0">
        <w:t>:</w:t>
      </w:r>
    </w:p>
    <w:p w14:paraId="22753726" w14:textId="5E6C1F0B" w:rsidR="00A64E50" w:rsidRPr="00352BD0" w:rsidRDefault="004E30A1" w:rsidP="004E30A1">
      <w:pPr>
        <w:pStyle w:val="Bulletleft1"/>
      </w:pPr>
      <w:r w:rsidRPr="00352BD0">
        <w:t>T</w:t>
      </w:r>
      <w:r w:rsidR="005F0D52" w:rsidRPr="00352BD0">
        <w:t>reatment details are collected for the National Ovarian Cancer Audit, with the National Cancer Registration and Analysis Service</w:t>
      </w:r>
      <w:r w:rsidR="002440CA" w:rsidRPr="00352BD0">
        <w:t>.</w:t>
      </w:r>
    </w:p>
    <w:p w14:paraId="76FD857F" w14:textId="41527EE9" w:rsidR="005F0D52" w:rsidRPr="00352BD0" w:rsidRDefault="008B66EC" w:rsidP="00352BD0">
      <w:pPr>
        <w:pStyle w:val="Bulletleft1"/>
      </w:pPr>
      <w:r w:rsidRPr="00352BD0">
        <w:t>Concern that s</w:t>
      </w:r>
      <w:r w:rsidR="005F0D52" w:rsidRPr="00352BD0">
        <w:t>ystematic recording of age, comorbidities and details of treatment is important</w:t>
      </w:r>
      <w:r w:rsidR="009E23A6">
        <w:t>.</w:t>
      </w:r>
      <w:r w:rsidR="00075FA3" w:rsidRPr="00352BD0">
        <w:t xml:space="preserve"> </w:t>
      </w:r>
    </w:p>
    <w:p w14:paraId="285C5678" w14:textId="77777777" w:rsidR="005F0D52" w:rsidRPr="00352BD0" w:rsidRDefault="005F0D52" w:rsidP="005F0D52">
      <w:pPr>
        <w:pStyle w:val="Heading3"/>
      </w:pPr>
      <w:r w:rsidRPr="00352BD0">
        <w:t>Issues for consideration</w:t>
      </w:r>
    </w:p>
    <w:p w14:paraId="796E0352" w14:textId="77777777" w:rsidR="005F0D52" w:rsidRPr="00352BD0" w:rsidRDefault="005F0D52" w:rsidP="005F0D52">
      <w:pPr>
        <w:pStyle w:val="Heading4"/>
      </w:pPr>
      <w:r w:rsidRPr="00352BD0">
        <w:t>For discussion:</w:t>
      </w:r>
    </w:p>
    <w:p w14:paraId="401C453F" w14:textId="584D50D5" w:rsidR="00DA7967" w:rsidRDefault="00DA7967" w:rsidP="00405622">
      <w:pPr>
        <w:pStyle w:val="Bulletleft1"/>
      </w:pPr>
      <w:bookmarkStart w:id="5" w:name="_Hlk179368743"/>
      <w:r>
        <w:t>How should the statement be amended? Suggestions:</w:t>
      </w:r>
    </w:p>
    <w:p w14:paraId="1210AEBB" w14:textId="69C18B47" w:rsidR="00DA7967" w:rsidRDefault="00DA7967" w:rsidP="004F0C97">
      <w:pPr>
        <w:pStyle w:val="Bulletleft1"/>
        <w:numPr>
          <w:ilvl w:val="1"/>
          <w:numId w:val="6"/>
        </w:numPr>
      </w:pPr>
      <w:r>
        <w:t>keep ‘have’, but narrow the population</w:t>
      </w:r>
      <w:r w:rsidR="000321C7">
        <w:t>.</w:t>
      </w:r>
      <w:r>
        <w:t xml:space="preserve"> </w:t>
      </w:r>
    </w:p>
    <w:p w14:paraId="30C2E197" w14:textId="7C6F798F" w:rsidR="00DA7967" w:rsidRPr="00352BD0" w:rsidRDefault="00DA7967" w:rsidP="000321C7">
      <w:pPr>
        <w:pStyle w:val="Bulletleft1"/>
        <w:numPr>
          <w:ilvl w:val="1"/>
          <w:numId w:val="6"/>
        </w:numPr>
      </w:pPr>
      <w:r>
        <w:t xml:space="preserve">focus on </w:t>
      </w:r>
      <w:r w:rsidR="00405622" w:rsidRPr="00352BD0">
        <w:t>the offer of surgery and chemotherapy</w:t>
      </w:r>
      <w:r>
        <w:t>.</w:t>
      </w:r>
      <w:r w:rsidR="00405622" w:rsidRPr="00352BD0">
        <w:t xml:space="preserve"> </w:t>
      </w:r>
    </w:p>
    <w:p w14:paraId="77AC335C" w14:textId="48502C08" w:rsidR="00C469C1" w:rsidRPr="00C469C1" w:rsidRDefault="00DA7967" w:rsidP="000321C7">
      <w:pPr>
        <w:pStyle w:val="Bulletleft1"/>
        <w:numPr>
          <w:ilvl w:val="1"/>
          <w:numId w:val="6"/>
        </w:numPr>
      </w:pPr>
      <w:r>
        <w:lastRenderedPageBreak/>
        <w:t xml:space="preserve">focus on </w:t>
      </w:r>
      <w:r w:rsidR="00C469C1" w:rsidRPr="00352BD0">
        <w:t>specialist MDT discussion</w:t>
      </w:r>
      <w:r>
        <w:t>.</w:t>
      </w:r>
      <w:r w:rsidR="00C469C1">
        <w:t xml:space="preserve"> </w:t>
      </w:r>
      <w:bookmarkEnd w:id="5"/>
    </w:p>
    <w:p w14:paraId="7F48D39B" w14:textId="7C3840BA" w:rsidR="005F0D52" w:rsidRDefault="00C469C1" w:rsidP="00C469C1">
      <w:pPr>
        <w:pStyle w:val="Bulletleft1"/>
      </w:pPr>
      <w:r>
        <w:t xml:space="preserve">Which </w:t>
      </w:r>
      <w:r w:rsidR="003472CF">
        <w:t xml:space="preserve">approach </w:t>
      </w:r>
      <w:r>
        <w:t xml:space="preserve">would </w:t>
      </w:r>
      <w:r w:rsidR="00405622" w:rsidRPr="00C469C1">
        <w:t>be</w:t>
      </w:r>
      <w:r w:rsidR="00405622">
        <w:t xml:space="preserve"> </w:t>
      </w:r>
      <w:r w:rsidR="00A1794D">
        <w:t>the most</w:t>
      </w:r>
      <w:r w:rsidR="00405622">
        <w:t xml:space="preserve"> effective in reducing </w:t>
      </w:r>
      <w:r w:rsidR="005F0D52">
        <w:t>variation in rates of chemotherapy and surgery among cancer units compared to cancer centres</w:t>
      </w:r>
      <w:r w:rsidR="002440CA">
        <w:t>,</w:t>
      </w:r>
      <w:r w:rsidR="005F0D52">
        <w:t xml:space="preserve"> and improv</w:t>
      </w:r>
      <w:r w:rsidR="00405622">
        <w:t>ing</w:t>
      </w:r>
      <w:r w:rsidR="005F0D52">
        <w:t xml:space="preserve"> access to treatment for all groups? </w:t>
      </w:r>
    </w:p>
    <w:p w14:paraId="52C3A3D4" w14:textId="29CC0D76" w:rsidR="000A6F6D" w:rsidRDefault="000A6F6D" w:rsidP="000A6F6D">
      <w:pPr>
        <w:pStyle w:val="Bulletleft1"/>
      </w:pPr>
      <w:r>
        <w:t>Can data be collected for the statement?</w:t>
      </w:r>
    </w:p>
    <w:p w14:paraId="6D518322" w14:textId="4FD5A910" w:rsidR="002440CA" w:rsidRDefault="002440CA" w:rsidP="002440CA">
      <w:pPr>
        <w:pStyle w:val="Bulletleft1"/>
      </w:pPr>
      <w:r>
        <w:t xml:space="preserve">Should </w:t>
      </w:r>
      <w:r w:rsidRPr="00276EBA">
        <w:t>the breakdown of the measures by age and comorbidity remain in the QS given concerns about the feasibility of data collection</w:t>
      </w:r>
      <w:r>
        <w:t xml:space="preserve"> and standardisation</w:t>
      </w:r>
      <w:r w:rsidRPr="00276EBA">
        <w:t>?</w:t>
      </w:r>
      <w:r>
        <w:t xml:space="preserve"> </w:t>
      </w:r>
    </w:p>
    <w:p w14:paraId="3E2C9714" w14:textId="40FEE186" w:rsidR="00010CAE" w:rsidRDefault="0046611C" w:rsidP="002440CA">
      <w:pPr>
        <w:pStyle w:val="Bulletleft1"/>
      </w:pPr>
      <w:r>
        <w:t>Is the committee aware of examples of</w:t>
      </w:r>
      <w:r w:rsidR="00010CAE">
        <w:t>:</w:t>
      </w:r>
      <w:r>
        <w:t xml:space="preserve"> </w:t>
      </w:r>
    </w:p>
    <w:p w14:paraId="3F006B7C" w14:textId="77777777" w:rsidR="00010CAE" w:rsidRDefault="0046611C" w:rsidP="00010CAE">
      <w:pPr>
        <w:pStyle w:val="Bulletleft1"/>
        <w:numPr>
          <w:ilvl w:val="1"/>
          <w:numId w:val="6"/>
        </w:numPr>
      </w:pPr>
      <w:r>
        <w:t>increasing access to surgery and chemotherapy</w:t>
      </w:r>
      <w:r w:rsidR="00C469C1">
        <w:t xml:space="preserve"> among older adults</w:t>
      </w:r>
      <w:r>
        <w:t xml:space="preserve">? </w:t>
      </w:r>
    </w:p>
    <w:p w14:paraId="52E8DDAB" w14:textId="26053C86" w:rsidR="002440CA" w:rsidRPr="00123C3A" w:rsidRDefault="00010CAE" w:rsidP="00352BD0">
      <w:pPr>
        <w:pStyle w:val="Bulletleft1"/>
        <w:numPr>
          <w:ilvl w:val="1"/>
          <w:numId w:val="6"/>
        </w:numPr>
      </w:pPr>
      <w:r w:rsidRPr="00123C3A">
        <w:t xml:space="preserve">how discussion of religion and belief in relation to cancer treatment can be approached in relation to ovarian cancer? </w:t>
      </w:r>
      <w:r w:rsidR="0046611C" w:rsidRPr="00352BD0">
        <w:rPr>
          <w:strike/>
        </w:rPr>
        <w:t xml:space="preserve"> </w:t>
      </w:r>
      <w:r w:rsidR="00123C3A" w:rsidRPr="00123C3A" w:rsidDel="00123C3A">
        <w:rPr>
          <w:strike/>
        </w:rPr>
        <w:t xml:space="preserve"> </w:t>
      </w:r>
    </w:p>
    <w:p w14:paraId="0B516F1A" w14:textId="77777777" w:rsidR="005F0D52" w:rsidRDefault="005F0D52" w:rsidP="005F0D52">
      <w:pPr>
        <w:pStyle w:val="Bulletleft1"/>
      </w:pPr>
      <w:r>
        <w:t xml:space="preserve">Should the definitions be amended? </w:t>
      </w:r>
    </w:p>
    <w:p w14:paraId="4E1FE95F" w14:textId="3ABFEB4E" w:rsidR="005F0D52" w:rsidRPr="00123C3A" w:rsidRDefault="00B73084" w:rsidP="005F0D52">
      <w:pPr>
        <w:pStyle w:val="Bulletleft1"/>
        <w:numPr>
          <w:ilvl w:val="1"/>
          <w:numId w:val="6"/>
        </w:numPr>
        <w:tabs>
          <w:tab w:val="left" w:pos="284"/>
        </w:tabs>
      </w:pPr>
      <w:r>
        <w:t xml:space="preserve">should borderline tumours be </w:t>
      </w:r>
      <w:r w:rsidR="006742BF">
        <w:t>excluded</w:t>
      </w:r>
      <w:r>
        <w:t xml:space="preserve"> </w:t>
      </w:r>
      <w:r w:rsidRPr="00A11230">
        <w:t>from the definition</w:t>
      </w:r>
      <w:r w:rsidR="004E30A1" w:rsidRPr="00A11230">
        <w:t xml:space="preserve"> </w:t>
      </w:r>
      <w:r w:rsidR="00A11230">
        <w:t xml:space="preserve">of ovarian cancer </w:t>
      </w:r>
      <w:r w:rsidR="00A11230" w:rsidRPr="00352BD0">
        <w:t>(high-risk stage 1</w:t>
      </w:r>
      <w:r w:rsidR="00A11230" w:rsidRPr="00123C3A">
        <w:t>; stages 2 to 4)</w:t>
      </w:r>
      <w:r w:rsidRPr="00123C3A">
        <w:t xml:space="preserve">? </w:t>
      </w:r>
    </w:p>
    <w:p w14:paraId="3948D2CE" w14:textId="65DE9510" w:rsidR="005F0D52" w:rsidRDefault="008714AA" w:rsidP="005F0D52">
      <w:pPr>
        <w:pStyle w:val="Bulletleft1"/>
        <w:numPr>
          <w:ilvl w:val="1"/>
          <w:numId w:val="6"/>
        </w:numPr>
        <w:tabs>
          <w:tab w:val="left" w:pos="284"/>
        </w:tabs>
      </w:pPr>
      <w:r>
        <w:t>s</w:t>
      </w:r>
      <w:r w:rsidR="00B73084">
        <w:t xml:space="preserve">hould the definition of surgery refer to ‘complete </w:t>
      </w:r>
      <w:r w:rsidR="00ED7804">
        <w:t>cytoreduction</w:t>
      </w:r>
      <w:r w:rsidR="00B73084">
        <w:t xml:space="preserve"> of macroscopic disease</w:t>
      </w:r>
      <w:r w:rsidR="00ED7804">
        <w:t xml:space="preserve">’?  </w:t>
      </w:r>
      <w:r w:rsidR="009E23A6" w:rsidRPr="009E23A6" w:rsidDel="009E23A6">
        <w:rPr>
          <w:strike/>
        </w:rPr>
        <w:t xml:space="preserve"> </w:t>
      </w:r>
    </w:p>
    <w:p w14:paraId="11C67659" w14:textId="1B03F879" w:rsidR="002440CA" w:rsidRDefault="002440CA" w:rsidP="005F0D52">
      <w:pPr>
        <w:pStyle w:val="Bulletleft1"/>
        <w:numPr>
          <w:ilvl w:val="1"/>
          <w:numId w:val="6"/>
        </w:numPr>
        <w:tabs>
          <w:tab w:val="left" w:pos="284"/>
        </w:tabs>
      </w:pPr>
      <w:r>
        <w:t>what is the impact of amending definitions of tumours and details of treatments on measurement?</w:t>
      </w:r>
    </w:p>
    <w:p w14:paraId="39CBF4E4" w14:textId="77777777" w:rsidR="005F0D52" w:rsidRDefault="005F0D52" w:rsidP="005F0D52">
      <w:pPr>
        <w:pStyle w:val="Heading4"/>
      </w:pPr>
      <w:r w:rsidRPr="00A65BD8">
        <w:t>For decision:</w:t>
      </w:r>
    </w:p>
    <w:p w14:paraId="607E9050" w14:textId="545D2163" w:rsidR="00123C3A" w:rsidRDefault="005F0D52" w:rsidP="005F0D52">
      <w:pPr>
        <w:pStyle w:val="Bulletleft1"/>
      </w:pPr>
      <w:r w:rsidRPr="00123C3A">
        <w:t xml:space="preserve">Should this quality statement remain in the quality standard? </w:t>
      </w:r>
      <w:r w:rsidR="004E30A1" w:rsidRPr="00123C3A">
        <w:t>If so, what amendments are needed?</w:t>
      </w:r>
    </w:p>
    <w:p w14:paraId="13D6B3DA" w14:textId="77777777" w:rsidR="00123C3A" w:rsidRDefault="00123C3A">
      <w:pPr>
        <w:rPr>
          <w:rFonts w:ascii="Arial" w:hAnsi="Arial"/>
        </w:rPr>
      </w:pPr>
      <w:r>
        <w:br w:type="page"/>
      </w:r>
    </w:p>
    <w:p w14:paraId="4AFDCBAB" w14:textId="42DB59C8" w:rsidR="005F0D52" w:rsidRDefault="005F0D52" w:rsidP="005F0D52">
      <w:pPr>
        <w:pStyle w:val="Numberedheading1"/>
        <w:numPr>
          <w:ilvl w:val="0"/>
          <w:numId w:val="1"/>
        </w:numPr>
      </w:pPr>
      <w:r w:rsidRPr="00914EA4">
        <w:lastRenderedPageBreak/>
        <w:t>Suggestions</w:t>
      </w:r>
      <w:r>
        <w:t xml:space="preserve"> for additional statements</w:t>
      </w:r>
    </w:p>
    <w:p w14:paraId="057B4D0B" w14:textId="77777777" w:rsidR="005F0D52" w:rsidRDefault="005F0D52" w:rsidP="005F0D52">
      <w:pPr>
        <w:pStyle w:val="NICEnormal"/>
      </w:pPr>
      <w:r w:rsidRPr="00FF1CC6">
        <w:t xml:space="preserve">The following is a summary of </w:t>
      </w:r>
      <w:r>
        <w:t>stakeholder suggestions for additional statements</w:t>
      </w:r>
      <w:r w:rsidRPr="00FF1CC6">
        <w:t>.</w:t>
      </w:r>
    </w:p>
    <w:p w14:paraId="24BB7EC0" w14:textId="77777777" w:rsidR="005F0D52" w:rsidRPr="00655682" w:rsidRDefault="005F0D52" w:rsidP="005F0D52">
      <w:pPr>
        <w:pStyle w:val="Heading3"/>
      </w:pPr>
      <w:r>
        <w:t xml:space="preserve">Access to holistic services </w:t>
      </w:r>
    </w:p>
    <w:p w14:paraId="47FA406D" w14:textId="219542F2" w:rsidR="005F0D52" w:rsidRDefault="00CC1E4D" w:rsidP="005F0D52">
      <w:pPr>
        <w:pStyle w:val="NICEnormal"/>
      </w:pPr>
      <w:bookmarkStart w:id="6" w:name="_Hlk178589661"/>
      <w:r>
        <w:t>It was noted that</w:t>
      </w:r>
      <w:r w:rsidR="005F0D52">
        <w:t xml:space="preserve"> access to holistic services (access to allied healthcare professionals was highlighted) is not covered by the quality standard.</w:t>
      </w:r>
    </w:p>
    <w:p w14:paraId="668663AC" w14:textId="77777777" w:rsidR="005F0D52" w:rsidRDefault="005F0D52" w:rsidP="005F0D52">
      <w:pPr>
        <w:pStyle w:val="NICEnormal"/>
      </w:pPr>
      <w:r>
        <w:t xml:space="preserve">Access to a clinical </w:t>
      </w:r>
      <w:bookmarkEnd w:id="6"/>
      <w:r>
        <w:t xml:space="preserve">nurse specialist was discussed at the first quality standards advisory committee meeting as a potential quality improvement area. </w:t>
      </w:r>
      <w:r w:rsidRPr="00655682">
        <w:t xml:space="preserve">The committee felt that this is addressed </w:t>
      </w:r>
      <w:r>
        <w:t xml:space="preserve">by </w:t>
      </w:r>
      <w:r w:rsidRPr="001F0623">
        <w:t>service specifications</w:t>
      </w:r>
      <w:r>
        <w:t>.</w:t>
      </w:r>
    </w:p>
    <w:p w14:paraId="3C8A1C95" w14:textId="77777777" w:rsidR="008670B2" w:rsidRDefault="008670B2" w:rsidP="005F0D52">
      <w:pPr>
        <w:pStyle w:val="Heading3"/>
      </w:pPr>
      <w:r>
        <w:t>Imaging</w:t>
      </w:r>
    </w:p>
    <w:p w14:paraId="46538742" w14:textId="1C898E22" w:rsidR="007928BB" w:rsidRDefault="005C59FD" w:rsidP="00754FCE">
      <w:pPr>
        <w:pStyle w:val="NICEnormal"/>
      </w:pPr>
      <w:r>
        <w:t xml:space="preserve">A range of priority areas for imaging, to support faster diagnosis, </w:t>
      </w:r>
      <w:r w:rsidR="007928BB">
        <w:t>was suggested:</w:t>
      </w:r>
    </w:p>
    <w:p w14:paraId="2771EE8D" w14:textId="77777777" w:rsidR="00994136" w:rsidRDefault="00994136" w:rsidP="00994136">
      <w:pPr>
        <w:pStyle w:val="Bulletleft1"/>
        <w:numPr>
          <w:ilvl w:val="0"/>
          <w:numId w:val="43"/>
        </w:numPr>
      </w:pPr>
      <w:r>
        <w:t xml:space="preserve">Define when to use </w:t>
      </w:r>
      <w:r w:rsidRPr="00754FCE">
        <w:t xml:space="preserve">MRI </w:t>
      </w:r>
      <w:r>
        <w:t xml:space="preserve">to characterise </w:t>
      </w:r>
      <w:r w:rsidRPr="00754FCE">
        <w:t>adnexal mass</w:t>
      </w:r>
      <w:r w:rsidRPr="008901B4">
        <w:t xml:space="preserve"> (a mass in the pelvis close to one or other side of the womb)</w:t>
      </w:r>
      <w:r>
        <w:t xml:space="preserve"> </w:t>
      </w:r>
      <w:r w:rsidRPr="00754FCE">
        <w:t>and what protocols to use.</w:t>
      </w:r>
    </w:p>
    <w:p w14:paraId="539B4882" w14:textId="106BDD9E" w:rsidR="00994136" w:rsidRDefault="003C2F94" w:rsidP="006742BF">
      <w:pPr>
        <w:pStyle w:val="Bulletleft1"/>
        <w:numPr>
          <w:ilvl w:val="0"/>
          <w:numId w:val="43"/>
        </w:numPr>
      </w:pPr>
      <w:r>
        <w:t>Consideration of ‘straight to CT’ in postmenopausal adults with:</w:t>
      </w:r>
    </w:p>
    <w:p w14:paraId="278EC765" w14:textId="77777777" w:rsidR="00994136" w:rsidRDefault="00994136" w:rsidP="00994136">
      <w:pPr>
        <w:pStyle w:val="Bulletleft1"/>
        <w:numPr>
          <w:ilvl w:val="0"/>
          <w:numId w:val="66"/>
        </w:numPr>
      </w:pPr>
      <w:r>
        <w:t>non-specific abdominal pain, bloating or change in bowel habit.</w:t>
      </w:r>
    </w:p>
    <w:p w14:paraId="66DC19A4" w14:textId="4DA0A4ED" w:rsidR="00994136" w:rsidRDefault="003C2F94" w:rsidP="00994136">
      <w:pPr>
        <w:pStyle w:val="Bulletleft1"/>
        <w:numPr>
          <w:ilvl w:val="0"/>
          <w:numId w:val="66"/>
        </w:numPr>
      </w:pPr>
      <w:r>
        <w:t>significantly raised CA125 (level to be determined)</w:t>
      </w:r>
    </w:p>
    <w:p w14:paraId="5DCF1300" w14:textId="77777777" w:rsidR="00F3604C" w:rsidRDefault="00F3604C" w:rsidP="006742BF">
      <w:pPr>
        <w:pStyle w:val="Bulletleft1"/>
        <w:numPr>
          <w:ilvl w:val="0"/>
          <w:numId w:val="0"/>
        </w:numPr>
        <w:ind w:left="720"/>
      </w:pPr>
    </w:p>
    <w:p w14:paraId="01EBFEDB" w14:textId="12ED8E50" w:rsidR="004D7C0F" w:rsidRDefault="005A4BBB" w:rsidP="00E50FF4">
      <w:pPr>
        <w:pStyle w:val="Bulletleft1"/>
        <w:numPr>
          <w:ilvl w:val="0"/>
          <w:numId w:val="0"/>
        </w:numPr>
      </w:pPr>
      <w:r>
        <w:t>S</w:t>
      </w:r>
      <w:r w:rsidRPr="005A4BBB">
        <w:t>uggestion 1 was raised at topic engagement and presented to the quality standards advisory committee</w:t>
      </w:r>
      <w:r w:rsidR="00EC4C2B">
        <w:t>;</w:t>
      </w:r>
      <w:r w:rsidRPr="005A4BBB">
        <w:t xml:space="preserve"> however it was not prioritised for inclusion in the quality standard.</w:t>
      </w:r>
    </w:p>
    <w:p w14:paraId="41118FF6" w14:textId="77777777" w:rsidR="008714AA" w:rsidRDefault="00E50FF4" w:rsidP="00710E40">
      <w:pPr>
        <w:pStyle w:val="Bulletleft1"/>
        <w:numPr>
          <w:ilvl w:val="0"/>
          <w:numId w:val="0"/>
        </w:numPr>
      </w:pPr>
      <w:r>
        <w:t>Regarding 2a, t</w:t>
      </w:r>
      <w:r w:rsidR="00994136">
        <w:t>he committee discussed strategies to support diagnosis at an early stage, noting during the discussion prevalence of non-specific symptoms</w:t>
      </w:r>
      <w:r w:rsidR="00D77876">
        <w:t>,</w:t>
      </w:r>
      <w:r w:rsidR="00994136">
        <w:t xml:space="preserve"> and </w:t>
      </w:r>
      <w:r w:rsidR="00D77876">
        <w:t xml:space="preserve">suggested </w:t>
      </w:r>
      <w:r w:rsidR="00994136">
        <w:t xml:space="preserve">a </w:t>
      </w:r>
      <w:r w:rsidR="00D77876">
        <w:t xml:space="preserve">statement </w:t>
      </w:r>
      <w:r w:rsidR="00994136">
        <w:t>on improving recognition of symptoms by the public and healthcare professionals but this was not progressed</w:t>
      </w:r>
      <w:r>
        <w:t>.</w:t>
      </w:r>
      <w:r w:rsidR="00994136">
        <w:t xml:space="preserve"> </w:t>
      </w:r>
    </w:p>
    <w:p w14:paraId="777496AC" w14:textId="77777777" w:rsidR="008714AA" w:rsidRDefault="008714AA" w:rsidP="00710E40">
      <w:pPr>
        <w:pStyle w:val="Bulletleft1"/>
        <w:numPr>
          <w:ilvl w:val="0"/>
          <w:numId w:val="0"/>
        </w:numPr>
      </w:pPr>
    </w:p>
    <w:p w14:paraId="0CBC3DCB" w14:textId="79CDF5B5" w:rsidR="005A4BBB" w:rsidRDefault="005A4BBB" w:rsidP="00EC4C2B">
      <w:pPr>
        <w:pStyle w:val="Bulletleft1"/>
        <w:numPr>
          <w:ilvl w:val="0"/>
          <w:numId w:val="0"/>
        </w:numPr>
      </w:pPr>
      <w:r>
        <w:t>2b was prioritised at the first quality standards advisory committee meeting. A statement was explored by NICE’s technical team after the meeting</w:t>
      </w:r>
      <w:r w:rsidR="00EC4C2B">
        <w:t>;</w:t>
      </w:r>
      <w:r>
        <w:t xml:space="preserve"> however it could not be progressed because supporting recommendations could not be identified.</w:t>
      </w:r>
    </w:p>
    <w:p w14:paraId="4CAAA1AA" w14:textId="322F23F2" w:rsidR="005F0D52" w:rsidRPr="003A5CFE" w:rsidRDefault="005F0D52" w:rsidP="005F0D52">
      <w:pPr>
        <w:pStyle w:val="Heading3"/>
      </w:pPr>
      <w:r>
        <w:lastRenderedPageBreak/>
        <w:t>New guidance / updated recommendations / research</w:t>
      </w:r>
    </w:p>
    <w:p w14:paraId="4908CAFA" w14:textId="2EB926FA" w:rsidR="005F0D52" w:rsidRDefault="005F0D52" w:rsidP="005F0D52">
      <w:pPr>
        <w:pStyle w:val="NICEnormal"/>
      </w:pPr>
      <w:r>
        <w:t xml:space="preserve">Stakeholders suggested new </w:t>
      </w:r>
      <w:r w:rsidR="008D4ACF">
        <w:t xml:space="preserve">or updated </w:t>
      </w:r>
      <w:r>
        <w:t xml:space="preserve">guidance </w:t>
      </w:r>
      <w:r w:rsidR="008D4ACF">
        <w:t xml:space="preserve">and research </w:t>
      </w:r>
      <w:r>
        <w:t>is needed in the following areas:</w:t>
      </w:r>
    </w:p>
    <w:p w14:paraId="715FB8F3" w14:textId="77777777" w:rsidR="005F0D52" w:rsidRPr="003A5CFE" w:rsidRDefault="005F0D52" w:rsidP="005F0D52">
      <w:pPr>
        <w:pStyle w:val="Bulletleft1"/>
      </w:pPr>
      <w:r>
        <w:t>Guidance</w:t>
      </w:r>
      <w:r w:rsidRPr="003A5CFE">
        <w:t xml:space="preserve"> on follow-up after fertility-preserving surgery. </w:t>
      </w:r>
    </w:p>
    <w:p w14:paraId="5380FE09" w14:textId="5A2501DD" w:rsidR="00B008BC" w:rsidRDefault="005F0D52" w:rsidP="005F0D52">
      <w:pPr>
        <w:pStyle w:val="Bulletleft1"/>
      </w:pPr>
      <w:r>
        <w:t xml:space="preserve">Incorporation of the principles of person-centred care and access to holistic services (access to allied healthcare professionals; prerehabilitation, rehabilitation) in NICE’s guidance on gynaecology. </w:t>
      </w:r>
    </w:p>
    <w:p w14:paraId="16F02BF3" w14:textId="34019368" w:rsidR="00B008BC" w:rsidRDefault="008D4ACF" w:rsidP="006742BF">
      <w:pPr>
        <w:pStyle w:val="Bulletleft1"/>
      </w:pPr>
      <w:r>
        <w:t>U</w:t>
      </w:r>
      <w:r w:rsidR="007F3D33">
        <w:t xml:space="preserve">pdate </w:t>
      </w:r>
      <w:r>
        <w:t xml:space="preserve">to </w:t>
      </w:r>
      <w:r w:rsidR="007F3D33">
        <w:t xml:space="preserve">NICE’s guideline on ovarian cancer to align with more recent </w:t>
      </w:r>
      <w:r w:rsidR="00B008BC">
        <w:t xml:space="preserve">non-NICE </w:t>
      </w:r>
      <w:r w:rsidR="007F3D33">
        <w:t>guidance</w:t>
      </w:r>
      <w:r w:rsidR="00697D7D">
        <w:t>.</w:t>
      </w:r>
    </w:p>
    <w:p w14:paraId="2201F179" w14:textId="54EE13E7" w:rsidR="005F0D52" w:rsidRPr="00655682" w:rsidRDefault="008D4ACF" w:rsidP="006742BF">
      <w:pPr>
        <w:pStyle w:val="Bulletleft1last"/>
        <w:tabs>
          <w:tab w:val="clear" w:pos="568"/>
        </w:tabs>
        <w:ind w:left="284"/>
      </w:pPr>
      <w:r>
        <w:t>R</w:t>
      </w:r>
      <w:r w:rsidR="005F0D52" w:rsidRPr="008977B9">
        <w:t>esearch on</w:t>
      </w:r>
      <w:r w:rsidR="005F0D52">
        <w:t xml:space="preserve"> the outcome of screening all women age over 40 registered as being affected by a learning disability or neurodiversity</w:t>
      </w:r>
      <w:r w:rsidR="00070375">
        <w:t xml:space="preserve"> </w:t>
      </w:r>
      <w:r w:rsidR="005F0D52">
        <w:t>presenting with abdominal symptoms or signs not evidently linked to ovarian or gastrointestinal malignancy</w:t>
      </w:r>
      <w:r w:rsidR="00B008BC">
        <w:t>.</w:t>
      </w:r>
      <w:r w:rsidR="005F0D52">
        <w:t xml:space="preserve"> </w:t>
      </w:r>
    </w:p>
    <w:p w14:paraId="3F99668E" w14:textId="551D25CD" w:rsidR="005F0D52" w:rsidRPr="00F97F5A" w:rsidRDefault="005F0D52" w:rsidP="005F0D52">
      <w:pPr>
        <w:pStyle w:val="NICEnormal"/>
      </w:pPr>
      <w:r>
        <w:t>A</w:t>
      </w:r>
      <w:r w:rsidRPr="00F97F5A">
        <w:t>dditional guidance</w:t>
      </w:r>
      <w:r>
        <w:t xml:space="preserve">, </w:t>
      </w:r>
      <w:r w:rsidRPr="00F97F5A">
        <w:t xml:space="preserve">the updating of recommendations in NICE guidance </w:t>
      </w:r>
      <w:r>
        <w:t xml:space="preserve">and recommendations for research </w:t>
      </w:r>
      <w:r w:rsidRPr="00F97F5A">
        <w:t xml:space="preserve">are outside of the remit of quality standards. </w:t>
      </w:r>
      <w:r w:rsidRPr="00B2440C">
        <w:t xml:space="preserve">Suggestions for additional guidance will be passed </w:t>
      </w:r>
      <w:r w:rsidR="00E45620" w:rsidRPr="00E45620">
        <w:t xml:space="preserve">to our </w:t>
      </w:r>
      <w:r w:rsidR="00E45620">
        <w:t>S</w:t>
      </w:r>
      <w:r w:rsidR="00E45620" w:rsidRPr="00E45620">
        <w:t>urveillance and Topic Intelligence Team who support the delivery of topic prioritisation across NICE</w:t>
      </w:r>
    </w:p>
    <w:p w14:paraId="6BB5AFB7" w14:textId="77777777" w:rsidR="008670B2" w:rsidRPr="00655682" w:rsidRDefault="008670B2" w:rsidP="008670B2">
      <w:pPr>
        <w:pStyle w:val="Heading3"/>
      </w:pPr>
      <w:r w:rsidRPr="00655682">
        <w:t>People’s experience</w:t>
      </w:r>
      <w:r>
        <w:t xml:space="preserve"> (principles of person-centered care)</w:t>
      </w:r>
    </w:p>
    <w:p w14:paraId="6309346D" w14:textId="77777777" w:rsidR="00070375" w:rsidRDefault="008670B2" w:rsidP="008670B2">
      <w:pPr>
        <w:pStyle w:val="NICEnormal"/>
      </w:pPr>
      <w:r w:rsidRPr="00655682">
        <w:t xml:space="preserve">Areas relating to the experience of </w:t>
      </w:r>
      <w:r>
        <w:t>adults with ovarian cancer on the cancer pathway (specifically, person-centred care)</w:t>
      </w:r>
      <w:r w:rsidRPr="00655682">
        <w:t xml:space="preserve"> were suggested by stakeholders</w:t>
      </w:r>
      <w:r w:rsidR="00070375">
        <w:t>.</w:t>
      </w:r>
      <w:r w:rsidRPr="00655682">
        <w:t xml:space="preserve"> </w:t>
      </w:r>
    </w:p>
    <w:p w14:paraId="3422FB7D" w14:textId="7B5E0AAB" w:rsidR="008670B2" w:rsidRDefault="008670B2" w:rsidP="008670B2">
      <w:pPr>
        <w:pStyle w:val="NICEnormal"/>
      </w:pPr>
      <w:r w:rsidRPr="00655682">
        <w:t xml:space="preserve">These suggestions have not been progressed as they are included in </w:t>
      </w:r>
      <w:hyperlink r:id="rId15" w:history="1">
        <w:r w:rsidRPr="00655682">
          <w:rPr>
            <w:rStyle w:val="Hyperlink"/>
          </w:rPr>
          <w:t>NICE’s quality standard on patient experience in adult NHS services</w:t>
        </w:r>
      </w:hyperlink>
      <w:r w:rsidRPr="00655682">
        <w:t xml:space="preserve"> (QS15). </w:t>
      </w:r>
    </w:p>
    <w:p w14:paraId="7B0026E1" w14:textId="77777777" w:rsidR="005F0D52" w:rsidRDefault="005F0D52" w:rsidP="004E30A1">
      <w:pPr>
        <w:pStyle w:val="Heading3"/>
      </w:pPr>
      <w:r>
        <w:t xml:space="preserve">Prerehabilitation </w:t>
      </w:r>
    </w:p>
    <w:p w14:paraId="4FE08903" w14:textId="77777777" w:rsidR="005F0D52" w:rsidRDefault="005F0D52" w:rsidP="005F0D52">
      <w:pPr>
        <w:pStyle w:val="NICEnormal"/>
      </w:pPr>
      <w:r>
        <w:t>A stakeholder commented that prerehabilitation and rehabilitation are important parts of the cancer pathway, and suggested including a statement on prehabilitation.</w:t>
      </w:r>
    </w:p>
    <w:p w14:paraId="73F51AEB" w14:textId="511BA143" w:rsidR="005F0D52" w:rsidRPr="00655682" w:rsidRDefault="005F0D52" w:rsidP="005F0D52">
      <w:pPr>
        <w:pStyle w:val="NICEnormal"/>
      </w:pPr>
      <w:r>
        <w:t>Prerehabilitation was discussed at the first quality standards advisory committee meeting</w:t>
      </w:r>
      <w:r w:rsidR="005A4BBB">
        <w:t xml:space="preserve"> but this area was not prioritised</w:t>
      </w:r>
      <w:r>
        <w:t xml:space="preserve">. </w:t>
      </w:r>
    </w:p>
    <w:p w14:paraId="096591FB" w14:textId="265C2FAD" w:rsidR="006B4135" w:rsidRDefault="00B63ECB" w:rsidP="00B63ECB">
      <w:pPr>
        <w:rPr>
          <w:rStyle w:val="NICEnormalChar"/>
        </w:rPr>
      </w:pPr>
      <w:r w:rsidRPr="00EA3805">
        <w:rPr>
          <w:rStyle w:val="NICEnormalChar"/>
        </w:rPr>
        <w:t xml:space="preserve">© NICE </w:t>
      </w:r>
      <w:r w:rsidR="00655682">
        <w:rPr>
          <w:rStyle w:val="NICEnormalChar"/>
        </w:rPr>
        <w:t>202</w:t>
      </w:r>
      <w:r w:rsidR="00657FFE">
        <w:rPr>
          <w:rStyle w:val="NICEnormalChar"/>
        </w:rPr>
        <w:t>5</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16" w:anchor="notice-of-rights" w:history="1">
        <w:r w:rsidR="00DD5706">
          <w:rPr>
            <w:rStyle w:val="Hyperlink"/>
            <w:rFonts w:ascii="Arial" w:hAnsi="Arial" w:cs="Arial"/>
          </w:rPr>
          <w:t>Notice of rights</w:t>
        </w:r>
      </w:hyperlink>
      <w:r w:rsidRPr="00EA3805">
        <w:rPr>
          <w:rStyle w:val="NICEnormalChar"/>
        </w:rPr>
        <w:t>.</w:t>
      </w:r>
    </w:p>
    <w:p w14:paraId="189E0ED2" w14:textId="77777777" w:rsidR="006B4135" w:rsidRDefault="006B4135">
      <w:pPr>
        <w:rPr>
          <w:rStyle w:val="NICEnormalChar"/>
        </w:rPr>
      </w:pPr>
      <w:r>
        <w:rPr>
          <w:rStyle w:val="NICEnormalChar"/>
        </w:rPr>
        <w:br w:type="page"/>
      </w:r>
    </w:p>
    <w:p w14:paraId="17C9C8B2" w14:textId="77777777" w:rsidR="00B63ECB" w:rsidRPr="0001392D" w:rsidRDefault="00B63ECB" w:rsidP="00DE6F78">
      <w:pPr>
        <w:pStyle w:val="Paragraph"/>
        <w:sectPr w:rsidR="00B63ECB" w:rsidRPr="0001392D" w:rsidSect="0037542E">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33252643" w14:textId="22F6AC2F" w:rsidR="00DE6F78" w:rsidRPr="00660F4E" w:rsidRDefault="00DE6F78" w:rsidP="00DE6F78">
      <w:pPr>
        <w:pStyle w:val="Heading1"/>
      </w:pPr>
      <w:bookmarkStart w:id="7" w:name="_Toc357694781"/>
      <w:r w:rsidRPr="00FC11EC">
        <w:lastRenderedPageBreak/>
        <w:t>Appendix</w:t>
      </w:r>
      <w:r>
        <w:t xml:space="preserve">: </w:t>
      </w:r>
      <w:bookmarkEnd w:id="7"/>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4658CD30"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297"/>
        <w:gridCol w:w="1672"/>
        <w:gridCol w:w="10632"/>
      </w:tblGrid>
      <w:tr w:rsidR="00DE6F78" w:rsidRPr="00660F4E" w14:paraId="49981DF1" w14:textId="77777777" w:rsidTr="001C12DF">
        <w:trPr>
          <w:tblHeader/>
        </w:trPr>
        <w:tc>
          <w:tcPr>
            <w:tcW w:w="675" w:type="dxa"/>
            <w:shd w:val="clear" w:color="auto" w:fill="E6E6E6"/>
          </w:tcPr>
          <w:p w14:paraId="57C475D0" w14:textId="77777777" w:rsidR="00DE6F78" w:rsidRPr="00660F4E" w:rsidRDefault="00DE6F78" w:rsidP="006B4135">
            <w:pPr>
              <w:pStyle w:val="Tabletitle"/>
            </w:pPr>
            <w:r w:rsidRPr="00660F4E">
              <w:t>ID</w:t>
            </w:r>
          </w:p>
        </w:tc>
        <w:tc>
          <w:tcPr>
            <w:tcW w:w="2297" w:type="dxa"/>
            <w:shd w:val="clear" w:color="auto" w:fill="E6E6E6"/>
          </w:tcPr>
          <w:p w14:paraId="26E8A26D" w14:textId="77777777" w:rsidR="00DE6F78" w:rsidRPr="00660F4E" w:rsidRDefault="00DE6F78" w:rsidP="006B4135">
            <w:pPr>
              <w:pStyle w:val="Tabletitle"/>
            </w:pPr>
            <w:r w:rsidRPr="00660F4E">
              <w:t>Stakeholder</w:t>
            </w:r>
          </w:p>
        </w:tc>
        <w:tc>
          <w:tcPr>
            <w:tcW w:w="1672" w:type="dxa"/>
            <w:shd w:val="clear" w:color="auto" w:fill="E6E6E6"/>
          </w:tcPr>
          <w:p w14:paraId="45ABFEB9" w14:textId="77777777" w:rsidR="00DE6F78" w:rsidRPr="00660F4E" w:rsidRDefault="00E356FB" w:rsidP="006B4135">
            <w:pPr>
              <w:pStyle w:val="Tabletitle"/>
            </w:pPr>
            <w:r>
              <w:t>S</w:t>
            </w:r>
            <w:r w:rsidR="0078571B">
              <w:t>ection</w:t>
            </w:r>
          </w:p>
        </w:tc>
        <w:tc>
          <w:tcPr>
            <w:tcW w:w="10632" w:type="dxa"/>
            <w:shd w:val="clear" w:color="auto" w:fill="E6E6E6"/>
          </w:tcPr>
          <w:p w14:paraId="7257D1DA" w14:textId="77777777" w:rsidR="00DE6F78" w:rsidRPr="00660F4E" w:rsidRDefault="00DE6F78" w:rsidP="006B4135">
            <w:pPr>
              <w:pStyle w:val="Tabletitle"/>
            </w:pPr>
            <w:r w:rsidRPr="00660F4E">
              <w:t>Comments</w:t>
            </w:r>
          </w:p>
          <w:p w14:paraId="2E1A7F73" w14:textId="39CAB7D3" w:rsidR="00DE6F78" w:rsidRPr="00660F4E" w:rsidRDefault="00DE6F78" w:rsidP="006B4135">
            <w:pPr>
              <w:pStyle w:val="Tabletitle"/>
            </w:pPr>
          </w:p>
        </w:tc>
      </w:tr>
      <w:tr w:rsidR="007110A7" w:rsidRPr="00660F4E" w14:paraId="22064351" w14:textId="77777777" w:rsidTr="001C12DF">
        <w:tc>
          <w:tcPr>
            <w:tcW w:w="675" w:type="dxa"/>
          </w:tcPr>
          <w:p w14:paraId="6BC1851C" w14:textId="77777777" w:rsidR="007110A7" w:rsidRPr="00660F4E" w:rsidRDefault="007110A7" w:rsidP="007110A7">
            <w:pPr>
              <w:pStyle w:val="TableText1"/>
            </w:pPr>
            <w:r>
              <w:t>1</w:t>
            </w:r>
          </w:p>
        </w:tc>
        <w:tc>
          <w:tcPr>
            <w:tcW w:w="2297" w:type="dxa"/>
          </w:tcPr>
          <w:p w14:paraId="2E7C3E94" w14:textId="24A70E1B" w:rsidR="007110A7" w:rsidRPr="007110A7" w:rsidRDefault="007110A7" w:rsidP="007110A7">
            <w:pPr>
              <w:pStyle w:val="TableText1"/>
            </w:pPr>
            <w:r w:rsidRPr="007110A7">
              <w:rPr>
                <w:rFonts w:cs="Arial"/>
                <w:bCs/>
              </w:rPr>
              <w:t>British Gynaecological Cancer Society</w:t>
            </w:r>
          </w:p>
        </w:tc>
        <w:tc>
          <w:tcPr>
            <w:tcW w:w="1672" w:type="dxa"/>
          </w:tcPr>
          <w:p w14:paraId="2A5871E1" w14:textId="77777777" w:rsidR="007110A7" w:rsidRPr="007110A7" w:rsidRDefault="007110A7" w:rsidP="0023487E">
            <w:pPr>
              <w:pStyle w:val="TableText1"/>
              <w:rPr>
                <w:rFonts w:cs="Arial"/>
                <w:b/>
                <w:bCs/>
              </w:rPr>
            </w:pPr>
            <w:r w:rsidRPr="007110A7">
              <w:rPr>
                <w:rFonts w:cs="Arial"/>
                <w:b/>
                <w:bCs/>
              </w:rPr>
              <w:t>General comments</w:t>
            </w:r>
          </w:p>
          <w:p w14:paraId="1E157D50" w14:textId="77777777" w:rsidR="007110A7" w:rsidRPr="007110A7" w:rsidRDefault="007110A7" w:rsidP="0023487E">
            <w:pPr>
              <w:pStyle w:val="TableText1"/>
              <w:rPr>
                <w:rFonts w:cs="Arial"/>
              </w:rPr>
            </w:pPr>
          </w:p>
          <w:p w14:paraId="6F797A45" w14:textId="7CD8CE3D" w:rsidR="007110A7" w:rsidRPr="007110A7" w:rsidRDefault="007110A7" w:rsidP="007110A7">
            <w:pPr>
              <w:pStyle w:val="TableText1"/>
            </w:pPr>
            <w:r w:rsidRPr="0023487E">
              <w:rPr>
                <w:rFonts w:cs="Arial"/>
              </w:rPr>
              <w:t>General</w:t>
            </w:r>
          </w:p>
        </w:tc>
        <w:tc>
          <w:tcPr>
            <w:tcW w:w="10632" w:type="dxa"/>
          </w:tcPr>
          <w:p w14:paraId="4C75F1B0" w14:textId="77777777" w:rsidR="007110A7" w:rsidRPr="007110A7" w:rsidRDefault="007110A7" w:rsidP="0023487E">
            <w:pPr>
              <w:pStyle w:val="TableText1"/>
              <w:rPr>
                <w:rFonts w:cs="Arial"/>
                <w:szCs w:val="20"/>
              </w:rPr>
            </w:pPr>
            <w:r w:rsidRPr="007110A7">
              <w:rPr>
                <w:rFonts w:cs="Arial"/>
                <w:szCs w:val="20"/>
              </w:rPr>
              <w:t xml:space="preserve">Thank you for adding ‘women’ back to the document, albeit in about one place, given most people with a diagnosis of ovarian cancer no longer have ovaries shortly after their diagnosis.  Use of non-sexed language can be incredibly distressing to many women with ovarian cancer, due to loss of fertility and sense of femininity, for women of any age after hysterectomy/oophorectomy.  This is compounded by a sudden surgical menopause. Not them referring the vast majority of those with ovarian cancer as women risks adding to this distress.  </w:t>
            </w:r>
            <w:r w:rsidRPr="0023487E">
              <w:rPr>
                <w:rFonts w:cs="Arial"/>
                <w:szCs w:val="20"/>
              </w:rPr>
              <w:t>It would be more appropriate to use the terms women throughout the document, rather than people/adult</w:t>
            </w:r>
            <w:r w:rsidRPr="007110A7">
              <w:rPr>
                <w:rFonts w:cs="Arial"/>
                <w:szCs w:val="20"/>
              </w:rPr>
              <w:t xml:space="preserve">s. 50% of adults are not at risk of ovarian cancer, because they are male.  I note that NICE guidelines from prostate cancer still refer to people with prostate cancer as men and I am uncomfortable with the erasure of women as a term in women’s healthcare.  However, it is important to acknowledge that it is not only women for whom it is necessary to access women’s health and reproductive services to maintain their gynaecological health and reproductive wellbeing. Gynaecological services and delivery of care must therefore be appropriate, inclusive and sensitive to the needs of those individuals whose gender identity does not align with the sex they were assigned at birth.  Using initially inclusive statements then mainly ‘women’ is in line with guidance from the Royal College of Obstetricians and </w:t>
            </w:r>
            <w:proofErr w:type="spellStart"/>
            <w:r w:rsidRPr="007110A7">
              <w:rPr>
                <w:rFonts w:cs="Arial"/>
                <w:szCs w:val="20"/>
              </w:rPr>
              <w:t>Gynaecologists</w:t>
            </w:r>
            <w:proofErr w:type="spellEnd"/>
            <w:r w:rsidRPr="007110A7">
              <w:rPr>
                <w:rFonts w:cs="Arial"/>
                <w:szCs w:val="20"/>
              </w:rPr>
              <w:t>, would seem more appropriate and in line with male-specific NICE documents.</w:t>
            </w:r>
          </w:p>
          <w:p w14:paraId="63C5D144" w14:textId="77777777" w:rsidR="007110A7" w:rsidRPr="007110A7" w:rsidRDefault="007110A7" w:rsidP="0023487E">
            <w:pPr>
              <w:pStyle w:val="TableText1"/>
              <w:rPr>
                <w:rFonts w:cs="Arial"/>
                <w:szCs w:val="20"/>
              </w:rPr>
            </w:pPr>
          </w:p>
          <w:p w14:paraId="247E72C9" w14:textId="016C2EF4" w:rsidR="007110A7" w:rsidRPr="007110A7" w:rsidRDefault="007110A7" w:rsidP="007110A7">
            <w:pPr>
              <w:pStyle w:val="TableText1"/>
            </w:pPr>
            <w:r w:rsidRPr="007110A7">
              <w:rPr>
                <w:rFonts w:cs="Arial"/>
              </w:rPr>
              <w:t xml:space="preserve">This is because exclusive use of gender-neutral terms can make health-related information more difficult to understand and risks discriminating against those with lower health literacy, socio-economic status, educational attainment or intellectual disability, those with English not as their first language, and those from conservative religious backgrounds, thereby acting to exclude more people, especially those from vulnerable groups [Gribble KD, Bewley S, Bartick MC, Mathisen R, Walker S, Gamble J, Bergman NJ, Gupta A, Hocking JJ, Dahlen HG. Effective Communication About Pregnancy, Birth, Lactation, Breastfeeding and Newborn Care: The Importance of Sexed Language. Front. Glob. </w:t>
            </w:r>
            <w:proofErr w:type="spellStart"/>
            <w:r w:rsidRPr="007110A7">
              <w:rPr>
                <w:rFonts w:cs="Arial"/>
              </w:rPr>
              <w:t>Womens</w:t>
            </w:r>
            <w:proofErr w:type="spellEnd"/>
            <w:r w:rsidRPr="007110A7">
              <w:rPr>
                <w:rFonts w:cs="Arial"/>
              </w:rPr>
              <w:t xml:space="preserve"> Health </w:t>
            </w:r>
            <w:proofErr w:type="gramStart"/>
            <w:r w:rsidRPr="007110A7">
              <w:rPr>
                <w:rFonts w:cs="Arial"/>
              </w:rPr>
              <w:t>2022;3:818856</w:t>
            </w:r>
            <w:proofErr w:type="gramEnd"/>
            <w:r w:rsidRPr="007110A7">
              <w:rPr>
                <w:rFonts w:cs="Arial"/>
              </w:rPr>
              <w:t>.]</w:t>
            </w:r>
          </w:p>
        </w:tc>
      </w:tr>
      <w:tr w:rsidR="007110A7" w:rsidRPr="00660F4E" w14:paraId="058AB364" w14:textId="77777777" w:rsidTr="001C12DF">
        <w:tc>
          <w:tcPr>
            <w:tcW w:w="675" w:type="dxa"/>
          </w:tcPr>
          <w:p w14:paraId="61735933" w14:textId="1D328E01" w:rsidR="007110A7" w:rsidRDefault="009E50E1" w:rsidP="007110A7">
            <w:pPr>
              <w:pStyle w:val="TableText1"/>
            </w:pPr>
            <w:r>
              <w:t>2</w:t>
            </w:r>
          </w:p>
        </w:tc>
        <w:tc>
          <w:tcPr>
            <w:tcW w:w="2297" w:type="dxa"/>
          </w:tcPr>
          <w:p w14:paraId="2131E7AD" w14:textId="207679A6" w:rsidR="007110A7" w:rsidRPr="007110A7" w:rsidRDefault="007110A7" w:rsidP="007110A7">
            <w:pPr>
              <w:pStyle w:val="TableText1"/>
            </w:pPr>
            <w:r w:rsidRPr="0023487E">
              <w:t xml:space="preserve">British Society of Urogenital Radiology </w:t>
            </w:r>
          </w:p>
        </w:tc>
        <w:tc>
          <w:tcPr>
            <w:tcW w:w="1672" w:type="dxa"/>
          </w:tcPr>
          <w:p w14:paraId="41C9A6F6" w14:textId="77777777" w:rsidR="007110A7" w:rsidRPr="0023487E" w:rsidRDefault="007110A7" w:rsidP="0023487E">
            <w:pPr>
              <w:pStyle w:val="TableText1"/>
              <w:rPr>
                <w:b/>
              </w:rPr>
            </w:pPr>
            <w:r w:rsidRPr="0023487E">
              <w:rPr>
                <w:b/>
              </w:rPr>
              <w:t>General</w:t>
            </w:r>
          </w:p>
          <w:p w14:paraId="70170F2B" w14:textId="77777777" w:rsidR="007110A7" w:rsidRPr="0023487E" w:rsidRDefault="007110A7" w:rsidP="0023487E">
            <w:pPr>
              <w:pStyle w:val="TableText1"/>
            </w:pPr>
          </w:p>
          <w:p w14:paraId="12918BC7" w14:textId="3FADE2BA" w:rsidR="007110A7" w:rsidRPr="007110A7" w:rsidRDefault="007110A7" w:rsidP="007110A7">
            <w:pPr>
              <w:pStyle w:val="TableText1"/>
              <w:rPr>
                <w:b/>
              </w:rPr>
            </w:pPr>
            <w:r w:rsidRPr="0023487E">
              <w:t>General</w:t>
            </w:r>
          </w:p>
        </w:tc>
        <w:tc>
          <w:tcPr>
            <w:tcW w:w="10632" w:type="dxa"/>
          </w:tcPr>
          <w:p w14:paraId="74AC000C" w14:textId="0CDFC806" w:rsidR="007110A7" w:rsidRPr="007110A7" w:rsidRDefault="007110A7" w:rsidP="007110A7">
            <w:pPr>
              <w:pStyle w:val="TableText1"/>
            </w:pPr>
            <w:r w:rsidRPr="0023487E">
              <w:t>A general point - they refer to stage but do not state which staging system. Presume FIGO but this needs to be specified</w:t>
            </w:r>
          </w:p>
        </w:tc>
      </w:tr>
      <w:tr w:rsidR="007110A7" w:rsidRPr="00660F4E" w14:paraId="3BECF8FF" w14:textId="77777777" w:rsidTr="001C12DF">
        <w:tc>
          <w:tcPr>
            <w:tcW w:w="675" w:type="dxa"/>
          </w:tcPr>
          <w:p w14:paraId="1725229A" w14:textId="5AE2D9D4" w:rsidR="007110A7" w:rsidRDefault="009E50E1" w:rsidP="007110A7">
            <w:pPr>
              <w:pStyle w:val="TableText1"/>
            </w:pPr>
            <w:r>
              <w:t>3</w:t>
            </w:r>
          </w:p>
        </w:tc>
        <w:tc>
          <w:tcPr>
            <w:tcW w:w="2297" w:type="dxa"/>
          </w:tcPr>
          <w:p w14:paraId="06AD23BF" w14:textId="07D90702" w:rsidR="007110A7" w:rsidRPr="007110A7" w:rsidRDefault="007110A7" w:rsidP="007110A7">
            <w:pPr>
              <w:pStyle w:val="TableText1"/>
            </w:pPr>
            <w:r w:rsidRPr="0023487E">
              <w:rPr>
                <w:rFonts w:cs="Arial"/>
                <w:bCs/>
              </w:rPr>
              <w:t xml:space="preserve">British Society of Urogenital Radiology </w:t>
            </w:r>
          </w:p>
        </w:tc>
        <w:tc>
          <w:tcPr>
            <w:tcW w:w="1672" w:type="dxa"/>
          </w:tcPr>
          <w:p w14:paraId="5CD40E04" w14:textId="77777777" w:rsidR="00212156" w:rsidRPr="008D2D7E" w:rsidRDefault="00212156" w:rsidP="00212156">
            <w:pPr>
              <w:pStyle w:val="TableText1"/>
              <w:rPr>
                <w:b/>
                <w:bCs/>
              </w:rPr>
            </w:pPr>
            <w:r>
              <w:rPr>
                <w:b/>
                <w:bCs/>
              </w:rPr>
              <w:t>General</w:t>
            </w:r>
          </w:p>
          <w:p w14:paraId="6E740E99" w14:textId="77777777" w:rsidR="007110A7" w:rsidRPr="0023487E" w:rsidRDefault="007110A7" w:rsidP="007110A7">
            <w:pPr>
              <w:rPr>
                <w:rFonts w:cs="Arial"/>
                <w:sz w:val="20"/>
              </w:rPr>
            </w:pPr>
          </w:p>
          <w:p w14:paraId="3B4119E6" w14:textId="7561050E" w:rsidR="007110A7" w:rsidRPr="007110A7" w:rsidRDefault="007110A7" w:rsidP="007110A7">
            <w:pPr>
              <w:pStyle w:val="TableText1"/>
              <w:rPr>
                <w:b/>
                <w:bCs/>
              </w:rPr>
            </w:pPr>
            <w:r w:rsidRPr="0023487E">
              <w:rPr>
                <w:rFonts w:cs="Arial"/>
              </w:rPr>
              <w:t>General</w:t>
            </w:r>
          </w:p>
        </w:tc>
        <w:tc>
          <w:tcPr>
            <w:tcW w:w="10632" w:type="dxa"/>
          </w:tcPr>
          <w:p w14:paraId="260BE57F" w14:textId="77777777" w:rsidR="007110A7" w:rsidRPr="0023487E" w:rsidRDefault="007110A7" w:rsidP="0023487E">
            <w:pPr>
              <w:pStyle w:val="TableText1"/>
            </w:pPr>
            <w:r w:rsidRPr="0023487E">
              <w:t>Priority areas from an imaging point of view as follows - </w:t>
            </w:r>
          </w:p>
          <w:p w14:paraId="4D893B25" w14:textId="61046BFC" w:rsidR="007110A7" w:rsidRDefault="007110A7" w:rsidP="007110A7">
            <w:pPr>
              <w:pStyle w:val="TableText1"/>
              <w:numPr>
                <w:ilvl w:val="0"/>
                <w:numId w:val="61"/>
              </w:numPr>
            </w:pPr>
            <w:r w:rsidRPr="0023487E">
              <w:t xml:space="preserve">Supporting measures to enable faster diagnosis in line with GIRFT principles </w:t>
            </w:r>
            <w:r>
              <w:t>–</w:t>
            </w:r>
            <w:r w:rsidRPr="0023487E">
              <w:t> </w:t>
            </w:r>
          </w:p>
          <w:p w14:paraId="291919B0" w14:textId="77777777" w:rsidR="007110A7" w:rsidRDefault="007110A7" w:rsidP="007110A7">
            <w:pPr>
              <w:pStyle w:val="TableText1"/>
              <w:numPr>
                <w:ilvl w:val="0"/>
                <w:numId w:val="61"/>
              </w:numPr>
            </w:pPr>
            <w:r w:rsidRPr="0023487E">
              <w:t>wider access to US imaging and skilled sonographer/radiologist workforce</w:t>
            </w:r>
          </w:p>
          <w:p w14:paraId="12E7343A" w14:textId="77777777" w:rsidR="007110A7" w:rsidRDefault="007110A7" w:rsidP="007110A7">
            <w:pPr>
              <w:pStyle w:val="TableText1"/>
              <w:numPr>
                <w:ilvl w:val="0"/>
                <w:numId w:val="61"/>
              </w:numPr>
            </w:pPr>
            <w:r w:rsidRPr="0023487E">
              <w:lastRenderedPageBreak/>
              <w:t xml:space="preserve">US reports to use a common language and minimum reporting standard - e.g. O-RADS for US (preferred) or IOTA </w:t>
            </w:r>
            <w:proofErr w:type="spellStart"/>
            <w:r w:rsidRPr="0023487E">
              <w:t>Adnex</w:t>
            </w:r>
            <w:proofErr w:type="spellEnd"/>
            <w:r w:rsidRPr="0023487E">
              <w:t xml:space="preserve"> reporting lexicon - to enable the next most appropriate test/management/follow up to be arranged after US</w:t>
            </w:r>
          </w:p>
          <w:p w14:paraId="35B77333" w14:textId="77777777" w:rsidR="007110A7" w:rsidRDefault="007110A7" w:rsidP="007110A7">
            <w:pPr>
              <w:pStyle w:val="TableText1"/>
              <w:numPr>
                <w:ilvl w:val="0"/>
                <w:numId w:val="61"/>
              </w:numPr>
            </w:pPr>
            <w:r w:rsidRPr="0023487E">
              <w:t xml:space="preserve">consider straight to CT if </w:t>
            </w:r>
            <w:proofErr w:type="spellStart"/>
            <w:r w:rsidRPr="0023487E">
              <w:t>post menopausal</w:t>
            </w:r>
            <w:proofErr w:type="spellEnd"/>
            <w:r w:rsidRPr="0023487E">
              <w:t xml:space="preserve"> and significantly raised Ca 125 - levels to be defined</w:t>
            </w:r>
          </w:p>
          <w:p w14:paraId="34EF5BCB" w14:textId="77777777" w:rsidR="007110A7" w:rsidRDefault="007110A7" w:rsidP="007110A7">
            <w:pPr>
              <w:pStyle w:val="TableText1"/>
              <w:numPr>
                <w:ilvl w:val="0"/>
                <w:numId w:val="61"/>
              </w:numPr>
            </w:pPr>
            <w:r w:rsidRPr="0023487E">
              <w:t>consider if straight to CT if postmenopausal presenting with non-specific abdo pain/bloating/CIBH </w:t>
            </w:r>
            <w:r>
              <w:t xml:space="preserve"> </w:t>
            </w:r>
          </w:p>
          <w:p w14:paraId="2B516294" w14:textId="77777777" w:rsidR="007110A7" w:rsidRDefault="007110A7" w:rsidP="007110A7">
            <w:pPr>
              <w:pStyle w:val="TableText1"/>
              <w:numPr>
                <w:ilvl w:val="0"/>
                <w:numId w:val="61"/>
              </w:numPr>
            </w:pPr>
            <w:r w:rsidRPr="0023487E">
              <w:t>to reduce geographic/</w:t>
            </w:r>
            <w:proofErr w:type="gramStart"/>
            <w:r w:rsidRPr="0023487E">
              <w:t>population based</w:t>
            </w:r>
            <w:proofErr w:type="gramEnd"/>
            <w:r w:rsidRPr="0023487E">
              <w:t xml:space="preserve"> variation in opportunities for diagnosis</w:t>
            </w:r>
          </w:p>
          <w:p w14:paraId="5C60C08D" w14:textId="1079CA45" w:rsidR="007110A7" w:rsidRPr="0023487E" w:rsidRDefault="007110A7" w:rsidP="0023487E">
            <w:pPr>
              <w:pStyle w:val="TableText1"/>
              <w:numPr>
                <w:ilvl w:val="0"/>
                <w:numId w:val="61"/>
              </w:numPr>
            </w:pPr>
            <w:r w:rsidRPr="0023487E">
              <w:t xml:space="preserve">define when to use MRI for adnexal mass </w:t>
            </w:r>
            <w:proofErr w:type="spellStart"/>
            <w:r w:rsidRPr="0023487E">
              <w:t>characterisation</w:t>
            </w:r>
            <w:proofErr w:type="spellEnd"/>
            <w:r w:rsidRPr="0023487E">
              <w:t xml:space="preserve"> and what protocols to use</w:t>
            </w:r>
          </w:p>
          <w:p w14:paraId="4B8B5948" w14:textId="77777777" w:rsidR="007110A7" w:rsidRPr="007110A7" w:rsidRDefault="007110A7" w:rsidP="007110A7">
            <w:pPr>
              <w:pStyle w:val="TableText1"/>
            </w:pPr>
          </w:p>
        </w:tc>
      </w:tr>
      <w:tr w:rsidR="007110A7" w:rsidRPr="00660F4E" w14:paraId="5B752F5F" w14:textId="77777777" w:rsidTr="001C12DF">
        <w:tc>
          <w:tcPr>
            <w:tcW w:w="675" w:type="dxa"/>
          </w:tcPr>
          <w:p w14:paraId="440AD88E" w14:textId="1D9D80BE" w:rsidR="007110A7" w:rsidRDefault="009E50E1" w:rsidP="007110A7">
            <w:pPr>
              <w:pStyle w:val="TableText1"/>
            </w:pPr>
            <w:r>
              <w:lastRenderedPageBreak/>
              <w:t>4</w:t>
            </w:r>
          </w:p>
        </w:tc>
        <w:tc>
          <w:tcPr>
            <w:tcW w:w="2297" w:type="dxa"/>
          </w:tcPr>
          <w:p w14:paraId="6F22868A" w14:textId="55B0B6F8" w:rsidR="007110A7" w:rsidRPr="001C12DF" w:rsidRDefault="007110A7" w:rsidP="007110A7">
            <w:pPr>
              <w:pStyle w:val="TableText1"/>
            </w:pPr>
            <w:r w:rsidRPr="0023487E">
              <w:rPr>
                <w:rFonts w:cs="Arial"/>
                <w:bCs/>
                <w:szCs w:val="20"/>
              </w:rPr>
              <w:t xml:space="preserve">UK Cancer Genetics Group </w:t>
            </w:r>
          </w:p>
        </w:tc>
        <w:tc>
          <w:tcPr>
            <w:tcW w:w="1672" w:type="dxa"/>
          </w:tcPr>
          <w:p w14:paraId="7691F623" w14:textId="77777777" w:rsidR="007110A7" w:rsidRPr="0023487E" w:rsidRDefault="007110A7" w:rsidP="0023487E">
            <w:pPr>
              <w:pStyle w:val="TableText1"/>
              <w:rPr>
                <w:b/>
                <w:bCs/>
              </w:rPr>
            </w:pPr>
            <w:r w:rsidRPr="0023487E">
              <w:rPr>
                <w:b/>
                <w:bCs/>
              </w:rPr>
              <w:t>General</w:t>
            </w:r>
          </w:p>
          <w:p w14:paraId="589C95F3" w14:textId="77777777" w:rsidR="007110A7" w:rsidRPr="0023487E" w:rsidRDefault="007110A7" w:rsidP="007110A7">
            <w:pPr>
              <w:rPr>
                <w:rFonts w:cs="Arial"/>
                <w:sz w:val="20"/>
              </w:rPr>
            </w:pPr>
          </w:p>
          <w:p w14:paraId="1A905CDD" w14:textId="0A316139" w:rsidR="007110A7" w:rsidRPr="001C12DF" w:rsidRDefault="007110A7" w:rsidP="007110A7">
            <w:pPr>
              <w:pStyle w:val="TableText1"/>
              <w:rPr>
                <w:b/>
                <w:bCs/>
              </w:rPr>
            </w:pPr>
            <w:r w:rsidRPr="0023487E">
              <w:rPr>
                <w:rFonts w:cs="Arial"/>
              </w:rPr>
              <w:t>General</w:t>
            </w:r>
          </w:p>
        </w:tc>
        <w:tc>
          <w:tcPr>
            <w:tcW w:w="10632" w:type="dxa"/>
          </w:tcPr>
          <w:p w14:paraId="2F474029" w14:textId="236B884C" w:rsidR="007110A7" w:rsidRPr="001C12DF" w:rsidRDefault="007110A7" w:rsidP="007110A7">
            <w:pPr>
              <w:pStyle w:val="TableText1"/>
            </w:pPr>
            <w:r w:rsidRPr="0023487E">
              <w:rPr>
                <w:szCs w:val="20"/>
              </w:rPr>
              <w:t>We feel overall that this draft quality standard accurately reflects key areas for quality improvement but that the specific outcome measures would require upfront resource and service development to ensure they could be measured in a standardised way with available resource.</w:t>
            </w:r>
            <w:r w:rsidRPr="001C12DF">
              <w:rPr>
                <w:szCs w:val="20"/>
              </w:rPr>
              <w:t xml:space="preserve"> </w:t>
            </w:r>
          </w:p>
        </w:tc>
      </w:tr>
      <w:tr w:rsidR="007110A7" w:rsidRPr="00660F4E" w14:paraId="3F4A8718" w14:textId="77777777" w:rsidTr="001C12DF">
        <w:tc>
          <w:tcPr>
            <w:tcW w:w="675" w:type="dxa"/>
          </w:tcPr>
          <w:p w14:paraId="4B504504" w14:textId="6AE7F7B1" w:rsidR="007110A7" w:rsidRDefault="009E50E1" w:rsidP="007110A7">
            <w:pPr>
              <w:pStyle w:val="TableText1"/>
            </w:pPr>
            <w:r>
              <w:t>5</w:t>
            </w:r>
          </w:p>
        </w:tc>
        <w:tc>
          <w:tcPr>
            <w:tcW w:w="2297" w:type="dxa"/>
          </w:tcPr>
          <w:p w14:paraId="6174954D" w14:textId="6C89224D" w:rsidR="007110A7" w:rsidRPr="001C12DF" w:rsidRDefault="007110A7" w:rsidP="007110A7">
            <w:pPr>
              <w:pStyle w:val="TableText1"/>
            </w:pPr>
            <w:r w:rsidRPr="00722DF8">
              <w:t>Institute of Biomedical Science</w:t>
            </w:r>
          </w:p>
        </w:tc>
        <w:tc>
          <w:tcPr>
            <w:tcW w:w="1672" w:type="dxa"/>
          </w:tcPr>
          <w:p w14:paraId="63F5DCD5" w14:textId="66D45875" w:rsidR="007110A7" w:rsidRPr="0023487E" w:rsidRDefault="007110A7" w:rsidP="0023487E">
            <w:pPr>
              <w:pStyle w:val="TableText1"/>
              <w:rPr>
                <w:b/>
                <w:bCs/>
              </w:rPr>
            </w:pPr>
            <w:r w:rsidRPr="0023487E">
              <w:rPr>
                <w:b/>
                <w:bCs/>
              </w:rPr>
              <w:t xml:space="preserve">Question 1 </w:t>
            </w:r>
          </w:p>
          <w:p w14:paraId="6A25B0C4" w14:textId="77777777" w:rsidR="007110A7" w:rsidRPr="001C12DF" w:rsidRDefault="007110A7" w:rsidP="007110A7">
            <w:pPr>
              <w:rPr>
                <w:rFonts w:cs="Arial"/>
                <w:sz w:val="20"/>
              </w:rPr>
            </w:pPr>
          </w:p>
          <w:p w14:paraId="5090858F" w14:textId="42FB43CB" w:rsidR="007110A7" w:rsidRPr="001C12DF" w:rsidRDefault="007110A7" w:rsidP="007110A7">
            <w:pPr>
              <w:pStyle w:val="TableText1"/>
              <w:rPr>
                <w:b/>
                <w:bCs/>
              </w:rPr>
            </w:pPr>
            <w:r w:rsidRPr="001C12DF">
              <w:t>Question 1</w:t>
            </w:r>
          </w:p>
        </w:tc>
        <w:tc>
          <w:tcPr>
            <w:tcW w:w="10632" w:type="dxa"/>
          </w:tcPr>
          <w:p w14:paraId="3C648E80" w14:textId="77777777" w:rsidR="007110A7" w:rsidRPr="001C12DF" w:rsidRDefault="007110A7" w:rsidP="0023487E">
            <w:pPr>
              <w:pStyle w:val="TableText1"/>
            </w:pPr>
            <w:r w:rsidRPr="0023487E">
              <w:t>Yes</w:t>
            </w:r>
          </w:p>
          <w:p w14:paraId="5360AFF1" w14:textId="0A3EF2D3" w:rsidR="007110A7" w:rsidRPr="001C12DF" w:rsidRDefault="007110A7" w:rsidP="007110A7">
            <w:pPr>
              <w:pStyle w:val="TableText1"/>
            </w:pPr>
          </w:p>
        </w:tc>
      </w:tr>
      <w:tr w:rsidR="007110A7" w:rsidRPr="00660F4E" w14:paraId="52844571" w14:textId="77777777" w:rsidTr="001C12DF">
        <w:tc>
          <w:tcPr>
            <w:tcW w:w="675" w:type="dxa"/>
          </w:tcPr>
          <w:p w14:paraId="0CBA4CF8" w14:textId="0AF9F79E" w:rsidR="007110A7" w:rsidRDefault="009E50E1" w:rsidP="007110A7">
            <w:pPr>
              <w:pStyle w:val="TableText1"/>
            </w:pPr>
            <w:r>
              <w:t>6</w:t>
            </w:r>
          </w:p>
        </w:tc>
        <w:tc>
          <w:tcPr>
            <w:tcW w:w="2297" w:type="dxa"/>
          </w:tcPr>
          <w:p w14:paraId="62278EFF" w14:textId="06ED2562" w:rsidR="007110A7" w:rsidRPr="001C12DF" w:rsidRDefault="007110A7" w:rsidP="007110A7">
            <w:pPr>
              <w:pStyle w:val="TableText1"/>
            </w:pPr>
            <w:r w:rsidRPr="001C12DF">
              <w:rPr>
                <w:rFonts w:cs="Arial"/>
                <w:bCs/>
              </w:rPr>
              <w:t>Institute of Biomedical Science</w:t>
            </w:r>
          </w:p>
        </w:tc>
        <w:tc>
          <w:tcPr>
            <w:tcW w:w="1672" w:type="dxa"/>
          </w:tcPr>
          <w:p w14:paraId="52BFC850" w14:textId="77777777" w:rsidR="007110A7" w:rsidRPr="0023487E" w:rsidRDefault="007110A7" w:rsidP="0023487E">
            <w:pPr>
              <w:pStyle w:val="TableText1"/>
              <w:rPr>
                <w:b/>
                <w:bCs/>
              </w:rPr>
            </w:pPr>
            <w:r w:rsidRPr="0023487E">
              <w:rPr>
                <w:b/>
                <w:bCs/>
              </w:rPr>
              <w:t xml:space="preserve">Question 2 – data collection  </w:t>
            </w:r>
          </w:p>
          <w:p w14:paraId="2274893E" w14:textId="77777777" w:rsidR="007110A7" w:rsidRPr="001C12DF" w:rsidRDefault="007110A7" w:rsidP="007110A7">
            <w:pPr>
              <w:rPr>
                <w:rFonts w:cs="Arial"/>
                <w:sz w:val="20"/>
              </w:rPr>
            </w:pPr>
          </w:p>
          <w:p w14:paraId="22A5C2BA" w14:textId="6BC1E3BE" w:rsidR="007110A7" w:rsidRPr="001C12DF" w:rsidRDefault="007110A7" w:rsidP="007110A7">
            <w:pPr>
              <w:pStyle w:val="TableText1"/>
              <w:rPr>
                <w:b/>
                <w:bCs/>
              </w:rPr>
            </w:pPr>
            <w:r w:rsidRPr="001C12DF">
              <w:rPr>
                <w:rFonts w:cs="Arial"/>
              </w:rPr>
              <w:t>Question 2</w:t>
            </w:r>
          </w:p>
        </w:tc>
        <w:tc>
          <w:tcPr>
            <w:tcW w:w="10632" w:type="dxa"/>
          </w:tcPr>
          <w:p w14:paraId="4C2C173C" w14:textId="2EC15BF9" w:rsidR="007110A7" w:rsidRPr="001C12DF" w:rsidRDefault="007110A7" w:rsidP="007110A7">
            <w:pPr>
              <w:pStyle w:val="TableText1"/>
            </w:pPr>
            <w:r w:rsidRPr="0023487E">
              <w:t>Yes</w:t>
            </w:r>
            <w:r w:rsidRPr="001C12DF">
              <w:t>, where the pathology LIMS and other related systems have a method to store this data in a structured format that could be reliably collated. However not all systems are the same and some organisations will require additional [new] IT systems that allow data collation.</w:t>
            </w:r>
          </w:p>
        </w:tc>
      </w:tr>
      <w:tr w:rsidR="007110A7" w:rsidRPr="00660F4E" w14:paraId="12060B3A" w14:textId="77777777" w:rsidTr="001C12DF">
        <w:tc>
          <w:tcPr>
            <w:tcW w:w="675" w:type="dxa"/>
          </w:tcPr>
          <w:p w14:paraId="3D5D061A" w14:textId="3D0A8337" w:rsidR="007110A7" w:rsidRDefault="009E50E1" w:rsidP="007110A7">
            <w:pPr>
              <w:pStyle w:val="TableText1"/>
            </w:pPr>
            <w:r>
              <w:t>7</w:t>
            </w:r>
          </w:p>
        </w:tc>
        <w:tc>
          <w:tcPr>
            <w:tcW w:w="2297" w:type="dxa"/>
          </w:tcPr>
          <w:p w14:paraId="34BFD78E" w14:textId="0798B7F2" w:rsidR="007110A7" w:rsidRPr="00E536DD" w:rsidRDefault="007110A7" w:rsidP="007110A7">
            <w:pPr>
              <w:pStyle w:val="TableText1"/>
            </w:pPr>
            <w:r w:rsidRPr="00722DF8">
              <w:rPr>
                <w:rFonts w:cs="Arial"/>
              </w:rPr>
              <w:t>Royal College of General Practitioners</w:t>
            </w:r>
          </w:p>
        </w:tc>
        <w:tc>
          <w:tcPr>
            <w:tcW w:w="1672" w:type="dxa"/>
          </w:tcPr>
          <w:p w14:paraId="08D578B0" w14:textId="77777777" w:rsidR="007110A7" w:rsidRPr="0023487E" w:rsidRDefault="007110A7" w:rsidP="0023487E">
            <w:pPr>
              <w:pStyle w:val="TableText1"/>
              <w:rPr>
                <w:b/>
                <w:bCs/>
              </w:rPr>
            </w:pPr>
            <w:r w:rsidRPr="0023487E">
              <w:rPr>
                <w:b/>
                <w:bCs/>
              </w:rPr>
              <w:t xml:space="preserve">Question 2 – data collection  </w:t>
            </w:r>
          </w:p>
          <w:p w14:paraId="0083AD24" w14:textId="77777777" w:rsidR="007110A7" w:rsidRPr="001C12DF" w:rsidRDefault="007110A7" w:rsidP="0023487E">
            <w:pPr>
              <w:pStyle w:val="TableText1"/>
            </w:pPr>
          </w:p>
          <w:p w14:paraId="3EBD40B2" w14:textId="5695F034" w:rsidR="007110A7" w:rsidRPr="001C12DF" w:rsidRDefault="007110A7" w:rsidP="007110A7">
            <w:pPr>
              <w:pStyle w:val="TableText1"/>
            </w:pPr>
            <w:r w:rsidRPr="001C12DF">
              <w:t>Question 2</w:t>
            </w:r>
          </w:p>
        </w:tc>
        <w:tc>
          <w:tcPr>
            <w:tcW w:w="10632" w:type="dxa"/>
          </w:tcPr>
          <w:p w14:paraId="512CE896" w14:textId="77777777" w:rsidR="007110A7" w:rsidRPr="001C12DF" w:rsidRDefault="007110A7" w:rsidP="0023487E">
            <w:pPr>
              <w:pStyle w:val="TableText1"/>
              <w:rPr>
                <w:szCs w:val="20"/>
              </w:rPr>
            </w:pPr>
            <w:r w:rsidRPr="0023487E">
              <w:rPr>
                <w:szCs w:val="20"/>
              </w:rPr>
              <w:t>Yes</w:t>
            </w:r>
            <w:r w:rsidRPr="001C12DF">
              <w:rPr>
                <w:szCs w:val="20"/>
              </w:rPr>
              <w:t>, data for the proposed quality measures can likely be collected locally:</w:t>
            </w:r>
          </w:p>
          <w:p w14:paraId="7D741F0B" w14:textId="77777777" w:rsidR="007110A7" w:rsidRDefault="007110A7" w:rsidP="007110A7">
            <w:pPr>
              <w:pStyle w:val="TableText1"/>
              <w:numPr>
                <w:ilvl w:val="0"/>
                <w:numId w:val="52"/>
              </w:numPr>
              <w:rPr>
                <w:szCs w:val="20"/>
              </w:rPr>
            </w:pPr>
            <w:r w:rsidRPr="001C12DF">
              <w:rPr>
                <w:szCs w:val="20"/>
              </w:rPr>
              <w:t>Data Sources: Data can be collected from patient records, clinical genetics records, and multidisciplinary team meeting records for documenting discussions about risk-reducing surgery and genetic testing (panel germline and tumour testing).</w:t>
            </w:r>
          </w:p>
          <w:p w14:paraId="7D67CBE5" w14:textId="05E35658" w:rsidR="007110A7" w:rsidRPr="001C12DF" w:rsidRDefault="007110A7" w:rsidP="0023487E">
            <w:pPr>
              <w:pStyle w:val="TableText1"/>
              <w:numPr>
                <w:ilvl w:val="0"/>
                <w:numId w:val="52"/>
              </w:numPr>
              <w:rPr>
                <w:szCs w:val="20"/>
              </w:rPr>
            </w:pPr>
            <w:r w:rsidRPr="001C12DF">
              <w:rPr>
                <w:szCs w:val="20"/>
              </w:rPr>
              <w:t>Data for Treatment Monitoring: Local hospital and oncology department records can track the use of surgery and chemotherapy, while cancer registries may provide additional data points on incidence and outcomes​</w:t>
            </w:r>
          </w:p>
        </w:tc>
      </w:tr>
      <w:tr w:rsidR="007110A7" w:rsidRPr="00660F4E" w14:paraId="4D614A93" w14:textId="77777777" w:rsidTr="001C12DF">
        <w:tc>
          <w:tcPr>
            <w:tcW w:w="675" w:type="dxa"/>
          </w:tcPr>
          <w:p w14:paraId="50ACCC07" w14:textId="1D0C57AF" w:rsidR="007110A7" w:rsidRPr="001C12DF" w:rsidRDefault="009E50E1" w:rsidP="007110A7">
            <w:pPr>
              <w:pStyle w:val="TableText1"/>
            </w:pPr>
            <w:r>
              <w:t>8</w:t>
            </w:r>
          </w:p>
        </w:tc>
        <w:tc>
          <w:tcPr>
            <w:tcW w:w="2297" w:type="dxa"/>
          </w:tcPr>
          <w:p w14:paraId="101C096E" w14:textId="66B1E409" w:rsidR="007110A7" w:rsidRPr="001C12DF" w:rsidRDefault="007110A7" w:rsidP="007110A7">
            <w:pPr>
              <w:pStyle w:val="TableText1"/>
            </w:pPr>
            <w:r w:rsidRPr="001C12DF">
              <w:rPr>
                <w:rFonts w:cs="Arial"/>
                <w:bCs/>
              </w:rPr>
              <w:t>British Gynaecological Cancer Society</w:t>
            </w:r>
          </w:p>
        </w:tc>
        <w:tc>
          <w:tcPr>
            <w:tcW w:w="1672" w:type="dxa"/>
          </w:tcPr>
          <w:p w14:paraId="518610C6" w14:textId="77777777" w:rsidR="007110A7" w:rsidRPr="001C12DF" w:rsidRDefault="007110A7" w:rsidP="0023487E">
            <w:pPr>
              <w:pStyle w:val="TableText1"/>
            </w:pPr>
            <w:r w:rsidRPr="0023487E">
              <w:t>Question 3 – resource impact</w:t>
            </w:r>
          </w:p>
          <w:p w14:paraId="1F3E5E2A" w14:textId="77777777" w:rsidR="007110A7" w:rsidRPr="001C12DF" w:rsidRDefault="007110A7" w:rsidP="0023487E">
            <w:pPr>
              <w:pStyle w:val="TableText1"/>
            </w:pPr>
          </w:p>
          <w:p w14:paraId="1EA26F1E" w14:textId="36AF29C1" w:rsidR="007110A7" w:rsidRPr="0023487E" w:rsidRDefault="007110A7" w:rsidP="007110A7">
            <w:pPr>
              <w:pStyle w:val="TableText1"/>
              <w:rPr>
                <w:b/>
                <w:bCs/>
              </w:rPr>
            </w:pPr>
            <w:r w:rsidRPr="0023487E">
              <w:rPr>
                <w:b/>
                <w:bCs/>
              </w:rPr>
              <w:t>Question 3</w:t>
            </w:r>
          </w:p>
        </w:tc>
        <w:tc>
          <w:tcPr>
            <w:tcW w:w="10632" w:type="dxa"/>
          </w:tcPr>
          <w:p w14:paraId="588DA78A" w14:textId="54EAC3CD" w:rsidR="007110A7" w:rsidRPr="0023487E" w:rsidRDefault="007110A7" w:rsidP="007110A7">
            <w:pPr>
              <w:pStyle w:val="TableText1"/>
              <w:rPr>
                <w:color w:val="FF0000"/>
              </w:rPr>
            </w:pPr>
            <w:r w:rsidRPr="0023487E">
              <w:t>Presently we have no funding</w:t>
            </w:r>
            <w:r w:rsidRPr="001C12DF">
              <w:t xml:space="preserve"> to deliver a familial risk service locally and at a regional level the clinical genetics department have stopped referrals due to lack of capacity.  We could have this service </w:t>
            </w:r>
            <w:proofErr w:type="gramStart"/>
            <w:r w:rsidRPr="001C12DF">
              <w:t xml:space="preserve">locally, </w:t>
            </w:r>
            <w:r w:rsidRPr="0023487E">
              <w:t>but</w:t>
            </w:r>
            <w:proofErr w:type="gramEnd"/>
            <w:r w:rsidRPr="0023487E">
              <w:t xml:space="preserve"> would require additional specialist nursing time for main-streaming, counselling and then surgery</w:t>
            </w:r>
            <w:r w:rsidRPr="001C12DF">
              <w:t xml:space="preserve">.  This has been delegated for clinical genetics hubs down to centres, but </w:t>
            </w:r>
            <w:r w:rsidRPr="0023487E">
              <w:t>without monies following this activity.</w:t>
            </w:r>
          </w:p>
        </w:tc>
      </w:tr>
      <w:tr w:rsidR="007110A7" w:rsidRPr="00660F4E" w14:paraId="3D9D7D6A" w14:textId="77777777" w:rsidTr="001C12DF">
        <w:tc>
          <w:tcPr>
            <w:tcW w:w="675" w:type="dxa"/>
          </w:tcPr>
          <w:p w14:paraId="03684278" w14:textId="5A079C9C" w:rsidR="007110A7" w:rsidRDefault="009E50E1" w:rsidP="007110A7">
            <w:pPr>
              <w:pStyle w:val="TableText1"/>
            </w:pPr>
            <w:r>
              <w:t>9</w:t>
            </w:r>
          </w:p>
        </w:tc>
        <w:tc>
          <w:tcPr>
            <w:tcW w:w="2297" w:type="dxa"/>
          </w:tcPr>
          <w:p w14:paraId="51CAAAB8" w14:textId="6FE93D06" w:rsidR="007110A7" w:rsidRPr="00E536DD" w:rsidRDefault="007110A7" w:rsidP="007110A7">
            <w:pPr>
              <w:pStyle w:val="TableText1"/>
            </w:pPr>
            <w:r w:rsidRPr="00722DF8">
              <w:rPr>
                <w:rFonts w:cs="Arial"/>
                <w:bCs/>
              </w:rPr>
              <w:t>Institute of Biomedical Science</w:t>
            </w:r>
          </w:p>
        </w:tc>
        <w:tc>
          <w:tcPr>
            <w:tcW w:w="1672" w:type="dxa"/>
          </w:tcPr>
          <w:p w14:paraId="61D704BE" w14:textId="77777777" w:rsidR="007110A7" w:rsidRPr="0023487E" w:rsidRDefault="007110A7" w:rsidP="0023487E">
            <w:pPr>
              <w:pStyle w:val="TableText1"/>
              <w:rPr>
                <w:b/>
                <w:bCs/>
              </w:rPr>
            </w:pPr>
            <w:r w:rsidRPr="0023487E">
              <w:rPr>
                <w:b/>
                <w:bCs/>
              </w:rPr>
              <w:t>Question 3 – resource impact</w:t>
            </w:r>
          </w:p>
          <w:p w14:paraId="10DDC6B7" w14:textId="77777777" w:rsidR="007110A7" w:rsidRPr="00712BC9" w:rsidRDefault="007110A7" w:rsidP="007110A7">
            <w:pPr>
              <w:rPr>
                <w:rFonts w:cs="Arial"/>
                <w:sz w:val="20"/>
              </w:rPr>
            </w:pPr>
          </w:p>
          <w:p w14:paraId="6704265D" w14:textId="271D1E38" w:rsidR="007110A7" w:rsidRDefault="007110A7" w:rsidP="007110A7">
            <w:pPr>
              <w:pStyle w:val="TableText1"/>
              <w:rPr>
                <w:b/>
                <w:bCs/>
              </w:rPr>
            </w:pPr>
            <w:r w:rsidRPr="00712BC9">
              <w:rPr>
                <w:rFonts w:cs="Arial"/>
              </w:rPr>
              <w:t>Question 3</w:t>
            </w:r>
          </w:p>
        </w:tc>
        <w:tc>
          <w:tcPr>
            <w:tcW w:w="10632" w:type="dxa"/>
          </w:tcPr>
          <w:p w14:paraId="231D059D" w14:textId="77777777" w:rsidR="007110A7" w:rsidRDefault="007110A7" w:rsidP="0023487E">
            <w:pPr>
              <w:pStyle w:val="TableText1"/>
            </w:pPr>
            <w:r w:rsidRPr="00722DF8">
              <w:t>Yes, where reflex test is already undertaken.  Organisations/department that do not do this will require additional staffing resources to meet the proposed standards due to the extra testing and data collection requirements.</w:t>
            </w:r>
          </w:p>
          <w:p w14:paraId="2540AF9A" w14:textId="1BF31FC8" w:rsidR="007110A7" w:rsidRPr="00E536DD" w:rsidRDefault="007110A7" w:rsidP="007110A7">
            <w:pPr>
              <w:pStyle w:val="TableText1"/>
            </w:pPr>
          </w:p>
        </w:tc>
      </w:tr>
      <w:tr w:rsidR="007110A7" w:rsidRPr="00660F4E" w14:paraId="234D8467" w14:textId="77777777" w:rsidTr="001C12DF">
        <w:tc>
          <w:tcPr>
            <w:tcW w:w="675" w:type="dxa"/>
          </w:tcPr>
          <w:p w14:paraId="068245FD" w14:textId="1CB5AAD0" w:rsidR="007110A7" w:rsidRDefault="004D6A7F" w:rsidP="007110A7">
            <w:pPr>
              <w:pStyle w:val="TableText1"/>
            </w:pPr>
            <w:r>
              <w:lastRenderedPageBreak/>
              <w:t>1</w:t>
            </w:r>
            <w:r w:rsidR="009E50E1">
              <w:t>0</w:t>
            </w:r>
          </w:p>
        </w:tc>
        <w:tc>
          <w:tcPr>
            <w:tcW w:w="2297" w:type="dxa"/>
          </w:tcPr>
          <w:p w14:paraId="4EC39FED" w14:textId="33BCA7B1" w:rsidR="007110A7" w:rsidRPr="00E536DD" w:rsidRDefault="007110A7" w:rsidP="007110A7">
            <w:pPr>
              <w:pStyle w:val="TableText1"/>
            </w:pPr>
            <w:r w:rsidRPr="00722DF8">
              <w:rPr>
                <w:rFonts w:cs="Arial"/>
              </w:rPr>
              <w:t>Royal College of General Practitioners</w:t>
            </w:r>
          </w:p>
        </w:tc>
        <w:tc>
          <w:tcPr>
            <w:tcW w:w="1672" w:type="dxa"/>
          </w:tcPr>
          <w:p w14:paraId="677A06DE" w14:textId="77777777" w:rsidR="007110A7" w:rsidRPr="0023487E" w:rsidRDefault="007110A7" w:rsidP="0023487E">
            <w:pPr>
              <w:pStyle w:val="TableText1"/>
              <w:rPr>
                <w:b/>
                <w:bCs/>
              </w:rPr>
            </w:pPr>
            <w:r w:rsidRPr="0023487E">
              <w:rPr>
                <w:b/>
                <w:bCs/>
              </w:rPr>
              <w:t>Question 3 – resource impact</w:t>
            </w:r>
          </w:p>
          <w:p w14:paraId="4F665D1F" w14:textId="77777777" w:rsidR="007110A7" w:rsidRPr="00712BC9" w:rsidRDefault="007110A7" w:rsidP="007110A7">
            <w:pPr>
              <w:rPr>
                <w:rFonts w:cs="Arial"/>
                <w:sz w:val="20"/>
              </w:rPr>
            </w:pPr>
          </w:p>
          <w:p w14:paraId="41DB1699" w14:textId="250F4C60" w:rsidR="007110A7" w:rsidRDefault="007110A7" w:rsidP="007110A7">
            <w:pPr>
              <w:pStyle w:val="TableText1"/>
              <w:rPr>
                <w:b/>
                <w:bCs/>
              </w:rPr>
            </w:pPr>
            <w:r w:rsidRPr="00712BC9">
              <w:rPr>
                <w:rFonts w:cs="Arial"/>
              </w:rPr>
              <w:t>Question 3</w:t>
            </w:r>
          </w:p>
        </w:tc>
        <w:tc>
          <w:tcPr>
            <w:tcW w:w="10632" w:type="dxa"/>
          </w:tcPr>
          <w:p w14:paraId="56F1B7BF" w14:textId="77777777" w:rsidR="007110A7" w:rsidRPr="00722DF8" w:rsidRDefault="007110A7" w:rsidP="007110A7">
            <w:pPr>
              <w:pStyle w:val="Paragraphnonumbers"/>
              <w:spacing w:after="0"/>
              <w:rPr>
                <w:rFonts w:cs="Arial"/>
                <w:sz w:val="20"/>
                <w:szCs w:val="20"/>
              </w:rPr>
            </w:pPr>
            <w:r w:rsidRPr="0023487E">
              <w:rPr>
                <w:rFonts w:cs="Arial"/>
                <w:sz w:val="20"/>
                <w:szCs w:val="20"/>
              </w:rPr>
              <w:t>The quality statements seem achievable, but there are specific resource requirements</w:t>
            </w:r>
            <w:r w:rsidRPr="001C12DF">
              <w:rPr>
                <w:rFonts w:cs="Arial"/>
                <w:sz w:val="20"/>
                <w:szCs w:val="20"/>
              </w:rPr>
              <w:t>:</w:t>
            </w:r>
          </w:p>
          <w:p w14:paraId="1222EF0F" w14:textId="77777777" w:rsidR="007110A7" w:rsidRPr="00722DF8" w:rsidRDefault="007110A7" w:rsidP="007110A7">
            <w:pPr>
              <w:pStyle w:val="Paragraphnonumbers"/>
              <w:numPr>
                <w:ilvl w:val="0"/>
                <w:numId w:val="49"/>
              </w:numPr>
              <w:spacing w:after="0"/>
              <w:rPr>
                <w:rFonts w:cs="Arial"/>
                <w:sz w:val="20"/>
                <w:szCs w:val="20"/>
              </w:rPr>
            </w:pPr>
            <w:r w:rsidRPr="00722DF8">
              <w:rPr>
                <w:rFonts w:cs="Arial"/>
                <w:sz w:val="20"/>
                <w:szCs w:val="20"/>
              </w:rPr>
              <w:t>Training Needs: Healthcare professionals may need additional training in shared decision-making and genetic risk communication.</w:t>
            </w:r>
          </w:p>
          <w:p w14:paraId="6139CFAA" w14:textId="77777777" w:rsidR="007110A7" w:rsidRPr="00722DF8" w:rsidRDefault="007110A7" w:rsidP="007110A7">
            <w:pPr>
              <w:pStyle w:val="Paragraphnonumbers"/>
              <w:numPr>
                <w:ilvl w:val="0"/>
                <w:numId w:val="49"/>
              </w:numPr>
              <w:spacing w:after="0"/>
              <w:rPr>
                <w:rFonts w:cs="Arial"/>
                <w:sz w:val="20"/>
                <w:szCs w:val="20"/>
              </w:rPr>
            </w:pPr>
            <w:r w:rsidRPr="00722DF8">
              <w:rPr>
                <w:rFonts w:cs="Arial"/>
                <w:sz w:val="20"/>
                <w:szCs w:val="20"/>
              </w:rPr>
              <w:t>Increased Testing Capacity: Implementing panel germline and tumour testing may require investment in laboratory capabilities and genetic counselling resources.</w:t>
            </w:r>
          </w:p>
          <w:p w14:paraId="01E095F6" w14:textId="77777777" w:rsidR="007110A7" w:rsidRPr="00722DF8" w:rsidRDefault="007110A7" w:rsidP="007110A7">
            <w:pPr>
              <w:pStyle w:val="Paragraphnonumbers"/>
              <w:numPr>
                <w:ilvl w:val="0"/>
                <w:numId w:val="49"/>
              </w:numPr>
              <w:spacing w:after="0"/>
              <w:rPr>
                <w:rFonts w:cs="Arial"/>
                <w:sz w:val="20"/>
                <w:szCs w:val="20"/>
              </w:rPr>
            </w:pPr>
            <w:r w:rsidRPr="00722DF8">
              <w:rPr>
                <w:rFonts w:cs="Arial"/>
                <w:sz w:val="20"/>
                <w:szCs w:val="20"/>
              </w:rPr>
              <w:t>Multidisciplinary Coordination: Local services need effective multidisciplinary teams and referral pathways</w:t>
            </w:r>
          </w:p>
          <w:p w14:paraId="003C8331" w14:textId="77777777" w:rsidR="007110A7" w:rsidRDefault="007110A7" w:rsidP="007110A7">
            <w:pPr>
              <w:pStyle w:val="Paragraphnonumbers"/>
              <w:spacing w:after="0"/>
              <w:rPr>
                <w:rFonts w:cs="Arial"/>
                <w:sz w:val="20"/>
                <w:szCs w:val="20"/>
              </w:rPr>
            </w:pPr>
          </w:p>
          <w:p w14:paraId="1FE5B2BF" w14:textId="37B39A8A" w:rsidR="007110A7" w:rsidRPr="00722DF8" w:rsidRDefault="007110A7" w:rsidP="007110A7">
            <w:pPr>
              <w:pStyle w:val="Paragraphnonumbers"/>
              <w:spacing w:after="0"/>
              <w:rPr>
                <w:rFonts w:cs="Arial"/>
                <w:sz w:val="20"/>
                <w:szCs w:val="20"/>
              </w:rPr>
            </w:pPr>
            <w:r w:rsidRPr="00722DF8">
              <w:rPr>
                <w:rFonts w:cs="Arial"/>
                <w:sz w:val="20"/>
                <w:szCs w:val="20"/>
              </w:rPr>
              <w:t>Potential Cost Savings:</w:t>
            </w:r>
          </w:p>
          <w:p w14:paraId="4A06FB97" w14:textId="77777777" w:rsidR="007110A7" w:rsidRPr="00722DF8" w:rsidRDefault="007110A7" w:rsidP="007110A7">
            <w:pPr>
              <w:pStyle w:val="Paragraphnonumbers"/>
              <w:numPr>
                <w:ilvl w:val="0"/>
                <w:numId w:val="50"/>
              </w:numPr>
              <w:spacing w:after="0"/>
              <w:rPr>
                <w:rFonts w:cs="Arial"/>
                <w:sz w:val="20"/>
                <w:szCs w:val="20"/>
              </w:rPr>
            </w:pPr>
            <w:r w:rsidRPr="00722DF8">
              <w:rPr>
                <w:rFonts w:cs="Arial"/>
                <w:sz w:val="20"/>
                <w:szCs w:val="20"/>
              </w:rPr>
              <w:t>Preventive Measures: Investment in genetic testing and risk-reducing surgeries could lead to early interventions that prevent costly treatments for advanced-stage cancer.</w:t>
            </w:r>
          </w:p>
          <w:p w14:paraId="0CFEBAB6" w14:textId="7FD232F6" w:rsidR="007110A7" w:rsidRPr="00190411" w:rsidRDefault="007110A7" w:rsidP="0023487E">
            <w:pPr>
              <w:pStyle w:val="Paragraphnonumbers"/>
              <w:numPr>
                <w:ilvl w:val="0"/>
                <w:numId w:val="50"/>
              </w:numPr>
              <w:spacing w:after="0"/>
              <w:rPr>
                <w:rFonts w:cs="Arial"/>
                <w:szCs w:val="20"/>
              </w:rPr>
            </w:pPr>
            <w:r w:rsidRPr="00722DF8">
              <w:rPr>
                <w:rFonts w:cs="Arial"/>
                <w:sz w:val="20"/>
                <w:szCs w:val="20"/>
              </w:rPr>
              <w:t>Efficient Resource Utilisation: Standardising care pathways could reduce the variability in treatment outcomes and potentially reduce costs associated with prolonged or inappropriate treatments</w:t>
            </w:r>
          </w:p>
        </w:tc>
      </w:tr>
      <w:tr w:rsidR="00117D2B" w:rsidRPr="00660F4E" w14:paraId="22EED5D2" w14:textId="77777777" w:rsidTr="001C12DF">
        <w:tc>
          <w:tcPr>
            <w:tcW w:w="675" w:type="dxa"/>
          </w:tcPr>
          <w:p w14:paraId="443C2B25" w14:textId="52E9A545" w:rsidR="00117D2B" w:rsidRDefault="00117D2B" w:rsidP="00117D2B">
            <w:pPr>
              <w:pStyle w:val="TableText1"/>
            </w:pPr>
            <w:r>
              <w:t>1</w:t>
            </w:r>
            <w:r w:rsidR="009E50E1">
              <w:t>1</w:t>
            </w:r>
          </w:p>
        </w:tc>
        <w:tc>
          <w:tcPr>
            <w:tcW w:w="2297" w:type="dxa"/>
          </w:tcPr>
          <w:p w14:paraId="534FF452" w14:textId="6DAE32B4" w:rsidR="00117D2B" w:rsidRPr="001C12DF" w:rsidRDefault="00117D2B" w:rsidP="00117D2B">
            <w:pPr>
              <w:pStyle w:val="TableText1"/>
            </w:pPr>
            <w:r w:rsidRPr="001C12DF">
              <w:t>British Gynaecological Cancer Society</w:t>
            </w:r>
          </w:p>
        </w:tc>
        <w:tc>
          <w:tcPr>
            <w:tcW w:w="1672" w:type="dxa"/>
          </w:tcPr>
          <w:p w14:paraId="4EDC0E8A" w14:textId="77777777" w:rsidR="00117D2B" w:rsidRPr="001C12DF" w:rsidRDefault="00117D2B" w:rsidP="0023487E">
            <w:pPr>
              <w:pStyle w:val="TableText1"/>
              <w:rPr>
                <w:b/>
              </w:rPr>
            </w:pPr>
            <w:r w:rsidRPr="0023487E">
              <w:rPr>
                <w:b/>
              </w:rPr>
              <w:t>Question 4 – EHIA question (pilot)</w:t>
            </w:r>
          </w:p>
          <w:p w14:paraId="6B269461" w14:textId="77777777" w:rsidR="00117D2B" w:rsidRPr="001C12DF" w:rsidRDefault="00117D2B" w:rsidP="0023487E">
            <w:pPr>
              <w:pStyle w:val="TableText1"/>
            </w:pPr>
          </w:p>
          <w:p w14:paraId="3D5CCB60" w14:textId="42173BAF" w:rsidR="00117D2B" w:rsidRPr="001C12DF" w:rsidRDefault="00117D2B" w:rsidP="00117D2B">
            <w:pPr>
              <w:pStyle w:val="TableText1"/>
              <w:rPr>
                <w:b/>
              </w:rPr>
            </w:pPr>
            <w:r w:rsidRPr="001C12DF">
              <w:t>Question 4</w:t>
            </w:r>
          </w:p>
        </w:tc>
        <w:tc>
          <w:tcPr>
            <w:tcW w:w="10632" w:type="dxa"/>
          </w:tcPr>
          <w:p w14:paraId="10597887" w14:textId="77777777" w:rsidR="00117D2B" w:rsidRPr="001C12DF" w:rsidRDefault="00117D2B" w:rsidP="0023487E">
            <w:pPr>
              <w:pStyle w:val="TableText1"/>
            </w:pPr>
            <w:r w:rsidRPr="001C12DF">
              <w:t>More funding to support adequately skilled F2F interpreters is required.</w:t>
            </w:r>
          </w:p>
          <w:p w14:paraId="2BF2F6B2" w14:textId="66882446" w:rsidR="00117D2B" w:rsidRPr="001C12DF" w:rsidRDefault="00117D2B" w:rsidP="00117D2B">
            <w:pPr>
              <w:pStyle w:val="TableText1"/>
            </w:pPr>
          </w:p>
        </w:tc>
      </w:tr>
      <w:tr w:rsidR="00117D2B" w:rsidRPr="00660F4E" w14:paraId="50541EEC" w14:textId="77777777" w:rsidTr="001C12DF">
        <w:tc>
          <w:tcPr>
            <w:tcW w:w="675" w:type="dxa"/>
          </w:tcPr>
          <w:p w14:paraId="79AEA0AF" w14:textId="7CFEFB9B" w:rsidR="00117D2B" w:rsidRDefault="00117D2B" w:rsidP="00117D2B">
            <w:pPr>
              <w:pStyle w:val="TableText1"/>
            </w:pPr>
            <w:r>
              <w:t>1</w:t>
            </w:r>
            <w:r w:rsidR="009E50E1">
              <w:t>2</w:t>
            </w:r>
          </w:p>
        </w:tc>
        <w:tc>
          <w:tcPr>
            <w:tcW w:w="2297" w:type="dxa"/>
          </w:tcPr>
          <w:p w14:paraId="3B575069" w14:textId="4F0C7D79" w:rsidR="00117D2B" w:rsidRPr="00E536DD" w:rsidRDefault="00117D2B" w:rsidP="00117D2B">
            <w:pPr>
              <w:pStyle w:val="TableText1"/>
            </w:pPr>
            <w:r w:rsidRPr="00722DF8">
              <w:t>Institute of Biomedical Science</w:t>
            </w:r>
          </w:p>
        </w:tc>
        <w:tc>
          <w:tcPr>
            <w:tcW w:w="1672" w:type="dxa"/>
          </w:tcPr>
          <w:p w14:paraId="2D36610D" w14:textId="77777777" w:rsidR="00117D2B" w:rsidRPr="00712BC9" w:rsidRDefault="00117D2B" w:rsidP="0023487E">
            <w:pPr>
              <w:pStyle w:val="TableText1"/>
              <w:rPr>
                <w:b/>
              </w:rPr>
            </w:pPr>
            <w:r w:rsidRPr="00712BC9">
              <w:rPr>
                <w:b/>
              </w:rPr>
              <w:t>Question 4 – EHIA question (pilot)</w:t>
            </w:r>
          </w:p>
          <w:p w14:paraId="1A35FE40" w14:textId="77777777" w:rsidR="00117D2B" w:rsidRPr="00712BC9" w:rsidRDefault="00117D2B" w:rsidP="0023487E">
            <w:pPr>
              <w:pStyle w:val="TableText1"/>
            </w:pPr>
          </w:p>
          <w:p w14:paraId="1FB4A948" w14:textId="24679E84" w:rsidR="00117D2B" w:rsidRDefault="00117D2B" w:rsidP="00117D2B">
            <w:pPr>
              <w:pStyle w:val="TableText1"/>
              <w:rPr>
                <w:b/>
              </w:rPr>
            </w:pPr>
            <w:r w:rsidRPr="00712BC9">
              <w:t>Question 4</w:t>
            </w:r>
          </w:p>
        </w:tc>
        <w:tc>
          <w:tcPr>
            <w:tcW w:w="10632" w:type="dxa"/>
          </w:tcPr>
          <w:p w14:paraId="3638E972" w14:textId="77777777" w:rsidR="00117D2B" w:rsidRDefault="00117D2B" w:rsidP="0023487E">
            <w:pPr>
              <w:pStyle w:val="TableText1"/>
            </w:pPr>
            <w:r w:rsidRPr="00722DF8">
              <w:t>No issues identified.</w:t>
            </w:r>
          </w:p>
          <w:p w14:paraId="70CF0087" w14:textId="53BD3A9C" w:rsidR="00117D2B" w:rsidRPr="00E536DD" w:rsidRDefault="00117D2B" w:rsidP="00117D2B">
            <w:pPr>
              <w:pStyle w:val="TableText1"/>
            </w:pPr>
          </w:p>
        </w:tc>
      </w:tr>
      <w:tr w:rsidR="00117D2B" w:rsidRPr="00660F4E" w14:paraId="58597820" w14:textId="77777777" w:rsidTr="001C12DF">
        <w:tc>
          <w:tcPr>
            <w:tcW w:w="675" w:type="dxa"/>
          </w:tcPr>
          <w:p w14:paraId="5C5183A9" w14:textId="048EC5D4" w:rsidR="00117D2B" w:rsidRDefault="00117D2B" w:rsidP="00117D2B">
            <w:pPr>
              <w:pStyle w:val="TableText1"/>
            </w:pPr>
            <w:r>
              <w:t>1</w:t>
            </w:r>
            <w:r w:rsidR="009E50E1">
              <w:t>3</w:t>
            </w:r>
          </w:p>
        </w:tc>
        <w:tc>
          <w:tcPr>
            <w:tcW w:w="2297" w:type="dxa"/>
          </w:tcPr>
          <w:p w14:paraId="3E34D8B0" w14:textId="4E60F058" w:rsidR="00117D2B" w:rsidRPr="00E536DD" w:rsidRDefault="00117D2B" w:rsidP="00117D2B">
            <w:pPr>
              <w:pStyle w:val="TableText1"/>
            </w:pPr>
            <w:r w:rsidRPr="00722DF8">
              <w:t>Ovacome</w:t>
            </w:r>
          </w:p>
        </w:tc>
        <w:tc>
          <w:tcPr>
            <w:tcW w:w="1672" w:type="dxa"/>
          </w:tcPr>
          <w:p w14:paraId="77F1377B" w14:textId="77777777" w:rsidR="00117D2B" w:rsidRPr="00712BC9" w:rsidRDefault="00117D2B" w:rsidP="0023487E">
            <w:pPr>
              <w:pStyle w:val="TableText1"/>
              <w:rPr>
                <w:b/>
              </w:rPr>
            </w:pPr>
            <w:r w:rsidRPr="00712BC9">
              <w:rPr>
                <w:b/>
              </w:rPr>
              <w:t>Question 4 – EHIA question (pilot)</w:t>
            </w:r>
          </w:p>
          <w:p w14:paraId="7BEA6FE0" w14:textId="77777777" w:rsidR="00117D2B" w:rsidRPr="00712BC9" w:rsidRDefault="00117D2B" w:rsidP="0023487E">
            <w:pPr>
              <w:pStyle w:val="TableText1"/>
            </w:pPr>
          </w:p>
          <w:p w14:paraId="6BD2F0DD" w14:textId="77777777" w:rsidR="00117D2B" w:rsidRPr="00712BC9" w:rsidRDefault="00117D2B" w:rsidP="0023487E">
            <w:pPr>
              <w:pStyle w:val="TableText1"/>
            </w:pPr>
          </w:p>
          <w:p w14:paraId="0C69C02B" w14:textId="166F3E4E" w:rsidR="00117D2B" w:rsidRDefault="00117D2B" w:rsidP="00117D2B">
            <w:pPr>
              <w:pStyle w:val="TableText1"/>
              <w:rPr>
                <w:b/>
              </w:rPr>
            </w:pPr>
            <w:r w:rsidRPr="00712BC9">
              <w:t>Question 4</w:t>
            </w:r>
          </w:p>
        </w:tc>
        <w:tc>
          <w:tcPr>
            <w:tcW w:w="10632" w:type="dxa"/>
          </w:tcPr>
          <w:p w14:paraId="44B5FF17" w14:textId="77777777" w:rsidR="00117D2B" w:rsidRPr="00722DF8" w:rsidRDefault="00117D2B" w:rsidP="0023487E">
            <w:pPr>
              <w:pStyle w:val="TableText1"/>
              <w:rPr>
                <w:szCs w:val="20"/>
                <w:u w:val="single"/>
              </w:rPr>
            </w:pPr>
            <w:r w:rsidRPr="00722DF8">
              <w:rPr>
                <w:szCs w:val="20"/>
                <w:u w:val="single"/>
              </w:rPr>
              <w:t>Comments on EHIA</w:t>
            </w:r>
          </w:p>
          <w:p w14:paraId="1507FD82" w14:textId="77777777" w:rsidR="00117D2B" w:rsidRPr="00722DF8" w:rsidRDefault="00117D2B" w:rsidP="0023487E">
            <w:pPr>
              <w:pStyle w:val="TableText1"/>
              <w:rPr>
                <w:szCs w:val="20"/>
              </w:rPr>
            </w:pPr>
          </w:p>
          <w:p w14:paraId="6E952A22" w14:textId="77777777" w:rsidR="00117D2B" w:rsidRPr="00722DF8" w:rsidRDefault="00117D2B" w:rsidP="0023487E">
            <w:pPr>
              <w:pStyle w:val="TableText1"/>
              <w:rPr>
                <w:color w:val="000000"/>
              </w:rPr>
            </w:pPr>
            <w:r w:rsidRPr="00722DF8">
              <w:rPr>
                <w:color w:val="000000"/>
              </w:rPr>
              <w:t>Religion or belief:</w:t>
            </w:r>
          </w:p>
          <w:p w14:paraId="6B7E463F" w14:textId="77777777" w:rsidR="00117D2B" w:rsidRPr="00722DF8" w:rsidRDefault="00117D2B" w:rsidP="0023487E">
            <w:pPr>
              <w:pStyle w:val="TableText1"/>
              <w:rPr>
                <w:color w:val="000000"/>
              </w:rPr>
            </w:pPr>
          </w:p>
          <w:p w14:paraId="6659CE4E" w14:textId="77777777" w:rsidR="00117D2B" w:rsidRPr="00722DF8" w:rsidRDefault="00117D2B" w:rsidP="0023487E">
            <w:pPr>
              <w:pStyle w:val="TableText1"/>
              <w:rPr>
                <w:color w:val="000000"/>
              </w:rPr>
            </w:pPr>
            <w:r w:rsidRPr="00722DF8">
              <w:rPr>
                <w:color w:val="000000"/>
              </w:rPr>
              <w:t>Evidence to suggest religion can impact on decision making in cancer treatment</w:t>
            </w:r>
          </w:p>
          <w:p w14:paraId="1E4C6413" w14:textId="77777777" w:rsidR="00117D2B" w:rsidRDefault="00117D2B" w:rsidP="00117D2B">
            <w:pPr>
              <w:pStyle w:val="TableText1"/>
              <w:rPr>
                <w:rStyle w:val="Hyperlink"/>
                <w:rFonts w:cs="Arial"/>
                <w:color w:val="467886"/>
              </w:rPr>
            </w:pPr>
            <w:hyperlink r:id="rId21" w:history="1">
              <w:r w:rsidRPr="00722DF8">
                <w:rPr>
                  <w:rStyle w:val="Hyperlink"/>
                  <w:rFonts w:cs="Arial"/>
                  <w:color w:val="467886"/>
                </w:rPr>
                <w:t>The Influence of Patient and Provider Religious and Spiritual Beliefs on Treatment Decision Making in the Cancer Care Context - Elizabeth Palmer Kelly, Brian Myers, Brent Henderson, Petra Sprik, Kelsey B. White, Timothy M. Pawlik, 2022 (sagepub.com)</w:t>
              </w:r>
            </w:hyperlink>
          </w:p>
          <w:p w14:paraId="0BB73EFE" w14:textId="77777777" w:rsidR="00117D2B" w:rsidRPr="00722DF8" w:rsidRDefault="00117D2B" w:rsidP="0023487E">
            <w:pPr>
              <w:pStyle w:val="TableText1"/>
              <w:rPr>
                <w:color w:val="467886"/>
              </w:rPr>
            </w:pPr>
          </w:p>
          <w:p w14:paraId="73A7E94B" w14:textId="77777777" w:rsidR="00117D2B" w:rsidRPr="00722DF8" w:rsidRDefault="00117D2B" w:rsidP="0023487E">
            <w:pPr>
              <w:pStyle w:val="TableText1"/>
              <w:rPr>
                <w:color w:val="000000"/>
              </w:rPr>
            </w:pPr>
            <w:r w:rsidRPr="00722DF8">
              <w:rPr>
                <w:color w:val="000000"/>
              </w:rPr>
              <w:lastRenderedPageBreak/>
              <w:t>Understanding the psychosocial barriers which exist when religious beliefs prevent recommended treatments.  Ensuring patient voice is heard and belief systems understood in the context of treatment (religions which don’t allow medical interventions, religions which restrict porcine products which may be present in treatment).</w:t>
            </w:r>
          </w:p>
          <w:p w14:paraId="0BADCB86" w14:textId="77777777" w:rsidR="00117D2B" w:rsidRPr="00722DF8" w:rsidRDefault="00117D2B" w:rsidP="0023487E">
            <w:pPr>
              <w:pStyle w:val="TableText1"/>
              <w:rPr>
                <w:color w:val="000000"/>
              </w:rPr>
            </w:pPr>
          </w:p>
          <w:p w14:paraId="25658F1A" w14:textId="77777777" w:rsidR="00117D2B" w:rsidRPr="00722DF8" w:rsidRDefault="00117D2B" w:rsidP="0023487E">
            <w:pPr>
              <w:pStyle w:val="TableText1"/>
              <w:rPr>
                <w:color w:val="000000"/>
              </w:rPr>
            </w:pPr>
            <w:r w:rsidRPr="00722DF8">
              <w:rPr>
                <w:color w:val="000000"/>
              </w:rPr>
              <w:t xml:space="preserve">Inclusion health and vulnerable groups (for example, vulnerable migrants, people experiencing homelessness, people in contact with the criminal justice system, sex workers, Gypsy, Roma and </w:t>
            </w:r>
            <w:proofErr w:type="spellStart"/>
            <w:r w:rsidRPr="00722DF8">
              <w:rPr>
                <w:color w:val="000000"/>
              </w:rPr>
              <w:t>Traveller</w:t>
            </w:r>
            <w:proofErr w:type="spellEnd"/>
            <w:r w:rsidRPr="00722DF8">
              <w:rPr>
                <w:color w:val="000000"/>
              </w:rPr>
              <w:t xml:space="preserve"> communities, young people leaving care and victims of trafficking):</w:t>
            </w:r>
          </w:p>
          <w:p w14:paraId="442F8D7F" w14:textId="77777777" w:rsidR="00117D2B" w:rsidRPr="00722DF8" w:rsidRDefault="00117D2B" w:rsidP="0023487E">
            <w:pPr>
              <w:pStyle w:val="TableText1"/>
              <w:rPr>
                <w:color w:val="000000"/>
              </w:rPr>
            </w:pPr>
          </w:p>
          <w:p w14:paraId="6F540BB0" w14:textId="77777777" w:rsidR="00117D2B" w:rsidRPr="00722DF8" w:rsidRDefault="00117D2B" w:rsidP="0023487E">
            <w:pPr>
              <w:pStyle w:val="TableText1"/>
              <w:rPr>
                <w:color w:val="000000"/>
              </w:rPr>
            </w:pPr>
            <w:r w:rsidRPr="00722DF8">
              <w:rPr>
                <w:color w:val="000000"/>
              </w:rPr>
              <w:t>Having no fixed abode, so lack of registration to GP and access to healthcare systems for diagnosis.  Cultural stigma in GRTSB around cancer and mistrust of healthcare systems leads to late diagnosis.</w:t>
            </w:r>
          </w:p>
          <w:p w14:paraId="065154E1" w14:textId="77777777" w:rsidR="00117D2B" w:rsidRPr="00722DF8" w:rsidRDefault="00117D2B" w:rsidP="0023487E">
            <w:pPr>
              <w:pStyle w:val="TableText1"/>
              <w:rPr>
                <w:color w:val="000000"/>
              </w:rPr>
            </w:pPr>
          </w:p>
          <w:p w14:paraId="7931EB9D" w14:textId="77777777" w:rsidR="00117D2B" w:rsidRPr="00722DF8" w:rsidRDefault="00117D2B" w:rsidP="0023487E">
            <w:pPr>
              <w:pStyle w:val="TableText1"/>
              <w:rPr>
                <w:color w:val="000000"/>
              </w:rPr>
            </w:pPr>
            <w:r w:rsidRPr="00722DF8">
              <w:rPr>
                <w:color w:val="000000"/>
              </w:rPr>
              <w:t>Overall comment:</w:t>
            </w:r>
          </w:p>
          <w:p w14:paraId="0B28E8DD" w14:textId="77777777" w:rsidR="00117D2B" w:rsidRPr="00722DF8" w:rsidRDefault="00117D2B" w:rsidP="0023487E">
            <w:pPr>
              <w:pStyle w:val="TableText1"/>
              <w:rPr>
                <w:color w:val="000000"/>
              </w:rPr>
            </w:pPr>
          </w:p>
          <w:p w14:paraId="3B7A1F75" w14:textId="77777777" w:rsidR="00117D2B" w:rsidRPr="00722DF8" w:rsidRDefault="00117D2B" w:rsidP="0023487E">
            <w:pPr>
              <w:pStyle w:val="TableText1"/>
              <w:rPr>
                <w:color w:val="000000"/>
              </w:rPr>
            </w:pPr>
            <w:r w:rsidRPr="00722DF8">
              <w:rPr>
                <w:color w:val="000000"/>
              </w:rPr>
              <w:t>Overall, how is it proposed that one lay member with lived experience be able to comment on the broad intersectionality of health inequalities within ovarian cancer care? Might a lay panel be more appropriate to avoid perspective bias?</w:t>
            </w:r>
          </w:p>
          <w:p w14:paraId="571595AF" w14:textId="77777777" w:rsidR="00117D2B" w:rsidRPr="00722DF8" w:rsidRDefault="00117D2B" w:rsidP="0023487E">
            <w:pPr>
              <w:pStyle w:val="TableText1"/>
              <w:rPr>
                <w:color w:val="000000"/>
              </w:rPr>
            </w:pPr>
          </w:p>
          <w:p w14:paraId="721C2DAB" w14:textId="77777777" w:rsidR="00117D2B" w:rsidRPr="00722DF8" w:rsidRDefault="00117D2B" w:rsidP="0023487E">
            <w:pPr>
              <w:pStyle w:val="TableText1"/>
              <w:rPr>
                <w:color w:val="000000"/>
                <w:u w:val="single"/>
              </w:rPr>
            </w:pPr>
            <w:r w:rsidRPr="00722DF8">
              <w:rPr>
                <w:color w:val="000000"/>
                <w:u w:val="single"/>
              </w:rPr>
              <w:t xml:space="preserve">Comments on </w:t>
            </w:r>
            <w:r w:rsidRPr="00722DF8">
              <w:rPr>
                <w:u w:val="single"/>
              </w:rPr>
              <w:t>equality and diversity considerations in draft quality standards document</w:t>
            </w:r>
          </w:p>
          <w:p w14:paraId="3E10E3D2" w14:textId="77777777" w:rsidR="00117D2B" w:rsidRPr="00722DF8" w:rsidRDefault="00117D2B" w:rsidP="0023487E">
            <w:pPr>
              <w:pStyle w:val="TableText1"/>
              <w:rPr>
                <w:color w:val="000000"/>
              </w:rPr>
            </w:pPr>
          </w:p>
          <w:p w14:paraId="2900BBF1" w14:textId="77777777" w:rsidR="00117D2B" w:rsidRPr="00722DF8" w:rsidRDefault="00117D2B" w:rsidP="0023487E">
            <w:pPr>
              <w:pStyle w:val="TableText1"/>
            </w:pPr>
            <w:r w:rsidRPr="00722DF8">
              <w:t>Statement 1:</w:t>
            </w:r>
          </w:p>
          <w:p w14:paraId="1C36DF6D" w14:textId="77777777" w:rsidR="00117D2B" w:rsidRPr="00722DF8" w:rsidRDefault="00117D2B" w:rsidP="0023487E">
            <w:pPr>
              <w:pStyle w:val="TableText1"/>
            </w:pPr>
          </w:p>
          <w:p w14:paraId="00260808" w14:textId="77777777" w:rsidR="00117D2B" w:rsidRPr="00722DF8" w:rsidRDefault="00117D2B" w:rsidP="0023487E">
            <w:pPr>
              <w:pStyle w:val="TableText1"/>
              <w:rPr>
                <w:szCs w:val="20"/>
              </w:rPr>
            </w:pPr>
            <w:r w:rsidRPr="00722DF8">
              <w:rPr>
                <w:szCs w:val="20"/>
              </w:rPr>
              <w:t>Include British Sign Language into interpreting needs</w:t>
            </w:r>
          </w:p>
          <w:p w14:paraId="4E0ECD8F" w14:textId="61B2E6A5" w:rsidR="00117D2B" w:rsidRPr="00722DF8" w:rsidRDefault="005B17A0" w:rsidP="0023487E">
            <w:pPr>
              <w:pStyle w:val="TableText1"/>
              <w:rPr>
                <w:szCs w:val="20"/>
              </w:rPr>
            </w:pPr>
            <w:r>
              <w:rPr>
                <w:szCs w:val="20"/>
              </w:rPr>
              <w:t xml:space="preserve">- </w:t>
            </w:r>
            <w:r w:rsidR="00117D2B" w:rsidRPr="00722DF8">
              <w:rPr>
                <w:szCs w:val="20"/>
              </w:rPr>
              <w:t>Easy read information</w:t>
            </w:r>
          </w:p>
          <w:p w14:paraId="4FFDD822" w14:textId="6F8111AF" w:rsidR="00117D2B" w:rsidRPr="001C12DF" w:rsidRDefault="005B17A0" w:rsidP="00117D2B">
            <w:pPr>
              <w:pStyle w:val="TableText1"/>
              <w:rPr>
                <w:szCs w:val="20"/>
              </w:rPr>
            </w:pPr>
            <w:r>
              <w:rPr>
                <w:szCs w:val="20"/>
              </w:rPr>
              <w:t xml:space="preserve">- </w:t>
            </w:r>
            <w:r w:rsidR="00117D2B" w:rsidRPr="00722DF8">
              <w:rPr>
                <w:szCs w:val="20"/>
              </w:rPr>
              <w:t xml:space="preserve">Considerations in relation to cultural sensitivities and stigma around health, gender, help-seeking and mistrust of statutory services e.g in Gypsy, Roma and </w:t>
            </w:r>
            <w:proofErr w:type="spellStart"/>
            <w:r w:rsidR="00117D2B" w:rsidRPr="00722DF8">
              <w:rPr>
                <w:szCs w:val="20"/>
              </w:rPr>
              <w:t>Traveller</w:t>
            </w:r>
            <w:proofErr w:type="spellEnd"/>
            <w:r w:rsidR="00117D2B" w:rsidRPr="00722DF8">
              <w:rPr>
                <w:szCs w:val="20"/>
              </w:rPr>
              <w:t xml:space="preserve"> communities, and how this might impact on genetic testing.  Potential to work with Voluntary, Community and Social Enterprise organisations who have built trust. </w:t>
            </w:r>
          </w:p>
        </w:tc>
      </w:tr>
      <w:tr w:rsidR="00117D2B" w:rsidRPr="00660F4E" w14:paraId="1B49B948" w14:textId="77777777" w:rsidTr="001C12DF">
        <w:tc>
          <w:tcPr>
            <w:tcW w:w="675" w:type="dxa"/>
          </w:tcPr>
          <w:p w14:paraId="7F4731A7" w14:textId="1D9C92A8" w:rsidR="00117D2B" w:rsidRDefault="00117D2B" w:rsidP="00117D2B">
            <w:pPr>
              <w:pStyle w:val="TableText1"/>
            </w:pPr>
            <w:r>
              <w:lastRenderedPageBreak/>
              <w:t>1</w:t>
            </w:r>
            <w:r w:rsidR="009E50E1">
              <w:t>4</w:t>
            </w:r>
          </w:p>
        </w:tc>
        <w:tc>
          <w:tcPr>
            <w:tcW w:w="2297" w:type="dxa"/>
          </w:tcPr>
          <w:p w14:paraId="6948C781" w14:textId="656E33B6" w:rsidR="00117D2B" w:rsidRPr="00E536DD" w:rsidRDefault="00117D2B" w:rsidP="00117D2B">
            <w:pPr>
              <w:pStyle w:val="TableText1"/>
            </w:pPr>
            <w:r w:rsidRPr="00722DF8">
              <w:t>Ovarian Cancer Action</w:t>
            </w:r>
          </w:p>
        </w:tc>
        <w:tc>
          <w:tcPr>
            <w:tcW w:w="1672" w:type="dxa"/>
          </w:tcPr>
          <w:p w14:paraId="4FC2A887" w14:textId="77777777" w:rsidR="00117D2B" w:rsidRPr="00FA72F2" w:rsidRDefault="00117D2B" w:rsidP="0023487E">
            <w:pPr>
              <w:pStyle w:val="TableText1"/>
              <w:rPr>
                <w:b/>
              </w:rPr>
            </w:pPr>
            <w:r w:rsidRPr="00712BC9">
              <w:rPr>
                <w:b/>
              </w:rPr>
              <w:t>Question 4 – EHIA question (pilot)</w:t>
            </w:r>
          </w:p>
          <w:p w14:paraId="79C833F5" w14:textId="77777777" w:rsidR="00117D2B" w:rsidRDefault="00117D2B" w:rsidP="0023487E">
            <w:pPr>
              <w:pStyle w:val="TableText1"/>
            </w:pPr>
          </w:p>
          <w:p w14:paraId="107E33F2" w14:textId="77777777" w:rsidR="00117D2B" w:rsidRDefault="00117D2B" w:rsidP="0023487E">
            <w:pPr>
              <w:pStyle w:val="TableText1"/>
            </w:pPr>
          </w:p>
          <w:p w14:paraId="281A992D" w14:textId="549B7ACB" w:rsidR="00117D2B" w:rsidRDefault="00117D2B" w:rsidP="00117D2B">
            <w:pPr>
              <w:pStyle w:val="TableText1"/>
              <w:rPr>
                <w:b/>
              </w:rPr>
            </w:pPr>
            <w:r w:rsidRPr="00722DF8">
              <w:t>Question 4</w:t>
            </w:r>
          </w:p>
        </w:tc>
        <w:tc>
          <w:tcPr>
            <w:tcW w:w="10632" w:type="dxa"/>
          </w:tcPr>
          <w:p w14:paraId="1F7309BF" w14:textId="651D1EE7" w:rsidR="00117D2B" w:rsidRPr="00E536DD" w:rsidRDefault="00117D2B" w:rsidP="00117D2B">
            <w:pPr>
              <w:pStyle w:val="TableText1"/>
            </w:pPr>
            <w:r w:rsidRPr="00722DF8">
              <w:t xml:space="preserve">Race – One of our IMPROVE UK QI projects, the DEMO project, looked at racial inequality in accessing genetic testing. This should be a key metric and note that this is mentioned as a question in the draft. We hope that services can input into how this would be measured/ monitored so work can be done in areas where the discrepancy is highest. </w:t>
            </w:r>
          </w:p>
        </w:tc>
      </w:tr>
      <w:tr w:rsidR="00117D2B" w:rsidRPr="00660F4E" w14:paraId="6A05D351" w14:textId="77777777" w:rsidTr="001C12DF">
        <w:tc>
          <w:tcPr>
            <w:tcW w:w="675" w:type="dxa"/>
          </w:tcPr>
          <w:p w14:paraId="2F7A356D" w14:textId="4E0C0391" w:rsidR="00117D2B" w:rsidRDefault="00117D2B" w:rsidP="00117D2B">
            <w:pPr>
              <w:pStyle w:val="TableText1"/>
            </w:pPr>
            <w:r>
              <w:lastRenderedPageBreak/>
              <w:t>1</w:t>
            </w:r>
            <w:r w:rsidR="009E50E1">
              <w:t>5</w:t>
            </w:r>
          </w:p>
        </w:tc>
        <w:tc>
          <w:tcPr>
            <w:tcW w:w="2297" w:type="dxa"/>
          </w:tcPr>
          <w:p w14:paraId="7E606C9D" w14:textId="41A82988" w:rsidR="00117D2B" w:rsidRPr="00E536DD" w:rsidRDefault="00117D2B" w:rsidP="00117D2B">
            <w:pPr>
              <w:pStyle w:val="TableText1"/>
            </w:pPr>
            <w:r w:rsidRPr="00722DF8">
              <w:rPr>
                <w:rFonts w:cs="Arial"/>
              </w:rPr>
              <w:t>Royal College of General Practitioners</w:t>
            </w:r>
          </w:p>
        </w:tc>
        <w:tc>
          <w:tcPr>
            <w:tcW w:w="1672" w:type="dxa"/>
          </w:tcPr>
          <w:p w14:paraId="6B4E26C3" w14:textId="77777777" w:rsidR="00117D2B" w:rsidRPr="0023487E" w:rsidRDefault="00117D2B" w:rsidP="0023487E">
            <w:pPr>
              <w:pStyle w:val="TableText1"/>
              <w:rPr>
                <w:b/>
                <w:bCs/>
              </w:rPr>
            </w:pPr>
            <w:r w:rsidRPr="0023487E">
              <w:rPr>
                <w:b/>
                <w:bCs/>
              </w:rPr>
              <w:t>Question 4 – EHIA question (pilot)</w:t>
            </w:r>
          </w:p>
          <w:p w14:paraId="3031F74F" w14:textId="77777777" w:rsidR="00117D2B" w:rsidRDefault="00117D2B" w:rsidP="00117D2B">
            <w:pPr>
              <w:rPr>
                <w:rFonts w:cs="Arial"/>
                <w:sz w:val="20"/>
              </w:rPr>
            </w:pPr>
          </w:p>
          <w:p w14:paraId="5433B0F4" w14:textId="07E95DE8" w:rsidR="00117D2B" w:rsidRDefault="00117D2B" w:rsidP="00117D2B">
            <w:pPr>
              <w:pStyle w:val="TableText1"/>
              <w:rPr>
                <w:b/>
                <w:bCs/>
              </w:rPr>
            </w:pPr>
            <w:r w:rsidRPr="00722DF8">
              <w:rPr>
                <w:rFonts w:cs="Arial"/>
              </w:rPr>
              <w:t>Question 4</w:t>
            </w:r>
          </w:p>
        </w:tc>
        <w:tc>
          <w:tcPr>
            <w:tcW w:w="10632" w:type="dxa"/>
          </w:tcPr>
          <w:p w14:paraId="1EC43658" w14:textId="77777777" w:rsidR="00117D2B" w:rsidRPr="00722DF8" w:rsidRDefault="00117D2B" w:rsidP="0023487E">
            <w:pPr>
              <w:pStyle w:val="Paragraphnonumbers"/>
              <w:spacing w:after="0" w:line="240" w:lineRule="auto"/>
              <w:rPr>
                <w:rFonts w:cs="Arial"/>
                <w:sz w:val="20"/>
                <w:szCs w:val="20"/>
              </w:rPr>
            </w:pPr>
            <w:r w:rsidRPr="00722DF8">
              <w:rPr>
                <w:rFonts w:cs="Arial"/>
                <w:sz w:val="20"/>
                <w:szCs w:val="20"/>
              </w:rPr>
              <w:t>The EHIA seems comprehensive but there are areas for improvement:</w:t>
            </w:r>
          </w:p>
          <w:p w14:paraId="6865961F" w14:textId="77777777" w:rsidR="00117D2B" w:rsidRPr="00722DF8" w:rsidRDefault="00117D2B" w:rsidP="0023487E">
            <w:pPr>
              <w:pStyle w:val="Paragraphnonumbers"/>
              <w:numPr>
                <w:ilvl w:val="0"/>
                <w:numId w:val="46"/>
              </w:numPr>
              <w:spacing w:line="240" w:lineRule="auto"/>
              <w:rPr>
                <w:rFonts w:cs="Arial"/>
                <w:sz w:val="20"/>
                <w:szCs w:val="20"/>
              </w:rPr>
            </w:pPr>
            <w:r w:rsidRPr="00722DF8">
              <w:rPr>
                <w:rFonts w:cs="Arial"/>
                <w:sz w:val="20"/>
                <w:szCs w:val="20"/>
              </w:rPr>
              <w:t>Race and Ethnicity: Although the draft mentions variations in genetic testing uptake by ethnicity, it could benefit from more explicit strategies to address these disparities, such as targeted outreach and education programs.</w:t>
            </w:r>
          </w:p>
          <w:p w14:paraId="1C3D2065" w14:textId="77777777" w:rsidR="00117D2B" w:rsidRPr="00722DF8" w:rsidRDefault="00117D2B" w:rsidP="0023487E">
            <w:pPr>
              <w:pStyle w:val="Paragraphnonumbers"/>
              <w:numPr>
                <w:ilvl w:val="0"/>
                <w:numId w:val="46"/>
              </w:numPr>
              <w:spacing w:line="240" w:lineRule="auto"/>
              <w:rPr>
                <w:rFonts w:cs="Arial"/>
                <w:sz w:val="20"/>
                <w:szCs w:val="20"/>
              </w:rPr>
            </w:pPr>
            <w:r w:rsidRPr="00722DF8">
              <w:rPr>
                <w:rFonts w:cs="Arial"/>
                <w:sz w:val="20"/>
                <w:szCs w:val="20"/>
              </w:rPr>
              <w:t>Socioeconomic Status: The document recognizes disparities in outcomes by socioeconomic status but lacks specific strategies to address these, such as improving access in deprived areas or reducing costs for patients.</w:t>
            </w:r>
          </w:p>
          <w:p w14:paraId="5E186C76" w14:textId="030269B9" w:rsidR="00117D2B" w:rsidRPr="00190411" w:rsidRDefault="00117D2B" w:rsidP="0023487E">
            <w:pPr>
              <w:pStyle w:val="Paragraphnonumbers"/>
              <w:numPr>
                <w:ilvl w:val="0"/>
                <w:numId w:val="46"/>
              </w:numPr>
              <w:spacing w:after="0" w:line="240" w:lineRule="auto"/>
              <w:rPr>
                <w:rFonts w:cs="Arial"/>
                <w:szCs w:val="20"/>
              </w:rPr>
            </w:pPr>
            <w:r w:rsidRPr="00722DF8">
              <w:rPr>
                <w:rFonts w:cs="Arial"/>
                <w:sz w:val="20"/>
                <w:szCs w:val="20"/>
              </w:rPr>
              <w:t>Age Disparities: It is acknowledged that older patients are less likely to receive certain treatments. The guidance should include more proactive recommendations to reduce these inequalities</w:t>
            </w:r>
          </w:p>
        </w:tc>
      </w:tr>
      <w:tr w:rsidR="00117D2B" w:rsidRPr="00660F4E" w14:paraId="5B67E57A" w14:textId="77777777" w:rsidTr="001C12DF">
        <w:tc>
          <w:tcPr>
            <w:tcW w:w="675" w:type="dxa"/>
          </w:tcPr>
          <w:p w14:paraId="48338A6B" w14:textId="3CE875AE" w:rsidR="00117D2B" w:rsidRDefault="00117D2B" w:rsidP="00117D2B">
            <w:pPr>
              <w:pStyle w:val="TableText1"/>
            </w:pPr>
            <w:r>
              <w:t>1</w:t>
            </w:r>
            <w:r w:rsidR="009E50E1">
              <w:t>6</w:t>
            </w:r>
          </w:p>
        </w:tc>
        <w:tc>
          <w:tcPr>
            <w:tcW w:w="2297" w:type="dxa"/>
          </w:tcPr>
          <w:p w14:paraId="7C51F3D9" w14:textId="008F6D8D" w:rsidR="00117D2B" w:rsidRPr="00A20C46" w:rsidRDefault="00117D2B" w:rsidP="00117D2B">
            <w:pPr>
              <w:pStyle w:val="TableText1"/>
            </w:pPr>
            <w:r w:rsidRPr="00722DF8">
              <w:rPr>
                <w:rFonts w:cs="Arial"/>
              </w:rPr>
              <w:t>Royal College of General Practitioners</w:t>
            </w:r>
          </w:p>
        </w:tc>
        <w:tc>
          <w:tcPr>
            <w:tcW w:w="1672" w:type="dxa"/>
          </w:tcPr>
          <w:p w14:paraId="196A5C65" w14:textId="5E14C15E" w:rsidR="00117D2B" w:rsidRPr="006742BF" w:rsidRDefault="00117D2B" w:rsidP="006742BF">
            <w:pPr>
              <w:pStyle w:val="TableText1"/>
              <w:rPr>
                <w:b/>
                <w:bCs/>
              </w:rPr>
            </w:pPr>
            <w:r w:rsidRPr="006742BF">
              <w:rPr>
                <w:b/>
                <w:bCs/>
              </w:rPr>
              <w:t>Equality &amp; health inequalities – general</w:t>
            </w:r>
          </w:p>
          <w:p w14:paraId="20673B94" w14:textId="77777777" w:rsidR="00117D2B" w:rsidRDefault="00117D2B" w:rsidP="00117D2B">
            <w:pPr>
              <w:rPr>
                <w:rFonts w:cs="Arial"/>
                <w:sz w:val="20"/>
              </w:rPr>
            </w:pPr>
          </w:p>
          <w:p w14:paraId="6F04C8E3" w14:textId="3365542D" w:rsidR="00117D2B" w:rsidRPr="00117D2B" w:rsidRDefault="00117D2B" w:rsidP="00117D2B">
            <w:pPr>
              <w:pStyle w:val="TableText1"/>
              <w:rPr>
                <w:b/>
              </w:rPr>
            </w:pPr>
            <w:r w:rsidRPr="00722DF8">
              <w:rPr>
                <w:rFonts w:cs="Arial"/>
              </w:rPr>
              <w:t>Question 1</w:t>
            </w:r>
          </w:p>
        </w:tc>
        <w:tc>
          <w:tcPr>
            <w:tcW w:w="10632" w:type="dxa"/>
          </w:tcPr>
          <w:p w14:paraId="515B1568" w14:textId="77777777" w:rsidR="00117D2B" w:rsidRPr="00722DF8" w:rsidRDefault="00117D2B" w:rsidP="00117D2B">
            <w:pPr>
              <w:pStyle w:val="Paragraphnonumbers"/>
              <w:spacing w:after="0"/>
              <w:rPr>
                <w:rFonts w:cs="Arial"/>
                <w:sz w:val="20"/>
                <w:szCs w:val="20"/>
              </w:rPr>
            </w:pPr>
            <w:r w:rsidRPr="008D2D7E">
              <w:rPr>
                <w:rFonts w:cs="Arial"/>
                <w:sz w:val="20"/>
                <w:szCs w:val="20"/>
              </w:rPr>
              <w:t>The draft quality standard covers several key areas for quality improvement in ovarian cancer management:</w:t>
            </w:r>
          </w:p>
          <w:p w14:paraId="2E510AD1" w14:textId="77777777" w:rsidR="00117D2B" w:rsidRPr="00722DF8" w:rsidRDefault="00117D2B" w:rsidP="00117D2B">
            <w:pPr>
              <w:pStyle w:val="TableText1"/>
              <w:numPr>
                <w:ilvl w:val="0"/>
                <w:numId w:val="58"/>
              </w:numPr>
            </w:pPr>
            <w:r w:rsidRPr="00722DF8">
              <w:t xml:space="preserve">It is important to consider ovarian cancer and relevant investigations with every presentation of abdominal symptoms in women </w:t>
            </w:r>
            <w:proofErr w:type="gramStart"/>
            <w:r w:rsidRPr="00722DF8">
              <w:t>and also</w:t>
            </w:r>
            <w:proofErr w:type="gramEnd"/>
            <w:r w:rsidRPr="00722DF8">
              <w:t xml:space="preserve"> consider the needs of people with learning disability and neurodiversity who are:</w:t>
            </w:r>
          </w:p>
          <w:p w14:paraId="7618AF6A" w14:textId="77777777" w:rsidR="00117D2B" w:rsidRDefault="00117D2B" w:rsidP="00117D2B">
            <w:pPr>
              <w:pStyle w:val="TableText1"/>
              <w:numPr>
                <w:ilvl w:val="0"/>
                <w:numId w:val="59"/>
              </w:numPr>
            </w:pPr>
            <w:r w:rsidRPr="00722DF8">
              <w:t>Often omitted in discussions on equality and diversity, </w:t>
            </w:r>
          </w:p>
          <w:p w14:paraId="2C0E7E41" w14:textId="77777777" w:rsidR="00117D2B" w:rsidRPr="007110A7" w:rsidRDefault="00117D2B" w:rsidP="00117D2B">
            <w:pPr>
              <w:pStyle w:val="TableText1"/>
              <w:numPr>
                <w:ilvl w:val="0"/>
                <w:numId w:val="59"/>
              </w:numPr>
            </w:pPr>
            <w:r w:rsidRPr="00722DF8">
              <w:rPr>
                <w:rFonts w:cs="Arial"/>
                <w:szCs w:val="20"/>
              </w:rPr>
              <w:t>Have difficulties with communication especially about health needs </w:t>
            </w:r>
          </w:p>
          <w:p w14:paraId="430E4A1F" w14:textId="77777777" w:rsidR="00117D2B" w:rsidRPr="007110A7" w:rsidRDefault="00117D2B" w:rsidP="00117D2B">
            <w:pPr>
              <w:pStyle w:val="TableText1"/>
              <w:numPr>
                <w:ilvl w:val="0"/>
                <w:numId w:val="59"/>
              </w:numPr>
            </w:pPr>
            <w:r w:rsidRPr="007110A7">
              <w:rPr>
                <w:rFonts w:cs="Arial"/>
                <w:szCs w:val="20"/>
              </w:rPr>
              <w:t>Affected by manifestations of ill health which are dependent on the intrinsic abilities and characteristics of each person  </w:t>
            </w:r>
          </w:p>
          <w:p w14:paraId="163E5E2E" w14:textId="77777777" w:rsidR="00117D2B" w:rsidRPr="007110A7" w:rsidRDefault="00117D2B" w:rsidP="00117D2B">
            <w:pPr>
              <w:pStyle w:val="TableText1"/>
              <w:numPr>
                <w:ilvl w:val="0"/>
                <w:numId w:val="59"/>
              </w:numPr>
            </w:pPr>
            <w:r w:rsidRPr="007110A7">
              <w:rPr>
                <w:rFonts w:cs="Arial"/>
                <w:szCs w:val="20"/>
              </w:rPr>
              <w:t>Adversely affected by social policy including the use of virtual consultations and IT.</w:t>
            </w:r>
          </w:p>
          <w:p w14:paraId="71AFD928" w14:textId="77777777" w:rsidR="00117D2B" w:rsidRPr="00722DF8" w:rsidRDefault="00117D2B" w:rsidP="00117D2B">
            <w:pPr>
              <w:pStyle w:val="Paragraphnonumbers"/>
              <w:spacing w:after="0"/>
              <w:rPr>
                <w:rFonts w:cs="Arial"/>
                <w:sz w:val="20"/>
                <w:szCs w:val="20"/>
              </w:rPr>
            </w:pPr>
          </w:p>
          <w:p w14:paraId="022ADA8E" w14:textId="77777777" w:rsidR="00117D2B" w:rsidRDefault="00117D2B" w:rsidP="00117D2B">
            <w:pPr>
              <w:pStyle w:val="TableText1"/>
              <w:numPr>
                <w:ilvl w:val="0"/>
                <w:numId w:val="58"/>
              </w:numPr>
            </w:pPr>
            <w:r w:rsidRPr="00722DF8">
              <w:t>Risk-Reducing Surgery: The focus on discussions about risk-reducing surgery for adults with a lifetime risk of 5% or more aligns with improving preventive care.</w:t>
            </w:r>
          </w:p>
          <w:p w14:paraId="410F395A" w14:textId="77777777" w:rsidR="00117D2B" w:rsidRPr="007110A7" w:rsidRDefault="00117D2B" w:rsidP="00117D2B">
            <w:pPr>
              <w:pStyle w:val="TableText1"/>
              <w:numPr>
                <w:ilvl w:val="0"/>
                <w:numId w:val="58"/>
              </w:numPr>
            </w:pPr>
            <w:r w:rsidRPr="007110A7">
              <w:rPr>
                <w:rFonts w:cs="Arial"/>
                <w:szCs w:val="20"/>
              </w:rPr>
              <w:t>Genetic Testing: Emphasis on panel germline testing for adults newly diagnosed with high-grade epithelial ovarian cancer and tumour testing for stage 3 or 4 cancers is vital for identifying genetic risks and tailoring treatment.</w:t>
            </w:r>
          </w:p>
          <w:p w14:paraId="0017FB48" w14:textId="77777777" w:rsidR="00117D2B" w:rsidRPr="007110A7" w:rsidRDefault="00117D2B" w:rsidP="00117D2B">
            <w:pPr>
              <w:pStyle w:val="TableText1"/>
              <w:numPr>
                <w:ilvl w:val="0"/>
                <w:numId w:val="58"/>
              </w:numPr>
            </w:pPr>
            <w:r w:rsidRPr="007110A7">
              <w:rPr>
                <w:rFonts w:cs="Arial"/>
                <w:szCs w:val="20"/>
              </w:rPr>
              <w:t>Combined Treatment Approach: The recommendation for both surgery and chemotherapy for high-risk stage 1 or stages 2-4 ovarian cancers supports evidence-based practice.</w:t>
            </w:r>
          </w:p>
          <w:p w14:paraId="330FAB82" w14:textId="77777777" w:rsidR="00117D2B" w:rsidRPr="00722DF8" w:rsidRDefault="00117D2B" w:rsidP="00117D2B">
            <w:pPr>
              <w:pStyle w:val="Paragraphnonumbers"/>
              <w:spacing w:after="0"/>
              <w:ind w:left="360"/>
              <w:rPr>
                <w:rFonts w:cs="Arial"/>
                <w:sz w:val="20"/>
                <w:szCs w:val="20"/>
              </w:rPr>
            </w:pPr>
          </w:p>
          <w:p w14:paraId="259B8C73" w14:textId="7B337676" w:rsidR="00117D2B" w:rsidRPr="00A20C46" w:rsidRDefault="00117D2B" w:rsidP="00117D2B">
            <w:pPr>
              <w:pStyle w:val="TableText1"/>
            </w:pPr>
            <w:r w:rsidRPr="00722DF8">
              <w:t>These areas reflect significant aspects of care that can improve outcomes, particularly by focusing on early detection, tailored treatment approaches, and risk management.</w:t>
            </w:r>
          </w:p>
        </w:tc>
      </w:tr>
      <w:tr w:rsidR="00117D2B" w:rsidRPr="00660F4E" w14:paraId="2E0F5BE9" w14:textId="77777777" w:rsidTr="001C12DF">
        <w:tc>
          <w:tcPr>
            <w:tcW w:w="675" w:type="dxa"/>
          </w:tcPr>
          <w:p w14:paraId="2BCC35ED" w14:textId="6F8F3E0D" w:rsidR="00117D2B" w:rsidRDefault="00117D2B" w:rsidP="00117D2B">
            <w:pPr>
              <w:pStyle w:val="TableText1"/>
            </w:pPr>
            <w:r>
              <w:t>1</w:t>
            </w:r>
            <w:r w:rsidR="009E50E1">
              <w:t>7</w:t>
            </w:r>
          </w:p>
        </w:tc>
        <w:tc>
          <w:tcPr>
            <w:tcW w:w="2297" w:type="dxa"/>
          </w:tcPr>
          <w:p w14:paraId="543D8F47" w14:textId="4672A02F" w:rsidR="00117D2B" w:rsidRPr="00A20C46" w:rsidRDefault="00117D2B" w:rsidP="00117D2B">
            <w:pPr>
              <w:pStyle w:val="TableText1"/>
            </w:pPr>
            <w:r w:rsidRPr="00722DF8">
              <w:rPr>
                <w:rFonts w:cs="Arial"/>
                <w:bCs/>
              </w:rPr>
              <w:t xml:space="preserve">Royal College of General Practitioners </w:t>
            </w:r>
            <w:r w:rsidRPr="00722DF8">
              <w:rPr>
                <w:rFonts w:cs="Arial"/>
                <w:bCs/>
              </w:rPr>
              <w:lastRenderedPageBreak/>
              <w:t>Special Interest Group on Learning Disability</w:t>
            </w:r>
          </w:p>
        </w:tc>
        <w:tc>
          <w:tcPr>
            <w:tcW w:w="1672" w:type="dxa"/>
          </w:tcPr>
          <w:p w14:paraId="44E33E20" w14:textId="77777777" w:rsidR="00117D2B" w:rsidRPr="00992D85" w:rsidRDefault="00117D2B" w:rsidP="006742BF">
            <w:pPr>
              <w:pStyle w:val="TableText1"/>
              <w:rPr>
                <w:b/>
                <w:bCs/>
              </w:rPr>
            </w:pPr>
            <w:r w:rsidRPr="00992D85">
              <w:rPr>
                <w:b/>
                <w:bCs/>
              </w:rPr>
              <w:lastRenderedPageBreak/>
              <w:t xml:space="preserve">Equality &amp; health </w:t>
            </w:r>
            <w:r w:rsidRPr="00992D85">
              <w:rPr>
                <w:b/>
                <w:bCs/>
              </w:rPr>
              <w:lastRenderedPageBreak/>
              <w:t>inequalities – general</w:t>
            </w:r>
          </w:p>
          <w:p w14:paraId="3804E6AD" w14:textId="77777777" w:rsidR="00117D2B" w:rsidRPr="00712BC9" w:rsidRDefault="00117D2B" w:rsidP="00117D2B">
            <w:pPr>
              <w:rPr>
                <w:rFonts w:cs="Arial"/>
                <w:sz w:val="20"/>
              </w:rPr>
            </w:pPr>
          </w:p>
          <w:p w14:paraId="58AE69E3" w14:textId="2F124614" w:rsidR="00117D2B" w:rsidRPr="00117D2B" w:rsidRDefault="00117D2B" w:rsidP="00117D2B">
            <w:pPr>
              <w:pStyle w:val="TableText1"/>
              <w:rPr>
                <w:b/>
              </w:rPr>
            </w:pPr>
            <w:r w:rsidRPr="008D2D7E">
              <w:rPr>
                <w:rFonts w:cs="Arial"/>
              </w:rPr>
              <w:t>Statement 2</w:t>
            </w:r>
          </w:p>
        </w:tc>
        <w:tc>
          <w:tcPr>
            <w:tcW w:w="10632" w:type="dxa"/>
          </w:tcPr>
          <w:p w14:paraId="4A30B6C7" w14:textId="77777777" w:rsidR="00117D2B" w:rsidRPr="00722DF8" w:rsidRDefault="00117D2B" w:rsidP="00117D2B">
            <w:pPr>
              <w:pStyle w:val="Paragraphnonumbers"/>
              <w:spacing w:line="240" w:lineRule="auto"/>
              <w:rPr>
                <w:rFonts w:cs="Arial"/>
                <w:sz w:val="20"/>
                <w:szCs w:val="20"/>
              </w:rPr>
            </w:pPr>
            <w:r w:rsidRPr="00722DF8">
              <w:rPr>
                <w:rFonts w:cs="Arial"/>
                <w:sz w:val="20"/>
                <w:szCs w:val="20"/>
              </w:rPr>
              <w:lastRenderedPageBreak/>
              <w:t>Does this draft quality standard accurately reflect the key areas for quality improvement?</w:t>
            </w:r>
          </w:p>
          <w:p w14:paraId="49E0D9B7" w14:textId="77777777" w:rsidR="00117D2B" w:rsidRPr="00722DF8" w:rsidRDefault="00117D2B" w:rsidP="00117D2B">
            <w:pPr>
              <w:pStyle w:val="Paragraphnonumbers"/>
              <w:spacing w:line="240" w:lineRule="auto"/>
              <w:rPr>
                <w:rFonts w:cs="Arial"/>
                <w:sz w:val="20"/>
                <w:szCs w:val="20"/>
              </w:rPr>
            </w:pPr>
            <w:r w:rsidRPr="00722DF8">
              <w:rPr>
                <w:rFonts w:cs="Arial"/>
                <w:b/>
                <w:bCs/>
                <w:sz w:val="20"/>
                <w:szCs w:val="20"/>
              </w:rPr>
              <w:lastRenderedPageBreak/>
              <w:t>No</w:t>
            </w:r>
            <w:r w:rsidRPr="00722DF8">
              <w:rPr>
                <w:rFonts w:cs="Arial"/>
                <w:sz w:val="20"/>
                <w:szCs w:val="20"/>
              </w:rPr>
              <w:t xml:space="preserve"> because it makes no mention of the needs of people with learning disability and neurodiversity who:</w:t>
            </w:r>
          </w:p>
          <w:p w14:paraId="520D311F" w14:textId="77777777" w:rsidR="00117D2B" w:rsidRPr="00722DF8" w:rsidRDefault="00117D2B" w:rsidP="00117D2B">
            <w:pPr>
              <w:pStyle w:val="p1"/>
              <w:rPr>
                <w:rFonts w:ascii="Arial" w:hAnsi="Arial" w:cs="Arial"/>
                <w:sz w:val="20"/>
                <w:szCs w:val="20"/>
              </w:rPr>
            </w:pPr>
            <w:r w:rsidRPr="00722DF8">
              <w:rPr>
                <w:rStyle w:val="s1"/>
                <w:rFonts w:ascii="Arial" w:hAnsi="Arial" w:cs="Arial"/>
                <w:sz w:val="20"/>
                <w:szCs w:val="20"/>
              </w:rPr>
              <w:t>1)</w:t>
            </w:r>
            <w:r>
              <w:rPr>
                <w:rStyle w:val="s1"/>
                <w:rFonts w:ascii="Arial" w:hAnsi="Arial" w:cs="Arial"/>
                <w:sz w:val="20"/>
                <w:szCs w:val="20"/>
              </w:rPr>
              <w:t xml:space="preserve"> </w:t>
            </w:r>
            <w:r w:rsidRPr="00722DF8">
              <w:rPr>
                <w:rStyle w:val="s1"/>
                <w:rFonts w:ascii="Arial" w:hAnsi="Arial" w:cs="Arial"/>
                <w:sz w:val="20"/>
                <w:szCs w:val="20"/>
              </w:rPr>
              <w:t>are often omitted in discussions on equality and diversity,</w:t>
            </w:r>
            <w:r w:rsidRPr="00722DF8">
              <w:rPr>
                <w:rStyle w:val="apple-converted-space"/>
                <w:rFonts w:cs="Arial"/>
                <w:sz w:val="20"/>
                <w:szCs w:val="20"/>
              </w:rPr>
              <w:t> </w:t>
            </w:r>
          </w:p>
          <w:p w14:paraId="5F2264D3" w14:textId="77777777" w:rsidR="00117D2B" w:rsidRPr="00722DF8" w:rsidRDefault="00117D2B" w:rsidP="00117D2B">
            <w:pPr>
              <w:pStyle w:val="p1"/>
              <w:rPr>
                <w:rFonts w:ascii="Arial" w:hAnsi="Arial" w:cs="Arial"/>
                <w:sz w:val="20"/>
                <w:szCs w:val="20"/>
              </w:rPr>
            </w:pPr>
            <w:r w:rsidRPr="00722DF8">
              <w:rPr>
                <w:rStyle w:val="s1"/>
                <w:rFonts w:ascii="Arial" w:hAnsi="Arial" w:cs="Arial"/>
                <w:sz w:val="20"/>
                <w:szCs w:val="20"/>
              </w:rPr>
              <w:t>2)</w:t>
            </w:r>
            <w:r>
              <w:rPr>
                <w:rStyle w:val="s1"/>
                <w:rFonts w:ascii="Arial" w:hAnsi="Arial" w:cs="Arial"/>
                <w:sz w:val="20"/>
                <w:szCs w:val="20"/>
              </w:rPr>
              <w:t xml:space="preserve"> </w:t>
            </w:r>
            <w:r w:rsidRPr="00722DF8">
              <w:rPr>
                <w:rStyle w:val="s1"/>
                <w:rFonts w:ascii="Arial" w:hAnsi="Arial" w:cs="Arial"/>
                <w:sz w:val="20"/>
                <w:szCs w:val="20"/>
              </w:rPr>
              <w:t>have difficulties with communication especially about</w:t>
            </w:r>
            <w:r w:rsidRPr="00722DF8">
              <w:rPr>
                <w:rStyle w:val="apple-converted-space"/>
                <w:rFonts w:cs="Arial"/>
                <w:sz w:val="20"/>
                <w:szCs w:val="20"/>
              </w:rPr>
              <w:t xml:space="preserve"> health</w:t>
            </w:r>
            <w:r w:rsidRPr="00722DF8">
              <w:rPr>
                <w:rStyle w:val="s1"/>
                <w:rFonts w:ascii="Arial" w:hAnsi="Arial" w:cs="Arial"/>
                <w:sz w:val="20"/>
                <w:szCs w:val="20"/>
              </w:rPr>
              <w:t xml:space="preserve"> needs</w:t>
            </w:r>
            <w:r w:rsidRPr="00722DF8">
              <w:rPr>
                <w:rStyle w:val="apple-converted-space"/>
                <w:rFonts w:cs="Arial"/>
                <w:sz w:val="20"/>
                <w:szCs w:val="20"/>
              </w:rPr>
              <w:t> </w:t>
            </w:r>
          </w:p>
          <w:p w14:paraId="4582E871" w14:textId="77777777" w:rsidR="00117D2B" w:rsidRPr="00722DF8" w:rsidRDefault="00117D2B" w:rsidP="00117D2B">
            <w:pPr>
              <w:pStyle w:val="p1"/>
              <w:rPr>
                <w:rFonts w:ascii="Arial" w:hAnsi="Arial" w:cs="Arial"/>
                <w:sz w:val="20"/>
                <w:szCs w:val="20"/>
              </w:rPr>
            </w:pPr>
            <w:r w:rsidRPr="00722DF8">
              <w:rPr>
                <w:rStyle w:val="s1"/>
                <w:rFonts w:ascii="Arial" w:hAnsi="Arial" w:cs="Arial"/>
                <w:sz w:val="20"/>
                <w:szCs w:val="20"/>
              </w:rPr>
              <w:t>3)</w:t>
            </w:r>
            <w:r>
              <w:rPr>
                <w:rStyle w:val="s1"/>
                <w:rFonts w:ascii="Arial" w:hAnsi="Arial" w:cs="Arial"/>
                <w:sz w:val="20"/>
                <w:szCs w:val="20"/>
              </w:rPr>
              <w:t xml:space="preserve"> </w:t>
            </w:r>
            <w:r w:rsidRPr="00722DF8">
              <w:rPr>
                <w:rStyle w:val="s1"/>
                <w:rFonts w:ascii="Arial" w:hAnsi="Arial" w:cs="Arial"/>
                <w:sz w:val="20"/>
                <w:szCs w:val="20"/>
              </w:rPr>
              <w:t xml:space="preserve">are affected by manifestations of ill health which are dependent on the intrinsic abilities and characteristics of each person </w:t>
            </w:r>
            <w:r w:rsidRPr="00722DF8">
              <w:rPr>
                <w:rStyle w:val="apple-converted-space"/>
                <w:rFonts w:cs="Arial"/>
                <w:sz w:val="20"/>
                <w:szCs w:val="20"/>
              </w:rPr>
              <w:t> </w:t>
            </w:r>
          </w:p>
          <w:p w14:paraId="4A1BFF35" w14:textId="77777777" w:rsidR="00117D2B" w:rsidRPr="00722DF8" w:rsidRDefault="00117D2B" w:rsidP="00117D2B">
            <w:pPr>
              <w:pStyle w:val="p1"/>
              <w:rPr>
                <w:rStyle w:val="s1"/>
                <w:rFonts w:ascii="Arial" w:hAnsi="Arial" w:cs="Arial"/>
                <w:sz w:val="20"/>
                <w:szCs w:val="20"/>
              </w:rPr>
            </w:pPr>
            <w:r w:rsidRPr="00722DF8">
              <w:rPr>
                <w:rStyle w:val="s1"/>
                <w:rFonts w:ascii="Arial" w:hAnsi="Arial" w:cs="Arial"/>
                <w:sz w:val="20"/>
                <w:szCs w:val="20"/>
              </w:rPr>
              <w:t>4)</w:t>
            </w:r>
            <w:r>
              <w:rPr>
                <w:rStyle w:val="s1"/>
                <w:rFonts w:ascii="Arial" w:hAnsi="Arial" w:cs="Arial"/>
                <w:sz w:val="20"/>
                <w:szCs w:val="20"/>
              </w:rPr>
              <w:t xml:space="preserve"> </w:t>
            </w:r>
            <w:r w:rsidRPr="00722DF8">
              <w:rPr>
                <w:rStyle w:val="s1"/>
                <w:rFonts w:ascii="Arial" w:hAnsi="Arial" w:cs="Arial"/>
                <w:sz w:val="20"/>
                <w:szCs w:val="20"/>
              </w:rPr>
              <w:t>are adversely affected by social policy including the use of virtual consultations and IT.</w:t>
            </w:r>
          </w:p>
          <w:p w14:paraId="2F1A6B06" w14:textId="77777777" w:rsidR="00117D2B" w:rsidRPr="00722DF8" w:rsidRDefault="00117D2B" w:rsidP="00117D2B">
            <w:pPr>
              <w:pStyle w:val="p1"/>
              <w:rPr>
                <w:rStyle w:val="s1"/>
                <w:rFonts w:ascii="Arial" w:hAnsi="Arial" w:cs="Arial"/>
                <w:sz w:val="20"/>
                <w:szCs w:val="20"/>
              </w:rPr>
            </w:pPr>
          </w:p>
          <w:p w14:paraId="238885B2" w14:textId="77777777" w:rsidR="00117D2B" w:rsidRPr="00722DF8" w:rsidRDefault="00117D2B" w:rsidP="00117D2B">
            <w:pPr>
              <w:pStyle w:val="p1"/>
              <w:rPr>
                <w:rStyle w:val="s1"/>
                <w:rFonts w:ascii="Arial" w:hAnsi="Arial" w:cs="Arial"/>
                <w:sz w:val="20"/>
                <w:szCs w:val="20"/>
              </w:rPr>
            </w:pPr>
            <w:r w:rsidRPr="00722DF8">
              <w:rPr>
                <w:rStyle w:val="s1"/>
                <w:rFonts w:ascii="Arial" w:hAnsi="Arial" w:cs="Arial"/>
                <w:sz w:val="20"/>
                <w:szCs w:val="20"/>
              </w:rPr>
              <w:t>We know that people with LD and/or neurodiversity have a lower uptake of cervical screening and screening mammography and present late with symptoms of significant pathology. We know that people with LD have a higher incidence of endometrial cancer (1) They are less likely to be affected by pregnancy, lactation and the COCP, considered to be protective for ovarian cancer. There is no accurate population study of the incidence of ovarian cancer and no comparative data for people with LD or neurodiversity other than that late presentation and worse prognosis is more common in those with LD/Neurodiversity. (1)</w:t>
            </w:r>
          </w:p>
          <w:p w14:paraId="477DC033" w14:textId="77777777" w:rsidR="00117D2B" w:rsidRPr="007110A7" w:rsidRDefault="00117D2B" w:rsidP="00117D2B">
            <w:pPr>
              <w:pStyle w:val="TableText1"/>
              <w:rPr>
                <w:rStyle w:val="s1"/>
                <w:rFonts w:ascii="Arial" w:hAnsi="Arial"/>
                <w:sz w:val="20"/>
                <w:szCs w:val="24"/>
              </w:rPr>
            </w:pPr>
            <w:r w:rsidRPr="007110A7">
              <w:rPr>
                <w:rStyle w:val="s1"/>
                <w:rFonts w:ascii="Arial" w:hAnsi="Arial"/>
                <w:sz w:val="20"/>
                <w:szCs w:val="24"/>
              </w:rPr>
              <w:t>CKS(NHS) 2023 Ovarian Cancer states:</w:t>
            </w:r>
          </w:p>
          <w:p w14:paraId="3E4349C2" w14:textId="77777777" w:rsidR="00117D2B" w:rsidRDefault="00117D2B" w:rsidP="00117D2B">
            <w:pPr>
              <w:pStyle w:val="TableText1"/>
              <w:numPr>
                <w:ilvl w:val="0"/>
                <w:numId w:val="55"/>
              </w:numPr>
            </w:pPr>
            <w:r w:rsidRPr="00722DF8">
              <w:t xml:space="preserve">Ovarian cancer should be suspected and </w:t>
            </w:r>
            <w:r w:rsidRPr="00722DF8">
              <w:rPr>
                <w:b/>
                <w:bCs/>
              </w:rPr>
              <w:t>tests carried out (CEA)</w:t>
            </w:r>
            <w:r w:rsidRPr="00722DF8">
              <w:t xml:space="preserve"> in any woman (particularly if over 50 years of age) if any of the following symptoms are persistent or frequent (particularly more than 12 times per month):</w:t>
            </w:r>
          </w:p>
          <w:p w14:paraId="36715A2A" w14:textId="77777777" w:rsidR="00117D2B" w:rsidRDefault="00117D2B" w:rsidP="00117D2B">
            <w:pPr>
              <w:pStyle w:val="TableText1"/>
              <w:numPr>
                <w:ilvl w:val="1"/>
                <w:numId w:val="55"/>
              </w:numPr>
            </w:pPr>
            <w:r w:rsidRPr="00722DF8">
              <w:t>Abdominal distension (bloating).</w:t>
            </w:r>
          </w:p>
          <w:p w14:paraId="359CCA0F" w14:textId="77777777" w:rsidR="00117D2B" w:rsidRDefault="00117D2B" w:rsidP="00117D2B">
            <w:pPr>
              <w:pStyle w:val="TableText1"/>
              <w:numPr>
                <w:ilvl w:val="1"/>
                <w:numId w:val="55"/>
              </w:numPr>
            </w:pPr>
            <w:r w:rsidRPr="00722DF8">
              <w:t>Feeling full (early satiety) and/or loss of appetite.</w:t>
            </w:r>
          </w:p>
          <w:p w14:paraId="5B008241" w14:textId="77777777" w:rsidR="00117D2B" w:rsidRDefault="00117D2B" w:rsidP="00117D2B">
            <w:pPr>
              <w:pStyle w:val="TableText1"/>
              <w:numPr>
                <w:ilvl w:val="1"/>
                <w:numId w:val="55"/>
              </w:numPr>
            </w:pPr>
            <w:r w:rsidRPr="00722DF8">
              <w:t>Pelvic or abdominal pain.</w:t>
            </w:r>
          </w:p>
          <w:p w14:paraId="3D91EB87" w14:textId="77777777" w:rsidR="00117D2B" w:rsidRDefault="00117D2B" w:rsidP="00117D2B">
            <w:pPr>
              <w:pStyle w:val="TableText1"/>
              <w:numPr>
                <w:ilvl w:val="1"/>
                <w:numId w:val="55"/>
              </w:numPr>
            </w:pPr>
            <w:r w:rsidRPr="00722DF8">
              <w:t>Increased urinary urgency and/or frequency. </w:t>
            </w:r>
          </w:p>
          <w:p w14:paraId="220573CF" w14:textId="77777777" w:rsidR="00117D2B" w:rsidRPr="00722DF8" w:rsidRDefault="00117D2B" w:rsidP="00117D2B">
            <w:pPr>
              <w:pStyle w:val="TableText1"/>
              <w:numPr>
                <w:ilvl w:val="0"/>
                <w:numId w:val="55"/>
              </w:numPr>
            </w:pPr>
            <w:r w:rsidRPr="00722DF8">
              <w:t>Ovarian cancer should also be suspected and</w:t>
            </w:r>
            <w:r w:rsidRPr="007110A7">
              <w:rPr>
                <w:b/>
                <w:bCs/>
              </w:rPr>
              <w:t xml:space="preserve"> tests carried out</w:t>
            </w:r>
            <w:r w:rsidRPr="00722DF8">
              <w:t xml:space="preserve"> in any woman over 50 years of age if she has had symptoms suggestive of irritable bowel syndrome within the last 12 months.</w:t>
            </w:r>
          </w:p>
          <w:p w14:paraId="463896E7" w14:textId="77777777" w:rsidR="00117D2B" w:rsidRDefault="00117D2B" w:rsidP="00117D2B">
            <w:pPr>
              <w:pStyle w:val="p1"/>
              <w:rPr>
                <w:rFonts w:ascii="Arial" w:hAnsi="Arial" w:cs="Arial"/>
                <w:sz w:val="20"/>
                <w:szCs w:val="20"/>
              </w:rPr>
            </w:pPr>
          </w:p>
          <w:p w14:paraId="0401F96F" w14:textId="77777777" w:rsidR="00117D2B" w:rsidRPr="00722DF8" w:rsidRDefault="00117D2B" w:rsidP="00117D2B">
            <w:pPr>
              <w:pStyle w:val="TableText1"/>
            </w:pPr>
            <w:r w:rsidRPr="00722DF8">
              <w:t>and yet we know that patients with LD/Neurodiversity, due to expressive and receptive problems with communication, have difficulty with expressing these symptoms (2) which are vague in nature and on presentation also require further questioning. The low cervical smear rate suggests that the opportunistic finding of pelvic masses is less likely in people with LD/Neurodiversity.</w:t>
            </w:r>
          </w:p>
          <w:p w14:paraId="5ACABECF" w14:textId="77777777" w:rsidR="00117D2B" w:rsidRPr="00722DF8" w:rsidRDefault="00117D2B" w:rsidP="00117D2B">
            <w:pPr>
              <w:pStyle w:val="p1"/>
              <w:rPr>
                <w:rFonts w:ascii="Arial" w:hAnsi="Arial" w:cs="Arial"/>
                <w:sz w:val="20"/>
                <w:szCs w:val="20"/>
              </w:rPr>
            </w:pPr>
          </w:p>
          <w:p w14:paraId="2F0700D7" w14:textId="77777777" w:rsidR="00117D2B" w:rsidRPr="00722DF8" w:rsidRDefault="00117D2B" w:rsidP="00117D2B">
            <w:pPr>
              <w:pStyle w:val="p1"/>
              <w:rPr>
                <w:rFonts w:ascii="Arial" w:hAnsi="Arial" w:cs="Arial"/>
                <w:sz w:val="20"/>
                <w:szCs w:val="20"/>
              </w:rPr>
            </w:pPr>
            <w:r w:rsidRPr="00722DF8">
              <w:rPr>
                <w:rFonts w:ascii="Arial" w:hAnsi="Arial" w:cs="Arial"/>
                <w:sz w:val="20"/>
                <w:szCs w:val="20"/>
              </w:rPr>
              <w:t xml:space="preserve">These problems cannot be addressed simply by publication of Easy Read Literature. Health care professionals need to be repeatedly reminded through NHS publications such as NICE Guidelines of the importance of </w:t>
            </w:r>
          </w:p>
          <w:p w14:paraId="3AB7F253" w14:textId="77777777" w:rsidR="00117D2B" w:rsidRDefault="00117D2B" w:rsidP="00117D2B">
            <w:pPr>
              <w:pStyle w:val="TableText1"/>
              <w:numPr>
                <w:ilvl w:val="0"/>
                <w:numId w:val="55"/>
              </w:numPr>
            </w:pPr>
            <w:r w:rsidRPr="00722DF8">
              <w:t xml:space="preserve">Registering everyone with LD/Neurodiversity on medical records </w:t>
            </w:r>
          </w:p>
          <w:p w14:paraId="3DD83929" w14:textId="77777777" w:rsidR="00117D2B" w:rsidRPr="00722DF8" w:rsidRDefault="00117D2B" w:rsidP="00117D2B">
            <w:pPr>
              <w:pStyle w:val="TableText1"/>
              <w:numPr>
                <w:ilvl w:val="0"/>
                <w:numId w:val="55"/>
              </w:numPr>
            </w:pPr>
            <w:r w:rsidRPr="00722DF8">
              <w:lastRenderedPageBreak/>
              <w:t xml:space="preserve">Alerting all NHS staff to the needs of people with LD/Neurodiversity by education such as Oliver McGowan training. </w:t>
            </w:r>
          </w:p>
          <w:p w14:paraId="2B15C006" w14:textId="77777777" w:rsidR="00117D2B" w:rsidRDefault="00117D2B" w:rsidP="00117D2B">
            <w:pPr>
              <w:pStyle w:val="p1"/>
              <w:rPr>
                <w:rFonts w:ascii="Arial" w:hAnsi="Arial" w:cs="Arial"/>
                <w:sz w:val="20"/>
                <w:szCs w:val="20"/>
              </w:rPr>
            </w:pPr>
          </w:p>
          <w:p w14:paraId="7C746FC2" w14:textId="77777777" w:rsidR="00117D2B" w:rsidRDefault="00117D2B" w:rsidP="00117D2B">
            <w:pPr>
              <w:pStyle w:val="TableText1"/>
            </w:pPr>
            <w:r w:rsidRPr="00722DF8">
              <w:t>We also suggest that a valuable piece of research would involve</w:t>
            </w:r>
            <w:r w:rsidRPr="007110A7">
              <w:t xml:space="preserve"> </w:t>
            </w:r>
            <w:r w:rsidRPr="008D2D7E">
              <w:t xml:space="preserve">the outcome of screening all women over the age of 40 registered as being affected by LD or neurodiversity presenting with any abdominal symptoms or signs not evidently due to ovarian or gastrointestinal malignancy. </w:t>
            </w:r>
            <w:r w:rsidRPr="007110A7">
              <w:t>(The age of 40 rather than 50 mentioned in CKS addresses the premature ageing and menopause of people with LD)</w:t>
            </w:r>
            <w:r w:rsidRPr="00722DF8">
              <w:t xml:space="preserve"> </w:t>
            </w:r>
          </w:p>
          <w:p w14:paraId="19F04D8E" w14:textId="77777777" w:rsidR="00117D2B" w:rsidRPr="00722DF8" w:rsidRDefault="00117D2B" w:rsidP="00117D2B">
            <w:pPr>
              <w:pStyle w:val="TableText1"/>
            </w:pPr>
          </w:p>
          <w:p w14:paraId="32DBFF9A" w14:textId="77777777" w:rsidR="00117D2B" w:rsidRPr="00722DF8" w:rsidRDefault="00117D2B" w:rsidP="00117D2B">
            <w:pPr>
              <w:pStyle w:val="TableText1"/>
              <w:rPr>
                <w:b/>
                <w:bCs/>
              </w:rPr>
            </w:pPr>
            <w:r w:rsidRPr="00722DF8">
              <w:rPr>
                <w:b/>
                <w:bCs/>
              </w:rPr>
              <w:t xml:space="preserve">References </w:t>
            </w:r>
          </w:p>
          <w:p w14:paraId="3CE98792" w14:textId="77777777" w:rsidR="00117D2B" w:rsidRPr="00722DF8" w:rsidRDefault="00117D2B" w:rsidP="00117D2B">
            <w:pPr>
              <w:pStyle w:val="TableText1"/>
            </w:pPr>
            <w:r w:rsidRPr="00722DF8">
              <w:t xml:space="preserve">1) Ward L </w:t>
            </w:r>
            <w:proofErr w:type="spellStart"/>
            <w:r w:rsidRPr="00722DF8">
              <w:t>McK</w:t>
            </w:r>
            <w:proofErr w:type="spellEnd"/>
            <w:r w:rsidRPr="00722DF8">
              <w:t xml:space="preserve"> et al 2024 BMJ Open </w:t>
            </w:r>
            <w:proofErr w:type="gramStart"/>
            <w:r w:rsidRPr="00722DF8">
              <w:t>14:e</w:t>
            </w:r>
            <w:proofErr w:type="gramEnd"/>
            <w:r w:rsidRPr="00722DF8">
              <w:t>084421</w:t>
            </w:r>
          </w:p>
          <w:p w14:paraId="3621142A" w14:textId="6602B099" w:rsidR="00117D2B" w:rsidRPr="00A20C46" w:rsidRDefault="00117D2B" w:rsidP="00117D2B">
            <w:pPr>
              <w:pStyle w:val="TableText1"/>
            </w:pPr>
            <w:r w:rsidRPr="008D2D7E">
              <w:rPr>
                <w:lang w:eastAsia="en-GB"/>
              </w:rPr>
              <w:t>2) Cuypers M et al 2022 Cancer 128(6) 1267</w:t>
            </w:r>
          </w:p>
        </w:tc>
      </w:tr>
      <w:tr w:rsidR="00117D2B" w:rsidRPr="00660F4E" w14:paraId="34A49501" w14:textId="77777777" w:rsidTr="001C12DF">
        <w:tc>
          <w:tcPr>
            <w:tcW w:w="675" w:type="dxa"/>
          </w:tcPr>
          <w:p w14:paraId="143F3ABB" w14:textId="17E68848" w:rsidR="00117D2B" w:rsidRDefault="00117D2B" w:rsidP="00117D2B">
            <w:pPr>
              <w:pStyle w:val="TableText1"/>
            </w:pPr>
            <w:r>
              <w:lastRenderedPageBreak/>
              <w:t>1</w:t>
            </w:r>
            <w:r w:rsidR="009E50E1">
              <w:t>8</w:t>
            </w:r>
          </w:p>
        </w:tc>
        <w:tc>
          <w:tcPr>
            <w:tcW w:w="2297" w:type="dxa"/>
          </w:tcPr>
          <w:p w14:paraId="58BCDA52" w14:textId="1128DC23" w:rsidR="00117D2B" w:rsidRPr="00A20C46" w:rsidRDefault="00117D2B" w:rsidP="00117D2B">
            <w:pPr>
              <w:pStyle w:val="TableText1"/>
            </w:pPr>
            <w:r w:rsidRPr="008D2D7E">
              <w:rPr>
                <w:rFonts w:cs="Arial"/>
              </w:rPr>
              <w:t xml:space="preserve">UK Cancer Genetics Group </w:t>
            </w:r>
          </w:p>
        </w:tc>
        <w:tc>
          <w:tcPr>
            <w:tcW w:w="1672" w:type="dxa"/>
          </w:tcPr>
          <w:p w14:paraId="5DC6E05C" w14:textId="77777777" w:rsidR="00117D2B" w:rsidRPr="00992D85" w:rsidRDefault="00117D2B" w:rsidP="006742BF">
            <w:pPr>
              <w:pStyle w:val="TableText1"/>
              <w:rPr>
                <w:b/>
                <w:bCs/>
              </w:rPr>
            </w:pPr>
            <w:r w:rsidRPr="00992D85">
              <w:rPr>
                <w:b/>
                <w:bCs/>
              </w:rPr>
              <w:t>Equality &amp; health inequalities – general</w:t>
            </w:r>
          </w:p>
          <w:p w14:paraId="654D29B5" w14:textId="77777777" w:rsidR="00117D2B" w:rsidRPr="008D2D7E" w:rsidRDefault="00117D2B" w:rsidP="00117D2B">
            <w:pPr>
              <w:rPr>
                <w:rFonts w:cs="Arial"/>
                <w:sz w:val="20"/>
              </w:rPr>
            </w:pPr>
          </w:p>
          <w:p w14:paraId="60105314" w14:textId="5C45F66B" w:rsidR="00117D2B" w:rsidRPr="00117D2B" w:rsidRDefault="00117D2B" w:rsidP="00117D2B">
            <w:pPr>
              <w:pStyle w:val="TableText1"/>
              <w:rPr>
                <w:b/>
              </w:rPr>
            </w:pPr>
            <w:r w:rsidRPr="008D2D7E">
              <w:rPr>
                <w:rFonts w:cs="Arial"/>
              </w:rPr>
              <w:t>Equity and diversity</w:t>
            </w:r>
          </w:p>
        </w:tc>
        <w:tc>
          <w:tcPr>
            <w:tcW w:w="10632" w:type="dxa"/>
          </w:tcPr>
          <w:p w14:paraId="030B55C5" w14:textId="77777777" w:rsidR="00117D2B" w:rsidRPr="008D2D7E" w:rsidRDefault="00117D2B" w:rsidP="00117D2B">
            <w:pPr>
              <w:pStyle w:val="TableText1"/>
            </w:pPr>
            <w:r w:rsidRPr="008D2D7E">
              <w:t>NHS England</w:t>
            </w:r>
            <w:r>
              <w:t>’</w:t>
            </w:r>
            <w:r w:rsidRPr="008D2D7E">
              <w:t xml:space="preserve">s Accessible Information Standard or the equivalent standards for the devolved nations set out how additional communication and information provision needs relating to a disability, impairment or sensory loss can be supported to facilitate the discussion. Services should follow these guidelines but in practice there may not always be local resource to supply different materials although clinical genetic services are experienced in supporting individuals with learning impairment. </w:t>
            </w:r>
          </w:p>
          <w:p w14:paraId="64E61372" w14:textId="77777777" w:rsidR="00117D2B" w:rsidRPr="008D2D7E" w:rsidRDefault="00117D2B" w:rsidP="00117D2B">
            <w:pPr>
              <w:pStyle w:val="TableText1"/>
            </w:pPr>
          </w:p>
          <w:p w14:paraId="6D50178E" w14:textId="6984F50C" w:rsidR="00117D2B" w:rsidRPr="00A20C46" w:rsidRDefault="00117D2B" w:rsidP="00117D2B">
            <w:pPr>
              <w:pStyle w:val="TableText1"/>
            </w:pPr>
            <w:r w:rsidRPr="008D2D7E">
              <w:t>Resource would be required to develop the translation of accessible literature in multiple languages – UKCGG could help support this activity in terms of developing resources and disseminating nationally but do not have a budget to fund translation. Interpreters are available to services for face to face or telephone calls but not necessarily for translation of letters. This would need to be reviewed on a local basis.</w:t>
            </w:r>
          </w:p>
        </w:tc>
      </w:tr>
      <w:tr w:rsidR="00117D2B" w:rsidRPr="00660F4E" w14:paraId="799A404A" w14:textId="77777777" w:rsidTr="001C12DF">
        <w:tc>
          <w:tcPr>
            <w:tcW w:w="675" w:type="dxa"/>
          </w:tcPr>
          <w:p w14:paraId="1BB8D699" w14:textId="2AC177B3" w:rsidR="00117D2B" w:rsidRDefault="009E50E1" w:rsidP="00117D2B">
            <w:pPr>
              <w:pStyle w:val="TableText1"/>
            </w:pPr>
            <w:r>
              <w:t>19</w:t>
            </w:r>
          </w:p>
        </w:tc>
        <w:tc>
          <w:tcPr>
            <w:tcW w:w="2297" w:type="dxa"/>
          </w:tcPr>
          <w:p w14:paraId="1D0D59AA" w14:textId="2438CAE7" w:rsidR="00117D2B" w:rsidRPr="00A20C46" w:rsidRDefault="00117D2B" w:rsidP="00117D2B">
            <w:pPr>
              <w:pStyle w:val="TableText1"/>
            </w:pPr>
            <w:r w:rsidRPr="00A20C46">
              <w:t>British Gynaecological Cancer Society</w:t>
            </w:r>
          </w:p>
        </w:tc>
        <w:tc>
          <w:tcPr>
            <w:tcW w:w="1672" w:type="dxa"/>
          </w:tcPr>
          <w:p w14:paraId="31CCD078" w14:textId="77777777" w:rsidR="00117D2B" w:rsidRPr="00A20C46" w:rsidRDefault="00117D2B" w:rsidP="0023487E">
            <w:pPr>
              <w:pStyle w:val="TableText1"/>
              <w:rPr>
                <w:b/>
              </w:rPr>
            </w:pPr>
            <w:r w:rsidRPr="0023487E">
              <w:rPr>
                <w:b/>
              </w:rPr>
              <w:t>Question 8 – challenges of implementing NICE guidance underpinning the standard</w:t>
            </w:r>
            <w:r w:rsidRPr="00A20C46">
              <w:rPr>
                <w:b/>
              </w:rPr>
              <w:t xml:space="preserve"> </w:t>
            </w:r>
          </w:p>
          <w:p w14:paraId="19664930" w14:textId="77777777" w:rsidR="00117D2B" w:rsidRPr="00A20C46" w:rsidRDefault="00117D2B" w:rsidP="0023487E">
            <w:pPr>
              <w:pStyle w:val="TableText1"/>
            </w:pPr>
          </w:p>
          <w:p w14:paraId="24359D6F" w14:textId="041275C2" w:rsidR="00117D2B" w:rsidRPr="00A20C46" w:rsidRDefault="00117D2B" w:rsidP="00117D2B">
            <w:pPr>
              <w:pStyle w:val="TableText1"/>
              <w:rPr>
                <w:b/>
              </w:rPr>
            </w:pPr>
            <w:r w:rsidRPr="00A20C46">
              <w:t>Question 8</w:t>
            </w:r>
          </w:p>
        </w:tc>
        <w:tc>
          <w:tcPr>
            <w:tcW w:w="10632" w:type="dxa"/>
          </w:tcPr>
          <w:p w14:paraId="533C333F" w14:textId="77777777" w:rsidR="00117D2B" w:rsidRPr="00A20C46" w:rsidRDefault="00117D2B" w:rsidP="0023487E">
            <w:pPr>
              <w:pStyle w:val="TableText1"/>
            </w:pPr>
            <w:r w:rsidRPr="00A20C46">
              <w:t>Funding and trained staff for specialist familial risk clinics and mainstream testing/counselling outside of clinical genetics; theatre capacity and HDU/ITU capacity and routine COOP joint care for those over 70 years.  Routine oncogeriatric assessment (adequate numbers of trained staff/funding for posts)</w:t>
            </w:r>
          </w:p>
          <w:p w14:paraId="4786D253" w14:textId="77777777" w:rsidR="00117D2B" w:rsidRPr="00A20C46" w:rsidRDefault="00117D2B" w:rsidP="0023487E">
            <w:pPr>
              <w:pStyle w:val="TableText1"/>
            </w:pPr>
          </w:p>
          <w:p w14:paraId="1A3F9D36" w14:textId="77777777" w:rsidR="00117D2B" w:rsidRPr="00A20C46" w:rsidRDefault="00117D2B" w:rsidP="0023487E">
            <w:pPr>
              <w:pStyle w:val="TableText1"/>
              <w:rPr>
                <w:b/>
              </w:rPr>
            </w:pPr>
            <w:r w:rsidRPr="00A20C46">
              <w:rPr>
                <w:b/>
              </w:rPr>
              <w:t>Analyst’s note: confirmed with BGCS that ‘COOP’ stands for ‘care of the older person’.</w:t>
            </w:r>
          </w:p>
          <w:p w14:paraId="37E57A86" w14:textId="1FECC97D" w:rsidR="00117D2B" w:rsidRPr="00A20C46" w:rsidRDefault="00117D2B" w:rsidP="00117D2B">
            <w:pPr>
              <w:pStyle w:val="TableText1"/>
            </w:pPr>
          </w:p>
        </w:tc>
      </w:tr>
      <w:tr w:rsidR="00117D2B" w:rsidRPr="00660F4E" w14:paraId="5456447D" w14:textId="77777777" w:rsidTr="001C12DF">
        <w:tc>
          <w:tcPr>
            <w:tcW w:w="675" w:type="dxa"/>
          </w:tcPr>
          <w:p w14:paraId="75F6A146" w14:textId="7854D6BC" w:rsidR="00117D2B" w:rsidRDefault="00117D2B" w:rsidP="00117D2B">
            <w:pPr>
              <w:pStyle w:val="TableText1"/>
            </w:pPr>
            <w:r>
              <w:t>2</w:t>
            </w:r>
            <w:r w:rsidR="009E50E1">
              <w:t>0</w:t>
            </w:r>
          </w:p>
        </w:tc>
        <w:tc>
          <w:tcPr>
            <w:tcW w:w="2297" w:type="dxa"/>
          </w:tcPr>
          <w:p w14:paraId="1195E8E1" w14:textId="331DD4C2" w:rsidR="00117D2B" w:rsidRPr="00E536DD" w:rsidRDefault="00117D2B" w:rsidP="00117D2B">
            <w:pPr>
              <w:pStyle w:val="TableText1"/>
            </w:pPr>
            <w:r w:rsidRPr="00722DF8">
              <w:t>Institute of Biomedical Science</w:t>
            </w:r>
          </w:p>
        </w:tc>
        <w:tc>
          <w:tcPr>
            <w:tcW w:w="1672" w:type="dxa"/>
          </w:tcPr>
          <w:p w14:paraId="1A77DC63" w14:textId="73014793" w:rsidR="00117D2B" w:rsidRPr="00712BC9" w:rsidRDefault="00117D2B" w:rsidP="0023487E">
            <w:pPr>
              <w:pStyle w:val="TableText1"/>
              <w:rPr>
                <w:b/>
              </w:rPr>
            </w:pPr>
            <w:r w:rsidRPr="00712BC9">
              <w:rPr>
                <w:b/>
              </w:rPr>
              <w:t xml:space="preserve">Question 8 </w:t>
            </w:r>
            <w:r>
              <w:rPr>
                <w:b/>
              </w:rPr>
              <w:t>– challenges of implementing underpinning NICE guidance</w:t>
            </w:r>
          </w:p>
          <w:p w14:paraId="034E8781" w14:textId="77777777" w:rsidR="00117D2B" w:rsidRPr="00712BC9" w:rsidRDefault="00117D2B" w:rsidP="0023487E">
            <w:pPr>
              <w:pStyle w:val="TableText1"/>
            </w:pPr>
          </w:p>
          <w:p w14:paraId="3F13A953" w14:textId="76B1028D" w:rsidR="00117D2B" w:rsidRDefault="00117D2B" w:rsidP="00117D2B">
            <w:pPr>
              <w:pStyle w:val="TableText1"/>
              <w:rPr>
                <w:b/>
              </w:rPr>
            </w:pPr>
            <w:r w:rsidRPr="00712BC9">
              <w:t>Question 8</w:t>
            </w:r>
          </w:p>
        </w:tc>
        <w:tc>
          <w:tcPr>
            <w:tcW w:w="10632" w:type="dxa"/>
          </w:tcPr>
          <w:p w14:paraId="7053A7B8" w14:textId="31EA40C5" w:rsidR="00117D2B" w:rsidRPr="00E536DD" w:rsidRDefault="00117D2B" w:rsidP="00117D2B">
            <w:pPr>
              <w:pStyle w:val="TableText1"/>
            </w:pPr>
            <w:r w:rsidRPr="00722DF8">
              <w:lastRenderedPageBreak/>
              <w:t xml:space="preserve">No issues whether reflex test is done, and data can be collected.  The challenges are the variety of trust and laboratory IT capabilities and the lack </w:t>
            </w:r>
            <w:proofErr w:type="spellStart"/>
            <w:r w:rsidRPr="00722DF8">
              <w:t>standardisation</w:t>
            </w:r>
            <w:proofErr w:type="spellEnd"/>
            <w:r w:rsidRPr="00722DF8">
              <w:t>.</w:t>
            </w:r>
          </w:p>
        </w:tc>
      </w:tr>
      <w:tr w:rsidR="00117D2B" w:rsidRPr="00660F4E" w14:paraId="632365EF" w14:textId="77777777" w:rsidTr="001C12DF">
        <w:tc>
          <w:tcPr>
            <w:tcW w:w="675" w:type="dxa"/>
          </w:tcPr>
          <w:p w14:paraId="6CDE91CF" w14:textId="0DD63972" w:rsidR="00117D2B" w:rsidRDefault="00117D2B" w:rsidP="00117D2B">
            <w:pPr>
              <w:pStyle w:val="TableText1"/>
            </w:pPr>
            <w:r>
              <w:t>2</w:t>
            </w:r>
            <w:r w:rsidR="009E50E1">
              <w:t>1</w:t>
            </w:r>
          </w:p>
        </w:tc>
        <w:tc>
          <w:tcPr>
            <w:tcW w:w="2297" w:type="dxa"/>
          </w:tcPr>
          <w:p w14:paraId="318C9136" w14:textId="3B437824" w:rsidR="00117D2B" w:rsidRPr="00E536DD" w:rsidRDefault="00117D2B" w:rsidP="00117D2B">
            <w:pPr>
              <w:pStyle w:val="TableText1"/>
            </w:pPr>
            <w:r w:rsidRPr="00722DF8">
              <w:t>Royal College of General Practitioners</w:t>
            </w:r>
          </w:p>
        </w:tc>
        <w:tc>
          <w:tcPr>
            <w:tcW w:w="1672" w:type="dxa"/>
          </w:tcPr>
          <w:p w14:paraId="7646793E" w14:textId="77777777" w:rsidR="00117D2B" w:rsidRPr="00712BC9" w:rsidRDefault="00117D2B" w:rsidP="00117D2B">
            <w:pPr>
              <w:pStyle w:val="TableText1"/>
              <w:rPr>
                <w:b/>
              </w:rPr>
            </w:pPr>
            <w:r w:rsidRPr="00712BC9">
              <w:rPr>
                <w:b/>
              </w:rPr>
              <w:t xml:space="preserve">Question 8 </w:t>
            </w:r>
            <w:r>
              <w:rPr>
                <w:b/>
              </w:rPr>
              <w:t>– challenges of implementing underpinning NICE guidance</w:t>
            </w:r>
          </w:p>
          <w:p w14:paraId="04A468EA" w14:textId="77777777" w:rsidR="00117D2B" w:rsidRPr="00712BC9" w:rsidRDefault="00117D2B" w:rsidP="0023487E">
            <w:pPr>
              <w:pStyle w:val="TableText1"/>
            </w:pPr>
          </w:p>
          <w:p w14:paraId="78AB8461" w14:textId="325983DE" w:rsidR="00117D2B" w:rsidRDefault="00117D2B" w:rsidP="00117D2B">
            <w:pPr>
              <w:pStyle w:val="TableText1"/>
              <w:rPr>
                <w:b/>
                <w:bCs/>
              </w:rPr>
            </w:pPr>
            <w:r w:rsidRPr="00712BC9">
              <w:t>Question 8</w:t>
            </w:r>
          </w:p>
        </w:tc>
        <w:tc>
          <w:tcPr>
            <w:tcW w:w="10632" w:type="dxa"/>
          </w:tcPr>
          <w:p w14:paraId="72EFE72E" w14:textId="77777777" w:rsidR="00117D2B" w:rsidRDefault="00117D2B" w:rsidP="00117D2B">
            <w:pPr>
              <w:pStyle w:val="TableText1"/>
              <w:numPr>
                <w:ilvl w:val="0"/>
                <w:numId w:val="47"/>
              </w:numPr>
              <w:rPr>
                <w:szCs w:val="20"/>
              </w:rPr>
            </w:pPr>
            <w:r w:rsidRPr="00722DF8">
              <w:rPr>
                <w:szCs w:val="20"/>
              </w:rPr>
              <w:t>Resource Limitations: Local services may face challenges such as limited access to genetic counselling and testing, lack of trained personnel, or insufficient laboratory capacity for tumour testing.</w:t>
            </w:r>
          </w:p>
          <w:p w14:paraId="7A830043" w14:textId="6282BB45" w:rsidR="00B0683D" w:rsidRPr="00A20C46" w:rsidRDefault="00117D2B" w:rsidP="0023487E">
            <w:pPr>
              <w:pStyle w:val="TableText1"/>
              <w:numPr>
                <w:ilvl w:val="0"/>
                <w:numId w:val="47"/>
              </w:numPr>
              <w:rPr>
                <w:szCs w:val="20"/>
              </w:rPr>
            </w:pPr>
            <w:r w:rsidRPr="00A20C46">
              <w:rPr>
                <w:szCs w:val="20"/>
              </w:rPr>
              <w:t xml:space="preserve">Data Collection and </w:t>
            </w:r>
            <w:proofErr w:type="spellStart"/>
            <w:r w:rsidRPr="00A20C46">
              <w:rPr>
                <w:szCs w:val="20"/>
              </w:rPr>
              <w:t>Standardisation</w:t>
            </w:r>
            <w:proofErr w:type="spellEnd"/>
            <w:r w:rsidRPr="00A20C46">
              <w:rPr>
                <w:szCs w:val="20"/>
              </w:rPr>
              <w:t>: Consistently capturing and reporting data across different localities may be challenging, particularly for smaller or less-resourced services.</w:t>
            </w:r>
          </w:p>
          <w:p w14:paraId="67026D2E" w14:textId="0BCE6509" w:rsidR="00117D2B" w:rsidRPr="00A20C46" w:rsidRDefault="00117D2B" w:rsidP="00B0683D">
            <w:pPr>
              <w:pStyle w:val="TableText1"/>
              <w:numPr>
                <w:ilvl w:val="0"/>
                <w:numId w:val="47"/>
              </w:numPr>
            </w:pPr>
            <w:r w:rsidRPr="00722DF8">
              <w:t>Healthcare Inequalities: Ensuring equitable access across different patient groups, including those from ethnic minorities or lower socioeconomic backgrounds, is a challenge. Strategies like targeted outreach, community engagement, and financial support could help mitigate these issues​</w:t>
            </w:r>
            <w:r>
              <w:t>.</w:t>
            </w:r>
          </w:p>
        </w:tc>
      </w:tr>
      <w:tr w:rsidR="00117D2B" w:rsidRPr="00660F4E" w14:paraId="6073AF51" w14:textId="77777777" w:rsidTr="001C12DF">
        <w:tc>
          <w:tcPr>
            <w:tcW w:w="675" w:type="dxa"/>
          </w:tcPr>
          <w:p w14:paraId="5ED1C4A3" w14:textId="47B0E8BD" w:rsidR="00117D2B" w:rsidRDefault="00117D2B" w:rsidP="00117D2B">
            <w:pPr>
              <w:pStyle w:val="TableText1"/>
            </w:pPr>
            <w:r>
              <w:t>2</w:t>
            </w:r>
            <w:r w:rsidR="009E50E1">
              <w:t>2</w:t>
            </w:r>
          </w:p>
        </w:tc>
        <w:tc>
          <w:tcPr>
            <w:tcW w:w="2297" w:type="dxa"/>
          </w:tcPr>
          <w:p w14:paraId="3071974E" w14:textId="3D9FB633" w:rsidR="00117D2B" w:rsidRPr="00E536DD" w:rsidRDefault="00117D2B" w:rsidP="00117D2B">
            <w:pPr>
              <w:pStyle w:val="TableText1"/>
            </w:pPr>
            <w:r w:rsidRPr="00722DF8">
              <w:t>British Gynaecological Cancer Society</w:t>
            </w:r>
          </w:p>
        </w:tc>
        <w:tc>
          <w:tcPr>
            <w:tcW w:w="1672" w:type="dxa"/>
          </w:tcPr>
          <w:p w14:paraId="0E783CB1" w14:textId="6AA30037" w:rsidR="00117D2B" w:rsidRDefault="00117D2B" w:rsidP="0023487E">
            <w:pPr>
              <w:pStyle w:val="TableText1"/>
              <w:rPr>
                <w:b/>
              </w:rPr>
            </w:pPr>
            <w:r w:rsidRPr="00A20C46">
              <w:rPr>
                <w:b/>
              </w:rPr>
              <w:t xml:space="preserve">Statement 1 – general </w:t>
            </w:r>
          </w:p>
          <w:p w14:paraId="52BC2927" w14:textId="77777777" w:rsidR="00117D2B" w:rsidRDefault="00117D2B" w:rsidP="0023487E">
            <w:pPr>
              <w:pStyle w:val="TableText1"/>
            </w:pPr>
          </w:p>
          <w:p w14:paraId="10C64901" w14:textId="35BD033B" w:rsidR="00117D2B" w:rsidRDefault="00117D2B" w:rsidP="00117D2B">
            <w:pPr>
              <w:pStyle w:val="TableText1"/>
              <w:rPr>
                <w:b/>
              </w:rPr>
            </w:pPr>
            <w:r w:rsidRPr="00722DF8">
              <w:t>Statement 1</w:t>
            </w:r>
          </w:p>
        </w:tc>
        <w:tc>
          <w:tcPr>
            <w:tcW w:w="10632" w:type="dxa"/>
          </w:tcPr>
          <w:p w14:paraId="2F31B95D" w14:textId="01B9637E" w:rsidR="00117D2B" w:rsidRDefault="00117D2B" w:rsidP="0023487E">
            <w:pPr>
              <w:pStyle w:val="TableText1"/>
            </w:pPr>
            <w:r w:rsidRPr="00722DF8">
              <w:t xml:space="preserve">Suggest also reference </w:t>
            </w:r>
            <w:hyperlink r:id="rId22" w:history="1">
              <w:r w:rsidRPr="00A20C46">
                <w:rPr>
                  <w:rStyle w:val="Hyperlink"/>
                </w:rPr>
                <w:t>BGCS ovarian cancer guidelines update</w:t>
              </w:r>
            </w:hyperlink>
            <w:r>
              <w:t xml:space="preserve">: </w:t>
            </w:r>
            <w:r w:rsidRPr="00722DF8">
              <w:t xml:space="preserve"> </w:t>
            </w:r>
            <w:proofErr w:type="gramStart"/>
            <w:r w:rsidRPr="00722DF8">
              <w:t>doi:10.1016/j.ejogrb</w:t>
            </w:r>
            <w:proofErr w:type="gramEnd"/>
            <w:r w:rsidRPr="00722DF8">
              <w:t>.2024.06.025</w:t>
            </w:r>
          </w:p>
          <w:p w14:paraId="21EB71A6" w14:textId="79719276" w:rsidR="00117D2B" w:rsidRPr="00E536DD" w:rsidRDefault="00117D2B" w:rsidP="00117D2B">
            <w:pPr>
              <w:pStyle w:val="TableText1"/>
            </w:pPr>
          </w:p>
        </w:tc>
      </w:tr>
      <w:tr w:rsidR="00117D2B" w:rsidRPr="00660F4E" w14:paraId="5651A5E3" w14:textId="77777777" w:rsidTr="001C12DF">
        <w:tc>
          <w:tcPr>
            <w:tcW w:w="675" w:type="dxa"/>
          </w:tcPr>
          <w:p w14:paraId="712A995E" w14:textId="52A3B0D6" w:rsidR="00117D2B" w:rsidRDefault="00117D2B" w:rsidP="00117D2B">
            <w:pPr>
              <w:pStyle w:val="TableText1"/>
            </w:pPr>
            <w:r>
              <w:t>2</w:t>
            </w:r>
            <w:r w:rsidR="009E50E1">
              <w:t>3</w:t>
            </w:r>
          </w:p>
        </w:tc>
        <w:tc>
          <w:tcPr>
            <w:tcW w:w="2297" w:type="dxa"/>
          </w:tcPr>
          <w:p w14:paraId="0A4A8E5B" w14:textId="47A9DECE" w:rsidR="00117D2B" w:rsidRPr="00E536DD" w:rsidRDefault="00117D2B" w:rsidP="00117D2B">
            <w:pPr>
              <w:pStyle w:val="TableText1"/>
            </w:pPr>
            <w:r w:rsidRPr="00722DF8">
              <w:t>National Strategic Clinical Network for Cancer (Cancer Network) – NHS Wales Executive</w:t>
            </w:r>
          </w:p>
        </w:tc>
        <w:tc>
          <w:tcPr>
            <w:tcW w:w="1672" w:type="dxa"/>
          </w:tcPr>
          <w:p w14:paraId="5AD57214" w14:textId="77777777" w:rsidR="00117D2B" w:rsidRDefault="00117D2B" w:rsidP="0023487E">
            <w:pPr>
              <w:pStyle w:val="TableText1"/>
            </w:pPr>
            <w:r w:rsidRPr="00712BC9">
              <w:rPr>
                <w:b/>
              </w:rPr>
              <w:t xml:space="preserve">Statement 1 – general </w:t>
            </w:r>
          </w:p>
          <w:p w14:paraId="49866306" w14:textId="77777777" w:rsidR="00117D2B" w:rsidRDefault="00117D2B" w:rsidP="0023487E">
            <w:pPr>
              <w:pStyle w:val="TableText1"/>
            </w:pPr>
          </w:p>
          <w:p w14:paraId="4391BD63" w14:textId="77777777" w:rsidR="00117D2B" w:rsidRDefault="00117D2B" w:rsidP="0023487E">
            <w:pPr>
              <w:pStyle w:val="TableText1"/>
            </w:pPr>
          </w:p>
          <w:p w14:paraId="6943FF6A" w14:textId="491B617F" w:rsidR="00117D2B" w:rsidRDefault="00117D2B" w:rsidP="00117D2B">
            <w:pPr>
              <w:pStyle w:val="TableText1"/>
              <w:rPr>
                <w:b/>
              </w:rPr>
            </w:pPr>
            <w:r w:rsidRPr="00722DF8">
              <w:t>Statement 1</w:t>
            </w:r>
          </w:p>
        </w:tc>
        <w:tc>
          <w:tcPr>
            <w:tcW w:w="10632" w:type="dxa"/>
          </w:tcPr>
          <w:p w14:paraId="70AA74D9" w14:textId="34FEC398" w:rsidR="00117D2B" w:rsidRPr="00E536DD" w:rsidRDefault="00117D2B" w:rsidP="00117D2B">
            <w:pPr>
              <w:pStyle w:val="TableText1"/>
            </w:pPr>
            <w:r w:rsidRPr="00722DF8">
              <w:t xml:space="preserve">Opportunity for Making Every Contact Count – Healthy lifestyle </w:t>
            </w:r>
            <w:proofErr w:type="spellStart"/>
            <w:r w:rsidRPr="00722DF8">
              <w:t>behaviour</w:t>
            </w:r>
            <w:proofErr w:type="spellEnd"/>
            <w:r w:rsidRPr="00722DF8">
              <w:t xml:space="preserve"> change (reduce drinking, stop smoking, weight management, activity and mental wellbeing). </w:t>
            </w:r>
          </w:p>
        </w:tc>
      </w:tr>
      <w:tr w:rsidR="00117D2B" w:rsidRPr="00660F4E" w14:paraId="2DBB36D4" w14:textId="77777777" w:rsidTr="001C12DF">
        <w:tc>
          <w:tcPr>
            <w:tcW w:w="675" w:type="dxa"/>
          </w:tcPr>
          <w:p w14:paraId="1C626495" w14:textId="7D3405DC" w:rsidR="00117D2B" w:rsidRDefault="00117D2B" w:rsidP="00117D2B">
            <w:pPr>
              <w:pStyle w:val="TableText1"/>
            </w:pPr>
            <w:r>
              <w:t>2</w:t>
            </w:r>
            <w:r w:rsidR="009E50E1">
              <w:t>4</w:t>
            </w:r>
          </w:p>
        </w:tc>
        <w:tc>
          <w:tcPr>
            <w:tcW w:w="2297" w:type="dxa"/>
          </w:tcPr>
          <w:p w14:paraId="05B976A8" w14:textId="20C9A7A2" w:rsidR="00117D2B" w:rsidRPr="00E536DD" w:rsidRDefault="00117D2B" w:rsidP="00117D2B">
            <w:pPr>
              <w:pStyle w:val="TableText1"/>
            </w:pPr>
            <w:r w:rsidRPr="00722DF8">
              <w:t>NHS England</w:t>
            </w:r>
            <w:r w:rsidR="00BE7C3C">
              <w:t>.</w:t>
            </w:r>
            <w:r w:rsidRPr="00722DF8">
              <w:t xml:space="preserve"> Genomics Unit</w:t>
            </w:r>
          </w:p>
        </w:tc>
        <w:tc>
          <w:tcPr>
            <w:tcW w:w="1672" w:type="dxa"/>
          </w:tcPr>
          <w:p w14:paraId="50B4B5D4" w14:textId="77777777" w:rsidR="00117D2B" w:rsidRDefault="00117D2B" w:rsidP="0023487E">
            <w:pPr>
              <w:pStyle w:val="TableText1"/>
            </w:pPr>
            <w:r w:rsidRPr="00712BC9">
              <w:rPr>
                <w:b/>
              </w:rPr>
              <w:t>Statement 1 – general</w:t>
            </w:r>
            <w:r>
              <w:rPr>
                <w:b/>
              </w:rPr>
              <w:t xml:space="preserve"> </w:t>
            </w:r>
          </w:p>
          <w:p w14:paraId="3FB05AAF" w14:textId="77777777" w:rsidR="00117D2B" w:rsidRDefault="00117D2B" w:rsidP="0023487E">
            <w:pPr>
              <w:pStyle w:val="TableText1"/>
            </w:pPr>
          </w:p>
          <w:p w14:paraId="6B93CF27" w14:textId="77777777" w:rsidR="00117D2B" w:rsidRDefault="00117D2B" w:rsidP="0023487E">
            <w:pPr>
              <w:pStyle w:val="TableText1"/>
            </w:pPr>
          </w:p>
          <w:p w14:paraId="3709CC4B" w14:textId="207EF45F" w:rsidR="00117D2B" w:rsidRDefault="00117D2B" w:rsidP="00117D2B">
            <w:pPr>
              <w:pStyle w:val="TableText1"/>
              <w:rPr>
                <w:b/>
              </w:rPr>
            </w:pPr>
            <w:r w:rsidRPr="00722DF8">
              <w:t>Statement 1</w:t>
            </w:r>
          </w:p>
        </w:tc>
        <w:tc>
          <w:tcPr>
            <w:tcW w:w="10632" w:type="dxa"/>
          </w:tcPr>
          <w:p w14:paraId="417194E3" w14:textId="68487E26" w:rsidR="00117D2B" w:rsidRDefault="00117D2B" w:rsidP="00117D2B">
            <w:pPr>
              <w:pStyle w:val="TableText1"/>
              <w:rPr>
                <w:b/>
                <w:szCs w:val="20"/>
              </w:rPr>
            </w:pPr>
            <w:r w:rsidRPr="00722DF8">
              <w:rPr>
                <w:b/>
                <w:szCs w:val="20"/>
              </w:rPr>
              <w:t>Quality statement 1:</w:t>
            </w:r>
            <w:r>
              <w:rPr>
                <w:b/>
                <w:szCs w:val="20"/>
              </w:rPr>
              <w:t xml:space="preserve"> </w:t>
            </w:r>
            <w:r w:rsidRPr="00722DF8">
              <w:rPr>
                <w:b/>
                <w:szCs w:val="20"/>
              </w:rPr>
              <w:t xml:space="preserve">Adults with a total lifetime risk of 5% or more of developing ovarian cancer </w:t>
            </w:r>
            <w:proofErr w:type="gramStart"/>
            <w:r w:rsidRPr="00722DF8">
              <w:rPr>
                <w:b/>
                <w:szCs w:val="20"/>
              </w:rPr>
              <w:t>have a discussion about</w:t>
            </w:r>
            <w:proofErr w:type="gramEnd"/>
            <w:r w:rsidRPr="00722DF8">
              <w:rPr>
                <w:b/>
                <w:szCs w:val="20"/>
              </w:rPr>
              <w:t xml:space="preserve"> risk-reducing surgery. [new 2025]</w:t>
            </w:r>
          </w:p>
          <w:p w14:paraId="0E16AD84" w14:textId="77777777" w:rsidR="00117D2B" w:rsidRPr="00722DF8" w:rsidRDefault="00117D2B" w:rsidP="0023487E">
            <w:pPr>
              <w:pStyle w:val="TableText1"/>
              <w:rPr>
                <w:b/>
                <w:szCs w:val="20"/>
              </w:rPr>
            </w:pPr>
          </w:p>
          <w:p w14:paraId="3D69A108" w14:textId="77777777" w:rsidR="00117D2B" w:rsidRPr="00722DF8" w:rsidRDefault="00117D2B" w:rsidP="0023487E">
            <w:pPr>
              <w:pStyle w:val="TableText1"/>
              <w:rPr>
                <w:szCs w:val="20"/>
              </w:rPr>
            </w:pPr>
            <w:r w:rsidRPr="00722DF8">
              <w:rPr>
                <w:szCs w:val="20"/>
              </w:rPr>
              <w:t>The total lifetime risk of 5% or more is stated in the Quality Standard as being calculated based on either:</w:t>
            </w:r>
          </w:p>
          <w:p w14:paraId="5FC4050A" w14:textId="77777777" w:rsidR="00117D2B" w:rsidRDefault="00117D2B" w:rsidP="00117D2B">
            <w:pPr>
              <w:pStyle w:val="TableText1"/>
              <w:rPr>
                <w:szCs w:val="20"/>
              </w:rPr>
            </w:pPr>
          </w:p>
          <w:p w14:paraId="18537E36" w14:textId="36E5B05C" w:rsidR="00117D2B" w:rsidRPr="00722DF8" w:rsidRDefault="00117D2B" w:rsidP="0023487E">
            <w:pPr>
              <w:pStyle w:val="TableText1"/>
              <w:numPr>
                <w:ilvl w:val="0"/>
                <w:numId w:val="45"/>
              </w:numPr>
              <w:rPr>
                <w:szCs w:val="20"/>
              </w:rPr>
            </w:pPr>
            <w:r w:rsidRPr="00722DF8">
              <w:rPr>
                <w:szCs w:val="20"/>
              </w:rPr>
              <w:t xml:space="preserve">presence of a pathogenic variant associated with familial ovarian cancer or </w:t>
            </w:r>
          </w:p>
          <w:p w14:paraId="561D89F9" w14:textId="64FB081D" w:rsidR="00117D2B" w:rsidRPr="00722DF8" w:rsidRDefault="00117D2B" w:rsidP="0023487E">
            <w:pPr>
              <w:pStyle w:val="TableText1"/>
              <w:numPr>
                <w:ilvl w:val="0"/>
                <w:numId w:val="45"/>
              </w:numPr>
              <w:rPr>
                <w:szCs w:val="20"/>
              </w:rPr>
            </w:pPr>
            <w:r w:rsidRPr="00722DF8">
              <w:rPr>
                <w:szCs w:val="20"/>
              </w:rPr>
              <w:t>a strong family history of ovarian cancer (1 or more first-degree relatives (for example, a grandmother, sister or daughter) on the same side of their family (the mother’s or father’s side of the family) with ovarian cancer.</w:t>
            </w:r>
          </w:p>
          <w:p w14:paraId="464303AD" w14:textId="63441401" w:rsidR="00117D2B" w:rsidRDefault="00117D2B" w:rsidP="00117D2B">
            <w:pPr>
              <w:pStyle w:val="TableText1"/>
              <w:rPr>
                <w:szCs w:val="20"/>
              </w:rPr>
            </w:pPr>
            <w:r w:rsidRPr="00722DF8">
              <w:rPr>
                <w:szCs w:val="20"/>
              </w:rPr>
              <w:t xml:space="preserve">In relation to 1), the current eligibility criteria for germline testing for familial ovarian cancer is for people who have ovarian cancer.  </w:t>
            </w:r>
            <w:proofErr w:type="gramStart"/>
            <w:r w:rsidRPr="00722DF8">
              <w:rPr>
                <w:szCs w:val="20"/>
              </w:rPr>
              <w:t>Therefore</w:t>
            </w:r>
            <w:proofErr w:type="gramEnd"/>
            <w:r w:rsidRPr="00722DF8">
              <w:rPr>
                <w:szCs w:val="20"/>
              </w:rPr>
              <w:t xml:space="preserve"> unaffected people who have never had ovarian cancer would only know they have a pathogenic variant associated with a familial ovarian cancer where they had testing as part of cascade testing from an affected relative.  </w:t>
            </w:r>
          </w:p>
          <w:p w14:paraId="1A6FAF18" w14:textId="77777777" w:rsidR="00117D2B" w:rsidRPr="00722DF8" w:rsidRDefault="00117D2B" w:rsidP="0023487E">
            <w:pPr>
              <w:pStyle w:val="TableText1"/>
              <w:rPr>
                <w:szCs w:val="20"/>
              </w:rPr>
            </w:pPr>
          </w:p>
          <w:p w14:paraId="0DEF3B1B" w14:textId="4156EBAE" w:rsidR="00117D2B" w:rsidRPr="00E536DD" w:rsidRDefault="00117D2B" w:rsidP="00117D2B">
            <w:pPr>
              <w:pStyle w:val="TableText1"/>
            </w:pPr>
            <w:r w:rsidRPr="00722DF8">
              <w:t xml:space="preserve">In relation to 2), is there evidence to support that having one first degree relative affected with ovarian cancer has a lifetime risk of 5% and </w:t>
            </w:r>
            <w:bookmarkStart w:id="8" w:name="_Hlk178090829"/>
            <w:r w:rsidRPr="00722DF8">
              <w:t xml:space="preserve">is it appropriate to discuss risk reducing surgery prior to genetic testing? </w:t>
            </w:r>
            <w:bookmarkEnd w:id="8"/>
          </w:p>
        </w:tc>
      </w:tr>
      <w:tr w:rsidR="00117D2B" w:rsidRPr="00660F4E" w14:paraId="45AD423A" w14:textId="77777777" w:rsidTr="001C12DF">
        <w:tc>
          <w:tcPr>
            <w:tcW w:w="675" w:type="dxa"/>
          </w:tcPr>
          <w:p w14:paraId="6391F230" w14:textId="5BDA3132" w:rsidR="00117D2B" w:rsidRDefault="00117D2B" w:rsidP="00117D2B">
            <w:pPr>
              <w:pStyle w:val="TableText1"/>
            </w:pPr>
            <w:r>
              <w:lastRenderedPageBreak/>
              <w:t>2</w:t>
            </w:r>
            <w:r w:rsidR="009E50E1">
              <w:t>5</w:t>
            </w:r>
          </w:p>
        </w:tc>
        <w:tc>
          <w:tcPr>
            <w:tcW w:w="2297" w:type="dxa"/>
          </w:tcPr>
          <w:p w14:paraId="71051A4A" w14:textId="492D8A20" w:rsidR="00117D2B" w:rsidRPr="00E536DD" w:rsidRDefault="00117D2B" w:rsidP="00117D2B">
            <w:pPr>
              <w:pStyle w:val="TableText1"/>
            </w:pPr>
            <w:r w:rsidRPr="00722DF8">
              <w:rPr>
                <w:rFonts w:cs="Arial"/>
                <w:bCs/>
              </w:rPr>
              <w:t>Ovarian Cancer Action</w:t>
            </w:r>
          </w:p>
        </w:tc>
        <w:tc>
          <w:tcPr>
            <w:tcW w:w="1672" w:type="dxa"/>
          </w:tcPr>
          <w:p w14:paraId="7318B9F9" w14:textId="77777777" w:rsidR="00117D2B" w:rsidRPr="0023487E" w:rsidRDefault="00117D2B" w:rsidP="0023487E">
            <w:pPr>
              <w:pStyle w:val="TableText1"/>
              <w:rPr>
                <w:b/>
                <w:bCs/>
              </w:rPr>
            </w:pPr>
            <w:r w:rsidRPr="0023487E">
              <w:rPr>
                <w:b/>
                <w:bCs/>
              </w:rPr>
              <w:t xml:space="preserve">Statement 1 – general </w:t>
            </w:r>
          </w:p>
          <w:p w14:paraId="16A3892F" w14:textId="77777777" w:rsidR="00117D2B" w:rsidRDefault="00117D2B" w:rsidP="0023487E">
            <w:pPr>
              <w:pStyle w:val="TableText1"/>
            </w:pPr>
          </w:p>
          <w:p w14:paraId="6BCE7693" w14:textId="1AD29024" w:rsidR="00117D2B" w:rsidRDefault="00117D2B" w:rsidP="00117D2B">
            <w:pPr>
              <w:pStyle w:val="TableText1"/>
            </w:pPr>
            <w:r w:rsidRPr="00722DF8">
              <w:t>Statement 1</w:t>
            </w:r>
          </w:p>
        </w:tc>
        <w:tc>
          <w:tcPr>
            <w:tcW w:w="10632" w:type="dxa"/>
          </w:tcPr>
          <w:p w14:paraId="6AA7E29B" w14:textId="3CE3EE60" w:rsidR="00117D2B" w:rsidRPr="00A20C46" w:rsidRDefault="00117D2B" w:rsidP="00117D2B">
            <w:pPr>
              <w:pStyle w:val="TableText1"/>
            </w:pPr>
            <w:r w:rsidRPr="00722DF8">
              <w:t xml:space="preserve">We support increasing the awareness of risk-reducing surgery in the mentioned high-risk cohort. We have concerns over how this will work in practice with current resource e.g. waiting times. We would support the inclusion of discussing opportunistic BSO/ salpingectomy (at time of other abdominal surgery) as a way of reducing the need for separate surgery and resultant costs. </w:t>
            </w:r>
          </w:p>
        </w:tc>
      </w:tr>
      <w:tr w:rsidR="00117D2B" w:rsidRPr="00660F4E" w14:paraId="065C97D3" w14:textId="77777777" w:rsidTr="001C12DF">
        <w:tc>
          <w:tcPr>
            <w:tcW w:w="675" w:type="dxa"/>
          </w:tcPr>
          <w:p w14:paraId="26A4A1A7" w14:textId="5C9E3171" w:rsidR="00117D2B" w:rsidRDefault="00117D2B" w:rsidP="00117D2B">
            <w:pPr>
              <w:pStyle w:val="TableText1"/>
            </w:pPr>
            <w:r>
              <w:t>2</w:t>
            </w:r>
            <w:r w:rsidR="009E50E1">
              <w:t>6</w:t>
            </w:r>
          </w:p>
        </w:tc>
        <w:tc>
          <w:tcPr>
            <w:tcW w:w="2297" w:type="dxa"/>
          </w:tcPr>
          <w:p w14:paraId="14DA54E5" w14:textId="03EB0622" w:rsidR="00117D2B" w:rsidRPr="00E536DD" w:rsidRDefault="00117D2B" w:rsidP="00117D2B">
            <w:pPr>
              <w:pStyle w:val="TableText1"/>
            </w:pPr>
            <w:r w:rsidRPr="00722DF8">
              <w:rPr>
                <w:rFonts w:cs="Arial"/>
                <w:bCs/>
              </w:rPr>
              <w:t>British Gynaecological Cancer Society</w:t>
            </w:r>
          </w:p>
        </w:tc>
        <w:tc>
          <w:tcPr>
            <w:tcW w:w="1672" w:type="dxa"/>
          </w:tcPr>
          <w:p w14:paraId="3B5F9A67" w14:textId="77777777" w:rsidR="00117D2B" w:rsidRDefault="00117D2B" w:rsidP="00117D2B">
            <w:pPr>
              <w:pStyle w:val="TableText1"/>
              <w:rPr>
                <w:rFonts w:cs="Arial"/>
                <w:b/>
                <w:bCs/>
              </w:rPr>
            </w:pPr>
            <w:r w:rsidRPr="00712BC9">
              <w:rPr>
                <w:rFonts w:cs="Arial"/>
                <w:b/>
                <w:bCs/>
              </w:rPr>
              <w:t xml:space="preserve">Statement 1 – measures (data collection) </w:t>
            </w:r>
          </w:p>
          <w:p w14:paraId="48C56EA5" w14:textId="77777777" w:rsidR="00117D2B" w:rsidRDefault="00117D2B" w:rsidP="00117D2B">
            <w:pPr>
              <w:pStyle w:val="TableText1"/>
              <w:rPr>
                <w:rFonts w:cs="Arial"/>
                <w:b/>
                <w:bCs/>
              </w:rPr>
            </w:pPr>
          </w:p>
          <w:p w14:paraId="16F784C6" w14:textId="3F3283F2" w:rsidR="00117D2B" w:rsidRPr="0023487E" w:rsidRDefault="00117D2B" w:rsidP="00117D2B">
            <w:pPr>
              <w:pStyle w:val="TableText1"/>
            </w:pPr>
            <w:r w:rsidRPr="0023487E">
              <w:rPr>
                <w:rFonts w:cs="Arial"/>
              </w:rPr>
              <w:t>Question 2</w:t>
            </w:r>
          </w:p>
        </w:tc>
        <w:tc>
          <w:tcPr>
            <w:tcW w:w="10632" w:type="dxa"/>
          </w:tcPr>
          <w:p w14:paraId="22FDAB3F" w14:textId="77777777" w:rsidR="00117D2B" w:rsidRPr="00A20C46" w:rsidRDefault="00117D2B" w:rsidP="0023487E">
            <w:pPr>
              <w:pStyle w:val="TableText1"/>
            </w:pPr>
            <w:r w:rsidRPr="00A20C46">
              <w:t xml:space="preserve">QS1 will be difficult to measure as many with an increased risk are not aware of their risk, so the denominator is difficult.  Perhaps it would be better to say ‘of those with known 5% or more risk of ovarian cancer due to family history and/or known genetic mutations’.  </w:t>
            </w:r>
            <w:proofErr w:type="gramStart"/>
            <w:r w:rsidRPr="00A20C46">
              <w:t>Also</w:t>
            </w:r>
            <w:proofErr w:type="gramEnd"/>
            <w:r w:rsidRPr="00A20C46">
              <w:t xml:space="preserve"> how easily extractable will these data be </w:t>
            </w:r>
            <w:proofErr w:type="spellStart"/>
            <w:r w:rsidRPr="00A20C46">
              <w:t>for m</w:t>
            </w:r>
            <w:proofErr w:type="spellEnd"/>
            <w:r w:rsidRPr="00A20C46">
              <w:t xml:space="preserve"> existing health records?  </w:t>
            </w:r>
            <w:proofErr w:type="gramStart"/>
            <w:r w:rsidRPr="00A20C46">
              <w:t>Also</w:t>
            </w:r>
            <w:proofErr w:type="gramEnd"/>
            <w:r w:rsidRPr="00A20C46">
              <w:t xml:space="preserve"> should this have an age limit on it, since we would not recommend RRBSO for those under 40/45 or even 50 depending on the </w:t>
            </w:r>
            <w:proofErr w:type="spellStart"/>
            <w:r w:rsidRPr="00A20C46">
              <w:t>FHx</w:t>
            </w:r>
            <w:proofErr w:type="spellEnd"/>
            <w:r w:rsidRPr="00A20C46">
              <w:t>/underlying genetic mutation.  This statement is in line with the BAGP/BGCS consensus statement on genetic testing.</w:t>
            </w:r>
          </w:p>
          <w:p w14:paraId="789F4B01" w14:textId="77777777" w:rsidR="00117D2B" w:rsidRPr="00A20C46" w:rsidRDefault="00117D2B" w:rsidP="0023487E">
            <w:pPr>
              <w:pStyle w:val="TableText1"/>
            </w:pPr>
          </w:p>
          <w:p w14:paraId="30AD6085" w14:textId="31B846A5" w:rsidR="00117D2B" w:rsidRPr="00A20C46" w:rsidRDefault="00117D2B" w:rsidP="00117D2B">
            <w:pPr>
              <w:pStyle w:val="TableText1"/>
            </w:pPr>
            <w:r w:rsidRPr="00A20C46">
              <w:t xml:space="preserve">Could these patients be included </w:t>
            </w:r>
            <w:proofErr w:type="spellStart"/>
            <w:r w:rsidRPr="00A20C46">
              <w:t>n</w:t>
            </w:r>
            <w:proofErr w:type="spellEnd"/>
            <w:r w:rsidRPr="00A20C46">
              <w:t xml:space="preserve"> SCR/</w:t>
            </w:r>
            <w:proofErr w:type="spellStart"/>
            <w:r w:rsidRPr="00A20C46">
              <w:t>infoflex</w:t>
            </w:r>
            <w:proofErr w:type="spellEnd"/>
            <w:r w:rsidRPr="00A20C46">
              <w:t xml:space="preserve"> data, although obviously wouldn’t need to be seen within CWT standards?  This would be the easiest way of recording these data with some accuracy.</w:t>
            </w:r>
          </w:p>
        </w:tc>
      </w:tr>
      <w:tr w:rsidR="00117D2B" w:rsidRPr="00660F4E" w14:paraId="7C7B18C6" w14:textId="77777777" w:rsidTr="001C12DF">
        <w:tc>
          <w:tcPr>
            <w:tcW w:w="675" w:type="dxa"/>
          </w:tcPr>
          <w:p w14:paraId="0F0564C4" w14:textId="4CEFA8EF" w:rsidR="00117D2B" w:rsidRDefault="00117D2B" w:rsidP="00117D2B">
            <w:pPr>
              <w:pStyle w:val="TableText1"/>
            </w:pPr>
            <w:r>
              <w:t>2</w:t>
            </w:r>
            <w:r w:rsidR="009E50E1">
              <w:t>7</w:t>
            </w:r>
          </w:p>
        </w:tc>
        <w:tc>
          <w:tcPr>
            <w:tcW w:w="2297" w:type="dxa"/>
          </w:tcPr>
          <w:p w14:paraId="5CF770F1" w14:textId="32A2C119" w:rsidR="00117D2B" w:rsidRPr="00A20C46" w:rsidRDefault="00117D2B" w:rsidP="00117D2B">
            <w:pPr>
              <w:pStyle w:val="TableText1"/>
            </w:pPr>
            <w:r w:rsidRPr="0023487E">
              <w:rPr>
                <w:rFonts w:cs="Arial"/>
                <w:bCs/>
              </w:rPr>
              <w:t xml:space="preserve">UK Cancer Genetics Group </w:t>
            </w:r>
          </w:p>
        </w:tc>
        <w:tc>
          <w:tcPr>
            <w:tcW w:w="1672" w:type="dxa"/>
          </w:tcPr>
          <w:p w14:paraId="4C79A5A3" w14:textId="77777777" w:rsidR="00117D2B" w:rsidRPr="0023487E" w:rsidRDefault="00117D2B" w:rsidP="00117D2B">
            <w:pPr>
              <w:pStyle w:val="Paragraphnonumbers"/>
              <w:spacing w:after="0"/>
              <w:rPr>
                <w:rFonts w:cs="Arial"/>
                <w:b/>
                <w:bCs/>
                <w:sz w:val="20"/>
                <w:szCs w:val="20"/>
              </w:rPr>
            </w:pPr>
            <w:r w:rsidRPr="0023487E">
              <w:rPr>
                <w:rFonts w:cs="Arial"/>
                <w:b/>
                <w:bCs/>
                <w:sz w:val="20"/>
                <w:szCs w:val="20"/>
              </w:rPr>
              <w:t>Statement 1: measures</w:t>
            </w:r>
          </w:p>
          <w:p w14:paraId="71D439D9" w14:textId="77777777" w:rsidR="00117D2B" w:rsidRPr="0023487E" w:rsidRDefault="00117D2B" w:rsidP="00117D2B">
            <w:pPr>
              <w:pStyle w:val="Paragraphnonumbers"/>
              <w:spacing w:after="0"/>
              <w:rPr>
                <w:rFonts w:cs="Arial"/>
                <w:sz w:val="20"/>
                <w:szCs w:val="20"/>
              </w:rPr>
            </w:pPr>
          </w:p>
          <w:p w14:paraId="75BC3FA7" w14:textId="77777777" w:rsidR="00117D2B" w:rsidRPr="0023487E" w:rsidRDefault="00117D2B" w:rsidP="00117D2B">
            <w:pPr>
              <w:pStyle w:val="Paragraphnonumbers"/>
              <w:spacing w:after="0"/>
              <w:rPr>
                <w:rFonts w:cs="Arial"/>
                <w:sz w:val="20"/>
                <w:szCs w:val="20"/>
              </w:rPr>
            </w:pPr>
            <w:r w:rsidRPr="0023487E">
              <w:rPr>
                <w:rFonts w:cs="Arial"/>
                <w:sz w:val="20"/>
                <w:szCs w:val="20"/>
              </w:rPr>
              <w:t>Statement 1:</w:t>
            </w:r>
          </w:p>
          <w:p w14:paraId="1BB4C12B" w14:textId="51E2D364" w:rsidR="00117D2B" w:rsidRPr="00A20C46" w:rsidRDefault="00117D2B" w:rsidP="00117D2B">
            <w:pPr>
              <w:pStyle w:val="TableText1"/>
              <w:rPr>
                <w:b/>
                <w:bCs/>
              </w:rPr>
            </w:pPr>
            <w:r w:rsidRPr="0023487E">
              <w:t xml:space="preserve">Adults with a total lifetime risk of 5% or more of developing ovarian cancer </w:t>
            </w:r>
            <w:proofErr w:type="gramStart"/>
            <w:r w:rsidRPr="0023487E">
              <w:t>have a discussion about</w:t>
            </w:r>
            <w:proofErr w:type="gramEnd"/>
            <w:r w:rsidRPr="0023487E">
              <w:t xml:space="preserve"> risk-reducing surgery.</w:t>
            </w:r>
          </w:p>
        </w:tc>
        <w:tc>
          <w:tcPr>
            <w:tcW w:w="10632" w:type="dxa"/>
          </w:tcPr>
          <w:p w14:paraId="00634C84" w14:textId="05D4888F" w:rsidR="00117D2B" w:rsidRPr="00A20C46" w:rsidRDefault="00117D2B" w:rsidP="00117D2B">
            <w:pPr>
              <w:pStyle w:val="TableText1"/>
            </w:pPr>
            <w:proofErr w:type="gramStart"/>
            <w:r w:rsidRPr="0023487E">
              <w:rPr>
                <w:szCs w:val="20"/>
              </w:rPr>
              <w:t>At the moment</w:t>
            </w:r>
            <w:proofErr w:type="gramEnd"/>
            <w:r w:rsidRPr="0023487E">
              <w:rPr>
                <w:szCs w:val="20"/>
              </w:rPr>
              <w:t xml:space="preserve"> it would be difficult for family history or genetics services could easily pull out this data as it would require a manual trawl of patient notes to identify those assessed at 5% lifetime risk and to note whether the relevant discussion took place: which would be very resource intensive. Some services have indicated there would be no way they could currently identify these patients from existing systems to know which notes to check. If services were aware in advance that this data would be required, it is possible they would be able to implement local solutions to be able to capture this data prospectively, such as coding this information in such a way that an automated search of patient records could pull the data out with supporting evidence of the discussion/information given which took place at risk assessment. This would need to include coding to capture all patients at 5% and a standardised way of monitoring whether the discussion took place from either a “tick” in electronic records or a medical letter </w:t>
            </w:r>
            <w:proofErr w:type="spellStart"/>
            <w:r w:rsidRPr="0023487E">
              <w:rPr>
                <w:szCs w:val="20"/>
              </w:rPr>
              <w:t>summarising</w:t>
            </w:r>
            <w:proofErr w:type="spellEnd"/>
            <w:r w:rsidRPr="0023487E">
              <w:rPr>
                <w:szCs w:val="20"/>
              </w:rPr>
              <w:t xml:space="preserve"> the discussion or the medical notes.  This would require some up front resource locally to embed the digital infrastructure for data capture. Without resource to develop the infrastructure to provide the information easily, services have indicated they could not supply this. </w:t>
            </w:r>
          </w:p>
        </w:tc>
      </w:tr>
      <w:tr w:rsidR="00117D2B" w:rsidRPr="00660F4E" w14:paraId="380C5418" w14:textId="77777777" w:rsidTr="001C12DF">
        <w:tc>
          <w:tcPr>
            <w:tcW w:w="675" w:type="dxa"/>
          </w:tcPr>
          <w:p w14:paraId="2652AD24" w14:textId="4FB9B770" w:rsidR="00117D2B" w:rsidRDefault="00117D2B" w:rsidP="00117D2B">
            <w:pPr>
              <w:pStyle w:val="TableText1"/>
            </w:pPr>
            <w:r>
              <w:t>2</w:t>
            </w:r>
            <w:r w:rsidR="009E50E1">
              <w:t>8</w:t>
            </w:r>
          </w:p>
        </w:tc>
        <w:tc>
          <w:tcPr>
            <w:tcW w:w="2297" w:type="dxa"/>
          </w:tcPr>
          <w:p w14:paraId="4CC9154B" w14:textId="04701ED9" w:rsidR="00117D2B" w:rsidRPr="00E536DD" w:rsidRDefault="00117D2B" w:rsidP="00117D2B">
            <w:pPr>
              <w:pStyle w:val="TableText1"/>
            </w:pPr>
            <w:r w:rsidRPr="00286B88">
              <w:t>The Association of Clinical Psychologists (UK)</w:t>
            </w:r>
          </w:p>
        </w:tc>
        <w:tc>
          <w:tcPr>
            <w:tcW w:w="1672" w:type="dxa"/>
          </w:tcPr>
          <w:p w14:paraId="5C5C1311" w14:textId="77777777" w:rsidR="00117D2B" w:rsidRPr="00712BC9" w:rsidRDefault="00117D2B" w:rsidP="0023487E">
            <w:pPr>
              <w:pStyle w:val="TableText1"/>
            </w:pPr>
            <w:r w:rsidRPr="00712BC9">
              <w:rPr>
                <w:b/>
                <w:bCs/>
              </w:rPr>
              <w:t xml:space="preserve">Statement 1 – audience descriptors </w:t>
            </w:r>
          </w:p>
          <w:p w14:paraId="535461C5" w14:textId="77777777" w:rsidR="00117D2B" w:rsidRPr="00712BC9" w:rsidRDefault="00117D2B" w:rsidP="0023487E">
            <w:pPr>
              <w:pStyle w:val="TableText1"/>
            </w:pPr>
          </w:p>
          <w:p w14:paraId="5942C891" w14:textId="6737A04D" w:rsidR="00117D2B" w:rsidRDefault="00117D2B" w:rsidP="00117D2B">
            <w:pPr>
              <w:pStyle w:val="TableText1"/>
              <w:rPr>
                <w:b/>
                <w:bCs/>
              </w:rPr>
            </w:pPr>
            <w:r w:rsidRPr="00712BC9">
              <w:t>Statement 1</w:t>
            </w:r>
          </w:p>
        </w:tc>
        <w:tc>
          <w:tcPr>
            <w:tcW w:w="10632" w:type="dxa"/>
            <w:vAlign w:val="center"/>
          </w:tcPr>
          <w:p w14:paraId="72155936" w14:textId="1646965E" w:rsidR="00117D2B" w:rsidRPr="00190411" w:rsidRDefault="00117D2B" w:rsidP="0023487E">
            <w:pPr>
              <w:pStyle w:val="Paragraphnonumbers"/>
              <w:rPr>
                <w:rFonts w:cs="Arial"/>
                <w:szCs w:val="20"/>
              </w:rPr>
            </w:pPr>
            <w:r w:rsidRPr="00286B88">
              <w:rPr>
                <w:rFonts w:cs="Arial"/>
                <w:sz w:val="20"/>
                <w:szCs w:val="20"/>
              </w:rPr>
              <w:t>Page 6 Under the subheading, Healthcare professionals, ACP-UK would like to see clinical psychologists specifically included. Clinical psychologists often work with patients to support them in making decisions in relation to risk-reducing surgeries in clinical health psychology contexts and are well-placed to offer support of this nature.</w:t>
            </w:r>
          </w:p>
        </w:tc>
      </w:tr>
      <w:tr w:rsidR="00117D2B" w:rsidRPr="00660F4E" w14:paraId="5C7E760E" w14:textId="77777777" w:rsidTr="001C12DF">
        <w:tc>
          <w:tcPr>
            <w:tcW w:w="675" w:type="dxa"/>
          </w:tcPr>
          <w:p w14:paraId="34947067" w14:textId="07BFF144" w:rsidR="00117D2B" w:rsidRDefault="009E50E1" w:rsidP="00117D2B">
            <w:pPr>
              <w:pStyle w:val="TableText1"/>
            </w:pPr>
            <w:r>
              <w:t>29</w:t>
            </w:r>
          </w:p>
        </w:tc>
        <w:tc>
          <w:tcPr>
            <w:tcW w:w="2297" w:type="dxa"/>
          </w:tcPr>
          <w:p w14:paraId="3DA8FDC1" w14:textId="46FAA976" w:rsidR="00117D2B" w:rsidRPr="00C2694A" w:rsidRDefault="00117D2B" w:rsidP="00117D2B">
            <w:pPr>
              <w:pStyle w:val="TableText1"/>
            </w:pPr>
            <w:r w:rsidRPr="00C2694A">
              <w:t>British Gynaecological Cancer Society</w:t>
            </w:r>
          </w:p>
        </w:tc>
        <w:tc>
          <w:tcPr>
            <w:tcW w:w="1672" w:type="dxa"/>
          </w:tcPr>
          <w:p w14:paraId="1943FB45" w14:textId="77777777" w:rsidR="00117D2B" w:rsidRPr="00C2694A" w:rsidRDefault="00117D2B" w:rsidP="0023487E">
            <w:pPr>
              <w:pStyle w:val="TableText1"/>
            </w:pPr>
            <w:r w:rsidRPr="0023487E">
              <w:rPr>
                <w:b/>
              </w:rPr>
              <w:t>Statement 2 – general</w:t>
            </w:r>
            <w:r w:rsidRPr="00C2694A">
              <w:rPr>
                <w:b/>
              </w:rPr>
              <w:t xml:space="preserve"> </w:t>
            </w:r>
          </w:p>
          <w:p w14:paraId="3A24D7D2" w14:textId="77777777" w:rsidR="00117D2B" w:rsidRDefault="00117D2B" w:rsidP="00117D2B">
            <w:pPr>
              <w:pStyle w:val="TableText1"/>
              <w:rPr>
                <w:b/>
              </w:rPr>
            </w:pPr>
          </w:p>
          <w:p w14:paraId="171BA2E4" w14:textId="70BD0ED6" w:rsidR="00117D2B" w:rsidRPr="0023487E" w:rsidRDefault="00117D2B" w:rsidP="00117D2B">
            <w:pPr>
              <w:pStyle w:val="TableText1"/>
              <w:rPr>
                <w:bCs/>
              </w:rPr>
            </w:pPr>
            <w:r>
              <w:rPr>
                <w:bCs/>
              </w:rPr>
              <w:t>Statement 2</w:t>
            </w:r>
          </w:p>
        </w:tc>
        <w:tc>
          <w:tcPr>
            <w:tcW w:w="10632" w:type="dxa"/>
          </w:tcPr>
          <w:p w14:paraId="4E457841" w14:textId="77777777" w:rsidR="00117D2B" w:rsidRPr="00C2694A" w:rsidRDefault="00117D2B" w:rsidP="0023487E">
            <w:pPr>
              <w:pStyle w:val="TableText1"/>
            </w:pPr>
            <w:r w:rsidRPr="00C2694A">
              <w:lastRenderedPageBreak/>
              <w:t xml:space="preserve">Sensible but would need access to an algorithmic tool, which we do not have currently access to country-wide; </w:t>
            </w:r>
            <w:proofErr w:type="gramStart"/>
            <w:r w:rsidRPr="00C2694A">
              <w:t>also</w:t>
            </w:r>
            <w:proofErr w:type="gramEnd"/>
            <w:r w:rsidRPr="00C2694A">
              <w:t xml:space="preserve"> the data for this improving outcomes is pretty shaky at a population level</w:t>
            </w:r>
          </w:p>
          <w:p w14:paraId="1A44CD23" w14:textId="632DDB8C" w:rsidR="00117D2B" w:rsidRPr="00C2694A" w:rsidRDefault="00117D2B" w:rsidP="00117D2B">
            <w:pPr>
              <w:pStyle w:val="TableText1"/>
            </w:pPr>
          </w:p>
        </w:tc>
      </w:tr>
      <w:tr w:rsidR="00117D2B" w:rsidRPr="00660F4E" w14:paraId="25376629" w14:textId="77777777" w:rsidTr="001C12DF">
        <w:tc>
          <w:tcPr>
            <w:tcW w:w="675" w:type="dxa"/>
          </w:tcPr>
          <w:p w14:paraId="5F874E9B" w14:textId="57BECC40" w:rsidR="00117D2B" w:rsidRDefault="00117D2B" w:rsidP="00117D2B">
            <w:pPr>
              <w:pStyle w:val="TableText1"/>
            </w:pPr>
            <w:r>
              <w:lastRenderedPageBreak/>
              <w:t>3</w:t>
            </w:r>
            <w:r w:rsidR="009E50E1">
              <w:t>0</w:t>
            </w:r>
          </w:p>
        </w:tc>
        <w:tc>
          <w:tcPr>
            <w:tcW w:w="2297" w:type="dxa"/>
          </w:tcPr>
          <w:p w14:paraId="64DF78D5" w14:textId="16C673DD" w:rsidR="00117D2B" w:rsidRPr="00E536DD" w:rsidRDefault="00117D2B" w:rsidP="00117D2B">
            <w:pPr>
              <w:pStyle w:val="TableText1"/>
            </w:pPr>
            <w:r w:rsidRPr="00722DF8">
              <w:t>Ovarian Cancer Action</w:t>
            </w:r>
          </w:p>
        </w:tc>
        <w:tc>
          <w:tcPr>
            <w:tcW w:w="1672" w:type="dxa"/>
          </w:tcPr>
          <w:p w14:paraId="565797DC" w14:textId="77777777" w:rsidR="00117D2B" w:rsidRPr="00712BC9" w:rsidRDefault="00117D2B" w:rsidP="0023487E">
            <w:pPr>
              <w:pStyle w:val="TableText1"/>
            </w:pPr>
            <w:r w:rsidRPr="00712BC9">
              <w:rPr>
                <w:b/>
              </w:rPr>
              <w:t xml:space="preserve">Statement 2 – general </w:t>
            </w:r>
          </w:p>
          <w:p w14:paraId="7969C40F" w14:textId="77777777" w:rsidR="00117D2B" w:rsidRDefault="00117D2B" w:rsidP="00117D2B">
            <w:pPr>
              <w:pStyle w:val="TableText1"/>
            </w:pPr>
          </w:p>
          <w:p w14:paraId="4127B0E4" w14:textId="4E147038" w:rsidR="00117D2B" w:rsidRPr="004D6A7F" w:rsidRDefault="00117D2B" w:rsidP="0023487E">
            <w:pPr>
              <w:pStyle w:val="TableText1"/>
            </w:pPr>
            <w:r>
              <w:t>Statement 2</w:t>
            </w:r>
          </w:p>
          <w:p w14:paraId="6C2B6C20" w14:textId="6558000F" w:rsidR="00117D2B" w:rsidRDefault="00117D2B" w:rsidP="00117D2B">
            <w:pPr>
              <w:pStyle w:val="TableText1"/>
              <w:rPr>
                <w:b/>
              </w:rPr>
            </w:pPr>
          </w:p>
        </w:tc>
        <w:tc>
          <w:tcPr>
            <w:tcW w:w="10632" w:type="dxa"/>
          </w:tcPr>
          <w:p w14:paraId="58E00547" w14:textId="37668835" w:rsidR="00117D2B" w:rsidRPr="00E536DD" w:rsidRDefault="00117D2B" w:rsidP="00117D2B">
            <w:pPr>
              <w:pStyle w:val="TableText1"/>
            </w:pPr>
            <w:r w:rsidRPr="00722DF8">
              <w:t>We cannot comment as this is a placeholder, but support NICE taking the time to accurately put this statement together. It remains a priority for improving outcomes and we look forward to seeing the final statement to ensure the system is better placed to catch patients and diagnose ovarian cancer earlier.</w:t>
            </w:r>
          </w:p>
        </w:tc>
      </w:tr>
      <w:tr w:rsidR="00117D2B" w:rsidRPr="00660F4E" w14:paraId="2A3A7DEF" w14:textId="77777777" w:rsidTr="001C12DF">
        <w:tc>
          <w:tcPr>
            <w:tcW w:w="675" w:type="dxa"/>
          </w:tcPr>
          <w:p w14:paraId="43F5DAC8" w14:textId="4DAE9119" w:rsidR="00117D2B" w:rsidRDefault="00117D2B" w:rsidP="00117D2B">
            <w:pPr>
              <w:pStyle w:val="TableText1"/>
            </w:pPr>
            <w:r>
              <w:t>3</w:t>
            </w:r>
            <w:r w:rsidR="009E50E1">
              <w:t>1</w:t>
            </w:r>
          </w:p>
        </w:tc>
        <w:tc>
          <w:tcPr>
            <w:tcW w:w="2297" w:type="dxa"/>
          </w:tcPr>
          <w:p w14:paraId="49D705EB" w14:textId="33B48C7E" w:rsidR="00117D2B" w:rsidRPr="00E536DD" w:rsidRDefault="00117D2B" w:rsidP="00117D2B">
            <w:pPr>
              <w:pStyle w:val="TableText1"/>
            </w:pPr>
            <w:r w:rsidRPr="00722DF8">
              <w:t>Target Ovarian Cancer</w:t>
            </w:r>
          </w:p>
        </w:tc>
        <w:tc>
          <w:tcPr>
            <w:tcW w:w="1672" w:type="dxa"/>
          </w:tcPr>
          <w:p w14:paraId="307E7DC3" w14:textId="5B7616DA" w:rsidR="00117D2B" w:rsidRDefault="00117D2B" w:rsidP="0023487E">
            <w:pPr>
              <w:pStyle w:val="TableText1"/>
              <w:rPr>
                <w:b/>
              </w:rPr>
            </w:pPr>
            <w:r>
              <w:rPr>
                <w:b/>
              </w:rPr>
              <w:t xml:space="preserve">Statement 2 </w:t>
            </w:r>
            <w:r>
              <w:rPr>
                <w:rFonts w:cs="Arial"/>
                <w:b/>
                <w:bCs/>
              </w:rPr>
              <w:t>– general</w:t>
            </w:r>
          </w:p>
          <w:p w14:paraId="7FAB8052" w14:textId="77777777" w:rsidR="00117D2B" w:rsidRDefault="00117D2B" w:rsidP="0023487E">
            <w:pPr>
              <w:pStyle w:val="TableText1"/>
            </w:pPr>
          </w:p>
          <w:p w14:paraId="590AEB5A" w14:textId="7166CBDD" w:rsidR="00117D2B" w:rsidRDefault="00117D2B" w:rsidP="00117D2B">
            <w:pPr>
              <w:pStyle w:val="TableText1"/>
              <w:rPr>
                <w:b/>
              </w:rPr>
            </w:pPr>
            <w:r w:rsidRPr="00722DF8">
              <w:t>Question 1</w:t>
            </w:r>
          </w:p>
        </w:tc>
        <w:tc>
          <w:tcPr>
            <w:tcW w:w="10632" w:type="dxa"/>
          </w:tcPr>
          <w:p w14:paraId="320C02A5" w14:textId="77777777" w:rsidR="00117D2B" w:rsidRPr="00722DF8" w:rsidRDefault="00117D2B" w:rsidP="0023487E">
            <w:pPr>
              <w:pStyle w:val="TableText1"/>
              <w:rPr>
                <w:b/>
                <w:szCs w:val="20"/>
              </w:rPr>
            </w:pPr>
            <w:r w:rsidRPr="00722DF8">
              <w:rPr>
                <w:b/>
                <w:szCs w:val="20"/>
              </w:rPr>
              <w:t xml:space="preserve">Safety Netting </w:t>
            </w:r>
          </w:p>
          <w:p w14:paraId="11CE5281" w14:textId="77777777" w:rsidR="00117D2B" w:rsidRPr="00722DF8" w:rsidRDefault="00117D2B" w:rsidP="0023487E">
            <w:pPr>
              <w:pStyle w:val="TableText1"/>
              <w:rPr>
                <w:szCs w:val="20"/>
              </w:rPr>
            </w:pPr>
          </w:p>
          <w:p w14:paraId="333FDB2F" w14:textId="77777777" w:rsidR="00117D2B" w:rsidRPr="00722DF8" w:rsidRDefault="00117D2B" w:rsidP="0023487E">
            <w:pPr>
              <w:pStyle w:val="TableText1"/>
              <w:rPr>
                <w:szCs w:val="20"/>
              </w:rPr>
            </w:pPr>
            <w:r w:rsidRPr="00722DF8">
              <w:rPr>
                <w:szCs w:val="20"/>
              </w:rPr>
              <w:t xml:space="preserve">The quality standard does not reflect the vital role in safety netting in the diagnosis of ovarian cancer. We would suggest that existing QS3 be retained and updated to the following </w:t>
            </w:r>
          </w:p>
          <w:p w14:paraId="33C85605" w14:textId="77777777" w:rsidR="00117D2B" w:rsidRPr="00722DF8" w:rsidRDefault="00117D2B" w:rsidP="0023487E">
            <w:pPr>
              <w:pStyle w:val="TableText1"/>
              <w:rPr>
                <w:szCs w:val="20"/>
              </w:rPr>
            </w:pPr>
          </w:p>
          <w:p w14:paraId="2798BD48" w14:textId="77777777" w:rsidR="00117D2B" w:rsidRDefault="00117D2B" w:rsidP="00117D2B">
            <w:pPr>
              <w:pStyle w:val="TableText1"/>
              <w:rPr>
                <w:szCs w:val="20"/>
              </w:rPr>
            </w:pPr>
            <w:r w:rsidRPr="0023487E">
              <w:rPr>
                <w:szCs w:val="20"/>
              </w:rPr>
              <w:t>Title: Safety netting symptomatic women</w:t>
            </w:r>
          </w:p>
          <w:p w14:paraId="7914A57E" w14:textId="77777777" w:rsidR="00117D2B" w:rsidRPr="00C2694A" w:rsidRDefault="00117D2B" w:rsidP="0023487E">
            <w:pPr>
              <w:pStyle w:val="TableText1"/>
              <w:rPr>
                <w:szCs w:val="20"/>
              </w:rPr>
            </w:pPr>
          </w:p>
          <w:p w14:paraId="29A2473A" w14:textId="77777777" w:rsidR="00117D2B" w:rsidRPr="0023487E" w:rsidRDefault="00117D2B" w:rsidP="0023487E">
            <w:pPr>
              <w:pStyle w:val="TableText1"/>
              <w:rPr>
                <w:szCs w:val="20"/>
              </w:rPr>
            </w:pPr>
            <w:r w:rsidRPr="0023487E">
              <w:rPr>
                <w:szCs w:val="20"/>
              </w:rPr>
              <w:t xml:space="preserve">Electronic safety netting measures are put in place to reassess within </w:t>
            </w:r>
            <w:proofErr w:type="gramStart"/>
            <w:r w:rsidRPr="0023487E">
              <w:rPr>
                <w:szCs w:val="20"/>
              </w:rPr>
              <w:t>1 month</w:t>
            </w:r>
            <w:proofErr w:type="gramEnd"/>
            <w:r w:rsidRPr="0023487E">
              <w:rPr>
                <w:szCs w:val="20"/>
              </w:rPr>
              <w:t xml:space="preserve"> women with normal CA125, or raised CA125 but normal ultrasound, with no confirmed diagnosis but continuing symptoms.</w:t>
            </w:r>
          </w:p>
          <w:p w14:paraId="086901C7" w14:textId="77777777" w:rsidR="00117D2B" w:rsidRDefault="00117D2B" w:rsidP="00117D2B">
            <w:pPr>
              <w:pStyle w:val="TableText1"/>
            </w:pPr>
          </w:p>
          <w:p w14:paraId="51934E44" w14:textId="7ABEE520" w:rsidR="00117D2B" w:rsidRPr="00722DF8" w:rsidRDefault="00117D2B" w:rsidP="0023487E">
            <w:pPr>
              <w:pStyle w:val="TableText1"/>
            </w:pPr>
            <w:r w:rsidRPr="00722DF8">
              <w:t xml:space="preserve">Safety netting is a key component of early diagnosis. </w:t>
            </w:r>
            <w:hyperlink r:id="rId23" w:history="1">
              <w:r w:rsidRPr="00722DF8">
                <w:rPr>
                  <w:rStyle w:val="Hyperlink"/>
                  <w:rFonts w:cs="Arial"/>
                </w:rPr>
                <w:t>Target Ovarian Cancer’s Breaking Down Barriers</w:t>
              </w:r>
            </w:hyperlink>
            <w:r w:rsidRPr="00722DF8">
              <w:t xml:space="preserve"> work, in partnership with the NHS, tested different safety netting interventions to flag women with possible ovarian cancer symptoms. The results of the safety netting interventions outlined below show an exceptionally positive regard from primary care staff who tested and rated tools and frameworks to support earlier diagnosis of ovarian cancer. This demonstrates the need for safety netting to be a key component in early diagnosis guidance.</w:t>
            </w:r>
          </w:p>
          <w:p w14:paraId="1B2E6A83" w14:textId="77777777" w:rsidR="00117D2B" w:rsidRPr="00722DF8" w:rsidRDefault="00117D2B" w:rsidP="0023487E">
            <w:pPr>
              <w:pStyle w:val="TableText1"/>
            </w:pPr>
          </w:p>
          <w:p w14:paraId="5EB8D4F7" w14:textId="77777777" w:rsidR="00117D2B" w:rsidRPr="00722DF8" w:rsidRDefault="00117D2B" w:rsidP="0023487E">
            <w:pPr>
              <w:pStyle w:val="TableText1"/>
            </w:pPr>
            <w:r w:rsidRPr="00722DF8">
              <w:rPr>
                <w:b/>
              </w:rPr>
              <w:t>Clinical IT alerts</w:t>
            </w:r>
          </w:p>
          <w:p w14:paraId="73CEFC77" w14:textId="77777777" w:rsidR="00117D2B" w:rsidRPr="00722DF8" w:rsidRDefault="00117D2B" w:rsidP="0023487E">
            <w:pPr>
              <w:pStyle w:val="TableText1"/>
            </w:pPr>
            <w:r w:rsidRPr="00722DF8">
              <w:t>Using algorithms on existing clinical software helps to alert GPs to common misdiagnosis, such as IBS. Our project which launched our safety netting tool, spanning across 10 PCNs, helped GPs to spot and diagnose ovarian cancer.</w:t>
            </w:r>
          </w:p>
          <w:p w14:paraId="6D915FE7" w14:textId="77777777" w:rsidR="00117D2B" w:rsidRDefault="00117D2B" w:rsidP="00117D2B">
            <w:pPr>
              <w:pStyle w:val="TableText1"/>
            </w:pPr>
          </w:p>
          <w:p w14:paraId="66B86148" w14:textId="71192AF1" w:rsidR="00117D2B" w:rsidRDefault="00117D2B" w:rsidP="00117D2B">
            <w:pPr>
              <w:pStyle w:val="TableText1"/>
              <w:rPr>
                <w:b/>
              </w:rPr>
            </w:pPr>
            <w:r w:rsidRPr="00722DF8">
              <w:t>100 per cent of primary care colleagues in our pilot sites agreed that the clinical IT alert helped professionals consider ovarian cancer as a possible diagnosis, was simple to use and was a tool they wanted to keep on their system after project activity closed.</w:t>
            </w:r>
            <w:r w:rsidRPr="00722DF8">
              <w:rPr>
                <w:b/>
              </w:rPr>
              <w:t> </w:t>
            </w:r>
          </w:p>
          <w:p w14:paraId="34745F14" w14:textId="77777777" w:rsidR="00117D2B" w:rsidRPr="00722DF8" w:rsidRDefault="00117D2B" w:rsidP="0023487E">
            <w:pPr>
              <w:pStyle w:val="TableText1"/>
            </w:pPr>
          </w:p>
          <w:p w14:paraId="4A78F154" w14:textId="77777777" w:rsidR="00117D2B" w:rsidRPr="00722DF8" w:rsidRDefault="00117D2B" w:rsidP="0023487E">
            <w:pPr>
              <w:pStyle w:val="TableText1"/>
            </w:pPr>
            <w:r w:rsidRPr="00722DF8">
              <w:rPr>
                <w:b/>
              </w:rPr>
              <w:t>Retrospective audit search</w:t>
            </w:r>
          </w:p>
          <w:p w14:paraId="1CCF0C1E" w14:textId="77777777" w:rsidR="00117D2B" w:rsidRPr="00722DF8" w:rsidRDefault="00117D2B" w:rsidP="0023487E">
            <w:pPr>
              <w:pStyle w:val="TableText1"/>
            </w:pPr>
            <w:r w:rsidRPr="00722DF8">
              <w:t xml:space="preserve">Another safety netting intervention involved an audit that looked at readdressing possible misdiagnosis retrospectively across the previous six months. Women who had been coded with possible ovarian cancer symptoms or common </w:t>
            </w:r>
            <w:r w:rsidRPr="00722DF8">
              <w:lastRenderedPageBreak/>
              <w:t>misdiagnosis who had no recent record of a CA125 were contacted with health advice and instruction to revisit primary care should symptoms persist.</w:t>
            </w:r>
          </w:p>
          <w:p w14:paraId="4E10A441" w14:textId="77777777" w:rsidR="00117D2B" w:rsidRPr="00722DF8" w:rsidRDefault="00117D2B" w:rsidP="0023487E">
            <w:pPr>
              <w:pStyle w:val="TableText1"/>
            </w:pPr>
            <w:r w:rsidRPr="00722DF8">
              <w:t>92 per cent of primary care staff agreed that this audit exercise helped to identify possible misdiagnosis.</w:t>
            </w:r>
          </w:p>
          <w:p w14:paraId="6F7A24C8" w14:textId="77777777" w:rsidR="00117D2B" w:rsidRPr="00722DF8" w:rsidRDefault="00117D2B" w:rsidP="0023487E">
            <w:pPr>
              <w:pStyle w:val="TableText1"/>
            </w:pPr>
            <w:r w:rsidRPr="00722DF8">
              <w:t> </w:t>
            </w:r>
          </w:p>
          <w:p w14:paraId="3BE1FE53" w14:textId="77777777" w:rsidR="00117D2B" w:rsidRPr="00722DF8" w:rsidRDefault="00117D2B" w:rsidP="0023487E">
            <w:pPr>
              <w:pStyle w:val="TableText1"/>
            </w:pPr>
            <w:r w:rsidRPr="00722DF8">
              <w:rPr>
                <w:b/>
              </w:rPr>
              <w:t>CA125 safety netting</w:t>
            </w:r>
          </w:p>
          <w:p w14:paraId="67E67EC1" w14:textId="77777777" w:rsidR="00117D2B" w:rsidRPr="00722DF8" w:rsidRDefault="00117D2B" w:rsidP="0023487E">
            <w:pPr>
              <w:pStyle w:val="TableText1"/>
            </w:pPr>
            <w:r w:rsidRPr="00722DF8">
              <w:t>A third intervention based involved reviewing the clinical record and contacting women with a recent normal CA125 result. Women contacted were given health advice about ovarian cancer symptom presentation, and advice on what to do should symptoms be persistent.  </w:t>
            </w:r>
          </w:p>
          <w:p w14:paraId="1099B2B2" w14:textId="77777777" w:rsidR="00117D2B" w:rsidRPr="00722DF8" w:rsidRDefault="00117D2B" w:rsidP="0023487E">
            <w:pPr>
              <w:pStyle w:val="TableText1"/>
            </w:pPr>
            <w:r w:rsidRPr="00722DF8">
              <w:t> 100 per cent of respondents found the normal CA125 monitoring a worthwhile exercise for them and their patients.100 per cent of respondents felt this helped to provide an effective safety netting system for women.</w:t>
            </w:r>
          </w:p>
          <w:p w14:paraId="7368FE73" w14:textId="77777777" w:rsidR="00117D2B" w:rsidRPr="00722DF8" w:rsidRDefault="00117D2B" w:rsidP="0023487E">
            <w:pPr>
              <w:pStyle w:val="TableText1"/>
              <w:rPr>
                <w:b/>
              </w:rPr>
            </w:pPr>
          </w:p>
          <w:p w14:paraId="1DF66CED" w14:textId="77777777" w:rsidR="00117D2B" w:rsidRPr="00722DF8" w:rsidRDefault="00117D2B" w:rsidP="0023487E">
            <w:pPr>
              <w:pStyle w:val="TableText1"/>
              <w:rPr>
                <w:b/>
              </w:rPr>
            </w:pPr>
            <w:r w:rsidRPr="00722DF8">
              <w:rPr>
                <w:b/>
              </w:rPr>
              <w:t xml:space="preserve">Access to ultrasound </w:t>
            </w:r>
          </w:p>
          <w:p w14:paraId="11BD9059" w14:textId="77777777" w:rsidR="00117D2B" w:rsidRPr="00722DF8" w:rsidRDefault="00117D2B" w:rsidP="0023487E">
            <w:pPr>
              <w:pStyle w:val="TableText1"/>
            </w:pPr>
            <w:r w:rsidRPr="00722DF8">
              <w:t xml:space="preserve">We recommend that the QS2 from the 2012 quality standard be retained: </w:t>
            </w:r>
            <w:r w:rsidRPr="00722DF8">
              <w:rPr>
                <w:b/>
              </w:rPr>
              <w:t>Women with raised CA125 have an ultrasound of their abdomen and pelvis within 2 weeks of receiving the CA125 test results</w:t>
            </w:r>
            <w:r w:rsidRPr="00722DF8">
              <w:t>.</w:t>
            </w:r>
          </w:p>
          <w:p w14:paraId="209B9AF6" w14:textId="77777777" w:rsidR="00117D2B" w:rsidRDefault="00117D2B" w:rsidP="00117D2B">
            <w:pPr>
              <w:pStyle w:val="TableText1"/>
            </w:pPr>
          </w:p>
          <w:p w14:paraId="30576E6A" w14:textId="6F8A1D86" w:rsidR="00117D2B" w:rsidRPr="00722DF8" w:rsidRDefault="00117D2B" w:rsidP="0023487E">
            <w:pPr>
              <w:pStyle w:val="TableText1"/>
            </w:pPr>
            <w:r w:rsidRPr="00722DF8">
              <w:t>There is significant variation in how rapidly ultrasounds are performed in primary care, even when requested as urgent (</w:t>
            </w:r>
            <w:hyperlink r:id="rId24" w:tooltip="Original URL: https://journals.plos.org/plosone/article?id=10.1371/journal.pone.0159725. Click or tap if you trust this link." w:history="1">
              <w:r w:rsidRPr="00722DF8">
                <w:rPr>
                  <w:rStyle w:val="Hyperlink"/>
                  <w:rFonts w:cs="Arial"/>
                </w:rPr>
                <w:t>https://journals.plos.org/plosone/article?id=10.1371/journal.pone.0159725</w:t>
              </w:r>
            </w:hyperlink>
            <w:r w:rsidRPr="00722DF8">
              <w:t xml:space="preserve">). 11 per cent of women are waiting more than 32 days to have an ultrasound( </w:t>
            </w:r>
            <w:hyperlink r:id="rId25" w:history="1">
              <w:r w:rsidRPr="00722DF8">
                <w:rPr>
                  <w:rStyle w:val="Hyperlink"/>
                  <w:rFonts w:cs="Arial"/>
                </w:rPr>
                <w:t>Target Ovarian Cancer, Pathfinder 2022</w:t>
              </w:r>
            </w:hyperlink>
            <w:r w:rsidRPr="00722DF8">
              <w:t xml:space="preserve">) </w:t>
            </w:r>
          </w:p>
          <w:p w14:paraId="04AEEE40" w14:textId="77777777" w:rsidR="00117D2B" w:rsidRDefault="00117D2B" w:rsidP="00117D2B">
            <w:pPr>
              <w:pStyle w:val="TableText1"/>
            </w:pPr>
          </w:p>
          <w:p w14:paraId="2533A84F" w14:textId="29823EC6" w:rsidR="00117D2B" w:rsidRPr="00722DF8" w:rsidRDefault="00117D2B" w:rsidP="0023487E">
            <w:pPr>
              <w:pStyle w:val="TableText1"/>
            </w:pPr>
            <w:r w:rsidRPr="00722DF8">
              <w:t xml:space="preserve">Keeping this quality standard would help would ensure that the NG12 guidelines are met, where urgent cancer investigation is advocated if risk was &gt;3% (it far exceeds in women with raised CA125 </w:t>
            </w:r>
            <w:hyperlink r:id="rId26" w:history="1">
              <w:r w:rsidRPr="00722DF8">
                <w:rPr>
                  <w:rStyle w:val="Hyperlink"/>
                  <w:rFonts w:cs="Arial"/>
                </w:rPr>
                <w:t>https://journals.plos.org/plosmedicine/article?id=10.1371/journal.pmed.1003295</w:t>
              </w:r>
            </w:hyperlink>
            <w:r w:rsidRPr="00722DF8">
              <w:t xml:space="preserve">) </w:t>
            </w:r>
          </w:p>
          <w:p w14:paraId="3DAA4F77" w14:textId="77777777" w:rsidR="00117D2B" w:rsidRDefault="00117D2B" w:rsidP="00117D2B">
            <w:pPr>
              <w:pStyle w:val="TableText1"/>
            </w:pPr>
          </w:p>
          <w:p w14:paraId="12F3B384" w14:textId="11220BD1" w:rsidR="00117D2B" w:rsidRPr="00E536DD" w:rsidRDefault="00117D2B" w:rsidP="00117D2B">
            <w:pPr>
              <w:pStyle w:val="TableText1"/>
            </w:pPr>
            <w:r w:rsidRPr="00722DF8">
              <w:t>This would be a measurable standard as it can be assessed both at the GP level, regional level and national level. It is achievable and would produce benefits for patients in terms of more rapid diagnosis (if ovarian cancer) or reassurance (if not cancer).</w:t>
            </w:r>
          </w:p>
        </w:tc>
      </w:tr>
      <w:tr w:rsidR="00117D2B" w:rsidRPr="00660F4E" w14:paraId="31C56BC9" w14:textId="77777777" w:rsidTr="001C12DF">
        <w:tc>
          <w:tcPr>
            <w:tcW w:w="675" w:type="dxa"/>
          </w:tcPr>
          <w:p w14:paraId="6C115822" w14:textId="76028C0F" w:rsidR="00117D2B" w:rsidRDefault="00117D2B" w:rsidP="00117D2B">
            <w:pPr>
              <w:pStyle w:val="TableText1"/>
            </w:pPr>
            <w:r>
              <w:lastRenderedPageBreak/>
              <w:t>3</w:t>
            </w:r>
            <w:r w:rsidR="009E50E1">
              <w:t>2</w:t>
            </w:r>
          </w:p>
        </w:tc>
        <w:tc>
          <w:tcPr>
            <w:tcW w:w="2297" w:type="dxa"/>
          </w:tcPr>
          <w:p w14:paraId="706EFA39" w14:textId="02A1C1E1" w:rsidR="00117D2B" w:rsidRPr="00C2694A" w:rsidRDefault="00117D2B" w:rsidP="00117D2B">
            <w:pPr>
              <w:pStyle w:val="TableText1"/>
            </w:pPr>
            <w:r w:rsidRPr="0023487E">
              <w:t xml:space="preserve">UK Cancer Genetics Group </w:t>
            </w:r>
          </w:p>
        </w:tc>
        <w:tc>
          <w:tcPr>
            <w:tcW w:w="1672" w:type="dxa"/>
          </w:tcPr>
          <w:p w14:paraId="76D9394D" w14:textId="77777777" w:rsidR="00117D2B" w:rsidRPr="0023487E" w:rsidRDefault="00117D2B" w:rsidP="0023487E">
            <w:pPr>
              <w:pStyle w:val="TableText1"/>
              <w:rPr>
                <w:rFonts w:cs="Arial"/>
                <w:b/>
                <w:bCs/>
              </w:rPr>
            </w:pPr>
            <w:r w:rsidRPr="0023487E">
              <w:rPr>
                <w:rFonts w:cs="Arial"/>
                <w:b/>
                <w:bCs/>
              </w:rPr>
              <w:t>Statement 2: general</w:t>
            </w:r>
          </w:p>
          <w:p w14:paraId="06784686" w14:textId="77777777" w:rsidR="00117D2B" w:rsidRPr="0023487E" w:rsidRDefault="00117D2B" w:rsidP="0023487E">
            <w:pPr>
              <w:pStyle w:val="TableText1"/>
              <w:rPr>
                <w:rFonts w:cs="Arial"/>
              </w:rPr>
            </w:pPr>
          </w:p>
          <w:p w14:paraId="6C824FDF" w14:textId="4F36266B" w:rsidR="00117D2B" w:rsidRPr="00C2694A" w:rsidRDefault="00117D2B" w:rsidP="00117D2B">
            <w:pPr>
              <w:pStyle w:val="TableText1"/>
              <w:rPr>
                <w:b/>
                <w:bCs/>
              </w:rPr>
            </w:pPr>
            <w:r w:rsidRPr="0023487E">
              <w:rPr>
                <w:rFonts w:cs="Arial"/>
              </w:rPr>
              <w:t xml:space="preserve">Statement 2: </w:t>
            </w:r>
            <w:r w:rsidRPr="0023487E">
              <w:t>CA125 blood test – age specific thresholds:</w:t>
            </w:r>
          </w:p>
        </w:tc>
        <w:tc>
          <w:tcPr>
            <w:tcW w:w="10632" w:type="dxa"/>
          </w:tcPr>
          <w:p w14:paraId="5E3EFEE4" w14:textId="6B6CC95C" w:rsidR="00117D2B" w:rsidRPr="00C2694A" w:rsidRDefault="00117D2B" w:rsidP="00117D2B">
            <w:pPr>
              <w:pStyle w:val="TableText1"/>
            </w:pPr>
            <w:r w:rsidRPr="0023487E">
              <w:rPr>
                <w:szCs w:val="20"/>
              </w:rPr>
              <w:t xml:space="preserve">This is not within the remit of clinical genetics services and we will not comment on this. </w:t>
            </w:r>
          </w:p>
        </w:tc>
      </w:tr>
      <w:tr w:rsidR="00117D2B" w:rsidRPr="00660F4E" w14:paraId="0E706E3B" w14:textId="77777777" w:rsidTr="001C12DF">
        <w:tc>
          <w:tcPr>
            <w:tcW w:w="675" w:type="dxa"/>
          </w:tcPr>
          <w:p w14:paraId="52D17CA0" w14:textId="23A3F868" w:rsidR="00117D2B" w:rsidRDefault="00117D2B" w:rsidP="00117D2B">
            <w:pPr>
              <w:pStyle w:val="TableText1"/>
            </w:pPr>
            <w:r>
              <w:lastRenderedPageBreak/>
              <w:t>3</w:t>
            </w:r>
            <w:r w:rsidR="009E50E1">
              <w:t>3</w:t>
            </w:r>
          </w:p>
        </w:tc>
        <w:tc>
          <w:tcPr>
            <w:tcW w:w="2297" w:type="dxa"/>
          </w:tcPr>
          <w:p w14:paraId="49A6F5B1" w14:textId="5FC79BFA" w:rsidR="00117D2B" w:rsidRPr="00E536DD" w:rsidRDefault="00117D2B" w:rsidP="00117D2B">
            <w:pPr>
              <w:pStyle w:val="TableText1"/>
            </w:pPr>
            <w:r w:rsidRPr="00722DF8">
              <w:rPr>
                <w:rFonts w:cs="Arial"/>
                <w:bCs/>
              </w:rPr>
              <w:t>British Gynaecological Cancer Society</w:t>
            </w:r>
          </w:p>
        </w:tc>
        <w:tc>
          <w:tcPr>
            <w:tcW w:w="1672" w:type="dxa"/>
          </w:tcPr>
          <w:p w14:paraId="68A3CD06" w14:textId="77777777" w:rsidR="00117D2B" w:rsidRDefault="00117D2B" w:rsidP="00117D2B">
            <w:pPr>
              <w:pStyle w:val="TableText1"/>
              <w:rPr>
                <w:rFonts w:cs="Arial"/>
                <w:b/>
                <w:bCs/>
              </w:rPr>
            </w:pPr>
            <w:r>
              <w:rPr>
                <w:rFonts w:cs="Arial"/>
                <w:b/>
                <w:bCs/>
              </w:rPr>
              <w:t>Statement 3 – general</w:t>
            </w:r>
          </w:p>
          <w:p w14:paraId="488604CC" w14:textId="77777777" w:rsidR="00117D2B" w:rsidRDefault="00117D2B" w:rsidP="00117D2B">
            <w:pPr>
              <w:pStyle w:val="TableText1"/>
              <w:rPr>
                <w:rFonts w:cs="Arial"/>
                <w:b/>
                <w:bCs/>
              </w:rPr>
            </w:pPr>
          </w:p>
          <w:p w14:paraId="252C72E6" w14:textId="3F76F465" w:rsidR="00117D2B" w:rsidRPr="0023487E" w:rsidRDefault="00117D2B" w:rsidP="00117D2B">
            <w:pPr>
              <w:pStyle w:val="TableText1"/>
            </w:pPr>
            <w:r>
              <w:rPr>
                <w:rFonts w:cs="Arial"/>
              </w:rPr>
              <w:t>Statement 3</w:t>
            </w:r>
          </w:p>
        </w:tc>
        <w:tc>
          <w:tcPr>
            <w:tcW w:w="10632" w:type="dxa"/>
          </w:tcPr>
          <w:p w14:paraId="3540B51A" w14:textId="29042DCC" w:rsidR="00117D2B" w:rsidRPr="00E536DD" w:rsidRDefault="00117D2B" w:rsidP="00117D2B">
            <w:pPr>
              <w:pStyle w:val="TableText1"/>
            </w:pPr>
            <w:r w:rsidRPr="00722DF8">
              <w:rPr>
                <w:rFonts w:cs="Arial"/>
              </w:rPr>
              <w:t xml:space="preserve">This is in line with the </w:t>
            </w:r>
            <w:hyperlink r:id="rId27" w:history="1">
              <w:r w:rsidRPr="00B546B0">
                <w:rPr>
                  <w:rStyle w:val="Hyperlink"/>
                  <w:rFonts w:cs="Arial"/>
                </w:rPr>
                <w:t>BAGP/BGCS consensus statement</w:t>
              </w:r>
            </w:hyperlink>
            <w:r w:rsidRPr="00722DF8">
              <w:rPr>
                <w:rFonts w:cs="Arial"/>
              </w:rPr>
              <w:t xml:space="preserve"> and BGCS ovarian cancer guidelines.  Need upgrade of SCR database to be able to measure this though </w:t>
            </w:r>
            <w:r>
              <w:rPr>
                <w:rFonts w:cs="Arial"/>
                <w:b/>
                <w:bCs/>
              </w:rPr>
              <w:t xml:space="preserve">[analyst </w:t>
            </w:r>
            <w:proofErr w:type="gramStart"/>
            <w:r>
              <w:rPr>
                <w:rFonts w:cs="Arial"/>
                <w:b/>
                <w:bCs/>
              </w:rPr>
              <w:t>note:</w:t>
            </w:r>
            <w:proofErr w:type="gramEnd"/>
            <w:r>
              <w:rPr>
                <w:rFonts w:cs="Arial"/>
                <w:b/>
                <w:bCs/>
              </w:rPr>
              <w:t xml:space="preserve"> link to BAGP/BGCS consensus statement removed and added to document title]</w:t>
            </w:r>
          </w:p>
        </w:tc>
      </w:tr>
      <w:tr w:rsidR="00117D2B" w:rsidRPr="00660F4E" w14:paraId="4FB5DB92" w14:textId="77777777" w:rsidTr="001C12DF">
        <w:tc>
          <w:tcPr>
            <w:tcW w:w="675" w:type="dxa"/>
          </w:tcPr>
          <w:p w14:paraId="45AE37A7" w14:textId="133AC1B0" w:rsidR="00117D2B" w:rsidRDefault="00117D2B" w:rsidP="00117D2B">
            <w:pPr>
              <w:pStyle w:val="TableText1"/>
            </w:pPr>
            <w:r>
              <w:t>3</w:t>
            </w:r>
            <w:r w:rsidR="009E50E1">
              <w:t>4</w:t>
            </w:r>
          </w:p>
        </w:tc>
        <w:tc>
          <w:tcPr>
            <w:tcW w:w="2297" w:type="dxa"/>
          </w:tcPr>
          <w:p w14:paraId="4799CC26" w14:textId="2C42B0DF" w:rsidR="00117D2B" w:rsidRPr="00B546B0" w:rsidRDefault="00117D2B" w:rsidP="00117D2B">
            <w:pPr>
              <w:pStyle w:val="TableText1"/>
            </w:pPr>
            <w:r w:rsidRPr="0023487E">
              <w:rPr>
                <w:rFonts w:cs="Arial"/>
              </w:rPr>
              <w:t xml:space="preserve">UK Cancer Genetics Group </w:t>
            </w:r>
          </w:p>
        </w:tc>
        <w:tc>
          <w:tcPr>
            <w:tcW w:w="1672" w:type="dxa"/>
          </w:tcPr>
          <w:p w14:paraId="2559CE3B" w14:textId="77777777" w:rsidR="00117D2B" w:rsidRDefault="00117D2B" w:rsidP="00117D2B">
            <w:pPr>
              <w:pStyle w:val="TableText1"/>
              <w:rPr>
                <w:rFonts w:cs="Arial"/>
                <w:b/>
                <w:bCs/>
              </w:rPr>
            </w:pPr>
            <w:r>
              <w:rPr>
                <w:rFonts w:cs="Arial"/>
                <w:b/>
                <w:bCs/>
              </w:rPr>
              <w:t>Statement 3 – general, definitions and question 5</w:t>
            </w:r>
          </w:p>
          <w:p w14:paraId="3F41F8F0" w14:textId="77777777" w:rsidR="00117D2B" w:rsidRDefault="00117D2B" w:rsidP="00117D2B">
            <w:pPr>
              <w:pStyle w:val="TableText1"/>
              <w:rPr>
                <w:rFonts w:cs="Arial"/>
                <w:b/>
                <w:bCs/>
              </w:rPr>
            </w:pPr>
          </w:p>
          <w:p w14:paraId="72399668" w14:textId="025DC6DB" w:rsidR="00117D2B" w:rsidRPr="00B546B0" w:rsidRDefault="00117D2B" w:rsidP="00117D2B">
            <w:pPr>
              <w:pStyle w:val="TableText1"/>
              <w:rPr>
                <w:b/>
                <w:bCs/>
              </w:rPr>
            </w:pPr>
            <w:r w:rsidRPr="004D6A7F">
              <w:rPr>
                <w:rFonts w:cs="Arial"/>
              </w:rPr>
              <w:t>Statement 3: Panel germline genetic testing for high-grade epithelial ovarian cancer</w:t>
            </w:r>
          </w:p>
        </w:tc>
        <w:tc>
          <w:tcPr>
            <w:tcW w:w="10632" w:type="dxa"/>
          </w:tcPr>
          <w:p w14:paraId="523A4063" w14:textId="77777777" w:rsidR="00117D2B" w:rsidRPr="0023487E" w:rsidRDefault="00117D2B" w:rsidP="00117D2B">
            <w:pPr>
              <w:pStyle w:val="Paragraphnonumbers"/>
              <w:spacing w:after="0"/>
              <w:rPr>
                <w:sz w:val="20"/>
                <w:szCs w:val="20"/>
              </w:rPr>
            </w:pPr>
            <w:r w:rsidRPr="0023487E">
              <w:rPr>
                <w:rFonts w:cs="Arial"/>
                <w:sz w:val="20"/>
                <w:szCs w:val="20"/>
              </w:rPr>
              <w:t xml:space="preserve">This guidance is not aligned with the current UK National Genomic Test Directory </w:t>
            </w:r>
            <w:hyperlink r:id="rId28" w:history="1">
              <w:r w:rsidRPr="0023487E">
                <w:rPr>
                  <w:rStyle w:val="Hyperlink"/>
                  <w:sz w:val="20"/>
                  <w:szCs w:val="20"/>
                </w:rPr>
                <w:t>National genomic test directory testing criteria for rare and inherited disease (england.nhs.uk)</w:t>
              </w:r>
            </w:hyperlink>
            <w:r w:rsidRPr="0023487E">
              <w:rPr>
                <w:sz w:val="20"/>
                <w:szCs w:val="20"/>
              </w:rPr>
              <w:t xml:space="preserve"> R207 germline ovarian gene panel criteria. </w:t>
            </w:r>
          </w:p>
          <w:p w14:paraId="1FC50862" w14:textId="77777777" w:rsidR="00117D2B" w:rsidRPr="0023487E" w:rsidRDefault="00117D2B" w:rsidP="00117D2B">
            <w:pPr>
              <w:pStyle w:val="Paragraphnonumbers"/>
              <w:spacing w:after="0"/>
              <w:rPr>
                <w:sz w:val="20"/>
                <w:szCs w:val="20"/>
              </w:rPr>
            </w:pPr>
          </w:p>
          <w:p w14:paraId="64DF5916" w14:textId="77777777" w:rsidR="00117D2B" w:rsidRPr="0023487E" w:rsidRDefault="00117D2B" w:rsidP="00117D2B">
            <w:pPr>
              <w:pStyle w:val="Paragraphnonumbers"/>
              <w:spacing w:after="0"/>
              <w:rPr>
                <w:sz w:val="20"/>
                <w:szCs w:val="20"/>
              </w:rPr>
            </w:pPr>
            <w:r w:rsidRPr="0023487E">
              <w:rPr>
                <w:sz w:val="20"/>
                <w:szCs w:val="20"/>
              </w:rPr>
              <w:t>Quality standards definition: High-grade epithelial ovarian cancer This covers the following types, stage 1 to 4 inclusive: • Carcinosarcoma. • Clear cell. • Endometrioid. • Mucinous. • Serous. • Undifferentiated.</w:t>
            </w:r>
          </w:p>
          <w:p w14:paraId="676997C0" w14:textId="77777777" w:rsidR="00117D2B" w:rsidRPr="0023487E" w:rsidRDefault="00117D2B" w:rsidP="00117D2B">
            <w:pPr>
              <w:pStyle w:val="Paragraphnonumbers"/>
              <w:spacing w:after="0"/>
              <w:rPr>
                <w:sz w:val="20"/>
                <w:szCs w:val="20"/>
              </w:rPr>
            </w:pPr>
          </w:p>
          <w:p w14:paraId="58EF9D21" w14:textId="77777777" w:rsidR="00117D2B" w:rsidRPr="0023487E" w:rsidRDefault="00117D2B" w:rsidP="00117D2B">
            <w:pPr>
              <w:pStyle w:val="Paragraphnonumbers"/>
              <w:spacing w:after="0"/>
              <w:rPr>
                <w:sz w:val="20"/>
                <w:szCs w:val="20"/>
              </w:rPr>
            </w:pPr>
            <w:r w:rsidRPr="0023487E">
              <w:rPr>
                <w:sz w:val="20"/>
                <w:szCs w:val="20"/>
              </w:rPr>
              <w:t>Test directory eligibility: 1. High grade non mucinous epithelial ovarian cancer (EOC) OR serous tubal intraepithelial carcinoma (STIC)at any age</w:t>
            </w:r>
          </w:p>
          <w:p w14:paraId="7B6BE8E8" w14:textId="77777777" w:rsidR="00117D2B" w:rsidRPr="0023487E" w:rsidRDefault="00117D2B" w:rsidP="00117D2B">
            <w:pPr>
              <w:pStyle w:val="Paragraphnonumbers"/>
              <w:spacing w:after="0"/>
              <w:rPr>
                <w:sz w:val="20"/>
                <w:szCs w:val="20"/>
              </w:rPr>
            </w:pPr>
          </w:p>
          <w:p w14:paraId="75D2F806" w14:textId="77777777" w:rsidR="00117D2B" w:rsidRPr="0023487E" w:rsidRDefault="00117D2B" w:rsidP="00117D2B">
            <w:pPr>
              <w:pStyle w:val="Paragraphnonumbers"/>
              <w:spacing w:after="0"/>
              <w:rPr>
                <w:rFonts w:cs="Arial"/>
                <w:sz w:val="20"/>
                <w:szCs w:val="20"/>
              </w:rPr>
            </w:pPr>
            <w:r w:rsidRPr="0023487E">
              <w:rPr>
                <w:rFonts w:cs="Arial"/>
                <w:sz w:val="20"/>
                <w:szCs w:val="20"/>
              </w:rPr>
              <w:t>We will not be able to offer germline panel testing to women outside of the test directory criteria e.g. we will not test mucinous ovarian cancer.</w:t>
            </w:r>
          </w:p>
          <w:p w14:paraId="3982062D" w14:textId="77777777" w:rsidR="00117D2B" w:rsidRPr="0023487E" w:rsidRDefault="00117D2B" w:rsidP="00117D2B">
            <w:pPr>
              <w:pStyle w:val="Paragraphnonumbers"/>
              <w:spacing w:after="0"/>
              <w:rPr>
                <w:rFonts w:cs="Arial"/>
                <w:sz w:val="20"/>
                <w:szCs w:val="20"/>
              </w:rPr>
            </w:pPr>
          </w:p>
          <w:p w14:paraId="4C33B9E6" w14:textId="77777777" w:rsidR="00117D2B" w:rsidRPr="0023487E" w:rsidRDefault="00117D2B" w:rsidP="00117D2B">
            <w:pPr>
              <w:pStyle w:val="Paragraphnonumbers"/>
              <w:spacing w:after="0"/>
              <w:rPr>
                <w:rFonts w:cs="Arial"/>
                <w:sz w:val="20"/>
                <w:szCs w:val="20"/>
              </w:rPr>
            </w:pPr>
            <w:r w:rsidRPr="0023487E">
              <w:rPr>
                <w:rFonts w:cs="Arial"/>
                <w:sz w:val="20"/>
                <w:szCs w:val="20"/>
              </w:rPr>
              <w:t>It would be helpful to align the guidance to what can be actually offered through the test directory eligibility criteria. We do not think the test directory will accept testing mucinous OC given the low mutation pick up.</w:t>
            </w:r>
          </w:p>
          <w:p w14:paraId="776F8651" w14:textId="77777777" w:rsidR="00117D2B" w:rsidRPr="0023487E" w:rsidRDefault="00117D2B" w:rsidP="00117D2B">
            <w:pPr>
              <w:pStyle w:val="Paragraphnonumbers"/>
              <w:spacing w:after="0"/>
              <w:rPr>
                <w:rFonts w:cs="Arial"/>
                <w:sz w:val="20"/>
                <w:szCs w:val="20"/>
              </w:rPr>
            </w:pPr>
          </w:p>
          <w:p w14:paraId="0C80C27F" w14:textId="77777777" w:rsidR="00117D2B" w:rsidRPr="0023487E" w:rsidRDefault="00117D2B" w:rsidP="00117D2B">
            <w:pPr>
              <w:pStyle w:val="Paragraphnonumbers"/>
              <w:spacing w:after="0"/>
              <w:rPr>
                <w:rFonts w:cs="Arial"/>
                <w:sz w:val="20"/>
                <w:szCs w:val="20"/>
              </w:rPr>
            </w:pPr>
            <w:r w:rsidRPr="0023487E">
              <w:rPr>
                <w:rFonts w:cs="Arial"/>
                <w:sz w:val="20"/>
                <w:szCs w:val="20"/>
              </w:rPr>
              <w:t xml:space="preserve">Our colleagues in Wales have noted that in Wales germline BRCA1/2 are offered but not the panel suggested. Does this guidance apply across devolved nations? </w:t>
            </w:r>
          </w:p>
          <w:p w14:paraId="42B2395C" w14:textId="77777777" w:rsidR="00117D2B" w:rsidRPr="0023487E" w:rsidRDefault="00117D2B" w:rsidP="00117D2B">
            <w:pPr>
              <w:pStyle w:val="Paragraphnonumbers"/>
              <w:spacing w:after="0"/>
              <w:rPr>
                <w:rFonts w:cs="Arial"/>
                <w:sz w:val="20"/>
                <w:szCs w:val="20"/>
              </w:rPr>
            </w:pPr>
          </w:p>
          <w:p w14:paraId="264C145C" w14:textId="4A4F533E" w:rsidR="00117D2B" w:rsidRPr="00B546B0" w:rsidRDefault="00117D2B" w:rsidP="00117D2B">
            <w:pPr>
              <w:pStyle w:val="TableText1"/>
            </w:pPr>
            <w:r w:rsidRPr="0023487E">
              <w:rPr>
                <w:rFonts w:cs="Arial"/>
              </w:rPr>
              <w:t>We do not think that ethnicity data is well captured by the Genomic Laboratory Hubs or mainstream testing services and again resource would be required to implement ethnicity data capture in all women being tested in a uniform way. We think it should be possible to capture this data and would support this being a valid question – but it is currently dependent on the person filling out the test request form to specify (and this field is not filled out well) or would need the GLH data to be aligned with ethnicity data from the NHS Spine.</w:t>
            </w:r>
            <w:r w:rsidRPr="00B546B0">
              <w:rPr>
                <w:rFonts w:cs="Arial"/>
              </w:rPr>
              <w:t xml:space="preserve"> </w:t>
            </w:r>
          </w:p>
        </w:tc>
      </w:tr>
      <w:tr w:rsidR="00117D2B" w:rsidRPr="00660F4E" w14:paraId="36B7FBA1" w14:textId="77777777" w:rsidTr="001C12DF">
        <w:tc>
          <w:tcPr>
            <w:tcW w:w="675" w:type="dxa"/>
          </w:tcPr>
          <w:p w14:paraId="4B04B0D2" w14:textId="1E8C971E" w:rsidR="00117D2B" w:rsidRDefault="00117D2B" w:rsidP="00117D2B">
            <w:pPr>
              <w:pStyle w:val="TableText1"/>
            </w:pPr>
            <w:r>
              <w:t>3</w:t>
            </w:r>
            <w:r w:rsidR="009E50E1">
              <w:t>5</w:t>
            </w:r>
          </w:p>
        </w:tc>
        <w:tc>
          <w:tcPr>
            <w:tcW w:w="2297" w:type="dxa"/>
          </w:tcPr>
          <w:p w14:paraId="0E004714" w14:textId="562ED663" w:rsidR="00117D2B" w:rsidRPr="00E536DD" w:rsidRDefault="00117D2B" w:rsidP="00117D2B">
            <w:pPr>
              <w:pStyle w:val="TableText1"/>
            </w:pPr>
            <w:r w:rsidRPr="00722DF8">
              <w:rPr>
                <w:rFonts w:cs="Arial"/>
                <w:bCs/>
              </w:rPr>
              <w:t>British Gynaecological Cancer Society</w:t>
            </w:r>
          </w:p>
        </w:tc>
        <w:tc>
          <w:tcPr>
            <w:tcW w:w="1672" w:type="dxa"/>
          </w:tcPr>
          <w:p w14:paraId="72EF4733" w14:textId="77777777" w:rsidR="00117D2B" w:rsidRDefault="00117D2B" w:rsidP="00117D2B">
            <w:pPr>
              <w:pStyle w:val="TableText1"/>
              <w:rPr>
                <w:rFonts w:cs="Arial"/>
                <w:b/>
                <w:bCs/>
              </w:rPr>
            </w:pPr>
            <w:r>
              <w:rPr>
                <w:rFonts w:cs="Arial"/>
                <w:b/>
                <w:bCs/>
              </w:rPr>
              <w:t>Statement 3 – question 5</w:t>
            </w:r>
          </w:p>
          <w:p w14:paraId="573CF765" w14:textId="77777777" w:rsidR="00117D2B" w:rsidRDefault="00117D2B" w:rsidP="00117D2B">
            <w:pPr>
              <w:pStyle w:val="TableText1"/>
              <w:rPr>
                <w:rFonts w:cs="Arial"/>
                <w:b/>
                <w:bCs/>
              </w:rPr>
            </w:pPr>
          </w:p>
          <w:p w14:paraId="3BB37520" w14:textId="5D2B789B" w:rsidR="00117D2B" w:rsidRPr="0023487E" w:rsidRDefault="00117D2B" w:rsidP="00117D2B">
            <w:pPr>
              <w:pStyle w:val="TableText1"/>
            </w:pPr>
            <w:r>
              <w:rPr>
                <w:rFonts w:cs="Arial"/>
              </w:rPr>
              <w:t>Question 5</w:t>
            </w:r>
          </w:p>
        </w:tc>
        <w:tc>
          <w:tcPr>
            <w:tcW w:w="10632" w:type="dxa"/>
          </w:tcPr>
          <w:p w14:paraId="6EA12291" w14:textId="79A4D022" w:rsidR="00117D2B" w:rsidRPr="00E536DD" w:rsidRDefault="00117D2B" w:rsidP="00117D2B">
            <w:pPr>
              <w:pStyle w:val="TableText1"/>
            </w:pPr>
            <w:r w:rsidRPr="00722DF8">
              <w:rPr>
                <w:rFonts w:cs="Arial"/>
              </w:rPr>
              <w:t>Difficult to know how you would collect these data, other than by a manual audit, as these fields are not currently included in the SCR database. This would require SCR upgrade to include tumour testing and counselling.</w:t>
            </w:r>
          </w:p>
        </w:tc>
      </w:tr>
      <w:tr w:rsidR="00117D2B" w:rsidRPr="00660F4E" w14:paraId="5800FCF6" w14:textId="77777777" w:rsidTr="001C12DF">
        <w:tc>
          <w:tcPr>
            <w:tcW w:w="675" w:type="dxa"/>
          </w:tcPr>
          <w:p w14:paraId="4162E6CF" w14:textId="2D9668F5" w:rsidR="00117D2B" w:rsidRDefault="00117D2B" w:rsidP="00117D2B">
            <w:pPr>
              <w:pStyle w:val="TableText1"/>
            </w:pPr>
            <w:r>
              <w:lastRenderedPageBreak/>
              <w:t>3</w:t>
            </w:r>
            <w:r w:rsidR="009E50E1">
              <w:t>6</w:t>
            </w:r>
          </w:p>
        </w:tc>
        <w:tc>
          <w:tcPr>
            <w:tcW w:w="2297" w:type="dxa"/>
          </w:tcPr>
          <w:p w14:paraId="0A3D6147" w14:textId="13B37FF3" w:rsidR="00117D2B" w:rsidRPr="00E536DD" w:rsidRDefault="00117D2B" w:rsidP="00117D2B">
            <w:pPr>
              <w:pStyle w:val="TableText1"/>
            </w:pPr>
            <w:r w:rsidRPr="00722DF8">
              <w:rPr>
                <w:rFonts w:cs="Arial"/>
                <w:bCs/>
              </w:rPr>
              <w:t>Institute of Biomedical Science</w:t>
            </w:r>
          </w:p>
        </w:tc>
        <w:tc>
          <w:tcPr>
            <w:tcW w:w="1672" w:type="dxa"/>
          </w:tcPr>
          <w:p w14:paraId="17400BEA" w14:textId="77777777" w:rsidR="00117D2B" w:rsidRDefault="00117D2B" w:rsidP="00117D2B">
            <w:pPr>
              <w:pStyle w:val="TableText1"/>
              <w:rPr>
                <w:rFonts w:cs="Arial"/>
                <w:b/>
                <w:bCs/>
              </w:rPr>
            </w:pPr>
            <w:r>
              <w:rPr>
                <w:rFonts w:cs="Arial"/>
                <w:b/>
                <w:bCs/>
              </w:rPr>
              <w:t>Statement 3 – question 5</w:t>
            </w:r>
          </w:p>
          <w:p w14:paraId="6F8B806A" w14:textId="77777777" w:rsidR="00117D2B" w:rsidRDefault="00117D2B" w:rsidP="00117D2B">
            <w:pPr>
              <w:pStyle w:val="TableText1"/>
              <w:rPr>
                <w:rFonts w:cs="Arial"/>
                <w:b/>
                <w:bCs/>
              </w:rPr>
            </w:pPr>
          </w:p>
          <w:p w14:paraId="6FC99E9B" w14:textId="748BDFB5" w:rsidR="00117D2B" w:rsidRPr="0023487E" w:rsidRDefault="00117D2B" w:rsidP="00117D2B">
            <w:pPr>
              <w:pStyle w:val="TableText1"/>
            </w:pPr>
            <w:r>
              <w:rPr>
                <w:rFonts w:cs="Arial"/>
              </w:rPr>
              <w:t>Statement 3</w:t>
            </w:r>
          </w:p>
        </w:tc>
        <w:tc>
          <w:tcPr>
            <w:tcW w:w="10632" w:type="dxa"/>
          </w:tcPr>
          <w:p w14:paraId="03998272" w14:textId="77777777" w:rsidR="00117D2B" w:rsidRPr="00722DF8" w:rsidRDefault="00117D2B" w:rsidP="0023487E">
            <w:pPr>
              <w:pStyle w:val="TableText1"/>
            </w:pPr>
            <w:r w:rsidRPr="00722DF8">
              <w:t>(Question 5 above)</w:t>
            </w:r>
          </w:p>
          <w:p w14:paraId="24D69AE5" w14:textId="332DFD59" w:rsidR="00117D2B" w:rsidRPr="00E536DD" w:rsidRDefault="00117D2B" w:rsidP="00117D2B">
            <w:pPr>
              <w:pStyle w:val="TableText1"/>
            </w:pPr>
            <w:r w:rsidRPr="00722DF8">
              <w:t xml:space="preserve">This is dependent on individual trust and laboratory IT systems.  Some LIMS systems store this information as non-structured text data which precludes retrospective searches to gather the required data.  </w:t>
            </w:r>
          </w:p>
        </w:tc>
      </w:tr>
      <w:tr w:rsidR="00117D2B" w:rsidRPr="00660F4E" w14:paraId="7FFD4823" w14:textId="77777777" w:rsidTr="001C12DF">
        <w:tc>
          <w:tcPr>
            <w:tcW w:w="675" w:type="dxa"/>
          </w:tcPr>
          <w:p w14:paraId="5A3EED17" w14:textId="2A2F3D23" w:rsidR="00117D2B" w:rsidRDefault="00117D2B" w:rsidP="00117D2B">
            <w:pPr>
              <w:pStyle w:val="TableText1"/>
            </w:pPr>
            <w:r>
              <w:t>3</w:t>
            </w:r>
            <w:r w:rsidR="009E50E1">
              <w:t>7</w:t>
            </w:r>
          </w:p>
        </w:tc>
        <w:tc>
          <w:tcPr>
            <w:tcW w:w="2297" w:type="dxa"/>
          </w:tcPr>
          <w:p w14:paraId="3B1A602D" w14:textId="2DD8DB5F" w:rsidR="00117D2B" w:rsidRPr="00E536DD" w:rsidRDefault="00117D2B" w:rsidP="00117D2B">
            <w:pPr>
              <w:pStyle w:val="TableText1"/>
            </w:pPr>
            <w:r w:rsidRPr="00722DF8">
              <w:rPr>
                <w:rFonts w:cs="Arial"/>
                <w:bCs/>
              </w:rPr>
              <w:t>NHS England</w:t>
            </w:r>
            <w:r w:rsidR="00BE7C3C">
              <w:rPr>
                <w:rFonts w:cs="Arial"/>
                <w:bCs/>
              </w:rPr>
              <w:t>,</w:t>
            </w:r>
            <w:r w:rsidRPr="00722DF8">
              <w:rPr>
                <w:rFonts w:cs="Arial"/>
                <w:bCs/>
              </w:rPr>
              <w:t xml:space="preserve"> Genomics Unit</w:t>
            </w:r>
          </w:p>
        </w:tc>
        <w:tc>
          <w:tcPr>
            <w:tcW w:w="1672" w:type="dxa"/>
          </w:tcPr>
          <w:p w14:paraId="3752306B" w14:textId="77777777" w:rsidR="00117D2B" w:rsidRDefault="00117D2B" w:rsidP="00117D2B">
            <w:pPr>
              <w:pStyle w:val="TableText1"/>
              <w:rPr>
                <w:rFonts w:cs="Arial"/>
                <w:b/>
                <w:bCs/>
              </w:rPr>
            </w:pPr>
            <w:r>
              <w:rPr>
                <w:rFonts w:cs="Arial"/>
                <w:b/>
                <w:bCs/>
              </w:rPr>
              <w:t>Statement 3 – question 5</w:t>
            </w:r>
          </w:p>
          <w:p w14:paraId="68AD3D0E" w14:textId="77777777" w:rsidR="00117D2B" w:rsidRDefault="00117D2B" w:rsidP="00117D2B">
            <w:pPr>
              <w:pStyle w:val="TableText1"/>
              <w:rPr>
                <w:rFonts w:cs="Arial"/>
                <w:b/>
                <w:bCs/>
              </w:rPr>
            </w:pPr>
          </w:p>
          <w:p w14:paraId="7DE8697F" w14:textId="12B055CD" w:rsidR="00117D2B" w:rsidRPr="0023487E" w:rsidRDefault="00117D2B" w:rsidP="00117D2B">
            <w:pPr>
              <w:pStyle w:val="TableText1"/>
            </w:pPr>
            <w:r>
              <w:rPr>
                <w:rFonts w:cs="Arial"/>
              </w:rPr>
              <w:t>Question 5</w:t>
            </w:r>
          </w:p>
        </w:tc>
        <w:tc>
          <w:tcPr>
            <w:tcW w:w="10632" w:type="dxa"/>
          </w:tcPr>
          <w:p w14:paraId="17ACF575" w14:textId="77777777" w:rsidR="00117D2B" w:rsidRPr="00722DF8" w:rsidRDefault="00117D2B" w:rsidP="0023487E">
            <w:pPr>
              <w:pStyle w:val="TableText1"/>
            </w:pPr>
            <w:r w:rsidRPr="00722DF8">
              <w:t>We don’t think it is possible for Genomic Laboratory Hubs to collect data on testing by ethnicity as the systems are not in place to automatically collect this information.  Currently we don’t collect this information centrally as part of the Patient Level Monitoring Contracting returns to the NHSE Genomics Unit.</w:t>
            </w:r>
          </w:p>
          <w:p w14:paraId="58243475" w14:textId="77777777" w:rsidR="00117D2B" w:rsidRPr="00E536DD" w:rsidRDefault="00117D2B" w:rsidP="00117D2B">
            <w:pPr>
              <w:pStyle w:val="TableText1"/>
            </w:pPr>
          </w:p>
        </w:tc>
      </w:tr>
      <w:tr w:rsidR="00117D2B" w:rsidRPr="00660F4E" w14:paraId="4027FE91" w14:textId="77777777" w:rsidTr="001C12DF">
        <w:tc>
          <w:tcPr>
            <w:tcW w:w="675" w:type="dxa"/>
          </w:tcPr>
          <w:p w14:paraId="7B1B3638" w14:textId="33E7D0A8" w:rsidR="00117D2B" w:rsidRDefault="00117D2B" w:rsidP="00117D2B">
            <w:pPr>
              <w:pStyle w:val="TableText1"/>
            </w:pPr>
            <w:r>
              <w:t>3</w:t>
            </w:r>
            <w:r w:rsidR="009E50E1">
              <w:t>8</w:t>
            </w:r>
          </w:p>
        </w:tc>
        <w:tc>
          <w:tcPr>
            <w:tcW w:w="2297" w:type="dxa"/>
          </w:tcPr>
          <w:p w14:paraId="5DFC095D" w14:textId="3FAAA398" w:rsidR="00117D2B" w:rsidRPr="00E536DD" w:rsidRDefault="00117D2B" w:rsidP="00117D2B">
            <w:pPr>
              <w:pStyle w:val="TableText1"/>
            </w:pPr>
            <w:r w:rsidRPr="00722DF8">
              <w:rPr>
                <w:rFonts w:cs="Arial"/>
              </w:rPr>
              <w:t>Royal College of General Practitioners</w:t>
            </w:r>
          </w:p>
        </w:tc>
        <w:tc>
          <w:tcPr>
            <w:tcW w:w="1672" w:type="dxa"/>
          </w:tcPr>
          <w:p w14:paraId="4112B603" w14:textId="77777777" w:rsidR="00117D2B" w:rsidRDefault="00117D2B" w:rsidP="00117D2B">
            <w:pPr>
              <w:pStyle w:val="TableText1"/>
              <w:rPr>
                <w:rFonts w:cs="Arial"/>
                <w:b/>
                <w:bCs/>
              </w:rPr>
            </w:pPr>
            <w:r>
              <w:rPr>
                <w:rFonts w:cs="Arial"/>
                <w:b/>
                <w:bCs/>
              </w:rPr>
              <w:t>Statement 3 – question 5</w:t>
            </w:r>
          </w:p>
          <w:p w14:paraId="1B5FE38E" w14:textId="77777777" w:rsidR="00117D2B" w:rsidRDefault="00117D2B" w:rsidP="00117D2B">
            <w:pPr>
              <w:pStyle w:val="TableText1"/>
              <w:rPr>
                <w:rFonts w:cs="Arial"/>
                <w:b/>
                <w:bCs/>
              </w:rPr>
            </w:pPr>
          </w:p>
          <w:p w14:paraId="29001AEA" w14:textId="0AE01762" w:rsidR="00117D2B" w:rsidRPr="0023487E" w:rsidRDefault="00117D2B" w:rsidP="00117D2B">
            <w:pPr>
              <w:pStyle w:val="TableText1"/>
            </w:pPr>
            <w:r>
              <w:rPr>
                <w:rFonts w:cs="Arial"/>
              </w:rPr>
              <w:t>Question 5</w:t>
            </w:r>
          </w:p>
        </w:tc>
        <w:tc>
          <w:tcPr>
            <w:tcW w:w="10632" w:type="dxa"/>
          </w:tcPr>
          <w:p w14:paraId="04154C97" w14:textId="57231301" w:rsidR="00117D2B" w:rsidRPr="00E536DD" w:rsidRDefault="00117D2B" w:rsidP="00117D2B">
            <w:pPr>
              <w:pStyle w:val="TableText1"/>
            </w:pPr>
            <w:r w:rsidRPr="00722DF8">
              <w:rPr>
                <w:rFonts w:cs="Arial"/>
              </w:rPr>
              <w:t xml:space="preserve">Yes, data can be collected to monitor the uptake of panel germline testing by ethnicity. Local services could use hospital records, genetic testing services, and cancer registries to collect this data. </w:t>
            </w:r>
          </w:p>
        </w:tc>
      </w:tr>
      <w:tr w:rsidR="00117D2B" w:rsidRPr="00660F4E" w14:paraId="5D735F5E" w14:textId="77777777" w:rsidTr="001C12DF">
        <w:tc>
          <w:tcPr>
            <w:tcW w:w="675" w:type="dxa"/>
          </w:tcPr>
          <w:p w14:paraId="47A2C855" w14:textId="0ECA56F3" w:rsidR="00117D2B" w:rsidRDefault="009E50E1" w:rsidP="00117D2B">
            <w:pPr>
              <w:pStyle w:val="TableText1"/>
            </w:pPr>
            <w:r>
              <w:t>39</w:t>
            </w:r>
          </w:p>
        </w:tc>
        <w:tc>
          <w:tcPr>
            <w:tcW w:w="2297" w:type="dxa"/>
          </w:tcPr>
          <w:p w14:paraId="4AEC4E4D" w14:textId="24F1FD27" w:rsidR="00117D2B" w:rsidRPr="00E536DD" w:rsidRDefault="00117D2B" w:rsidP="00117D2B">
            <w:pPr>
              <w:pStyle w:val="TableText1"/>
            </w:pPr>
            <w:r w:rsidRPr="00722DF8">
              <w:rPr>
                <w:rFonts w:cs="Arial"/>
                <w:bCs/>
              </w:rPr>
              <w:t>British Gynaecological Cancer Society</w:t>
            </w:r>
          </w:p>
        </w:tc>
        <w:tc>
          <w:tcPr>
            <w:tcW w:w="1672" w:type="dxa"/>
          </w:tcPr>
          <w:p w14:paraId="6684CF9D" w14:textId="158836E0" w:rsidR="00117D2B" w:rsidRDefault="00117D2B" w:rsidP="00117D2B">
            <w:pPr>
              <w:pStyle w:val="TableText1"/>
              <w:rPr>
                <w:b/>
                <w:bCs/>
              </w:rPr>
            </w:pPr>
            <w:r>
              <w:rPr>
                <w:rFonts w:cs="Arial"/>
                <w:b/>
                <w:bCs/>
              </w:rPr>
              <w:t>Statement 4 – general</w:t>
            </w:r>
          </w:p>
        </w:tc>
        <w:tc>
          <w:tcPr>
            <w:tcW w:w="10632" w:type="dxa"/>
          </w:tcPr>
          <w:p w14:paraId="101DAC9B" w14:textId="1A49E23F" w:rsidR="00117D2B" w:rsidRPr="00E536DD" w:rsidRDefault="00117D2B" w:rsidP="00117D2B">
            <w:pPr>
              <w:pStyle w:val="TableText1"/>
            </w:pPr>
            <w:r w:rsidRPr="00722DF8">
              <w:rPr>
                <w:rFonts w:cs="Arial"/>
              </w:rPr>
              <w:t xml:space="preserve">This is in line with the </w:t>
            </w:r>
            <w:hyperlink r:id="rId29" w:history="1">
              <w:r w:rsidRPr="005C7CD0">
                <w:rPr>
                  <w:rStyle w:val="Hyperlink"/>
                  <w:rFonts w:cs="Arial"/>
                </w:rPr>
                <w:t>BAGP/BGCS consensus statement</w:t>
              </w:r>
            </w:hyperlink>
            <w:r w:rsidRPr="00722DF8">
              <w:rPr>
                <w:rFonts w:cs="Arial"/>
              </w:rPr>
              <w:t xml:space="preserve"> and BGCS ovarian cancer guidelines.  Need upgrade of SCR database to be able to measure this though </w:t>
            </w:r>
            <w:r>
              <w:rPr>
                <w:rFonts w:cs="Arial"/>
                <w:b/>
                <w:bCs/>
              </w:rPr>
              <w:t xml:space="preserve">[analyst </w:t>
            </w:r>
            <w:proofErr w:type="gramStart"/>
            <w:r>
              <w:rPr>
                <w:rFonts w:cs="Arial"/>
                <w:b/>
                <w:bCs/>
              </w:rPr>
              <w:t>note:</w:t>
            </w:r>
            <w:proofErr w:type="gramEnd"/>
            <w:r>
              <w:rPr>
                <w:rFonts w:cs="Arial"/>
                <w:b/>
                <w:bCs/>
              </w:rPr>
              <w:t xml:space="preserve"> link to BAGP/BGCS consensus statement removed and added to document title] </w:t>
            </w:r>
          </w:p>
        </w:tc>
      </w:tr>
      <w:tr w:rsidR="00117D2B" w:rsidRPr="00660F4E" w14:paraId="7DECB847" w14:textId="77777777" w:rsidTr="001C12DF">
        <w:tc>
          <w:tcPr>
            <w:tcW w:w="675" w:type="dxa"/>
          </w:tcPr>
          <w:p w14:paraId="6934174E" w14:textId="76886070" w:rsidR="00117D2B" w:rsidRDefault="00117D2B" w:rsidP="00117D2B">
            <w:pPr>
              <w:pStyle w:val="TableText1"/>
            </w:pPr>
            <w:r>
              <w:t>4</w:t>
            </w:r>
            <w:r w:rsidR="009E50E1">
              <w:t>0</w:t>
            </w:r>
          </w:p>
        </w:tc>
        <w:tc>
          <w:tcPr>
            <w:tcW w:w="2297" w:type="dxa"/>
          </w:tcPr>
          <w:p w14:paraId="0E6EFAE8" w14:textId="33F6CEE6" w:rsidR="00117D2B" w:rsidRPr="00E536DD" w:rsidRDefault="00117D2B" w:rsidP="00117D2B">
            <w:pPr>
              <w:pStyle w:val="TableText1"/>
            </w:pPr>
            <w:r w:rsidRPr="00722DF8">
              <w:rPr>
                <w:rFonts w:cs="Arial"/>
                <w:bCs/>
              </w:rPr>
              <w:t>National Strategic Clinical Network for Cancer (Cancer Network) – NHS Wales Executive</w:t>
            </w:r>
          </w:p>
        </w:tc>
        <w:tc>
          <w:tcPr>
            <w:tcW w:w="1672" w:type="dxa"/>
          </w:tcPr>
          <w:p w14:paraId="2F1429EA" w14:textId="77777777" w:rsidR="00117D2B" w:rsidRDefault="00117D2B" w:rsidP="00117D2B">
            <w:pPr>
              <w:pStyle w:val="TableText1"/>
              <w:rPr>
                <w:rFonts w:cs="Arial"/>
                <w:b/>
                <w:bCs/>
              </w:rPr>
            </w:pPr>
            <w:r>
              <w:rPr>
                <w:rFonts w:cs="Arial"/>
                <w:b/>
                <w:bCs/>
              </w:rPr>
              <w:t>Statement 4 – general</w:t>
            </w:r>
          </w:p>
          <w:p w14:paraId="028D70DE" w14:textId="77777777" w:rsidR="00117D2B" w:rsidRDefault="00117D2B" w:rsidP="00117D2B">
            <w:pPr>
              <w:pStyle w:val="TableText1"/>
              <w:rPr>
                <w:rFonts w:cs="Arial"/>
                <w:b/>
                <w:bCs/>
              </w:rPr>
            </w:pPr>
          </w:p>
          <w:p w14:paraId="529C5B84" w14:textId="295B67C6" w:rsidR="00117D2B" w:rsidRPr="0023487E" w:rsidRDefault="00117D2B" w:rsidP="00117D2B">
            <w:pPr>
              <w:pStyle w:val="TableText1"/>
            </w:pPr>
            <w:r>
              <w:rPr>
                <w:rFonts w:cs="Arial"/>
              </w:rPr>
              <w:t>Statement 4</w:t>
            </w:r>
          </w:p>
        </w:tc>
        <w:tc>
          <w:tcPr>
            <w:tcW w:w="10632" w:type="dxa"/>
          </w:tcPr>
          <w:p w14:paraId="536FAA7F" w14:textId="32E03C85" w:rsidR="00117D2B" w:rsidRPr="00E536DD" w:rsidRDefault="00117D2B" w:rsidP="00117D2B">
            <w:pPr>
              <w:pStyle w:val="TableText1"/>
            </w:pPr>
            <w:r w:rsidRPr="00722DF8">
              <w:rPr>
                <w:rFonts w:cs="Arial"/>
              </w:rPr>
              <w:t xml:space="preserve">Opportunity for prehabilitation </w:t>
            </w:r>
          </w:p>
        </w:tc>
      </w:tr>
      <w:tr w:rsidR="00117D2B" w:rsidRPr="00660F4E" w14:paraId="57E297BC" w14:textId="77777777" w:rsidTr="001C12DF">
        <w:tc>
          <w:tcPr>
            <w:tcW w:w="675" w:type="dxa"/>
          </w:tcPr>
          <w:p w14:paraId="2BBC59E0" w14:textId="0E1F1152" w:rsidR="00117D2B" w:rsidRDefault="00117D2B" w:rsidP="00117D2B">
            <w:pPr>
              <w:pStyle w:val="TableText1"/>
            </w:pPr>
            <w:r>
              <w:t>4</w:t>
            </w:r>
            <w:r w:rsidR="009E50E1">
              <w:t>1</w:t>
            </w:r>
          </w:p>
        </w:tc>
        <w:tc>
          <w:tcPr>
            <w:tcW w:w="2297" w:type="dxa"/>
          </w:tcPr>
          <w:p w14:paraId="73D0AFA7" w14:textId="25ADFD61" w:rsidR="00117D2B" w:rsidRPr="005C7CD0" w:rsidRDefault="00117D2B" w:rsidP="00117D2B">
            <w:pPr>
              <w:pStyle w:val="TableText1"/>
            </w:pPr>
            <w:r w:rsidRPr="0023487E">
              <w:t xml:space="preserve">UK Cancer Genetics Group </w:t>
            </w:r>
          </w:p>
        </w:tc>
        <w:tc>
          <w:tcPr>
            <w:tcW w:w="1672" w:type="dxa"/>
          </w:tcPr>
          <w:p w14:paraId="5B70DAAC" w14:textId="77777777" w:rsidR="00117D2B" w:rsidRDefault="00117D2B" w:rsidP="00117D2B">
            <w:pPr>
              <w:pStyle w:val="TableText1"/>
              <w:rPr>
                <w:rFonts w:cs="Arial"/>
                <w:b/>
                <w:bCs/>
              </w:rPr>
            </w:pPr>
            <w:r>
              <w:rPr>
                <w:rFonts w:cs="Arial"/>
                <w:b/>
                <w:bCs/>
              </w:rPr>
              <w:t>Statement 4 – general</w:t>
            </w:r>
          </w:p>
          <w:p w14:paraId="5B2825D7" w14:textId="77777777" w:rsidR="00117D2B" w:rsidRDefault="00117D2B" w:rsidP="00117D2B">
            <w:pPr>
              <w:pStyle w:val="TableText1"/>
              <w:rPr>
                <w:rFonts w:cs="Arial"/>
                <w:b/>
                <w:bCs/>
              </w:rPr>
            </w:pPr>
          </w:p>
          <w:p w14:paraId="27EF8C3C" w14:textId="3F4297A0" w:rsidR="00117D2B" w:rsidRPr="0023487E" w:rsidRDefault="00117D2B" w:rsidP="00117D2B">
            <w:pPr>
              <w:pStyle w:val="TableText1"/>
            </w:pPr>
            <w:r>
              <w:rPr>
                <w:rFonts w:cs="Arial"/>
              </w:rPr>
              <w:t>Statement 4</w:t>
            </w:r>
          </w:p>
        </w:tc>
        <w:tc>
          <w:tcPr>
            <w:tcW w:w="10632" w:type="dxa"/>
          </w:tcPr>
          <w:p w14:paraId="2BE3A94C" w14:textId="6ACEEF20" w:rsidR="00117D2B" w:rsidRPr="005C7CD0" w:rsidRDefault="00117D2B" w:rsidP="00117D2B">
            <w:pPr>
              <w:pStyle w:val="TableText1"/>
            </w:pPr>
            <w:r w:rsidRPr="0023487E">
              <w:t>This is not within the remit of clinical genetics services and we will not comment on this.</w:t>
            </w:r>
          </w:p>
        </w:tc>
      </w:tr>
      <w:tr w:rsidR="00117D2B" w:rsidRPr="00660F4E" w14:paraId="4D5CA5C6" w14:textId="77777777" w:rsidTr="001C12DF">
        <w:tc>
          <w:tcPr>
            <w:tcW w:w="675" w:type="dxa"/>
          </w:tcPr>
          <w:p w14:paraId="1219BF82" w14:textId="6D2608AD" w:rsidR="00117D2B" w:rsidRDefault="00117D2B" w:rsidP="00117D2B">
            <w:pPr>
              <w:pStyle w:val="TableText1"/>
            </w:pPr>
            <w:r>
              <w:t>4</w:t>
            </w:r>
            <w:r w:rsidR="009E50E1">
              <w:t>2</w:t>
            </w:r>
          </w:p>
        </w:tc>
        <w:tc>
          <w:tcPr>
            <w:tcW w:w="2297" w:type="dxa"/>
          </w:tcPr>
          <w:p w14:paraId="00D4881E" w14:textId="6642B545" w:rsidR="00117D2B" w:rsidRPr="00E536DD" w:rsidRDefault="00117D2B" w:rsidP="00117D2B">
            <w:pPr>
              <w:pStyle w:val="TableText1"/>
            </w:pPr>
            <w:r w:rsidRPr="00722DF8">
              <w:rPr>
                <w:rFonts w:cs="Arial"/>
                <w:bCs/>
              </w:rPr>
              <w:t>The British Association of Gynaecological Pathologists</w:t>
            </w:r>
          </w:p>
        </w:tc>
        <w:tc>
          <w:tcPr>
            <w:tcW w:w="1672" w:type="dxa"/>
          </w:tcPr>
          <w:p w14:paraId="761011AC" w14:textId="77777777" w:rsidR="00117D2B" w:rsidRDefault="00117D2B" w:rsidP="00117D2B">
            <w:pPr>
              <w:pStyle w:val="TableText1"/>
              <w:rPr>
                <w:rFonts w:cs="Arial"/>
                <w:b/>
                <w:bCs/>
              </w:rPr>
            </w:pPr>
            <w:r>
              <w:rPr>
                <w:rFonts w:cs="Arial"/>
                <w:b/>
                <w:bCs/>
              </w:rPr>
              <w:t>Statement 4 – definitions</w:t>
            </w:r>
          </w:p>
          <w:p w14:paraId="2CE44568" w14:textId="77777777" w:rsidR="00117D2B" w:rsidRDefault="00117D2B" w:rsidP="00117D2B">
            <w:pPr>
              <w:pStyle w:val="TableText1"/>
              <w:rPr>
                <w:rFonts w:cs="Arial"/>
                <w:b/>
                <w:bCs/>
              </w:rPr>
            </w:pPr>
          </w:p>
          <w:p w14:paraId="7476889D" w14:textId="3D877F18" w:rsidR="00117D2B" w:rsidRDefault="00117D2B" w:rsidP="00117D2B">
            <w:pPr>
              <w:pStyle w:val="TableText1"/>
              <w:rPr>
                <w:b/>
                <w:bCs/>
              </w:rPr>
            </w:pPr>
            <w:r>
              <w:rPr>
                <w:rFonts w:cs="Arial"/>
              </w:rPr>
              <w:t>Statement 4</w:t>
            </w:r>
            <w:r>
              <w:rPr>
                <w:rFonts w:cs="Arial"/>
                <w:b/>
                <w:bCs/>
              </w:rPr>
              <w:t xml:space="preserve"> </w:t>
            </w:r>
          </w:p>
        </w:tc>
        <w:tc>
          <w:tcPr>
            <w:tcW w:w="10632" w:type="dxa"/>
          </w:tcPr>
          <w:p w14:paraId="7A2752A8" w14:textId="77777777" w:rsidR="00117D2B" w:rsidRPr="00722DF8" w:rsidRDefault="00117D2B" w:rsidP="00117D2B">
            <w:pPr>
              <w:pStyle w:val="Paragraphnonumbers"/>
              <w:rPr>
                <w:rFonts w:cs="Arial"/>
                <w:sz w:val="20"/>
                <w:szCs w:val="20"/>
              </w:rPr>
            </w:pPr>
            <w:r w:rsidRPr="00722DF8">
              <w:rPr>
                <w:rFonts w:cs="Arial"/>
                <w:sz w:val="20"/>
                <w:szCs w:val="20"/>
              </w:rPr>
              <w:t xml:space="preserve">The list of high grade epithelial ovarian cancers should read: </w:t>
            </w:r>
          </w:p>
          <w:p w14:paraId="519AE241" w14:textId="77777777" w:rsidR="00117D2B" w:rsidRPr="00722DF8" w:rsidRDefault="00117D2B" w:rsidP="00117D2B">
            <w:pPr>
              <w:pStyle w:val="Paragraphnonumbers"/>
              <w:rPr>
                <w:rFonts w:cs="Arial"/>
                <w:sz w:val="20"/>
                <w:szCs w:val="20"/>
              </w:rPr>
            </w:pPr>
            <w:r w:rsidRPr="00722DF8">
              <w:rPr>
                <w:rFonts w:cs="Arial"/>
                <w:sz w:val="20"/>
                <w:szCs w:val="20"/>
              </w:rPr>
              <w:t xml:space="preserve">Carcinosarcoma. • Clear cell. • Grade 3 endometrioid. • Grade 3 Mucinous. • High grade Serous. • </w:t>
            </w:r>
            <w:proofErr w:type="spellStart"/>
            <w:r w:rsidRPr="00722DF8">
              <w:rPr>
                <w:rFonts w:cs="Arial"/>
                <w:sz w:val="20"/>
                <w:szCs w:val="20"/>
              </w:rPr>
              <w:t>Undedifferentiated</w:t>
            </w:r>
            <w:proofErr w:type="spellEnd"/>
            <w:r w:rsidRPr="00722DF8">
              <w:rPr>
                <w:rFonts w:cs="Arial"/>
                <w:sz w:val="20"/>
                <w:szCs w:val="20"/>
              </w:rPr>
              <w:t>/dedifferentiated</w:t>
            </w:r>
          </w:p>
          <w:p w14:paraId="0263E534" w14:textId="3DE6AEC1" w:rsidR="00117D2B" w:rsidRPr="00E536DD" w:rsidRDefault="00117D2B" w:rsidP="00117D2B">
            <w:pPr>
              <w:pStyle w:val="TableText1"/>
            </w:pPr>
            <w:r w:rsidRPr="00722DF8">
              <w:rPr>
                <w:rFonts w:cs="Arial"/>
                <w:szCs w:val="20"/>
              </w:rPr>
              <w:t xml:space="preserve">We also feel that Mesonephric-like adenocarcinoma should be included in this list given its recent inclusion as a </w:t>
            </w:r>
            <w:proofErr w:type="spellStart"/>
            <w:r w:rsidRPr="00722DF8">
              <w:rPr>
                <w:rFonts w:cs="Arial"/>
                <w:szCs w:val="20"/>
              </w:rPr>
              <w:t>histotype</w:t>
            </w:r>
            <w:proofErr w:type="spellEnd"/>
            <w:r w:rsidRPr="00722DF8">
              <w:rPr>
                <w:rFonts w:cs="Arial"/>
                <w:szCs w:val="20"/>
              </w:rPr>
              <w:t xml:space="preserve"> and its known aggressive </w:t>
            </w:r>
            <w:proofErr w:type="spellStart"/>
            <w:r w:rsidRPr="00722DF8">
              <w:rPr>
                <w:rFonts w:cs="Arial"/>
                <w:szCs w:val="20"/>
              </w:rPr>
              <w:t>behaviour</w:t>
            </w:r>
            <w:proofErr w:type="spellEnd"/>
            <w:r w:rsidRPr="00722DF8">
              <w:rPr>
                <w:rFonts w:cs="Arial"/>
                <w:szCs w:val="20"/>
              </w:rPr>
              <w:t>.</w:t>
            </w:r>
          </w:p>
        </w:tc>
      </w:tr>
      <w:tr w:rsidR="00117D2B" w:rsidRPr="00660F4E" w14:paraId="3730CA2C" w14:textId="77777777" w:rsidTr="001C12DF">
        <w:tc>
          <w:tcPr>
            <w:tcW w:w="675" w:type="dxa"/>
          </w:tcPr>
          <w:p w14:paraId="1B216661" w14:textId="2F2E8932" w:rsidR="00117D2B" w:rsidRDefault="00117D2B" w:rsidP="00117D2B">
            <w:pPr>
              <w:pStyle w:val="TableText1"/>
            </w:pPr>
            <w:r>
              <w:t>4</w:t>
            </w:r>
            <w:r w:rsidR="009E50E1">
              <w:t>3</w:t>
            </w:r>
          </w:p>
        </w:tc>
        <w:tc>
          <w:tcPr>
            <w:tcW w:w="2297" w:type="dxa"/>
          </w:tcPr>
          <w:p w14:paraId="6B615700" w14:textId="28038A7E" w:rsidR="00117D2B" w:rsidRPr="00E536DD" w:rsidRDefault="00117D2B" w:rsidP="00117D2B">
            <w:pPr>
              <w:pStyle w:val="TableText1"/>
            </w:pPr>
            <w:r w:rsidRPr="00722DF8">
              <w:rPr>
                <w:rFonts w:cs="Arial"/>
                <w:bCs/>
              </w:rPr>
              <w:t>British Gynaecological Cancer Society</w:t>
            </w:r>
          </w:p>
        </w:tc>
        <w:tc>
          <w:tcPr>
            <w:tcW w:w="1672" w:type="dxa"/>
          </w:tcPr>
          <w:p w14:paraId="25CE05F1" w14:textId="77777777" w:rsidR="00117D2B" w:rsidRDefault="00117D2B" w:rsidP="00117D2B">
            <w:pPr>
              <w:pStyle w:val="TableText1"/>
              <w:rPr>
                <w:rFonts w:cs="Arial"/>
                <w:b/>
                <w:bCs/>
              </w:rPr>
            </w:pPr>
            <w:r>
              <w:rPr>
                <w:rFonts w:cs="Arial"/>
                <w:b/>
                <w:bCs/>
              </w:rPr>
              <w:t>Statement 4 – question 6</w:t>
            </w:r>
          </w:p>
          <w:p w14:paraId="0F91A740" w14:textId="77777777" w:rsidR="00117D2B" w:rsidRDefault="00117D2B" w:rsidP="00117D2B">
            <w:pPr>
              <w:pStyle w:val="TableText1"/>
              <w:rPr>
                <w:rFonts w:cs="Arial"/>
                <w:b/>
                <w:bCs/>
              </w:rPr>
            </w:pPr>
          </w:p>
          <w:p w14:paraId="10538AF2" w14:textId="21857A97" w:rsidR="00117D2B" w:rsidRPr="0023487E" w:rsidRDefault="00117D2B" w:rsidP="00117D2B">
            <w:pPr>
              <w:pStyle w:val="TableText1"/>
            </w:pPr>
            <w:r>
              <w:lastRenderedPageBreak/>
              <w:t>Question 6</w:t>
            </w:r>
          </w:p>
        </w:tc>
        <w:tc>
          <w:tcPr>
            <w:tcW w:w="10632" w:type="dxa"/>
          </w:tcPr>
          <w:p w14:paraId="700627C6" w14:textId="23E3BD96" w:rsidR="00117D2B" w:rsidRPr="00E536DD" w:rsidRDefault="00117D2B" w:rsidP="00117D2B">
            <w:pPr>
              <w:pStyle w:val="TableText1"/>
            </w:pPr>
            <w:r w:rsidRPr="00722DF8">
              <w:rPr>
                <w:rFonts w:cs="Arial"/>
              </w:rPr>
              <w:lastRenderedPageBreak/>
              <w:t>Difficult to know how you would collect these data, other than by a manual audit, as these fields are not currently included in the SCR database. This would require SCR upgrade to include tumour testing and counselling.</w:t>
            </w:r>
          </w:p>
        </w:tc>
      </w:tr>
      <w:tr w:rsidR="00117D2B" w:rsidRPr="00660F4E" w14:paraId="75B95CC1" w14:textId="77777777" w:rsidTr="001C12DF">
        <w:tc>
          <w:tcPr>
            <w:tcW w:w="675" w:type="dxa"/>
          </w:tcPr>
          <w:p w14:paraId="5B48793E" w14:textId="2C85F5E3" w:rsidR="00117D2B" w:rsidRDefault="00117D2B" w:rsidP="00117D2B">
            <w:pPr>
              <w:pStyle w:val="TableText1"/>
            </w:pPr>
            <w:r>
              <w:t>4</w:t>
            </w:r>
            <w:r w:rsidR="009E50E1">
              <w:t>4</w:t>
            </w:r>
          </w:p>
        </w:tc>
        <w:tc>
          <w:tcPr>
            <w:tcW w:w="2297" w:type="dxa"/>
          </w:tcPr>
          <w:p w14:paraId="06601D30" w14:textId="20AFD471" w:rsidR="00117D2B" w:rsidRPr="00E536DD" w:rsidRDefault="00117D2B" w:rsidP="00117D2B">
            <w:pPr>
              <w:pStyle w:val="TableText1"/>
            </w:pPr>
            <w:r w:rsidRPr="00722DF8">
              <w:rPr>
                <w:rFonts w:cs="Arial"/>
                <w:bCs/>
              </w:rPr>
              <w:t>Institute of Biomedical Science</w:t>
            </w:r>
          </w:p>
        </w:tc>
        <w:tc>
          <w:tcPr>
            <w:tcW w:w="1672" w:type="dxa"/>
          </w:tcPr>
          <w:p w14:paraId="5854774E" w14:textId="77777777" w:rsidR="00117D2B" w:rsidRDefault="00117D2B" w:rsidP="00117D2B">
            <w:pPr>
              <w:pStyle w:val="TableText1"/>
              <w:rPr>
                <w:rFonts w:cs="Arial"/>
                <w:b/>
                <w:bCs/>
              </w:rPr>
            </w:pPr>
            <w:r>
              <w:rPr>
                <w:rFonts w:cs="Arial"/>
                <w:b/>
                <w:bCs/>
              </w:rPr>
              <w:t>Statement 4 – question 6</w:t>
            </w:r>
          </w:p>
          <w:p w14:paraId="11FB27DA" w14:textId="77777777" w:rsidR="00117D2B" w:rsidRDefault="00117D2B" w:rsidP="00117D2B">
            <w:pPr>
              <w:pStyle w:val="TableText1"/>
              <w:rPr>
                <w:rFonts w:cs="Arial"/>
                <w:b/>
                <w:bCs/>
              </w:rPr>
            </w:pPr>
          </w:p>
          <w:p w14:paraId="304C6FDD" w14:textId="63D355E1" w:rsidR="00117D2B" w:rsidRPr="0023487E" w:rsidRDefault="00117D2B" w:rsidP="00117D2B">
            <w:pPr>
              <w:pStyle w:val="TableText1"/>
            </w:pPr>
            <w:r>
              <w:rPr>
                <w:rFonts w:cs="Arial"/>
              </w:rPr>
              <w:t>Statement 4</w:t>
            </w:r>
          </w:p>
        </w:tc>
        <w:tc>
          <w:tcPr>
            <w:tcW w:w="10632" w:type="dxa"/>
          </w:tcPr>
          <w:p w14:paraId="00E41652" w14:textId="77777777" w:rsidR="00117D2B" w:rsidRPr="00722DF8" w:rsidRDefault="00117D2B" w:rsidP="0023487E">
            <w:pPr>
              <w:pStyle w:val="TableText1"/>
            </w:pPr>
            <w:r w:rsidRPr="00722DF8">
              <w:t>(Question 6 above)</w:t>
            </w:r>
          </w:p>
          <w:p w14:paraId="7F6C3850" w14:textId="49390827" w:rsidR="00117D2B" w:rsidRPr="00E536DD" w:rsidRDefault="00117D2B" w:rsidP="00117D2B">
            <w:pPr>
              <w:pStyle w:val="TableText1"/>
            </w:pPr>
            <w:r w:rsidRPr="00722DF8">
              <w:t xml:space="preserve">This is dependent on individual trust and laboratory IT systems.  Some LIMS systems store this information as non-structured text data which precludes retrospective searches to gather the required data.  </w:t>
            </w:r>
          </w:p>
        </w:tc>
      </w:tr>
      <w:tr w:rsidR="00117D2B" w:rsidRPr="00660F4E" w14:paraId="5FB698CB" w14:textId="77777777" w:rsidTr="001C12DF">
        <w:tc>
          <w:tcPr>
            <w:tcW w:w="675" w:type="dxa"/>
          </w:tcPr>
          <w:p w14:paraId="6577D21F" w14:textId="2A36D5CA" w:rsidR="00117D2B" w:rsidRDefault="00117D2B" w:rsidP="00117D2B">
            <w:pPr>
              <w:pStyle w:val="TableText1"/>
            </w:pPr>
            <w:r>
              <w:t>4</w:t>
            </w:r>
            <w:r w:rsidR="009E50E1">
              <w:t>5</w:t>
            </w:r>
          </w:p>
        </w:tc>
        <w:tc>
          <w:tcPr>
            <w:tcW w:w="2297" w:type="dxa"/>
          </w:tcPr>
          <w:p w14:paraId="40C4E68C" w14:textId="2CE6D1B1" w:rsidR="00117D2B" w:rsidRPr="00E536DD" w:rsidRDefault="00117D2B" w:rsidP="00117D2B">
            <w:pPr>
              <w:pStyle w:val="TableText1"/>
            </w:pPr>
            <w:r w:rsidRPr="00722DF8">
              <w:rPr>
                <w:rFonts w:cs="Arial"/>
              </w:rPr>
              <w:t>Royal College of General Practitioners</w:t>
            </w:r>
          </w:p>
        </w:tc>
        <w:tc>
          <w:tcPr>
            <w:tcW w:w="1672" w:type="dxa"/>
          </w:tcPr>
          <w:p w14:paraId="08FFE18F" w14:textId="77777777" w:rsidR="00117D2B" w:rsidRDefault="00117D2B" w:rsidP="00117D2B">
            <w:pPr>
              <w:pStyle w:val="TableText1"/>
              <w:rPr>
                <w:rFonts w:cs="Arial"/>
                <w:b/>
                <w:bCs/>
              </w:rPr>
            </w:pPr>
            <w:r>
              <w:rPr>
                <w:rFonts w:cs="Arial"/>
                <w:b/>
                <w:bCs/>
              </w:rPr>
              <w:t>Statement 4 – question 6</w:t>
            </w:r>
          </w:p>
          <w:p w14:paraId="30FD6C20" w14:textId="77777777" w:rsidR="00117D2B" w:rsidRDefault="00117D2B" w:rsidP="00117D2B">
            <w:pPr>
              <w:pStyle w:val="TableText1"/>
              <w:rPr>
                <w:rFonts w:cs="Arial"/>
                <w:b/>
                <w:bCs/>
              </w:rPr>
            </w:pPr>
          </w:p>
          <w:p w14:paraId="5CCD694A" w14:textId="1E0D72AE" w:rsidR="00117D2B" w:rsidRPr="0023487E" w:rsidRDefault="00117D2B" w:rsidP="00117D2B">
            <w:pPr>
              <w:pStyle w:val="TableText1"/>
            </w:pPr>
            <w:r>
              <w:rPr>
                <w:rFonts w:cs="Arial"/>
              </w:rPr>
              <w:t>Question 6</w:t>
            </w:r>
          </w:p>
        </w:tc>
        <w:tc>
          <w:tcPr>
            <w:tcW w:w="10632" w:type="dxa"/>
          </w:tcPr>
          <w:p w14:paraId="4F4D3351" w14:textId="65391D03" w:rsidR="00117D2B" w:rsidRPr="00E536DD" w:rsidRDefault="00117D2B" w:rsidP="00117D2B">
            <w:pPr>
              <w:pStyle w:val="TableText1"/>
            </w:pPr>
            <w:r w:rsidRPr="00722DF8">
              <w:rPr>
                <w:szCs w:val="20"/>
              </w:rPr>
              <w:t xml:space="preserve">Yes, </w:t>
            </w:r>
            <w:proofErr w:type="gramStart"/>
            <w:r w:rsidRPr="00722DF8">
              <w:rPr>
                <w:szCs w:val="20"/>
              </w:rPr>
              <w:t>similar to</w:t>
            </w:r>
            <w:proofErr w:type="gramEnd"/>
            <w:r w:rsidRPr="00722DF8">
              <w:rPr>
                <w:szCs w:val="20"/>
              </w:rPr>
              <w:t xml:space="preserve"> statement 3, local data sources such as hospital records, oncology services, and pathology departments could be used to monitor the uptake of tumour testing by ethnicity. The data could be complemented by national cancer audit databases​</w:t>
            </w:r>
          </w:p>
        </w:tc>
      </w:tr>
      <w:tr w:rsidR="00117D2B" w:rsidRPr="00660F4E" w14:paraId="1A20E33A" w14:textId="77777777" w:rsidTr="001C12DF">
        <w:tc>
          <w:tcPr>
            <w:tcW w:w="675" w:type="dxa"/>
          </w:tcPr>
          <w:p w14:paraId="7F1BAFCC" w14:textId="12B80998" w:rsidR="00117D2B" w:rsidRDefault="00117D2B" w:rsidP="00117D2B">
            <w:pPr>
              <w:pStyle w:val="TableText1"/>
            </w:pPr>
            <w:r>
              <w:t>4</w:t>
            </w:r>
            <w:r w:rsidR="009E50E1">
              <w:t>6</w:t>
            </w:r>
          </w:p>
        </w:tc>
        <w:tc>
          <w:tcPr>
            <w:tcW w:w="2297" w:type="dxa"/>
          </w:tcPr>
          <w:p w14:paraId="64340ED5" w14:textId="470A49C5" w:rsidR="00117D2B" w:rsidRPr="00E536DD" w:rsidRDefault="00117D2B" w:rsidP="00117D2B">
            <w:pPr>
              <w:pStyle w:val="TableText1"/>
            </w:pPr>
            <w:r w:rsidRPr="00722DF8">
              <w:rPr>
                <w:rFonts w:cs="Arial"/>
                <w:bCs/>
              </w:rPr>
              <w:t>The British Association of Gynaecological Pathologists</w:t>
            </w:r>
          </w:p>
        </w:tc>
        <w:tc>
          <w:tcPr>
            <w:tcW w:w="1672" w:type="dxa"/>
          </w:tcPr>
          <w:p w14:paraId="3C29E69C" w14:textId="37B2CC5F" w:rsidR="00117D2B" w:rsidRDefault="00117D2B" w:rsidP="00117D2B">
            <w:pPr>
              <w:pStyle w:val="TableText1"/>
              <w:rPr>
                <w:b/>
                <w:bCs/>
              </w:rPr>
            </w:pPr>
            <w:r>
              <w:rPr>
                <w:rFonts w:cs="Arial"/>
                <w:b/>
                <w:bCs/>
              </w:rPr>
              <w:t>Statement 4 – question 6</w:t>
            </w:r>
          </w:p>
        </w:tc>
        <w:tc>
          <w:tcPr>
            <w:tcW w:w="10632" w:type="dxa"/>
          </w:tcPr>
          <w:p w14:paraId="185FA94B" w14:textId="77777777" w:rsidR="00117D2B" w:rsidRPr="00722DF8" w:rsidRDefault="00117D2B" w:rsidP="0023487E">
            <w:pPr>
              <w:pStyle w:val="TableText1"/>
              <w:rPr>
                <w:color w:val="000000"/>
              </w:rPr>
            </w:pPr>
            <w:r w:rsidRPr="00722DF8">
              <w:rPr>
                <w:color w:val="000000"/>
              </w:rPr>
              <w:t>This is beyond the remit of pathology.  However, given the expectation of reflex testing, any variation in testing by ethnicity will probably reflect geographic variations in testing.</w:t>
            </w:r>
          </w:p>
          <w:p w14:paraId="2E80B15C" w14:textId="77777777" w:rsidR="00117D2B" w:rsidRPr="00E536DD" w:rsidRDefault="00117D2B" w:rsidP="00117D2B">
            <w:pPr>
              <w:pStyle w:val="TableText1"/>
            </w:pPr>
          </w:p>
        </w:tc>
      </w:tr>
      <w:tr w:rsidR="00117D2B" w:rsidRPr="00660F4E" w14:paraId="6AE21036" w14:textId="77777777" w:rsidTr="001C12DF">
        <w:tc>
          <w:tcPr>
            <w:tcW w:w="675" w:type="dxa"/>
          </w:tcPr>
          <w:p w14:paraId="6D01E6A6" w14:textId="65E4F863" w:rsidR="00117D2B" w:rsidRDefault="00117D2B" w:rsidP="00117D2B">
            <w:pPr>
              <w:pStyle w:val="TableText1"/>
            </w:pPr>
            <w:r>
              <w:t>4</w:t>
            </w:r>
            <w:r w:rsidR="009E50E1">
              <w:t>7</w:t>
            </w:r>
          </w:p>
        </w:tc>
        <w:tc>
          <w:tcPr>
            <w:tcW w:w="2297" w:type="dxa"/>
          </w:tcPr>
          <w:p w14:paraId="7CFA540E" w14:textId="0A401379" w:rsidR="00117D2B" w:rsidRPr="00E536DD" w:rsidRDefault="00117D2B" w:rsidP="00117D2B">
            <w:pPr>
              <w:pStyle w:val="TableText1"/>
            </w:pPr>
            <w:r w:rsidRPr="00722DF8">
              <w:rPr>
                <w:rFonts w:cs="Arial"/>
                <w:bCs/>
              </w:rPr>
              <w:t>British Gynaecological Cancer Society</w:t>
            </w:r>
          </w:p>
        </w:tc>
        <w:tc>
          <w:tcPr>
            <w:tcW w:w="1672" w:type="dxa"/>
          </w:tcPr>
          <w:p w14:paraId="644C2C2F" w14:textId="77777777" w:rsidR="00117D2B" w:rsidRDefault="00117D2B" w:rsidP="00117D2B">
            <w:pPr>
              <w:pStyle w:val="TableText1"/>
              <w:rPr>
                <w:rFonts w:cs="Arial"/>
                <w:b/>
                <w:bCs/>
              </w:rPr>
            </w:pPr>
            <w:r>
              <w:rPr>
                <w:rFonts w:cs="Arial"/>
                <w:b/>
                <w:bCs/>
              </w:rPr>
              <w:t>Statement 5 – general</w:t>
            </w:r>
          </w:p>
          <w:p w14:paraId="19DE36E5" w14:textId="77777777" w:rsidR="00117D2B" w:rsidRDefault="00117D2B" w:rsidP="00117D2B">
            <w:pPr>
              <w:pStyle w:val="TableText1"/>
              <w:rPr>
                <w:rFonts w:cs="Arial"/>
                <w:b/>
                <w:bCs/>
              </w:rPr>
            </w:pPr>
          </w:p>
          <w:p w14:paraId="2A7790B4" w14:textId="1E5AA80A" w:rsidR="00117D2B" w:rsidRPr="0023487E" w:rsidRDefault="00117D2B" w:rsidP="00117D2B">
            <w:pPr>
              <w:pStyle w:val="TableText1"/>
            </w:pPr>
            <w:r>
              <w:rPr>
                <w:rFonts w:cs="Arial"/>
              </w:rPr>
              <w:t>Statement 5</w:t>
            </w:r>
          </w:p>
        </w:tc>
        <w:tc>
          <w:tcPr>
            <w:tcW w:w="10632" w:type="dxa"/>
          </w:tcPr>
          <w:p w14:paraId="115B9374" w14:textId="025A38C8" w:rsidR="00117D2B" w:rsidRPr="00722DF8" w:rsidRDefault="00117D2B" w:rsidP="00117D2B">
            <w:pPr>
              <w:pStyle w:val="Paragraphnonumbers"/>
              <w:spacing w:after="0"/>
              <w:rPr>
                <w:rFonts w:cs="Arial"/>
                <w:sz w:val="20"/>
                <w:szCs w:val="20"/>
              </w:rPr>
            </w:pPr>
            <w:r w:rsidRPr="00722DF8">
              <w:rPr>
                <w:rFonts w:cs="Arial"/>
                <w:sz w:val="20"/>
                <w:szCs w:val="20"/>
              </w:rPr>
              <w:t>Whilst surgery plus chemo is standard of care and should be considered for every patient, there are clearly some patients where it would be inappropriate to have either and palliation is best. The argument for all with stage 4 disease to have combination of chemo AND surgery is less well supported – there are data coming out from Karolinska that show that surgery may be of minimal benefit to some with stage 4 disease at presentation (</w:t>
            </w:r>
            <w:r w:rsidR="006B5DD0">
              <w:rPr>
                <w:rFonts w:cs="Arial"/>
                <w:b/>
                <w:bCs/>
                <w:sz w:val="20"/>
                <w:szCs w:val="20"/>
              </w:rPr>
              <w:t>name redacted</w:t>
            </w:r>
            <w:r w:rsidR="00C41B60" w:rsidRPr="00722DF8">
              <w:rPr>
                <w:rFonts w:cs="Arial"/>
                <w:sz w:val="20"/>
                <w:szCs w:val="20"/>
              </w:rPr>
              <w:t xml:space="preserve"> </w:t>
            </w:r>
            <w:r w:rsidRPr="00722DF8">
              <w:rPr>
                <w:rFonts w:cs="Arial"/>
                <w:sz w:val="20"/>
                <w:szCs w:val="20"/>
              </w:rPr>
              <w:t>– personal communication).  The rather bold statement that all should have surgery is counter to the second half of shared decision-making.  Probably 10-20% of patients are not well enough or do not want treatment at diagnosis, let alone radical surgery.  This should be more nuanced. Looking at the IMPRESS data for the over 75, there are a cohort that do worse with upfront surgery and a cohort that do well with just chemotherapy, so a one-size fits all isn’t helpful.  Certainly everyone should be considered by a gynaecological MDT, rather than decisions made at a unit level, as units have much lower surgery/chemo rates that centres. This data will need standardising for age and PS/co-morbidities, which vary greatly across the country.</w:t>
            </w:r>
          </w:p>
          <w:p w14:paraId="0134926D" w14:textId="77777777" w:rsidR="00117D2B" w:rsidRPr="00722DF8" w:rsidRDefault="00117D2B" w:rsidP="0023487E">
            <w:pPr>
              <w:pStyle w:val="TableText1"/>
            </w:pPr>
            <w:r w:rsidRPr="00722DF8">
              <w:t>CT Chest is required as part of the staging of Ovarian cancer and should be included with CT Abdomen and pelvis.</w:t>
            </w:r>
          </w:p>
          <w:p w14:paraId="6FFCD27A" w14:textId="77777777" w:rsidR="00117D2B" w:rsidRDefault="00117D2B" w:rsidP="00117D2B">
            <w:pPr>
              <w:pStyle w:val="TableText1"/>
            </w:pPr>
          </w:p>
          <w:p w14:paraId="58E2056F" w14:textId="6C82C642" w:rsidR="00117D2B" w:rsidRPr="00722DF8" w:rsidRDefault="00117D2B" w:rsidP="0023487E">
            <w:pPr>
              <w:pStyle w:val="TableText1"/>
            </w:pPr>
            <w:r w:rsidRPr="00722DF8">
              <w:t xml:space="preserve">Peritoneal deposits - the aim should be to excise and not biopsy these where possible. Ie where surgical resection is feasible then this is optimal management. </w:t>
            </w:r>
          </w:p>
          <w:p w14:paraId="70EFEF0C" w14:textId="77777777" w:rsidR="00117D2B" w:rsidRDefault="00117D2B" w:rsidP="00117D2B">
            <w:pPr>
              <w:pStyle w:val="TableText1"/>
            </w:pPr>
          </w:p>
          <w:p w14:paraId="47F7075B" w14:textId="1EDE2917" w:rsidR="00117D2B" w:rsidRPr="00E536DD" w:rsidRDefault="00117D2B" w:rsidP="00117D2B">
            <w:pPr>
              <w:pStyle w:val="TableText1"/>
            </w:pPr>
            <w:r w:rsidRPr="00722DF8">
              <w:t>Aim of surgery should be complete cytoreduction of macroscopic disease.</w:t>
            </w:r>
          </w:p>
        </w:tc>
      </w:tr>
      <w:tr w:rsidR="00117D2B" w:rsidRPr="00660F4E" w14:paraId="2A497A23" w14:textId="77777777" w:rsidTr="001C12DF">
        <w:tc>
          <w:tcPr>
            <w:tcW w:w="675" w:type="dxa"/>
          </w:tcPr>
          <w:p w14:paraId="51B4FBDB" w14:textId="002C211D" w:rsidR="00117D2B" w:rsidRDefault="00117D2B" w:rsidP="00117D2B">
            <w:pPr>
              <w:pStyle w:val="TableText1"/>
            </w:pPr>
            <w:r>
              <w:t>4</w:t>
            </w:r>
            <w:r w:rsidR="009E50E1">
              <w:t>8</w:t>
            </w:r>
          </w:p>
        </w:tc>
        <w:tc>
          <w:tcPr>
            <w:tcW w:w="2297" w:type="dxa"/>
          </w:tcPr>
          <w:p w14:paraId="272EDE4C" w14:textId="5E57D6E1" w:rsidR="00117D2B" w:rsidRPr="00E536DD" w:rsidRDefault="00117D2B" w:rsidP="00117D2B">
            <w:pPr>
              <w:pStyle w:val="TableText1"/>
            </w:pPr>
            <w:r w:rsidRPr="00722DF8">
              <w:rPr>
                <w:rFonts w:cs="Arial"/>
                <w:bCs/>
              </w:rPr>
              <w:t xml:space="preserve">National Strategic Clinical Network for Cancer (Cancer </w:t>
            </w:r>
            <w:r w:rsidRPr="00722DF8">
              <w:rPr>
                <w:rFonts w:cs="Arial"/>
                <w:bCs/>
              </w:rPr>
              <w:lastRenderedPageBreak/>
              <w:t>Network) – NHS Wales Executive</w:t>
            </w:r>
          </w:p>
        </w:tc>
        <w:tc>
          <w:tcPr>
            <w:tcW w:w="1672" w:type="dxa"/>
          </w:tcPr>
          <w:p w14:paraId="72C7DE16" w14:textId="77777777" w:rsidR="00117D2B" w:rsidRDefault="00117D2B" w:rsidP="00117D2B">
            <w:pPr>
              <w:pStyle w:val="TableText1"/>
              <w:rPr>
                <w:rFonts w:cs="Arial"/>
                <w:b/>
                <w:bCs/>
              </w:rPr>
            </w:pPr>
            <w:r>
              <w:rPr>
                <w:rFonts w:cs="Arial"/>
                <w:b/>
                <w:bCs/>
              </w:rPr>
              <w:lastRenderedPageBreak/>
              <w:t>Statement 5 – general</w:t>
            </w:r>
            <w:r w:rsidRPr="002504B7">
              <w:rPr>
                <w:rFonts w:cs="Arial"/>
                <w:b/>
                <w:bCs/>
              </w:rPr>
              <w:t xml:space="preserve"> </w:t>
            </w:r>
          </w:p>
          <w:p w14:paraId="17781DA3" w14:textId="77777777" w:rsidR="00117D2B" w:rsidRDefault="00117D2B" w:rsidP="00117D2B">
            <w:pPr>
              <w:pStyle w:val="TableText1"/>
              <w:rPr>
                <w:rFonts w:cs="Arial"/>
                <w:b/>
                <w:bCs/>
              </w:rPr>
            </w:pPr>
          </w:p>
          <w:p w14:paraId="4C12C600" w14:textId="69C2E852" w:rsidR="00117D2B" w:rsidRPr="0023487E" w:rsidRDefault="00117D2B" w:rsidP="00117D2B">
            <w:pPr>
              <w:pStyle w:val="TableText1"/>
            </w:pPr>
            <w:r>
              <w:rPr>
                <w:rFonts w:cs="Arial"/>
              </w:rPr>
              <w:t>Statement 5</w:t>
            </w:r>
          </w:p>
        </w:tc>
        <w:tc>
          <w:tcPr>
            <w:tcW w:w="10632" w:type="dxa"/>
          </w:tcPr>
          <w:p w14:paraId="0742D747" w14:textId="7AF02DC7" w:rsidR="00117D2B" w:rsidRPr="00E536DD" w:rsidRDefault="00117D2B" w:rsidP="00117D2B">
            <w:pPr>
              <w:pStyle w:val="TableText1"/>
            </w:pPr>
            <w:r w:rsidRPr="00722DF8">
              <w:rPr>
                <w:rFonts w:cs="Arial"/>
              </w:rPr>
              <w:t>Opportunity for prehabilitation</w:t>
            </w:r>
          </w:p>
        </w:tc>
      </w:tr>
      <w:tr w:rsidR="00117D2B" w:rsidRPr="00660F4E" w14:paraId="2C688E70" w14:textId="77777777" w:rsidTr="001C12DF">
        <w:tc>
          <w:tcPr>
            <w:tcW w:w="675" w:type="dxa"/>
          </w:tcPr>
          <w:p w14:paraId="52C48878" w14:textId="4D3B804C" w:rsidR="00117D2B" w:rsidRDefault="009E50E1" w:rsidP="00117D2B">
            <w:pPr>
              <w:pStyle w:val="TableText1"/>
            </w:pPr>
            <w:r>
              <w:t>49</w:t>
            </w:r>
          </w:p>
        </w:tc>
        <w:tc>
          <w:tcPr>
            <w:tcW w:w="2297" w:type="dxa"/>
          </w:tcPr>
          <w:p w14:paraId="58B43471" w14:textId="68130636" w:rsidR="00117D2B" w:rsidRPr="00FB0094" w:rsidRDefault="00117D2B" w:rsidP="00117D2B">
            <w:pPr>
              <w:pStyle w:val="TableText1"/>
            </w:pPr>
            <w:r w:rsidRPr="0023487E">
              <w:rPr>
                <w:rFonts w:cs="Arial"/>
              </w:rPr>
              <w:t xml:space="preserve">UK Cancer Genetics Group </w:t>
            </w:r>
          </w:p>
        </w:tc>
        <w:tc>
          <w:tcPr>
            <w:tcW w:w="1672" w:type="dxa"/>
          </w:tcPr>
          <w:p w14:paraId="118620AF" w14:textId="1527B88C" w:rsidR="00117D2B" w:rsidRDefault="00117D2B" w:rsidP="00117D2B">
            <w:pPr>
              <w:pStyle w:val="TableText1"/>
              <w:rPr>
                <w:rFonts w:cs="Arial"/>
                <w:b/>
                <w:bCs/>
              </w:rPr>
            </w:pPr>
            <w:r>
              <w:rPr>
                <w:rFonts w:cs="Arial"/>
                <w:b/>
                <w:bCs/>
              </w:rPr>
              <w:t>Statement 5 – general</w:t>
            </w:r>
          </w:p>
          <w:p w14:paraId="4A2EB182" w14:textId="77777777" w:rsidR="00117D2B" w:rsidRDefault="00117D2B" w:rsidP="00117D2B">
            <w:pPr>
              <w:pStyle w:val="TableText1"/>
              <w:rPr>
                <w:rFonts w:cs="Arial"/>
                <w:b/>
                <w:bCs/>
              </w:rPr>
            </w:pPr>
          </w:p>
          <w:p w14:paraId="144CAC85" w14:textId="3CE22E11" w:rsidR="00117D2B" w:rsidRPr="00FB0094" w:rsidRDefault="00117D2B" w:rsidP="00117D2B">
            <w:pPr>
              <w:pStyle w:val="TableText1"/>
              <w:rPr>
                <w:b/>
                <w:bCs/>
              </w:rPr>
            </w:pPr>
            <w:r w:rsidRPr="0023487E">
              <w:rPr>
                <w:rFonts w:cs="Arial"/>
              </w:rPr>
              <w:t>Statement 5: Treatment of high-risk stage 1 or stage 2 to 4 (inclusive) ovarian cancer</w:t>
            </w:r>
            <w:r w:rsidRPr="0023487E" w:rsidDel="00E960E6">
              <w:rPr>
                <w:rFonts w:cs="Arial"/>
              </w:rPr>
              <w:t xml:space="preserve"> </w:t>
            </w:r>
          </w:p>
        </w:tc>
        <w:tc>
          <w:tcPr>
            <w:tcW w:w="10632" w:type="dxa"/>
          </w:tcPr>
          <w:p w14:paraId="5C831925" w14:textId="0BF1F1FE" w:rsidR="00117D2B" w:rsidRPr="00FB0094" w:rsidRDefault="00117D2B" w:rsidP="00117D2B">
            <w:pPr>
              <w:pStyle w:val="TableText1"/>
            </w:pPr>
            <w:r w:rsidRPr="0023487E">
              <w:t>This is not within the remit of clinical genetics services and we will not comment on this.</w:t>
            </w:r>
          </w:p>
        </w:tc>
      </w:tr>
      <w:tr w:rsidR="00117D2B" w:rsidRPr="00660F4E" w14:paraId="6AD8DF89" w14:textId="77777777" w:rsidTr="001C12DF">
        <w:tc>
          <w:tcPr>
            <w:tcW w:w="675" w:type="dxa"/>
          </w:tcPr>
          <w:p w14:paraId="3EB8C027" w14:textId="11106CA0" w:rsidR="00117D2B" w:rsidRDefault="00117D2B" w:rsidP="00117D2B">
            <w:pPr>
              <w:pStyle w:val="TableText1"/>
            </w:pPr>
            <w:r>
              <w:t>5</w:t>
            </w:r>
            <w:r w:rsidR="009E50E1">
              <w:t>0</w:t>
            </w:r>
          </w:p>
        </w:tc>
        <w:tc>
          <w:tcPr>
            <w:tcW w:w="2297" w:type="dxa"/>
          </w:tcPr>
          <w:p w14:paraId="50B069D7" w14:textId="2DD5377A" w:rsidR="00117D2B" w:rsidRPr="00722DF8" w:rsidRDefault="00117D2B" w:rsidP="00117D2B">
            <w:pPr>
              <w:pStyle w:val="TableText1"/>
              <w:rPr>
                <w:rFonts w:cs="Arial"/>
                <w:bCs/>
              </w:rPr>
            </w:pPr>
            <w:r w:rsidRPr="00722DF8">
              <w:rPr>
                <w:rFonts w:cs="Arial"/>
                <w:bCs/>
              </w:rPr>
              <w:t>Ovacome</w:t>
            </w:r>
          </w:p>
        </w:tc>
        <w:tc>
          <w:tcPr>
            <w:tcW w:w="1672" w:type="dxa"/>
          </w:tcPr>
          <w:p w14:paraId="67BE0C99" w14:textId="77777777" w:rsidR="00117D2B" w:rsidRDefault="00117D2B" w:rsidP="00117D2B">
            <w:pPr>
              <w:pStyle w:val="TableText1"/>
              <w:rPr>
                <w:rFonts w:cs="Arial"/>
                <w:b/>
                <w:bCs/>
              </w:rPr>
            </w:pPr>
            <w:r>
              <w:rPr>
                <w:rFonts w:cs="Arial"/>
                <w:b/>
                <w:bCs/>
              </w:rPr>
              <w:t>Statement 5 – definitions</w:t>
            </w:r>
          </w:p>
          <w:p w14:paraId="00F63C27" w14:textId="77777777" w:rsidR="00117D2B" w:rsidRDefault="00117D2B" w:rsidP="00117D2B">
            <w:pPr>
              <w:pStyle w:val="TableText1"/>
              <w:rPr>
                <w:b/>
                <w:bCs/>
              </w:rPr>
            </w:pPr>
          </w:p>
          <w:p w14:paraId="1AD9367F" w14:textId="016E4D3C" w:rsidR="00117D2B" w:rsidRDefault="00117D2B" w:rsidP="00117D2B">
            <w:pPr>
              <w:pStyle w:val="TableText1"/>
              <w:rPr>
                <w:rFonts w:cs="Arial"/>
                <w:b/>
                <w:bCs/>
              </w:rPr>
            </w:pPr>
            <w:r w:rsidRPr="00E960E6">
              <w:t>Statement 5: Treatment of high-risk stage 1 or stage 2 to 4 (inclusive) ovarian cancer</w:t>
            </w:r>
          </w:p>
        </w:tc>
        <w:tc>
          <w:tcPr>
            <w:tcW w:w="10632" w:type="dxa"/>
          </w:tcPr>
          <w:p w14:paraId="1A0C745D" w14:textId="7F959896" w:rsidR="00117D2B" w:rsidRPr="00722DF8" w:rsidRDefault="00117D2B" w:rsidP="0023487E">
            <w:pPr>
              <w:pStyle w:val="TableText1"/>
              <w:rPr>
                <w:rFonts w:cs="Arial"/>
                <w:szCs w:val="20"/>
              </w:rPr>
            </w:pPr>
            <w:r w:rsidRPr="00722DF8">
              <w:t xml:space="preserve">Draft quality statement 5: borderline ovarian </w:t>
            </w:r>
            <w:proofErr w:type="spellStart"/>
            <w:r w:rsidRPr="00722DF8">
              <w:t>tumours</w:t>
            </w:r>
            <w:proofErr w:type="spellEnd"/>
            <w:r w:rsidRPr="00722DF8">
              <w:t xml:space="preserve"> (BOT) are listed under ‘High-risk stage 1 ovarian cancer’ and ‘Stage 2 to 4 ovarian cancer’. This may be confusing for people with borderline ovarian </w:t>
            </w:r>
            <w:proofErr w:type="spellStart"/>
            <w:r w:rsidRPr="00722DF8">
              <w:t>tumours</w:t>
            </w:r>
            <w:proofErr w:type="spellEnd"/>
            <w:r w:rsidRPr="00722DF8">
              <w:t xml:space="preserve"> or for friends and family members of people with this diagnosis, as they are likely to have been told that this is not a cancer diagnosis. Including BOT under these headings also means that chemotherapy is suggested. The British Gynaecological Cancer Society (BGCS) ovarian, tubal and primary peritoneal cancer guidelines: Recommendations for practice update 2024 states that ‘There is no proven value of cytotoxic chemotherapy in patients with BOT’. The guidelines also state that ‘Recurrent BOT should be treated surgically, if feasible, since response to chemotherapy is poor’.</w:t>
            </w:r>
          </w:p>
        </w:tc>
      </w:tr>
      <w:tr w:rsidR="00117D2B" w:rsidRPr="00660F4E" w14:paraId="2AC03AA3" w14:textId="77777777" w:rsidTr="001C12DF">
        <w:tc>
          <w:tcPr>
            <w:tcW w:w="675" w:type="dxa"/>
          </w:tcPr>
          <w:p w14:paraId="49380F46" w14:textId="3499F5DB" w:rsidR="00117D2B" w:rsidRDefault="00117D2B" w:rsidP="00117D2B">
            <w:pPr>
              <w:pStyle w:val="TableText1"/>
            </w:pPr>
            <w:r>
              <w:t>5</w:t>
            </w:r>
            <w:r w:rsidR="009E50E1">
              <w:t>1</w:t>
            </w:r>
          </w:p>
        </w:tc>
        <w:tc>
          <w:tcPr>
            <w:tcW w:w="2297" w:type="dxa"/>
          </w:tcPr>
          <w:p w14:paraId="06AEBFC8" w14:textId="5BA05F94" w:rsidR="00117D2B" w:rsidRPr="00E536DD" w:rsidRDefault="00117D2B" w:rsidP="00117D2B">
            <w:pPr>
              <w:pStyle w:val="TableText1"/>
            </w:pPr>
            <w:r w:rsidRPr="00722DF8">
              <w:rPr>
                <w:rFonts w:cs="Arial"/>
                <w:bCs/>
              </w:rPr>
              <w:t>British Gynaecological Cancer Society</w:t>
            </w:r>
          </w:p>
        </w:tc>
        <w:tc>
          <w:tcPr>
            <w:tcW w:w="1672" w:type="dxa"/>
          </w:tcPr>
          <w:p w14:paraId="64D11A11" w14:textId="77777777" w:rsidR="00117D2B" w:rsidRDefault="00117D2B" w:rsidP="00117D2B">
            <w:pPr>
              <w:pStyle w:val="TableText1"/>
              <w:rPr>
                <w:rFonts w:cs="Arial"/>
                <w:b/>
                <w:bCs/>
              </w:rPr>
            </w:pPr>
            <w:r>
              <w:rPr>
                <w:rFonts w:cs="Arial"/>
                <w:b/>
                <w:bCs/>
              </w:rPr>
              <w:t>Statement 5 – q</w:t>
            </w:r>
            <w:r w:rsidRPr="002504B7">
              <w:rPr>
                <w:rFonts w:cs="Arial"/>
                <w:b/>
                <w:bCs/>
              </w:rPr>
              <w:t>uestion 7</w:t>
            </w:r>
          </w:p>
          <w:p w14:paraId="33C4A566" w14:textId="77777777" w:rsidR="00117D2B" w:rsidRDefault="00117D2B" w:rsidP="00117D2B">
            <w:pPr>
              <w:pStyle w:val="TableText1"/>
              <w:rPr>
                <w:rFonts w:cs="Arial"/>
                <w:b/>
                <w:bCs/>
              </w:rPr>
            </w:pPr>
          </w:p>
          <w:p w14:paraId="79001CD7" w14:textId="6768C5B1" w:rsidR="00117D2B" w:rsidRPr="0023487E" w:rsidRDefault="00117D2B" w:rsidP="00117D2B">
            <w:pPr>
              <w:pStyle w:val="TableText1"/>
            </w:pPr>
            <w:r>
              <w:rPr>
                <w:rFonts w:cs="Arial"/>
              </w:rPr>
              <w:t>Question 7</w:t>
            </w:r>
          </w:p>
        </w:tc>
        <w:tc>
          <w:tcPr>
            <w:tcW w:w="10632" w:type="dxa"/>
          </w:tcPr>
          <w:p w14:paraId="6592C456" w14:textId="77777777" w:rsidR="00117D2B" w:rsidRPr="00722DF8" w:rsidRDefault="00117D2B" w:rsidP="00117D2B">
            <w:pPr>
              <w:pStyle w:val="Paragraphnonumbers"/>
              <w:spacing w:after="0"/>
              <w:rPr>
                <w:rFonts w:cs="Arial"/>
                <w:sz w:val="20"/>
                <w:szCs w:val="20"/>
              </w:rPr>
            </w:pPr>
            <w:r w:rsidRPr="00722DF8">
              <w:rPr>
                <w:rFonts w:cs="Arial"/>
                <w:sz w:val="20"/>
                <w:szCs w:val="20"/>
              </w:rPr>
              <w:t>Treatment details are being collected via the national ovarian cancer audit with NCRAS.  Patients with stage 4 disease may do better without surgery, as may others with poor PS, so some qualifying statement to this would be appropriate, or a reasonable % for combination treatment (se NOCAFP data)</w:t>
            </w:r>
          </w:p>
          <w:p w14:paraId="145F655C" w14:textId="4A83005E" w:rsidR="00117D2B" w:rsidRPr="00E536DD" w:rsidRDefault="00117D2B" w:rsidP="00117D2B">
            <w:pPr>
              <w:pStyle w:val="TableText1"/>
            </w:pPr>
            <w:r w:rsidRPr="00722DF8">
              <w:rPr>
                <w:rFonts w:cs="Arial"/>
              </w:rPr>
              <w:t xml:space="preserve">BGCS would like to raise that the quality standards say patients ‘should receive’ surgery plus chemo. </w:t>
            </w:r>
          </w:p>
        </w:tc>
      </w:tr>
      <w:tr w:rsidR="00117D2B" w:rsidRPr="00660F4E" w14:paraId="25EA68E2" w14:textId="77777777" w:rsidTr="001C12DF">
        <w:tc>
          <w:tcPr>
            <w:tcW w:w="675" w:type="dxa"/>
          </w:tcPr>
          <w:p w14:paraId="1674617F" w14:textId="0E094DF9" w:rsidR="00117D2B" w:rsidRDefault="00117D2B" w:rsidP="00117D2B">
            <w:pPr>
              <w:pStyle w:val="TableText1"/>
            </w:pPr>
            <w:r>
              <w:t>5</w:t>
            </w:r>
            <w:r w:rsidR="009E50E1">
              <w:t>2</w:t>
            </w:r>
          </w:p>
        </w:tc>
        <w:tc>
          <w:tcPr>
            <w:tcW w:w="2297" w:type="dxa"/>
          </w:tcPr>
          <w:p w14:paraId="09CD140A" w14:textId="70271EE3" w:rsidR="00117D2B" w:rsidRPr="00E536DD" w:rsidRDefault="00117D2B" w:rsidP="00117D2B">
            <w:pPr>
              <w:pStyle w:val="TableText1"/>
            </w:pPr>
            <w:r w:rsidRPr="00722DF8">
              <w:rPr>
                <w:rFonts w:cs="Arial"/>
                <w:bCs/>
              </w:rPr>
              <w:t>Institute of Biomedical Science</w:t>
            </w:r>
          </w:p>
        </w:tc>
        <w:tc>
          <w:tcPr>
            <w:tcW w:w="1672" w:type="dxa"/>
          </w:tcPr>
          <w:p w14:paraId="74BC9A48" w14:textId="77777777" w:rsidR="00117D2B" w:rsidRDefault="00117D2B" w:rsidP="00117D2B">
            <w:pPr>
              <w:pStyle w:val="TableText1"/>
              <w:rPr>
                <w:rFonts w:cs="Arial"/>
                <w:b/>
                <w:bCs/>
              </w:rPr>
            </w:pPr>
            <w:r>
              <w:rPr>
                <w:rFonts w:cs="Arial"/>
                <w:b/>
                <w:bCs/>
              </w:rPr>
              <w:t>Statement 5 – q</w:t>
            </w:r>
            <w:r w:rsidRPr="002504B7">
              <w:rPr>
                <w:rFonts w:cs="Arial"/>
                <w:b/>
                <w:bCs/>
              </w:rPr>
              <w:t>uestion 7</w:t>
            </w:r>
          </w:p>
          <w:p w14:paraId="1B808073" w14:textId="77777777" w:rsidR="00117D2B" w:rsidRDefault="00117D2B" w:rsidP="00117D2B">
            <w:pPr>
              <w:pStyle w:val="TableText1"/>
              <w:rPr>
                <w:rFonts w:cs="Arial"/>
                <w:b/>
                <w:bCs/>
              </w:rPr>
            </w:pPr>
          </w:p>
          <w:p w14:paraId="1B868160" w14:textId="0226AA74" w:rsidR="00117D2B" w:rsidRDefault="00117D2B" w:rsidP="00117D2B">
            <w:pPr>
              <w:pStyle w:val="TableText1"/>
              <w:rPr>
                <w:b/>
                <w:bCs/>
              </w:rPr>
            </w:pPr>
            <w:r>
              <w:rPr>
                <w:rFonts w:cs="Arial"/>
              </w:rPr>
              <w:t>Question 7</w:t>
            </w:r>
          </w:p>
        </w:tc>
        <w:tc>
          <w:tcPr>
            <w:tcW w:w="10632" w:type="dxa"/>
          </w:tcPr>
          <w:p w14:paraId="443A1BB3" w14:textId="77777777" w:rsidR="00117D2B" w:rsidRPr="0023487E" w:rsidRDefault="00117D2B" w:rsidP="00117D2B">
            <w:pPr>
              <w:rPr>
                <w:rFonts w:ascii="Arial" w:hAnsi="Arial" w:cs="Arial"/>
                <w:sz w:val="20"/>
                <w:lang w:val="en-US"/>
              </w:rPr>
            </w:pPr>
            <w:r w:rsidRPr="0023487E">
              <w:rPr>
                <w:rFonts w:ascii="Arial" w:hAnsi="Arial" w:cs="Arial"/>
                <w:sz w:val="20"/>
                <w:lang w:val="en-US"/>
              </w:rPr>
              <w:t>(Question 7 above)</w:t>
            </w:r>
          </w:p>
          <w:p w14:paraId="121E0D21" w14:textId="044585B0" w:rsidR="00117D2B" w:rsidRPr="00E536DD" w:rsidRDefault="00117D2B" w:rsidP="00117D2B">
            <w:pPr>
              <w:pStyle w:val="TableText1"/>
            </w:pPr>
            <w:r w:rsidRPr="00722DF8">
              <w:rPr>
                <w:rFonts w:cs="Arial"/>
              </w:rPr>
              <w:t xml:space="preserve">This is dependent on individual trust and laboratory IT systems.  Some LIMS systems store this information as non-structured text data which precludes retrospective searches to gather the required data.  </w:t>
            </w:r>
          </w:p>
        </w:tc>
      </w:tr>
      <w:tr w:rsidR="00117D2B" w:rsidRPr="00660F4E" w14:paraId="2F3A9E54" w14:textId="77777777" w:rsidTr="001C12DF">
        <w:tc>
          <w:tcPr>
            <w:tcW w:w="675" w:type="dxa"/>
          </w:tcPr>
          <w:p w14:paraId="0DC30017" w14:textId="16139D59" w:rsidR="00117D2B" w:rsidRDefault="00117D2B" w:rsidP="00117D2B">
            <w:pPr>
              <w:pStyle w:val="TableText1"/>
            </w:pPr>
            <w:r>
              <w:t>5</w:t>
            </w:r>
            <w:r w:rsidR="009E50E1">
              <w:t>3</w:t>
            </w:r>
          </w:p>
        </w:tc>
        <w:tc>
          <w:tcPr>
            <w:tcW w:w="2297" w:type="dxa"/>
          </w:tcPr>
          <w:p w14:paraId="0CE724EF" w14:textId="3D4BA237" w:rsidR="00117D2B" w:rsidRPr="00E536DD" w:rsidRDefault="00117D2B" w:rsidP="00117D2B">
            <w:pPr>
              <w:pStyle w:val="TableText1"/>
            </w:pPr>
            <w:r w:rsidRPr="00722DF8">
              <w:rPr>
                <w:rFonts w:cs="Arial"/>
              </w:rPr>
              <w:t>Royal College of General Practitioners</w:t>
            </w:r>
          </w:p>
        </w:tc>
        <w:tc>
          <w:tcPr>
            <w:tcW w:w="1672" w:type="dxa"/>
          </w:tcPr>
          <w:p w14:paraId="00F2796E" w14:textId="77777777" w:rsidR="00117D2B" w:rsidRDefault="00117D2B" w:rsidP="00117D2B">
            <w:pPr>
              <w:pStyle w:val="TableText1"/>
              <w:rPr>
                <w:rFonts w:cs="Arial"/>
                <w:b/>
                <w:bCs/>
              </w:rPr>
            </w:pPr>
            <w:r>
              <w:rPr>
                <w:rFonts w:cs="Arial"/>
                <w:b/>
                <w:bCs/>
              </w:rPr>
              <w:t>Statement 5 – q</w:t>
            </w:r>
            <w:r w:rsidRPr="0023487E">
              <w:rPr>
                <w:rFonts w:cs="Arial"/>
                <w:b/>
                <w:bCs/>
              </w:rPr>
              <w:t>uestion 7</w:t>
            </w:r>
          </w:p>
          <w:p w14:paraId="29D0649C" w14:textId="77777777" w:rsidR="00117D2B" w:rsidRDefault="00117D2B" w:rsidP="00117D2B">
            <w:pPr>
              <w:pStyle w:val="TableText1"/>
              <w:rPr>
                <w:rFonts w:cs="Arial"/>
                <w:b/>
                <w:bCs/>
              </w:rPr>
            </w:pPr>
          </w:p>
          <w:p w14:paraId="1A80AF9B" w14:textId="76C278A4" w:rsidR="00117D2B" w:rsidRPr="00FB0094" w:rsidRDefault="00117D2B" w:rsidP="00117D2B">
            <w:pPr>
              <w:pStyle w:val="TableText1"/>
              <w:rPr>
                <w:b/>
                <w:bCs/>
              </w:rPr>
            </w:pPr>
            <w:r>
              <w:rPr>
                <w:rFonts w:cs="Arial"/>
              </w:rPr>
              <w:t>Question 7</w:t>
            </w:r>
          </w:p>
        </w:tc>
        <w:tc>
          <w:tcPr>
            <w:tcW w:w="10632" w:type="dxa"/>
          </w:tcPr>
          <w:p w14:paraId="55DD8B6C" w14:textId="6619AF88" w:rsidR="00117D2B" w:rsidRPr="00E536DD" w:rsidRDefault="00117D2B" w:rsidP="00117D2B">
            <w:pPr>
              <w:pStyle w:val="TableText1"/>
            </w:pPr>
            <w:r w:rsidRPr="00722DF8">
              <w:rPr>
                <w:rFonts w:cs="Arial"/>
              </w:rPr>
              <w:t>Yes, data on treatment measures by age and comorbidity can be collected from patient medical records, hospital databases, and cancer registries. This data would require local healthcare providers to document age, comorbid conditions, and treatment details systematically</w:t>
            </w:r>
          </w:p>
        </w:tc>
      </w:tr>
      <w:tr w:rsidR="00117D2B" w:rsidRPr="00660F4E" w14:paraId="0B3DE2F0" w14:textId="77777777" w:rsidTr="001C12DF">
        <w:tc>
          <w:tcPr>
            <w:tcW w:w="675" w:type="dxa"/>
          </w:tcPr>
          <w:p w14:paraId="65513A0A" w14:textId="1BAB432C" w:rsidR="00117D2B" w:rsidRPr="00660F4E" w:rsidRDefault="00117D2B" w:rsidP="00117D2B">
            <w:pPr>
              <w:pStyle w:val="TableText1"/>
            </w:pPr>
            <w:r>
              <w:t>5</w:t>
            </w:r>
            <w:r w:rsidR="009E50E1">
              <w:t>4</w:t>
            </w:r>
          </w:p>
        </w:tc>
        <w:tc>
          <w:tcPr>
            <w:tcW w:w="2297" w:type="dxa"/>
          </w:tcPr>
          <w:p w14:paraId="782C73A3" w14:textId="2C0E88DE" w:rsidR="00117D2B" w:rsidRPr="0049121D" w:rsidRDefault="00117D2B" w:rsidP="00117D2B">
            <w:pPr>
              <w:pStyle w:val="TableText1"/>
              <w:rPr>
                <w:highlight w:val="lightGray"/>
              </w:rPr>
            </w:pPr>
            <w:r w:rsidRPr="00E536DD">
              <w:t xml:space="preserve">British Society of Urogenital Radiology </w:t>
            </w:r>
          </w:p>
        </w:tc>
        <w:tc>
          <w:tcPr>
            <w:tcW w:w="1672" w:type="dxa"/>
          </w:tcPr>
          <w:p w14:paraId="53C785A1" w14:textId="44A574E1" w:rsidR="00117D2B" w:rsidRDefault="00117D2B" w:rsidP="00117D2B">
            <w:pPr>
              <w:pStyle w:val="TableText1"/>
              <w:rPr>
                <w:b/>
                <w:bCs/>
              </w:rPr>
            </w:pPr>
            <w:r>
              <w:rPr>
                <w:b/>
                <w:bCs/>
              </w:rPr>
              <w:t>Additional areas</w:t>
            </w:r>
          </w:p>
          <w:p w14:paraId="6D9805E4" w14:textId="77777777" w:rsidR="00117D2B" w:rsidRDefault="00117D2B" w:rsidP="00117D2B">
            <w:pPr>
              <w:pStyle w:val="TableText1"/>
              <w:rPr>
                <w:b/>
                <w:bCs/>
              </w:rPr>
            </w:pPr>
          </w:p>
          <w:p w14:paraId="5C5D2488" w14:textId="63131C36" w:rsidR="00117D2B" w:rsidRPr="00E960E6" w:rsidRDefault="00117D2B" w:rsidP="00117D2B">
            <w:pPr>
              <w:pStyle w:val="TableText1"/>
              <w:rPr>
                <w:highlight w:val="lightGray"/>
              </w:rPr>
            </w:pPr>
            <w:r>
              <w:t>General</w:t>
            </w:r>
          </w:p>
        </w:tc>
        <w:tc>
          <w:tcPr>
            <w:tcW w:w="10632" w:type="dxa"/>
          </w:tcPr>
          <w:p w14:paraId="7C4F5A08" w14:textId="7ABB23EC" w:rsidR="00117D2B" w:rsidRPr="00660F4E" w:rsidRDefault="00117D2B" w:rsidP="00117D2B">
            <w:pPr>
              <w:pStyle w:val="TableText1"/>
            </w:pPr>
            <w:r w:rsidRPr="00E536DD">
              <w:lastRenderedPageBreak/>
              <w:t>Also, it would be helpful to have guidelines on how to follow up patients who have had fertility preserving cancer surgery.</w:t>
            </w:r>
          </w:p>
        </w:tc>
      </w:tr>
      <w:tr w:rsidR="00117D2B" w:rsidRPr="00660F4E" w14:paraId="689DBA60" w14:textId="77777777" w:rsidTr="001C12DF">
        <w:tc>
          <w:tcPr>
            <w:tcW w:w="675" w:type="dxa"/>
          </w:tcPr>
          <w:p w14:paraId="6037D8BE" w14:textId="17BA9028" w:rsidR="00117D2B" w:rsidRPr="00660F4E" w:rsidRDefault="00117D2B" w:rsidP="00117D2B">
            <w:pPr>
              <w:pStyle w:val="TableText1"/>
            </w:pPr>
            <w:r>
              <w:t>5</w:t>
            </w:r>
            <w:r w:rsidR="009E50E1">
              <w:t>5</w:t>
            </w:r>
          </w:p>
        </w:tc>
        <w:tc>
          <w:tcPr>
            <w:tcW w:w="2297" w:type="dxa"/>
          </w:tcPr>
          <w:p w14:paraId="5982DCC5" w14:textId="7DB539B6" w:rsidR="00117D2B" w:rsidRPr="0049121D" w:rsidRDefault="00117D2B" w:rsidP="00117D2B">
            <w:pPr>
              <w:pStyle w:val="TableText1"/>
              <w:rPr>
                <w:highlight w:val="lightGray"/>
              </w:rPr>
            </w:pPr>
            <w:r w:rsidRPr="00E536DD">
              <w:t>National Strategic Clinical Network for Cancer (Cancer Network) – NHS Wales Executive</w:t>
            </w:r>
          </w:p>
        </w:tc>
        <w:tc>
          <w:tcPr>
            <w:tcW w:w="1672" w:type="dxa"/>
          </w:tcPr>
          <w:p w14:paraId="0C5C530D" w14:textId="2C73E465" w:rsidR="00117D2B" w:rsidRPr="0049121D" w:rsidRDefault="00117D2B" w:rsidP="00117D2B">
            <w:pPr>
              <w:pStyle w:val="TableText1"/>
              <w:rPr>
                <w:highlight w:val="lightGray"/>
              </w:rPr>
            </w:pPr>
            <w:r w:rsidRPr="009E19CD">
              <w:rPr>
                <w:b/>
                <w:bCs/>
              </w:rPr>
              <w:t>Additional areas</w:t>
            </w:r>
            <w:r w:rsidRPr="009E19CD" w:rsidDel="00C0304C">
              <w:rPr>
                <w:b/>
                <w:bCs/>
                <w:highlight w:val="lightGray"/>
              </w:rPr>
              <w:t xml:space="preserve"> </w:t>
            </w:r>
          </w:p>
        </w:tc>
        <w:tc>
          <w:tcPr>
            <w:tcW w:w="10632" w:type="dxa"/>
          </w:tcPr>
          <w:p w14:paraId="4514CC86" w14:textId="77777777" w:rsidR="00117D2B" w:rsidRDefault="00117D2B" w:rsidP="00117D2B">
            <w:pPr>
              <w:pStyle w:val="TableText1"/>
            </w:pPr>
            <w:r>
              <w:t>This quality statement is primarily focused on surgery/medical aspects. Other areas of the cancer pathway should be recognised and evidenced (e.g. importance of prehabilitation and rehabilitation) importance of person-</w:t>
            </w:r>
            <w:proofErr w:type="spellStart"/>
            <w:r>
              <w:t>centred</w:t>
            </w:r>
            <w:proofErr w:type="spellEnd"/>
            <w:r>
              <w:t xml:space="preserve"> care and access to holistic services (e.g. Allied Health Professionals -AHPs) Is there an opportunity to address this? Can these principles be also incorporated into other </w:t>
            </w:r>
            <w:proofErr w:type="spellStart"/>
            <w:r>
              <w:t>Gynea</w:t>
            </w:r>
            <w:proofErr w:type="spellEnd"/>
            <w:r>
              <w:t xml:space="preserve"> NICE guidance? </w:t>
            </w:r>
          </w:p>
          <w:p w14:paraId="49F70D5E" w14:textId="77777777" w:rsidR="00117D2B" w:rsidRDefault="00117D2B" w:rsidP="00117D2B">
            <w:pPr>
              <w:pStyle w:val="TableText1"/>
            </w:pPr>
            <w:r>
              <w:t xml:space="preserve">Should prehab be a quality standard </w:t>
            </w:r>
            <w:proofErr w:type="gramStart"/>
            <w:r>
              <w:t>in itself and</w:t>
            </w:r>
            <w:proofErr w:type="gramEnd"/>
            <w:r>
              <w:t xml:space="preserve"> there is evidence that it makes a significant different to outcomes and quality of life? Could be a standalone statement. It also addresses health inequalities and links with deprivation/vulnerable and outcome disparities due to differences in lifestyle </w:t>
            </w:r>
            <w:proofErr w:type="spellStart"/>
            <w:r>
              <w:t>behaviours</w:t>
            </w:r>
            <w:proofErr w:type="spellEnd"/>
            <w:r>
              <w:t xml:space="preserve">. </w:t>
            </w:r>
          </w:p>
          <w:p w14:paraId="4CEAD943" w14:textId="3641E2E7" w:rsidR="00117D2B" w:rsidRPr="00660F4E" w:rsidRDefault="00117D2B" w:rsidP="00117D2B">
            <w:pPr>
              <w:pStyle w:val="TableText1"/>
            </w:pPr>
            <w:r>
              <w:t>In terms of the process of writing these proposals, could AHPs be integrated as standard into the consultation or if something happening in Cancer, ensure inclusion of a Welsh representative.</w:t>
            </w:r>
          </w:p>
        </w:tc>
      </w:tr>
      <w:tr w:rsidR="00117D2B" w:rsidRPr="00660F4E" w14:paraId="624B30E5" w14:textId="77777777" w:rsidTr="001C12DF">
        <w:tc>
          <w:tcPr>
            <w:tcW w:w="675" w:type="dxa"/>
          </w:tcPr>
          <w:p w14:paraId="533AA899" w14:textId="2E7967D1" w:rsidR="00117D2B" w:rsidRPr="00660F4E" w:rsidRDefault="00117D2B" w:rsidP="00117D2B">
            <w:pPr>
              <w:pStyle w:val="TableText1"/>
            </w:pPr>
            <w:r>
              <w:t>5</w:t>
            </w:r>
            <w:r w:rsidR="009E50E1">
              <w:t>6</w:t>
            </w:r>
          </w:p>
        </w:tc>
        <w:tc>
          <w:tcPr>
            <w:tcW w:w="2297" w:type="dxa"/>
          </w:tcPr>
          <w:p w14:paraId="0C62EA19" w14:textId="774B2AF6" w:rsidR="00117D2B" w:rsidRPr="00660F4E" w:rsidRDefault="00117D2B" w:rsidP="00117D2B">
            <w:pPr>
              <w:pStyle w:val="TableText1"/>
            </w:pPr>
            <w:r w:rsidRPr="00E536DD">
              <w:t>Royal College of Nursing</w:t>
            </w:r>
          </w:p>
        </w:tc>
        <w:tc>
          <w:tcPr>
            <w:tcW w:w="1672" w:type="dxa"/>
          </w:tcPr>
          <w:p w14:paraId="49BB85DE" w14:textId="33CD3D56" w:rsidR="00117D2B" w:rsidRPr="0023487E" w:rsidRDefault="00786443" w:rsidP="00117D2B">
            <w:pPr>
              <w:pStyle w:val="TableText1"/>
              <w:rPr>
                <w:b/>
                <w:bCs/>
              </w:rPr>
            </w:pPr>
            <w:r>
              <w:rPr>
                <w:b/>
                <w:bCs/>
              </w:rPr>
              <w:t>N/A</w:t>
            </w:r>
          </w:p>
        </w:tc>
        <w:tc>
          <w:tcPr>
            <w:tcW w:w="10632" w:type="dxa"/>
          </w:tcPr>
          <w:p w14:paraId="3A0B65BF" w14:textId="00A93136" w:rsidR="00117D2B" w:rsidRPr="00660F4E" w:rsidRDefault="00117D2B" w:rsidP="00117D2B">
            <w:pPr>
              <w:pStyle w:val="TableText1"/>
            </w:pPr>
            <w:r w:rsidRPr="00E536DD">
              <w:t>No comment</w:t>
            </w:r>
          </w:p>
        </w:tc>
      </w:tr>
      <w:tr w:rsidR="00786443" w:rsidRPr="00660F4E" w14:paraId="5B2CDDE8" w14:textId="77777777" w:rsidTr="001C12DF">
        <w:tc>
          <w:tcPr>
            <w:tcW w:w="675" w:type="dxa"/>
          </w:tcPr>
          <w:p w14:paraId="2A9417ED" w14:textId="4EFF53CD" w:rsidR="009E50E1" w:rsidRPr="00660F4E" w:rsidRDefault="00786443" w:rsidP="00786443">
            <w:pPr>
              <w:pStyle w:val="TableText1"/>
            </w:pPr>
            <w:r>
              <w:t>5</w:t>
            </w:r>
            <w:r w:rsidR="009E50E1">
              <w:t>7</w:t>
            </w:r>
          </w:p>
        </w:tc>
        <w:tc>
          <w:tcPr>
            <w:tcW w:w="2297" w:type="dxa"/>
          </w:tcPr>
          <w:p w14:paraId="0E66A948" w14:textId="724ED6CF" w:rsidR="00786443" w:rsidRPr="00E536DD" w:rsidRDefault="00786443" w:rsidP="00786443">
            <w:pPr>
              <w:pStyle w:val="TableText1"/>
            </w:pPr>
            <w:r w:rsidRPr="009E19CD">
              <w:t xml:space="preserve">Society of Radiographers </w:t>
            </w:r>
          </w:p>
        </w:tc>
        <w:tc>
          <w:tcPr>
            <w:tcW w:w="1672" w:type="dxa"/>
          </w:tcPr>
          <w:p w14:paraId="1378DBE4" w14:textId="680CF9F8" w:rsidR="00786443" w:rsidRDefault="00786443" w:rsidP="00786443">
            <w:pPr>
              <w:pStyle w:val="TableText1"/>
              <w:rPr>
                <w:b/>
                <w:bCs/>
              </w:rPr>
            </w:pPr>
            <w:r>
              <w:rPr>
                <w:b/>
                <w:bCs/>
              </w:rPr>
              <w:t>N/A</w:t>
            </w:r>
          </w:p>
        </w:tc>
        <w:tc>
          <w:tcPr>
            <w:tcW w:w="10632" w:type="dxa"/>
          </w:tcPr>
          <w:p w14:paraId="1E987E2A" w14:textId="3E7077DF" w:rsidR="00786443" w:rsidRPr="00E536DD" w:rsidRDefault="00786443" w:rsidP="00786443">
            <w:pPr>
              <w:pStyle w:val="TableText1"/>
            </w:pPr>
            <w:r w:rsidRPr="00E536DD">
              <w:t>No comment</w:t>
            </w:r>
          </w:p>
        </w:tc>
      </w:tr>
    </w:tbl>
    <w:p w14:paraId="799F993B" w14:textId="77777777"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7AC656AE" w14:textId="77777777" w:rsidR="006B4135" w:rsidRDefault="006B4135">
      <w:pPr>
        <w:rPr>
          <w:rFonts w:ascii="Arial" w:hAnsi="Arial" w:cs="Arial"/>
          <w:b/>
          <w:bCs/>
          <w:sz w:val="28"/>
          <w:szCs w:val="28"/>
        </w:rPr>
      </w:pPr>
      <w:r>
        <w:br w:type="page"/>
      </w:r>
    </w:p>
    <w:p w14:paraId="25F840EE" w14:textId="77777777" w:rsidR="00DE2054" w:rsidRDefault="004563DF" w:rsidP="00DE2054">
      <w:pPr>
        <w:pStyle w:val="Heading2"/>
      </w:pPr>
      <w:r>
        <w:lastRenderedPageBreak/>
        <w:t>Registered s</w:t>
      </w:r>
      <w:r w:rsidR="00DE2054">
        <w:t>takeholders who submitted comments at consultation</w:t>
      </w:r>
    </w:p>
    <w:p w14:paraId="4C29D110" w14:textId="443BE405" w:rsidR="00CE7BB0" w:rsidRDefault="00CE7BB0" w:rsidP="00EE685E">
      <w:pPr>
        <w:pStyle w:val="Bulletleft1"/>
      </w:pPr>
      <w:r>
        <w:t>A</w:t>
      </w:r>
      <w:r w:rsidRPr="00CE7BB0">
        <w:t>ssociation of Clinical Psychologists</w:t>
      </w:r>
      <w:r>
        <w:t xml:space="preserve"> (ACP-UK)</w:t>
      </w:r>
    </w:p>
    <w:p w14:paraId="27CC86EB" w14:textId="299CA708" w:rsidR="00CE7BB0" w:rsidRDefault="00CE7BB0" w:rsidP="00EE685E">
      <w:pPr>
        <w:pStyle w:val="Bulletleft1"/>
      </w:pPr>
      <w:r w:rsidRPr="00CE7BB0">
        <w:t>British Association of Gynaecological Pathologists</w:t>
      </w:r>
      <w:r>
        <w:t xml:space="preserve"> (BAGP)</w:t>
      </w:r>
    </w:p>
    <w:p w14:paraId="6DED7F6E" w14:textId="249570FA" w:rsidR="00CE7BB0" w:rsidRDefault="00CE7BB0" w:rsidP="00EE685E">
      <w:pPr>
        <w:pStyle w:val="Bulletleft1"/>
      </w:pPr>
      <w:r w:rsidRPr="00CE7BB0">
        <w:t>British Gynaecological Cancer Society</w:t>
      </w:r>
      <w:r>
        <w:t xml:space="preserve"> (BGCS)</w:t>
      </w:r>
    </w:p>
    <w:p w14:paraId="0D3BD425" w14:textId="4AF5DAA1" w:rsidR="00CE7BB0" w:rsidRDefault="00E223D3" w:rsidP="00EE685E">
      <w:pPr>
        <w:pStyle w:val="Bulletleft1"/>
      </w:pPr>
      <w:r w:rsidRPr="00E223D3">
        <w:t>British Society of Urogenital Radiology</w:t>
      </w:r>
    </w:p>
    <w:p w14:paraId="76BA175B" w14:textId="77777777" w:rsidR="00534E3F" w:rsidRDefault="00534E3F" w:rsidP="00534E3F">
      <w:pPr>
        <w:pStyle w:val="Bulletleft1"/>
      </w:pPr>
      <w:r w:rsidRPr="00E223D3">
        <w:t>Institute of Biomedical Science</w:t>
      </w:r>
    </w:p>
    <w:p w14:paraId="1FB1763C" w14:textId="34948E76" w:rsidR="00E223D3" w:rsidRDefault="00E223D3" w:rsidP="00534E3F">
      <w:pPr>
        <w:pStyle w:val="Bulletleft1"/>
      </w:pPr>
      <w:r w:rsidRPr="00E223D3">
        <w:t>NHS England</w:t>
      </w:r>
      <w:r w:rsidR="00534E3F">
        <w:t xml:space="preserve">, </w:t>
      </w:r>
      <w:r w:rsidRPr="00E223D3">
        <w:t>Genomics Unit</w:t>
      </w:r>
    </w:p>
    <w:p w14:paraId="1B607DFE" w14:textId="0519AE8A" w:rsidR="00E223D3" w:rsidRDefault="00E223D3" w:rsidP="00EE685E">
      <w:pPr>
        <w:pStyle w:val="Bulletleft1"/>
      </w:pPr>
      <w:r w:rsidRPr="00E223D3">
        <w:t>NHS Wales Executive - National Strategic Clinical Network for Cancer</w:t>
      </w:r>
    </w:p>
    <w:p w14:paraId="31D17E49" w14:textId="6F3E83FF" w:rsidR="00E223D3" w:rsidRDefault="00E223D3" w:rsidP="00EE685E">
      <w:pPr>
        <w:pStyle w:val="Bulletleft1"/>
      </w:pPr>
      <w:r>
        <w:t>Ovacome</w:t>
      </w:r>
    </w:p>
    <w:p w14:paraId="53359BD0" w14:textId="09A6CD63" w:rsidR="00E223D3" w:rsidRDefault="00E223D3" w:rsidP="00EE685E">
      <w:pPr>
        <w:pStyle w:val="Bulletleft1"/>
      </w:pPr>
      <w:r>
        <w:t>Ovarian Cancer Action</w:t>
      </w:r>
    </w:p>
    <w:p w14:paraId="382BE18D" w14:textId="422A133E" w:rsidR="00E223D3" w:rsidRDefault="00E223D3" w:rsidP="00EE685E">
      <w:pPr>
        <w:pStyle w:val="Bulletleft1"/>
      </w:pPr>
      <w:r w:rsidRPr="00E223D3">
        <w:t>Royal College of Gen</w:t>
      </w:r>
      <w:r>
        <w:t>eral</w:t>
      </w:r>
      <w:r w:rsidRPr="00E223D3">
        <w:t xml:space="preserve"> </w:t>
      </w:r>
      <w:r>
        <w:t xml:space="preserve">Practitioners </w:t>
      </w:r>
    </w:p>
    <w:p w14:paraId="2D2BDCF4" w14:textId="63310B36" w:rsidR="00E223D3" w:rsidRDefault="00E223D3" w:rsidP="00EE685E">
      <w:pPr>
        <w:pStyle w:val="Bulletleft1"/>
      </w:pPr>
      <w:r w:rsidRPr="00E223D3">
        <w:t>Royal College of Gen</w:t>
      </w:r>
      <w:r>
        <w:t>eral</w:t>
      </w:r>
      <w:r w:rsidRPr="00E223D3">
        <w:t xml:space="preserve"> </w:t>
      </w:r>
      <w:r>
        <w:t xml:space="preserve">Practitioners, </w:t>
      </w:r>
      <w:r w:rsidRPr="00E223D3">
        <w:t xml:space="preserve">Neurodiversity </w:t>
      </w:r>
      <w:r>
        <w:t>S</w:t>
      </w:r>
      <w:r w:rsidRPr="00E223D3">
        <w:t xml:space="preserve">pecial </w:t>
      </w:r>
      <w:r>
        <w:t>I</w:t>
      </w:r>
      <w:r w:rsidRPr="00E223D3">
        <w:t>nterest Group</w:t>
      </w:r>
    </w:p>
    <w:p w14:paraId="5A2117D3" w14:textId="6B8800B7" w:rsidR="00E223D3" w:rsidRDefault="00E223D3" w:rsidP="00EE685E">
      <w:pPr>
        <w:pStyle w:val="Bulletleft1"/>
      </w:pPr>
      <w:r>
        <w:t>Royal College of Nursing</w:t>
      </w:r>
      <w:r w:rsidR="00E960E6">
        <w:t xml:space="preserve"> – no comment response</w:t>
      </w:r>
    </w:p>
    <w:p w14:paraId="48CE833B" w14:textId="77E33954" w:rsidR="00E223D3" w:rsidRDefault="00E223D3" w:rsidP="00EE685E">
      <w:pPr>
        <w:pStyle w:val="Bulletleft1"/>
      </w:pPr>
      <w:r w:rsidRPr="00E223D3">
        <w:t>Society of Radiographers</w:t>
      </w:r>
      <w:r w:rsidR="00E960E6">
        <w:t xml:space="preserve"> – no comment response</w:t>
      </w:r>
    </w:p>
    <w:p w14:paraId="5D75C028" w14:textId="77777777" w:rsidR="001232B3" w:rsidRDefault="00E223D3" w:rsidP="001232B3">
      <w:pPr>
        <w:pStyle w:val="Bulletleft1"/>
      </w:pPr>
      <w:r w:rsidRPr="00E223D3">
        <w:t>Target Ovarian Cancer</w:t>
      </w:r>
    </w:p>
    <w:p w14:paraId="4A4E6A41" w14:textId="3FE5C04D" w:rsidR="00003D97" w:rsidRDefault="00E223D3" w:rsidP="00E76D48">
      <w:pPr>
        <w:pStyle w:val="Bulletleft1last"/>
        <w:ind w:left="284"/>
      </w:pPr>
      <w:r>
        <w:t>UK Cancer Genetics Group</w:t>
      </w:r>
    </w:p>
    <w:p w14:paraId="2248AB74" w14:textId="258727F5" w:rsidR="00E05BB5" w:rsidRDefault="00222618" w:rsidP="00222618">
      <w:pPr>
        <w:pStyle w:val="Heading1"/>
      </w:pPr>
      <w:r w:rsidRPr="00FC11EC" w:rsidDel="00222618">
        <w:t xml:space="preserve"> </w:t>
      </w: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F2E3" w14:textId="77777777" w:rsidR="00DC72EB" w:rsidRDefault="00DC72EB">
      <w:r>
        <w:separator/>
      </w:r>
    </w:p>
  </w:endnote>
  <w:endnote w:type="continuationSeparator" w:id="0">
    <w:p w14:paraId="46F4DC3E" w14:textId="77777777" w:rsidR="00DC72EB" w:rsidRDefault="00DC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215"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7FF6FA6"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6FCA5"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E771F7B"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1F53A" w14:textId="77777777" w:rsidR="00DC72EB" w:rsidRDefault="00DC72EB">
      <w:r>
        <w:separator/>
      </w:r>
    </w:p>
  </w:footnote>
  <w:footnote w:type="continuationSeparator" w:id="0">
    <w:p w14:paraId="0CA5B7E3" w14:textId="77777777" w:rsidR="00DC72EB" w:rsidRDefault="00DC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995A"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B399" w14:textId="606C57CD" w:rsidR="00DE6F78" w:rsidRDefault="00DE6F78" w:rsidP="0037542E">
    <w:pPr>
      <w:pStyle w:val="Header"/>
      <w:tabs>
        <w:tab w:val="center" w:pos="3402"/>
        <w:tab w:val="right" w:pos="9214"/>
      </w:tabs>
    </w:pPr>
    <w:r>
      <w:tab/>
    </w:r>
  </w:p>
  <w:p w14:paraId="087AE0DB"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6F62C75"/>
    <w:multiLevelType w:val="hybridMultilevel"/>
    <w:tmpl w:val="322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0613B"/>
    <w:multiLevelType w:val="multilevel"/>
    <w:tmpl w:val="B44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C943838"/>
    <w:multiLevelType w:val="hybridMultilevel"/>
    <w:tmpl w:val="60E83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C0B"/>
    <w:multiLevelType w:val="hybridMultilevel"/>
    <w:tmpl w:val="2F02C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B444A"/>
    <w:multiLevelType w:val="hybridMultilevel"/>
    <w:tmpl w:val="3E605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017405"/>
    <w:multiLevelType w:val="multilevel"/>
    <w:tmpl w:val="B0A899F0"/>
    <w:lvl w:ilvl="0">
      <w:start w:val="1"/>
      <w:numFmt w:val="bullet"/>
      <w:pStyle w:val="Bulletleft1"/>
      <w:lvlText w:val=""/>
      <w:lvlJc w:val="left"/>
      <w:pPr>
        <w:tabs>
          <w:tab w:val="num" w:pos="2127"/>
        </w:tabs>
        <w:ind w:left="2127"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677F6E"/>
    <w:multiLevelType w:val="multilevel"/>
    <w:tmpl w:val="F7D8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568"/>
        </w:tabs>
        <w:ind w:left="568"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0BD2D5E"/>
    <w:multiLevelType w:val="hybridMultilevel"/>
    <w:tmpl w:val="845C61AE"/>
    <w:lvl w:ilvl="0" w:tplc="55C26568">
      <w:start w:val="1"/>
      <w:numFmt w:val="bullet"/>
      <w:lvlText w:val=""/>
      <w:lvlJc w:val="left"/>
      <w:pPr>
        <w:ind w:left="1000" w:hanging="360"/>
      </w:pPr>
      <w:rPr>
        <w:rFonts w:ascii="Symbol" w:hAnsi="Symbol"/>
      </w:rPr>
    </w:lvl>
    <w:lvl w:ilvl="1" w:tplc="B65C56E8">
      <w:start w:val="1"/>
      <w:numFmt w:val="bullet"/>
      <w:lvlText w:val=""/>
      <w:lvlJc w:val="left"/>
      <w:pPr>
        <w:ind w:left="1280" w:hanging="360"/>
      </w:pPr>
      <w:rPr>
        <w:rFonts w:ascii="Symbol" w:hAnsi="Symbol"/>
      </w:rPr>
    </w:lvl>
    <w:lvl w:ilvl="2" w:tplc="CAB2CAF6">
      <w:start w:val="1"/>
      <w:numFmt w:val="bullet"/>
      <w:lvlText w:val=""/>
      <w:lvlJc w:val="left"/>
      <w:pPr>
        <w:ind w:left="1000" w:hanging="360"/>
      </w:pPr>
      <w:rPr>
        <w:rFonts w:ascii="Symbol" w:hAnsi="Symbol"/>
      </w:rPr>
    </w:lvl>
    <w:lvl w:ilvl="3" w:tplc="BE6E388E">
      <w:start w:val="1"/>
      <w:numFmt w:val="bullet"/>
      <w:lvlText w:val=""/>
      <w:lvlJc w:val="left"/>
      <w:pPr>
        <w:ind w:left="1000" w:hanging="360"/>
      </w:pPr>
      <w:rPr>
        <w:rFonts w:ascii="Symbol" w:hAnsi="Symbol"/>
      </w:rPr>
    </w:lvl>
    <w:lvl w:ilvl="4" w:tplc="1AE4F836">
      <w:start w:val="1"/>
      <w:numFmt w:val="bullet"/>
      <w:lvlText w:val=""/>
      <w:lvlJc w:val="left"/>
      <w:pPr>
        <w:ind w:left="1000" w:hanging="360"/>
      </w:pPr>
      <w:rPr>
        <w:rFonts w:ascii="Symbol" w:hAnsi="Symbol"/>
      </w:rPr>
    </w:lvl>
    <w:lvl w:ilvl="5" w:tplc="F80ED9F8">
      <w:start w:val="1"/>
      <w:numFmt w:val="bullet"/>
      <w:lvlText w:val=""/>
      <w:lvlJc w:val="left"/>
      <w:pPr>
        <w:ind w:left="1000" w:hanging="360"/>
      </w:pPr>
      <w:rPr>
        <w:rFonts w:ascii="Symbol" w:hAnsi="Symbol"/>
      </w:rPr>
    </w:lvl>
    <w:lvl w:ilvl="6" w:tplc="8E643E10">
      <w:start w:val="1"/>
      <w:numFmt w:val="bullet"/>
      <w:lvlText w:val=""/>
      <w:lvlJc w:val="left"/>
      <w:pPr>
        <w:ind w:left="1000" w:hanging="360"/>
      </w:pPr>
      <w:rPr>
        <w:rFonts w:ascii="Symbol" w:hAnsi="Symbol"/>
      </w:rPr>
    </w:lvl>
    <w:lvl w:ilvl="7" w:tplc="70CE0086">
      <w:start w:val="1"/>
      <w:numFmt w:val="bullet"/>
      <w:lvlText w:val=""/>
      <w:lvlJc w:val="left"/>
      <w:pPr>
        <w:ind w:left="1000" w:hanging="360"/>
      </w:pPr>
      <w:rPr>
        <w:rFonts w:ascii="Symbol" w:hAnsi="Symbol"/>
      </w:rPr>
    </w:lvl>
    <w:lvl w:ilvl="8" w:tplc="4E5EBE50">
      <w:start w:val="1"/>
      <w:numFmt w:val="bullet"/>
      <w:lvlText w:val=""/>
      <w:lvlJc w:val="left"/>
      <w:pPr>
        <w:ind w:left="1000" w:hanging="360"/>
      </w:pPr>
      <w:rPr>
        <w:rFonts w:ascii="Symbol" w:hAnsi="Symbol"/>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05D144C"/>
    <w:multiLevelType w:val="hybridMultilevel"/>
    <w:tmpl w:val="A4C4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637F9"/>
    <w:multiLevelType w:val="hybridMultilevel"/>
    <w:tmpl w:val="D4C073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5" w15:restartNumberingAfterBreak="0">
    <w:nsid w:val="39FB1908"/>
    <w:multiLevelType w:val="hybridMultilevel"/>
    <w:tmpl w:val="87D45E54"/>
    <w:lvl w:ilvl="0" w:tplc="9094031C">
      <w:start w:val="5"/>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75C85"/>
    <w:multiLevelType w:val="hybridMultilevel"/>
    <w:tmpl w:val="609E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026505"/>
    <w:multiLevelType w:val="hybridMultilevel"/>
    <w:tmpl w:val="78DE6B6A"/>
    <w:lvl w:ilvl="0" w:tplc="49942802">
      <w:start w:val="1"/>
      <w:numFmt w:val="bullet"/>
      <w:lvlText w:val=""/>
      <w:lvlJc w:val="left"/>
      <w:pPr>
        <w:ind w:left="1280" w:hanging="360"/>
      </w:pPr>
      <w:rPr>
        <w:rFonts w:ascii="Symbol" w:hAnsi="Symbol"/>
      </w:rPr>
    </w:lvl>
    <w:lvl w:ilvl="1" w:tplc="34FE4104">
      <w:start w:val="1"/>
      <w:numFmt w:val="bullet"/>
      <w:lvlText w:val=""/>
      <w:lvlJc w:val="left"/>
      <w:pPr>
        <w:ind w:left="1280" w:hanging="360"/>
      </w:pPr>
      <w:rPr>
        <w:rFonts w:ascii="Symbol" w:hAnsi="Symbol"/>
      </w:rPr>
    </w:lvl>
    <w:lvl w:ilvl="2" w:tplc="C54A5572">
      <w:start w:val="1"/>
      <w:numFmt w:val="bullet"/>
      <w:lvlText w:val=""/>
      <w:lvlJc w:val="left"/>
      <w:pPr>
        <w:ind w:left="1280" w:hanging="360"/>
      </w:pPr>
      <w:rPr>
        <w:rFonts w:ascii="Symbol" w:hAnsi="Symbol"/>
      </w:rPr>
    </w:lvl>
    <w:lvl w:ilvl="3" w:tplc="7EA63824">
      <w:start w:val="1"/>
      <w:numFmt w:val="bullet"/>
      <w:lvlText w:val=""/>
      <w:lvlJc w:val="left"/>
      <w:pPr>
        <w:ind w:left="1280" w:hanging="360"/>
      </w:pPr>
      <w:rPr>
        <w:rFonts w:ascii="Symbol" w:hAnsi="Symbol"/>
      </w:rPr>
    </w:lvl>
    <w:lvl w:ilvl="4" w:tplc="39060D18">
      <w:start w:val="1"/>
      <w:numFmt w:val="bullet"/>
      <w:lvlText w:val=""/>
      <w:lvlJc w:val="left"/>
      <w:pPr>
        <w:ind w:left="1280" w:hanging="360"/>
      </w:pPr>
      <w:rPr>
        <w:rFonts w:ascii="Symbol" w:hAnsi="Symbol"/>
      </w:rPr>
    </w:lvl>
    <w:lvl w:ilvl="5" w:tplc="A42472BC">
      <w:start w:val="1"/>
      <w:numFmt w:val="bullet"/>
      <w:lvlText w:val=""/>
      <w:lvlJc w:val="left"/>
      <w:pPr>
        <w:ind w:left="1280" w:hanging="360"/>
      </w:pPr>
      <w:rPr>
        <w:rFonts w:ascii="Symbol" w:hAnsi="Symbol"/>
      </w:rPr>
    </w:lvl>
    <w:lvl w:ilvl="6" w:tplc="FB3269CA">
      <w:start w:val="1"/>
      <w:numFmt w:val="bullet"/>
      <w:lvlText w:val=""/>
      <w:lvlJc w:val="left"/>
      <w:pPr>
        <w:ind w:left="1280" w:hanging="360"/>
      </w:pPr>
      <w:rPr>
        <w:rFonts w:ascii="Symbol" w:hAnsi="Symbol"/>
      </w:rPr>
    </w:lvl>
    <w:lvl w:ilvl="7" w:tplc="E3946628">
      <w:start w:val="1"/>
      <w:numFmt w:val="bullet"/>
      <w:lvlText w:val=""/>
      <w:lvlJc w:val="left"/>
      <w:pPr>
        <w:ind w:left="1280" w:hanging="360"/>
      </w:pPr>
      <w:rPr>
        <w:rFonts w:ascii="Symbol" w:hAnsi="Symbol"/>
      </w:rPr>
    </w:lvl>
    <w:lvl w:ilvl="8" w:tplc="99722E62">
      <w:start w:val="1"/>
      <w:numFmt w:val="bullet"/>
      <w:lvlText w:val=""/>
      <w:lvlJc w:val="left"/>
      <w:pPr>
        <w:ind w:left="1280" w:hanging="360"/>
      </w:pPr>
      <w:rPr>
        <w:rFonts w:ascii="Symbol" w:hAnsi="Symbol"/>
      </w:rPr>
    </w:lvl>
  </w:abstractNum>
  <w:abstractNum w:abstractNumId="28" w15:restartNumberingAfterBreak="0">
    <w:nsid w:val="40292F28"/>
    <w:multiLevelType w:val="hybridMultilevel"/>
    <w:tmpl w:val="564E4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2" w15:restartNumberingAfterBreak="0">
    <w:nsid w:val="474B3C1F"/>
    <w:multiLevelType w:val="hybridMultilevel"/>
    <w:tmpl w:val="4A982EFE"/>
    <w:lvl w:ilvl="0" w:tplc="0DFCDA44">
      <w:start w:val="1"/>
      <w:numFmt w:val="bullet"/>
      <w:lvlText w:val=""/>
      <w:lvlJc w:val="left"/>
      <w:pPr>
        <w:ind w:left="1080" w:hanging="360"/>
      </w:pPr>
      <w:rPr>
        <w:rFonts w:ascii="Symbol" w:hAnsi="Symbol"/>
      </w:rPr>
    </w:lvl>
    <w:lvl w:ilvl="1" w:tplc="E1ECAC90">
      <w:start w:val="1"/>
      <w:numFmt w:val="bullet"/>
      <w:lvlText w:val=""/>
      <w:lvlJc w:val="left"/>
      <w:pPr>
        <w:ind w:left="1080" w:hanging="360"/>
      </w:pPr>
      <w:rPr>
        <w:rFonts w:ascii="Symbol" w:hAnsi="Symbol"/>
      </w:rPr>
    </w:lvl>
    <w:lvl w:ilvl="2" w:tplc="ACC45652">
      <w:start w:val="1"/>
      <w:numFmt w:val="bullet"/>
      <w:lvlText w:val=""/>
      <w:lvlJc w:val="left"/>
      <w:pPr>
        <w:ind w:left="1080" w:hanging="360"/>
      </w:pPr>
      <w:rPr>
        <w:rFonts w:ascii="Symbol" w:hAnsi="Symbol"/>
      </w:rPr>
    </w:lvl>
    <w:lvl w:ilvl="3" w:tplc="FAECD2F0">
      <w:start w:val="1"/>
      <w:numFmt w:val="bullet"/>
      <w:lvlText w:val=""/>
      <w:lvlJc w:val="left"/>
      <w:pPr>
        <w:ind w:left="1080" w:hanging="360"/>
      </w:pPr>
      <w:rPr>
        <w:rFonts w:ascii="Symbol" w:hAnsi="Symbol"/>
      </w:rPr>
    </w:lvl>
    <w:lvl w:ilvl="4" w:tplc="E53A6420">
      <w:start w:val="1"/>
      <w:numFmt w:val="bullet"/>
      <w:lvlText w:val=""/>
      <w:lvlJc w:val="left"/>
      <w:pPr>
        <w:ind w:left="1080" w:hanging="360"/>
      </w:pPr>
      <w:rPr>
        <w:rFonts w:ascii="Symbol" w:hAnsi="Symbol"/>
      </w:rPr>
    </w:lvl>
    <w:lvl w:ilvl="5" w:tplc="B1A24070">
      <w:start w:val="1"/>
      <w:numFmt w:val="bullet"/>
      <w:lvlText w:val=""/>
      <w:lvlJc w:val="left"/>
      <w:pPr>
        <w:ind w:left="1080" w:hanging="360"/>
      </w:pPr>
      <w:rPr>
        <w:rFonts w:ascii="Symbol" w:hAnsi="Symbol"/>
      </w:rPr>
    </w:lvl>
    <w:lvl w:ilvl="6" w:tplc="58C29D4C">
      <w:start w:val="1"/>
      <w:numFmt w:val="bullet"/>
      <w:lvlText w:val=""/>
      <w:lvlJc w:val="left"/>
      <w:pPr>
        <w:ind w:left="1080" w:hanging="360"/>
      </w:pPr>
      <w:rPr>
        <w:rFonts w:ascii="Symbol" w:hAnsi="Symbol"/>
      </w:rPr>
    </w:lvl>
    <w:lvl w:ilvl="7" w:tplc="F4B08926">
      <w:start w:val="1"/>
      <w:numFmt w:val="bullet"/>
      <w:lvlText w:val=""/>
      <w:lvlJc w:val="left"/>
      <w:pPr>
        <w:ind w:left="1080" w:hanging="360"/>
      </w:pPr>
      <w:rPr>
        <w:rFonts w:ascii="Symbol" w:hAnsi="Symbol"/>
      </w:rPr>
    </w:lvl>
    <w:lvl w:ilvl="8" w:tplc="1D3E45AC">
      <w:start w:val="1"/>
      <w:numFmt w:val="bullet"/>
      <w:lvlText w:val=""/>
      <w:lvlJc w:val="left"/>
      <w:pPr>
        <w:ind w:left="1080" w:hanging="360"/>
      </w:pPr>
      <w:rPr>
        <w:rFonts w:ascii="Symbol" w:hAnsi="Symbol"/>
      </w:rPr>
    </w:lvl>
  </w:abstractNum>
  <w:abstractNum w:abstractNumId="33" w15:restartNumberingAfterBreak="0">
    <w:nsid w:val="47524E59"/>
    <w:multiLevelType w:val="hybridMultilevel"/>
    <w:tmpl w:val="E4287F0A"/>
    <w:lvl w:ilvl="0" w:tplc="17AC887E">
      <w:start w:val="1"/>
      <w:numFmt w:val="bullet"/>
      <w:lvlText w:val=""/>
      <w:lvlJc w:val="left"/>
      <w:pPr>
        <w:ind w:left="1280" w:hanging="360"/>
      </w:pPr>
      <w:rPr>
        <w:rFonts w:ascii="Symbol" w:hAnsi="Symbol"/>
      </w:rPr>
    </w:lvl>
    <w:lvl w:ilvl="1" w:tplc="EAD6C4A8">
      <w:start w:val="1"/>
      <w:numFmt w:val="bullet"/>
      <w:lvlText w:val=""/>
      <w:lvlJc w:val="left"/>
      <w:pPr>
        <w:ind w:left="1280" w:hanging="360"/>
      </w:pPr>
      <w:rPr>
        <w:rFonts w:ascii="Symbol" w:hAnsi="Symbol"/>
      </w:rPr>
    </w:lvl>
    <w:lvl w:ilvl="2" w:tplc="0A129E44">
      <w:start w:val="1"/>
      <w:numFmt w:val="bullet"/>
      <w:lvlText w:val=""/>
      <w:lvlJc w:val="left"/>
      <w:pPr>
        <w:ind w:left="1280" w:hanging="360"/>
      </w:pPr>
      <w:rPr>
        <w:rFonts w:ascii="Symbol" w:hAnsi="Symbol"/>
      </w:rPr>
    </w:lvl>
    <w:lvl w:ilvl="3" w:tplc="32B46C50">
      <w:start w:val="1"/>
      <w:numFmt w:val="bullet"/>
      <w:lvlText w:val=""/>
      <w:lvlJc w:val="left"/>
      <w:pPr>
        <w:ind w:left="1280" w:hanging="360"/>
      </w:pPr>
      <w:rPr>
        <w:rFonts w:ascii="Symbol" w:hAnsi="Symbol"/>
      </w:rPr>
    </w:lvl>
    <w:lvl w:ilvl="4" w:tplc="AB320A18">
      <w:start w:val="1"/>
      <w:numFmt w:val="bullet"/>
      <w:lvlText w:val=""/>
      <w:lvlJc w:val="left"/>
      <w:pPr>
        <w:ind w:left="1280" w:hanging="360"/>
      </w:pPr>
      <w:rPr>
        <w:rFonts w:ascii="Symbol" w:hAnsi="Symbol"/>
      </w:rPr>
    </w:lvl>
    <w:lvl w:ilvl="5" w:tplc="8A3EF95E">
      <w:start w:val="1"/>
      <w:numFmt w:val="bullet"/>
      <w:lvlText w:val=""/>
      <w:lvlJc w:val="left"/>
      <w:pPr>
        <w:ind w:left="1280" w:hanging="360"/>
      </w:pPr>
      <w:rPr>
        <w:rFonts w:ascii="Symbol" w:hAnsi="Symbol"/>
      </w:rPr>
    </w:lvl>
    <w:lvl w:ilvl="6" w:tplc="361090EA">
      <w:start w:val="1"/>
      <w:numFmt w:val="bullet"/>
      <w:lvlText w:val=""/>
      <w:lvlJc w:val="left"/>
      <w:pPr>
        <w:ind w:left="1280" w:hanging="360"/>
      </w:pPr>
      <w:rPr>
        <w:rFonts w:ascii="Symbol" w:hAnsi="Symbol"/>
      </w:rPr>
    </w:lvl>
    <w:lvl w:ilvl="7" w:tplc="C324E086">
      <w:start w:val="1"/>
      <w:numFmt w:val="bullet"/>
      <w:lvlText w:val=""/>
      <w:lvlJc w:val="left"/>
      <w:pPr>
        <w:ind w:left="1280" w:hanging="360"/>
      </w:pPr>
      <w:rPr>
        <w:rFonts w:ascii="Symbol" w:hAnsi="Symbol"/>
      </w:rPr>
    </w:lvl>
    <w:lvl w:ilvl="8" w:tplc="2162F4E0">
      <w:start w:val="1"/>
      <w:numFmt w:val="bullet"/>
      <w:lvlText w:val=""/>
      <w:lvlJc w:val="left"/>
      <w:pPr>
        <w:ind w:left="1280" w:hanging="360"/>
      </w:pPr>
      <w:rPr>
        <w:rFonts w:ascii="Symbol" w:hAnsi="Symbol"/>
      </w:rPr>
    </w:lvl>
  </w:abstractNum>
  <w:abstractNum w:abstractNumId="34"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71B6826"/>
    <w:multiLevelType w:val="hybridMultilevel"/>
    <w:tmpl w:val="B932462E"/>
    <w:lvl w:ilvl="0" w:tplc="F2F06F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13D28E4"/>
    <w:multiLevelType w:val="hybridMultilevel"/>
    <w:tmpl w:val="D298C48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1DB6738"/>
    <w:multiLevelType w:val="hybridMultilevel"/>
    <w:tmpl w:val="161C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F3237"/>
    <w:multiLevelType w:val="hybridMultilevel"/>
    <w:tmpl w:val="F2101852"/>
    <w:lvl w:ilvl="0" w:tplc="09542B20">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39E0310"/>
    <w:multiLevelType w:val="hybridMultilevel"/>
    <w:tmpl w:val="A09AD546"/>
    <w:lvl w:ilvl="0" w:tplc="03E81612">
      <w:start w:val="1"/>
      <w:numFmt w:val="bullet"/>
      <w:lvlText w:val=""/>
      <w:lvlJc w:val="left"/>
      <w:pPr>
        <w:ind w:left="1000" w:hanging="360"/>
      </w:pPr>
      <w:rPr>
        <w:rFonts w:ascii="Symbol" w:hAnsi="Symbol"/>
      </w:rPr>
    </w:lvl>
    <w:lvl w:ilvl="1" w:tplc="691E20E8">
      <w:start w:val="1"/>
      <w:numFmt w:val="bullet"/>
      <w:lvlText w:val=""/>
      <w:lvlJc w:val="left"/>
      <w:pPr>
        <w:ind w:left="1280" w:hanging="360"/>
      </w:pPr>
      <w:rPr>
        <w:rFonts w:ascii="Symbol" w:hAnsi="Symbol"/>
      </w:rPr>
    </w:lvl>
    <w:lvl w:ilvl="2" w:tplc="9772802A">
      <w:start w:val="1"/>
      <w:numFmt w:val="bullet"/>
      <w:lvlText w:val=""/>
      <w:lvlJc w:val="left"/>
      <w:pPr>
        <w:ind w:left="1000" w:hanging="360"/>
      </w:pPr>
      <w:rPr>
        <w:rFonts w:ascii="Symbol" w:hAnsi="Symbol"/>
      </w:rPr>
    </w:lvl>
    <w:lvl w:ilvl="3" w:tplc="47C84050">
      <w:start w:val="1"/>
      <w:numFmt w:val="bullet"/>
      <w:lvlText w:val=""/>
      <w:lvlJc w:val="left"/>
      <w:pPr>
        <w:ind w:left="1000" w:hanging="360"/>
      </w:pPr>
      <w:rPr>
        <w:rFonts w:ascii="Symbol" w:hAnsi="Symbol"/>
      </w:rPr>
    </w:lvl>
    <w:lvl w:ilvl="4" w:tplc="C21678A8">
      <w:start w:val="1"/>
      <w:numFmt w:val="bullet"/>
      <w:lvlText w:val=""/>
      <w:lvlJc w:val="left"/>
      <w:pPr>
        <w:ind w:left="1000" w:hanging="360"/>
      </w:pPr>
      <w:rPr>
        <w:rFonts w:ascii="Symbol" w:hAnsi="Symbol"/>
      </w:rPr>
    </w:lvl>
    <w:lvl w:ilvl="5" w:tplc="2F60059A">
      <w:start w:val="1"/>
      <w:numFmt w:val="bullet"/>
      <w:lvlText w:val=""/>
      <w:lvlJc w:val="left"/>
      <w:pPr>
        <w:ind w:left="1000" w:hanging="360"/>
      </w:pPr>
      <w:rPr>
        <w:rFonts w:ascii="Symbol" w:hAnsi="Symbol"/>
      </w:rPr>
    </w:lvl>
    <w:lvl w:ilvl="6" w:tplc="40B6010E">
      <w:start w:val="1"/>
      <w:numFmt w:val="bullet"/>
      <w:lvlText w:val=""/>
      <w:lvlJc w:val="left"/>
      <w:pPr>
        <w:ind w:left="1000" w:hanging="360"/>
      </w:pPr>
      <w:rPr>
        <w:rFonts w:ascii="Symbol" w:hAnsi="Symbol"/>
      </w:rPr>
    </w:lvl>
    <w:lvl w:ilvl="7" w:tplc="CC16239A">
      <w:start w:val="1"/>
      <w:numFmt w:val="bullet"/>
      <w:lvlText w:val=""/>
      <w:lvlJc w:val="left"/>
      <w:pPr>
        <w:ind w:left="1000" w:hanging="360"/>
      </w:pPr>
      <w:rPr>
        <w:rFonts w:ascii="Symbol" w:hAnsi="Symbol"/>
      </w:rPr>
    </w:lvl>
    <w:lvl w:ilvl="8" w:tplc="570495E0">
      <w:start w:val="1"/>
      <w:numFmt w:val="bullet"/>
      <w:lvlText w:val=""/>
      <w:lvlJc w:val="left"/>
      <w:pPr>
        <w:ind w:left="1000" w:hanging="360"/>
      </w:pPr>
      <w:rPr>
        <w:rFonts w:ascii="Symbol" w:hAnsi="Symbol"/>
      </w:rPr>
    </w:lvl>
  </w:abstractNum>
  <w:abstractNum w:abstractNumId="47" w15:restartNumberingAfterBreak="0">
    <w:nsid w:val="63D81804"/>
    <w:multiLevelType w:val="multilevel"/>
    <w:tmpl w:val="2434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E34913"/>
    <w:multiLevelType w:val="hybridMultilevel"/>
    <w:tmpl w:val="302A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A77545"/>
    <w:multiLevelType w:val="multilevel"/>
    <w:tmpl w:val="6148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9649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2" w15:restartNumberingAfterBreak="0">
    <w:nsid w:val="6DCB4C15"/>
    <w:multiLevelType w:val="hybridMultilevel"/>
    <w:tmpl w:val="F68295E0"/>
    <w:lvl w:ilvl="0" w:tplc="4620BF8A">
      <w:start w:val="1"/>
      <w:numFmt w:val="decimal"/>
      <w:lvlText w:val="%1."/>
      <w:lvlJc w:val="left"/>
      <w:pPr>
        <w:ind w:left="1020" w:hanging="360"/>
      </w:pPr>
    </w:lvl>
    <w:lvl w:ilvl="1" w:tplc="857E9488">
      <w:start w:val="1"/>
      <w:numFmt w:val="decimal"/>
      <w:lvlText w:val="%2."/>
      <w:lvlJc w:val="left"/>
      <w:pPr>
        <w:ind w:left="1020" w:hanging="360"/>
      </w:pPr>
    </w:lvl>
    <w:lvl w:ilvl="2" w:tplc="C8C0FD7E">
      <w:start w:val="1"/>
      <w:numFmt w:val="decimal"/>
      <w:lvlText w:val="%3."/>
      <w:lvlJc w:val="left"/>
      <w:pPr>
        <w:ind w:left="1020" w:hanging="360"/>
      </w:pPr>
    </w:lvl>
    <w:lvl w:ilvl="3" w:tplc="4DE22E98">
      <w:start w:val="1"/>
      <w:numFmt w:val="decimal"/>
      <w:lvlText w:val="%4."/>
      <w:lvlJc w:val="left"/>
      <w:pPr>
        <w:ind w:left="1020" w:hanging="360"/>
      </w:pPr>
    </w:lvl>
    <w:lvl w:ilvl="4" w:tplc="D7D806D0">
      <w:start w:val="1"/>
      <w:numFmt w:val="decimal"/>
      <w:lvlText w:val="%5."/>
      <w:lvlJc w:val="left"/>
      <w:pPr>
        <w:ind w:left="1020" w:hanging="360"/>
      </w:pPr>
    </w:lvl>
    <w:lvl w:ilvl="5" w:tplc="B5CC0150">
      <w:start w:val="1"/>
      <w:numFmt w:val="decimal"/>
      <w:lvlText w:val="%6."/>
      <w:lvlJc w:val="left"/>
      <w:pPr>
        <w:ind w:left="1020" w:hanging="360"/>
      </w:pPr>
    </w:lvl>
    <w:lvl w:ilvl="6" w:tplc="CFACA908">
      <w:start w:val="1"/>
      <w:numFmt w:val="decimal"/>
      <w:lvlText w:val="%7."/>
      <w:lvlJc w:val="left"/>
      <w:pPr>
        <w:ind w:left="1020" w:hanging="360"/>
      </w:pPr>
    </w:lvl>
    <w:lvl w:ilvl="7" w:tplc="423AF9CC">
      <w:start w:val="1"/>
      <w:numFmt w:val="decimal"/>
      <w:lvlText w:val="%8."/>
      <w:lvlJc w:val="left"/>
      <w:pPr>
        <w:ind w:left="1020" w:hanging="360"/>
      </w:pPr>
    </w:lvl>
    <w:lvl w:ilvl="8" w:tplc="8C08B844">
      <w:start w:val="1"/>
      <w:numFmt w:val="decimal"/>
      <w:lvlText w:val="%9."/>
      <w:lvlJc w:val="left"/>
      <w:pPr>
        <w:ind w:left="1020" w:hanging="360"/>
      </w:pPr>
    </w:lvl>
  </w:abstractNum>
  <w:abstractNum w:abstractNumId="53" w15:restartNumberingAfterBreak="0">
    <w:nsid w:val="6DEC4809"/>
    <w:multiLevelType w:val="hybridMultilevel"/>
    <w:tmpl w:val="32B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057136F"/>
    <w:multiLevelType w:val="hybridMultilevel"/>
    <w:tmpl w:val="176A9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2EC173F"/>
    <w:multiLevelType w:val="hybridMultilevel"/>
    <w:tmpl w:val="E5FC8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72643A5"/>
    <w:multiLevelType w:val="hybridMultilevel"/>
    <w:tmpl w:val="93247A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D7B24E6"/>
    <w:multiLevelType w:val="hybridMultilevel"/>
    <w:tmpl w:val="7614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3447586">
    <w:abstractNumId w:val="18"/>
  </w:num>
  <w:num w:numId="2" w16cid:durableId="765421151">
    <w:abstractNumId w:val="5"/>
  </w:num>
  <w:num w:numId="3" w16cid:durableId="290791179">
    <w:abstractNumId w:val="51"/>
  </w:num>
  <w:num w:numId="4" w16cid:durableId="557057518">
    <w:abstractNumId w:val="30"/>
  </w:num>
  <w:num w:numId="5" w16cid:durableId="1952087033">
    <w:abstractNumId w:val="31"/>
  </w:num>
  <w:num w:numId="6" w16cid:durableId="417797251">
    <w:abstractNumId w:val="9"/>
  </w:num>
  <w:num w:numId="7" w16cid:durableId="342707176">
    <w:abstractNumId w:val="13"/>
  </w:num>
  <w:num w:numId="8" w16cid:durableId="1836994233">
    <w:abstractNumId w:val="19"/>
  </w:num>
  <w:num w:numId="9" w16cid:durableId="763648232">
    <w:abstractNumId w:val="23"/>
  </w:num>
  <w:num w:numId="10" w16cid:durableId="607665152">
    <w:abstractNumId w:val="37"/>
  </w:num>
  <w:num w:numId="11" w16cid:durableId="1798599169">
    <w:abstractNumId w:val="11"/>
  </w:num>
  <w:num w:numId="12" w16cid:durableId="2047022696">
    <w:abstractNumId w:val="42"/>
  </w:num>
  <w:num w:numId="13" w16cid:durableId="146559641">
    <w:abstractNumId w:val="17"/>
  </w:num>
  <w:num w:numId="14" w16cid:durableId="933903212">
    <w:abstractNumId w:val="35"/>
  </w:num>
  <w:num w:numId="15" w16cid:durableId="1851219790">
    <w:abstractNumId w:val="40"/>
  </w:num>
  <w:num w:numId="16" w16cid:durableId="1092118550">
    <w:abstractNumId w:val="14"/>
  </w:num>
  <w:num w:numId="17" w16cid:durableId="1867056002">
    <w:abstractNumId w:val="18"/>
  </w:num>
  <w:num w:numId="18" w16cid:durableId="1955943040">
    <w:abstractNumId w:val="0"/>
  </w:num>
  <w:num w:numId="19" w16cid:durableId="177280180">
    <w:abstractNumId w:val="2"/>
  </w:num>
  <w:num w:numId="20" w16cid:durableId="634412311">
    <w:abstractNumId w:val="16"/>
  </w:num>
  <w:num w:numId="21" w16cid:durableId="1186944105">
    <w:abstractNumId w:val="22"/>
  </w:num>
  <w:num w:numId="22" w16cid:durableId="1500122473">
    <w:abstractNumId w:val="10"/>
  </w:num>
  <w:num w:numId="23" w16cid:durableId="1823545580">
    <w:abstractNumId w:val="24"/>
  </w:num>
  <w:num w:numId="24" w16cid:durableId="1598640007">
    <w:abstractNumId w:val="54"/>
  </w:num>
  <w:num w:numId="25" w16cid:durableId="1064911153">
    <w:abstractNumId w:val="58"/>
  </w:num>
  <w:num w:numId="26" w16cid:durableId="920602857">
    <w:abstractNumId w:val="1"/>
  </w:num>
  <w:num w:numId="27" w16cid:durableId="2132937541">
    <w:abstractNumId w:val="34"/>
  </w:num>
  <w:num w:numId="28" w16cid:durableId="1893078295">
    <w:abstractNumId w:val="18"/>
  </w:num>
  <w:num w:numId="29" w16cid:durableId="1922719248">
    <w:abstractNumId w:val="29"/>
  </w:num>
  <w:num w:numId="30" w16cid:durableId="1459763100">
    <w:abstractNumId w:val="36"/>
  </w:num>
  <w:num w:numId="31" w16cid:durableId="209608233">
    <w:abstractNumId w:val="41"/>
  </w:num>
  <w:num w:numId="32" w16cid:durableId="917784249">
    <w:abstractNumId w:val="13"/>
  </w:num>
  <w:num w:numId="33" w16cid:durableId="421802088">
    <w:abstractNumId w:val="20"/>
  </w:num>
  <w:num w:numId="34" w16cid:durableId="1531607336">
    <w:abstractNumId w:val="13"/>
  </w:num>
  <w:num w:numId="35" w16cid:durableId="1221163698">
    <w:abstractNumId w:val="52"/>
  </w:num>
  <w:num w:numId="36" w16cid:durableId="2024818478">
    <w:abstractNumId w:val="59"/>
  </w:num>
  <w:num w:numId="37" w16cid:durableId="1052072033">
    <w:abstractNumId w:val="13"/>
  </w:num>
  <w:num w:numId="38" w16cid:durableId="1306163233">
    <w:abstractNumId w:val="13"/>
  </w:num>
  <w:num w:numId="39" w16cid:durableId="1658651451">
    <w:abstractNumId w:val="7"/>
  </w:num>
  <w:num w:numId="40" w16cid:durableId="870343121">
    <w:abstractNumId w:val="32"/>
  </w:num>
  <w:num w:numId="41" w16cid:durableId="1205480134">
    <w:abstractNumId w:val="13"/>
  </w:num>
  <w:num w:numId="42" w16cid:durableId="1658412677">
    <w:abstractNumId w:val="44"/>
  </w:num>
  <w:num w:numId="43" w16cid:durableId="859314079">
    <w:abstractNumId w:val="57"/>
  </w:num>
  <w:num w:numId="44" w16cid:durableId="1661032402">
    <w:abstractNumId w:val="6"/>
  </w:num>
  <w:num w:numId="45" w16cid:durableId="1429157924">
    <w:abstractNumId w:val="21"/>
  </w:num>
  <w:num w:numId="46" w16cid:durableId="1244144877">
    <w:abstractNumId w:val="25"/>
  </w:num>
  <w:num w:numId="47" w16cid:durableId="2109504123">
    <w:abstractNumId w:val="45"/>
  </w:num>
  <w:num w:numId="48" w16cid:durableId="1178271926">
    <w:abstractNumId w:val="39"/>
  </w:num>
  <w:num w:numId="49" w16cid:durableId="1773741107">
    <w:abstractNumId w:val="4"/>
  </w:num>
  <w:num w:numId="50" w16cid:durableId="1832407217">
    <w:abstractNumId w:val="47"/>
  </w:num>
  <w:num w:numId="51" w16cid:durableId="91435984">
    <w:abstractNumId w:val="12"/>
  </w:num>
  <w:num w:numId="52" w16cid:durableId="2095855629">
    <w:abstractNumId w:val="3"/>
  </w:num>
  <w:num w:numId="53" w16cid:durableId="223951764">
    <w:abstractNumId w:val="50"/>
  </w:num>
  <w:num w:numId="54" w16cid:durableId="1335376424">
    <w:abstractNumId w:val="53"/>
  </w:num>
  <w:num w:numId="55" w16cid:durableId="965239555">
    <w:abstractNumId w:val="28"/>
  </w:num>
  <w:num w:numId="56" w16cid:durableId="1650741396">
    <w:abstractNumId w:val="49"/>
  </w:num>
  <w:num w:numId="57" w16cid:durableId="193078751">
    <w:abstractNumId w:val="8"/>
  </w:num>
  <w:num w:numId="58" w16cid:durableId="1008946076">
    <w:abstractNumId w:val="48"/>
  </w:num>
  <w:num w:numId="59" w16cid:durableId="207376702">
    <w:abstractNumId w:val="55"/>
  </w:num>
  <w:num w:numId="60" w16cid:durableId="951210505">
    <w:abstractNumId w:val="56"/>
  </w:num>
  <w:num w:numId="61" w16cid:durableId="181285899">
    <w:abstractNumId w:val="26"/>
  </w:num>
  <w:num w:numId="62" w16cid:durableId="778185089">
    <w:abstractNumId w:val="13"/>
  </w:num>
  <w:num w:numId="63" w16cid:durableId="533884385">
    <w:abstractNumId w:val="13"/>
  </w:num>
  <w:num w:numId="64" w16cid:durableId="279528661">
    <w:abstractNumId w:val="13"/>
  </w:num>
  <w:num w:numId="65" w16cid:durableId="549727259">
    <w:abstractNumId w:val="46"/>
  </w:num>
  <w:num w:numId="66" w16cid:durableId="12657388">
    <w:abstractNumId w:val="43"/>
  </w:num>
  <w:num w:numId="67" w16cid:durableId="1364135815">
    <w:abstractNumId w:val="15"/>
  </w:num>
  <w:num w:numId="68" w16cid:durableId="180241651">
    <w:abstractNumId w:val="13"/>
  </w:num>
  <w:num w:numId="69" w16cid:durableId="1692993515">
    <w:abstractNumId w:val="27"/>
  </w:num>
  <w:num w:numId="70" w16cid:durableId="2023900221">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EB"/>
    <w:rsid w:val="000002FE"/>
    <w:rsid w:val="00002266"/>
    <w:rsid w:val="00003D97"/>
    <w:rsid w:val="00010CAE"/>
    <w:rsid w:val="000119FB"/>
    <w:rsid w:val="0001472D"/>
    <w:rsid w:val="0001689B"/>
    <w:rsid w:val="000229A9"/>
    <w:rsid w:val="000321C7"/>
    <w:rsid w:val="00033904"/>
    <w:rsid w:val="0003666C"/>
    <w:rsid w:val="00036E80"/>
    <w:rsid w:val="00043564"/>
    <w:rsid w:val="00045AEF"/>
    <w:rsid w:val="0005683F"/>
    <w:rsid w:val="00057107"/>
    <w:rsid w:val="000604B6"/>
    <w:rsid w:val="000613A0"/>
    <w:rsid w:val="00063DDA"/>
    <w:rsid w:val="00070375"/>
    <w:rsid w:val="00075FA3"/>
    <w:rsid w:val="000814FA"/>
    <w:rsid w:val="0009123A"/>
    <w:rsid w:val="00095570"/>
    <w:rsid w:val="000A1EC0"/>
    <w:rsid w:val="000A4451"/>
    <w:rsid w:val="000A57EB"/>
    <w:rsid w:val="000A6F6D"/>
    <w:rsid w:val="000A7496"/>
    <w:rsid w:val="000A7EB1"/>
    <w:rsid w:val="000C4785"/>
    <w:rsid w:val="000C4ACE"/>
    <w:rsid w:val="000D0313"/>
    <w:rsid w:val="000D4BAA"/>
    <w:rsid w:val="000D5106"/>
    <w:rsid w:val="000D77A1"/>
    <w:rsid w:val="000E08D2"/>
    <w:rsid w:val="000E4EDC"/>
    <w:rsid w:val="000F073F"/>
    <w:rsid w:val="000F3767"/>
    <w:rsid w:val="000F4F20"/>
    <w:rsid w:val="00101F34"/>
    <w:rsid w:val="001062C5"/>
    <w:rsid w:val="00111A53"/>
    <w:rsid w:val="00111D14"/>
    <w:rsid w:val="00113643"/>
    <w:rsid w:val="00117D2B"/>
    <w:rsid w:val="001232B3"/>
    <w:rsid w:val="00123C3A"/>
    <w:rsid w:val="00126DDB"/>
    <w:rsid w:val="00127CC2"/>
    <w:rsid w:val="00133F45"/>
    <w:rsid w:val="0013514F"/>
    <w:rsid w:val="00135DC8"/>
    <w:rsid w:val="001361CB"/>
    <w:rsid w:val="00141036"/>
    <w:rsid w:val="001421F0"/>
    <w:rsid w:val="00150A68"/>
    <w:rsid w:val="00151AE9"/>
    <w:rsid w:val="00151BD6"/>
    <w:rsid w:val="00153B70"/>
    <w:rsid w:val="00155869"/>
    <w:rsid w:val="00156577"/>
    <w:rsid w:val="00161AA0"/>
    <w:rsid w:val="001652DD"/>
    <w:rsid w:val="00166EE0"/>
    <w:rsid w:val="001774F4"/>
    <w:rsid w:val="00180010"/>
    <w:rsid w:val="00181C58"/>
    <w:rsid w:val="00182090"/>
    <w:rsid w:val="00184D39"/>
    <w:rsid w:val="00190411"/>
    <w:rsid w:val="001A0045"/>
    <w:rsid w:val="001A05BE"/>
    <w:rsid w:val="001A0D04"/>
    <w:rsid w:val="001A1C31"/>
    <w:rsid w:val="001A68A6"/>
    <w:rsid w:val="001B0506"/>
    <w:rsid w:val="001B5309"/>
    <w:rsid w:val="001B5A20"/>
    <w:rsid w:val="001B6DE4"/>
    <w:rsid w:val="001B7269"/>
    <w:rsid w:val="001C12DF"/>
    <w:rsid w:val="001C4976"/>
    <w:rsid w:val="001D2296"/>
    <w:rsid w:val="001D2582"/>
    <w:rsid w:val="001D3B03"/>
    <w:rsid w:val="001D67FA"/>
    <w:rsid w:val="001E334C"/>
    <w:rsid w:val="001E6C8E"/>
    <w:rsid w:val="001F0623"/>
    <w:rsid w:val="00201387"/>
    <w:rsid w:val="00211B6C"/>
    <w:rsid w:val="00212156"/>
    <w:rsid w:val="00212AF2"/>
    <w:rsid w:val="00213CE6"/>
    <w:rsid w:val="00214E40"/>
    <w:rsid w:val="00222618"/>
    <w:rsid w:val="00222C15"/>
    <w:rsid w:val="00223009"/>
    <w:rsid w:val="00224513"/>
    <w:rsid w:val="00230874"/>
    <w:rsid w:val="00233DC3"/>
    <w:rsid w:val="0023487E"/>
    <w:rsid w:val="00235CAB"/>
    <w:rsid w:val="002440CA"/>
    <w:rsid w:val="00245615"/>
    <w:rsid w:val="00247D4D"/>
    <w:rsid w:val="00250AB1"/>
    <w:rsid w:val="002558AF"/>
    <w:rsid w:val="00255C96"/>
    <w:rsid w:val="0026073D"/>
    <w:rsid w:val="00270C24"/>
    <w:rsid w:val="00276EBA"/>
    <w:rsid w:val="0028219C"/>
    <w:rsid w:val="00286674"/>
    <w:rsid w:val="00287B9C"/>
    <w:rsid w:val="00294BCC"/>
    <w:rsid w:val="002A4965"/>
    <w:rsid w:val="002B2628"/>
    <w:rsid w:val="002B2D34"/>
    <w:rsid w:val="002D47A6"/>
    <w:rsid w:val="002E1995"/>
    <w:rsid w:val="002E5816"/>
    <w:rsid w:val="002F2286"/>
    <w:rsid w:val="00303365"/>
    <w:rsid w:val="003075C5"/>
    <w:rsid w:val="00307758"/>
    <w:rsid w:val="0031664C"/>
    <w:rsid w:val="00316680"/>
    <w:rsid w:val="00324A95"/>
    <w:rsid w:val="003257F6"/>
    <w:rsid w:val="003330E6"/>
    <w:rsid w:val="00340AD3"/>
    <w:rsid w:val="00346066"/>
    <w:rsid w:val="003472CF"/>
    <w:rsid w:val="00350423"/>
    <w:rsid w:val="00352BD0"/>
    <w:rsid w:val="00353B3E"/>
    <w:rsid w:val="00354895"/>
    <w:rsid w:val="00354D58"/>
    <w:rsid w:val="00355739"/>
    <w:rsid w:val="00360438"/>
    <w:rsid w:val="00362226"/>
    <w:rsid w:val="00362886"/>
    <w:rsid w:val="00374043"/>
    <w:rsid w:val="0037542E"/>
    <w:rsid w:val="00375B12"/>
    <w:rsid w:val="003806DE"/>
    <w:rsid w:val="00384C99"/>
    <w:rsid w:val="003860D6"/>
    <w:rsid w:val="00392799"/>
    <w:rsid w:val="00395E5F"/>
    <w:rsid w:val="00396735"/>
    <w:rsid w:val="003A2B85"/>
    <w:rsid w:val="003A5CFE"/>
    <w:rsid w:val="003B6A7A"/>
    <w:rsid w:val="003B7B14"/>
    <w:rsid w:val="003C2F94"/>
    <w:rsid w:val="003C36AC"/>
    <w:rsid w:val="003C514C"/>
    <w:rsid w:val="003D1768"/>
    <w:rsid w:val="003D4566"/>
    <w:rsid w:val="003D4B09"/>
    <w:rsid w:val="003D4C19"/>
    <w:rsid w:val="003D6483"/>
    <w:rsid w:val="003E2C12"/>
    <w:rsid w:val="003E49DE"/>
    <w:rsid w:val="003E5E9F"/>
    <w:rsid w:val="004025A7"/>
    <w:rsid w:val="004042CC"/>
    <w:rsid w:val="00404DCD"/>
    <w:rsid w:val="00405622"/>
    <w:rsid w:val="0040689E"/>
    <w:rsid w:val="00410615"/>
    <w:rsid w:val="00410A3A"/>
    <w:rsid w:val="00423276"/>
    <w:rsid w:val="00423286"/>
    <w:rsid w:val="00431C51"/>
    <w:rsid w:val="00435BD2"/>
    <w:rsid w:val="0044459A"/>
    <w:rsid w:val="00445DD1"/>
    <w:rsid w:val="00450202"/>
    <w:rsid w:val="00450B57"/>
    <w:rsid w:val="004519B2"/>
    <w:rsid w:val="00452C35"/>
    <w:rsid w:val="004563DF"/>
    <w:rsid w:val="00461997"/>
    <w:rsid w:val="004624D0"/>
    <w:rsid w:val="0046611C"/>
    <w:rsid w:val="004701CF"/>
    <w:rsid w:val="0047758B"/>
    <w:rsid w:val="004820E9"/>
    <w:rsid w:val="0048361F"/>
    <w:rsid w:val="004866A3"/>
    <w:rsid w:val="00497E5D"/>
    <w:rsid w:val="004A1476"/>
    <w:rsid w:val="004A46F8"/>
    <w:rsid w:val="004A4FDA"/>
    <w:rsid w:val="004B08E5"/>
    <w:rsid w:val="004B1839"/>
    <w:rsid w:val="004B514C"/>
    <w:rsid w:val="004C0804"/>
    <w:rsid w:val="004C128D"/>
    <w:rsid w:val="004C2E09"/>
    <w:rsid w:val="004C687B"/>
    <w:rsid w:val="004D3B1B"/>
    <w:rsid w:val="004D60B3"/>
    <w:rsid w:val="004D6A7F"/>
    <w:rsid w:val="004D7C0F"/>
    <w:rsid w:val="004E2144"/>
    <w:rsid w:val="004E30A1"/>
    <w:rsid w:val="004F0733"/>
    <w:rsid w:val="004F0C97"/>
    <w:rsid w:val="005032BE"/>
    <w:rsid w:val="0050410A"/>
    <w:rsid w:val="00515DF9"/>
    <w:rsid w:val="00525C6B"/>
    <w:rsid w:val="00526C07"/>
    <w:rsid w:val="00531AA7"/>
    <w:rsid w:val="0053387C"/>
    <w:rsid w:val="00534E3F"/>
    <w:rsid w:val="00537FDB"/>
    <w:rsid w:val="00544A92"/>
    <w:rsid w:val="0056014D"/>
    <w:rsid w:val="00565924"/>
    <w:rsid w:val="00566EDE"/>
    <w:rsid w:val="005860F4"/>
    <w:rsid w:val="00594E8D"/>
    <w:rsid w:val="00596D76"/>
    <w:rsid w:val="005A49DD"/>
    <w:rsid w:val="005A4BBB"/>
    <w:rsid w:val="005A6186"/>
    <w:rsid w:val="005A6493"/>
    <w:rsid w:val="005B17A0"/>
    <w:rsid w:val="005B3E16"/>
    <w:rsid w:val="005B5EBE"/>
    <w:rsid w:val="005B7567"/>
    <w:rsid w:val="005C051F"/>
    <w:rsid w:val="005C23B5"/>
    <w:rsid w:val="005C54F2"/>
    <w:rsid w:val="005C59FD"/>
    <w:rsid w:val="005C762E"/>
    <w:rsid w:val="005C7BC0"/>
    <w:rsid w:val="005C7CD0"/>
    <w:rsid w:val="005D098C"/>
    <w:rsid w:val="005D09A9"/>
    <w:rsid w:val="005D0A7B"/>
    <w:rsid w:val="005D0C10"/>
    <w:rsid w:val="005D1D4D"/>
    <w:rsid w:val="005D5132"/>
    <w:rsid w:val="005D7591"/>
    <w:rsid w:val="005D7E50"/>
    <w:rsid w:val="005E2156"/>
    <w:rsid w:val="005E2186"/>
    <w:rsid w:val="005E4BB3"/>
    <w:rsid w:val="005E6525"/>
    <w:rsid w:val="005F0D52"/>
    <w:rsid w:val="005F4990"/>
    <w:rsid w:val="005F4B12"/>
    <w:rsid w:val="005F5A20"/>
    <w:rsid w:val="005F6680"/>
    <w:rsid w:val="00603B68"/>
    <w:rsid w:val="00603E56"/>
    <w:rsid w:val="00605DBA"/>
    <w:rsid w:val="0060662A"/>
    <w:rsid w:val="006120E4"/>
    <w:rsid w:val="006149D8"/>
    <w:rsid w:val="00614BDA"/>
    <w:rsid w:val="00623C7A"/>
    <w:rsid w:val="00630FA4"/>
    <w:rsid w:val="00631281"/>
    <w:rsid w:val="006331B4"/>
    <w:rsid w:val="00633244"/>
    <w:rsid w:val="00633EB9"/>
    <w:rsid w:val="006343F3"/>
    <w:rsid w:val="00637BEF"/>
    <w:rsid w:val="00642906"/>
    <w:rsid w:val="006477DF"/>
    <w:rsid w:val="00652DEC"/>
    <w:rsid w:val="00655682"/>
    <w:rsid w:val="00657FFE"/>
    <w:rsid w:val="006609A2"/>
    <w:rsid w:val="00664651"/>
    <w:rsid w:val="00665B4D"/>
    <w:rsid w:val="00666C9B"/>
    <w:rsid w:val="0066790C"/>
    <w:rsid w:val="00670C7B"/>
    <w:rsid w:val="00671A73"/>
    <w:rsid w:val="00672287"/>
    <w:rsid w:val="00674028"/>
    <w:rsid w:val="006742BF"/>
    <w:rsid w:val="00675AD7"/>
    <w:rsid w:val="006909DC"/>
    <w:rsid w:val="006912B3"/>
    <w:rsid w:val="00691B6F"/>
    <w:rsid w:val="00691EF9"/>
    <w:rsid w:val="00692A69"/>
    <w:rsid w:val="0069368C"/>
    <w:rsid w:val="00695031"/>
    <w:rsid w:val="00697D7D"/>
    <w:rsid w:val="006A721F"/>
    <w:rsid w:val="006A7CC2"/>
    <w:rsid w:val="006B4135"/>
    <w:rsid w:val="006B5DD0"/>
    <w:rsid w:val="006D60F6"/>
    <w:rsid w:val="006D73F1"/>
    <w:rsid w:val="006E3E9D"/>
    <w:rsid w:val="006E3FE5"/>
    <w:rsid w:val="006E4732"/>
    <w:rsid w:val="006F49E9"/>
    <w:rsid w:val="006F5092"/>
    <w:rsid w:val="00701208"/>
    <w:rsid w:val="00702FEE"/>
    <w:rsid w:val="007032F5"/>
    <w:rsid w:val="0070633F"/>
    <w:rsid w:val="007100CD"/>
    <w:rsid w:val="00710E40"/>
    <w:rsid w:val="007110A7"/>
    <w:rsid w:val="007129F8"/>
    <w:rsid w:val="00716EE8"/>
    <w:rsid w:val="00720994"/>
    <w:rsid w:val="007227E3"/>
    <w:rsid w:val="0072426F"/>
    <w:rsid w:val="00730645"/>
    <w:rsid w:val="00732404"/>
    <w:rsid w:val="00732519"/>
    <w:rsid w:val="00736115"/>
    <w:rsid w:val="00745DA3"/>
    <w:rsid w:val="00754FCE"/>
    <w:rsid w:val="00764A0F"/>
    <w:rsid w:val="00766281"/>
    <w:rsid w:val="00770299"/>
    <w:rsid w:val="007727FF"/>
    <w:rsid w:val="00774A9C"/>
    <w:rsid w:val="00776ACC"/>
    <w:rsid w:val="00777A88"/>
    <w:rsid w:val="0078571B"/>
    <w:rsid w:val="00786443"/>
    <w:rsid w:val="00791B5C"/>
    <w:rsid w:val="00791CCC"/>
    <w:rsid w:val="007928BB"/>
    <w:rsid w:val="007A174B"/>
    <w:rsid w:val="007A1B5B"/>
    <w:rsid w:val="007A25BD"/>
    <w:rsid w:val="007A4EEE"/>
    <w:rsid w:val="007B2CD2"/>
    <w:rsid w:val="007D014F"/>
    <w:rsid w:val="007D3DA6"/>
    <w:rsid w:val="007E1B0C"/>
    <w:rsid w:val="007E6039"/>
    <w:rsid w:val="007F073D"/>
    <w:rsid w:val="007F1E68"/>
    <w:rsid w:val="007F24A0"/>
    <w:rsid w:val="007F2BF7"/>
    <w:rsid w:val="007F2DB2"/>
    <w:rsid w:val="007F3D33"/>
    <w:rsid w:val="00810324"/>
    <w:rsid w:val="00812407"/>
    <w:rsid w:val="008211A6"/>
    <w:rsid w:val="00830D7E"/>
    <w:rsid w:val="00844AD9"/>
    <w:rsid w:val="00845AC2"/>
    <w:rsid w:val="008505C3"/>
    <w:rsid w:val="00851AA6"/>
    <w:rsid w:val="00854143"/>
    <w:rsid w:val="00855612"/>
    <w:rsid w:val="008600CC"/>
    <w:rsid w:val="00862C0C"/>
    <w:rsid w:val="00865368"/>
    <w:rsid w:val="00865586"/>
    <w:rsid w:val="008670B2"/>
    <w:rsid w:val="008708F7"/>
    <w:rsid w:val="008714AA"/>
    <w:rsid w:val="00874126"/>
    <w:rsid w:val="00881024"/>
    <w:rsid w:val="00886AAB"/>
    <w:rsid w:val="00886E63"/>
    <w:rsid w:val="008901B4"/>
    <w:rsid w:val="0089346D"/>
    <w:rsid w:val="00896D0F"/>
    <w:rsid w:val="008973E5"/>
    <w:rsid w:val="008977B9"/>
    <w:rsid w:val="00897C29"/>
    <w:rsid w:val="008B5850"/>
    <w:rsid w:val="008B66EC"/>
    <w:rsid w:val="008C06DF"/>
    <w:rsid w:val="008C1A81"/>
    <w:rsid w:val="008C4AF4"/>
    <w:rsid w:val="008C6489"/>
    <w:rsid w:val="008D1B18"/>
    <w:rsid w:val="008D40AA"/>
    <w:rsid w:val="008D4ACF"/>
    <w:rsid w:val="008D6069"/>
    <w:rsid w:val="008E469E"/>
    <w:rsid w:val="008E7585"/>
    <w:rsid w:val="008E76D4"/>
    <w:rsid w:val="008E7973"/>
    <w:rsid w:val="008F200F"/>
    <w:rsid w:val="008F3B8B"/>
    <w:rsid w:val="008F51DE"/>
    <w:rsid w:val="00906E2D"/>
    <w:rsid w:val="0091079F"/>
    <w:rsid w:val="00920208"/>
    <w:rsid w:val="00926FC2"/>
    <w:rsid w:val="00932CD6"/>
    <w:rsid w:val="00934997"/>
    <w:rsid w:val="0094366C"/>
    <w:rsid w:val="00943BCD"/>
    <w:rsid w:val="0094786B"/>
    <w:rsid w:val="00953ADF"/>
    <w:rsid w:val="00954976"/>
    <w:rsid w:val="00955DFD"/>
    <w:rsid w:val="00957C2A"/>
    <w:rsid w:val="00960994"/>
    <w:rsid w:val="0096660C"/>
    <w:rsid w:val="00966F91"/>
    <w:rsid w:val="00975EC4"/>
    <w:rsid w:val="009778C2"/>
    <w:rsid w:val="009853FD"/>
    <w:rsid w:val="00986220"/>
    <w:rsid w:val="00986702"/>
    <w:rsid w:val="00992D85"/>
    <w:rsid w:val="00994136"/>
    <w:rsid w:val="009A5189"/>
    <w:rsid w:val="009B297D"/>
    <w:rsid w:val="009B621A"/>
    <w:rsid w:val="009C336F"/>
    <w:rsid w:val="009C45D9"/>
    <w:rsid w:val="009C735A"/>
    <w:rsid w:val="009D2C1B"/>
    <w:rsid w:val="009D599A"/>
    <w:rsid w:val="009D5DF8"/>
    <w:rsid w:val="009D667B"/>
    <w:rsid w:val="009E19CD"/>
    <w:rsid w:val="009E23A6"/>
    <w:rsid w:val="009E50E1"/>
    <w:rsid w:val="009E7972"/>
    <w:rsid w:val="009F27AB"/>
    <w:rsid w:val="009F3ABE"/>
    <w:rsid w:val="009F4BDF"/>
    <w:rsid w:val="00A036C5"/>
    <w:rsid w:val="00A06657"/>
    <w:rsid w:val="00A0765D"/>
    <w:rsid w:val="00A07F72"/>
    <w:rsid w:val="00A11230"/>
    <w:rsid w:val="00A112AD"/>
    <w:rsid w:val="00A13AF4"/>
    <w:rsid w:val="00A1794D"/>
    <w:rsid w:val="00A17A54"/>
    <w:rsid w:val="00A20614"/>
    <w:rsid w:val="00A20C46"/>
    <w:rsid w:val="00A20E61"/>
    <w:rsid w:val="00A23712"/>
    <w:rsid w:val="00A320F3"/>
    <w:rsid w:val="00A33066"/>
    <w:rsid w:val="00A3618E"/>
    <w:rsid w:val="00A40610"/>
    <w:rsid w:val="00A51273"/>
    <w:rsid w:val="00A5536C"/>
    <w:rsid w:val="00A64E50"/>
    <w:rsid w:val="00A6705D"/>
    <w:rsid w:val="00A73BC8"/>
    <w:rsid w:val="00A80626"/>
    <w:rsid w:val="00A81E88"/>
    <w:rsid w:val="00A862E4"/>
    <w:rsid w:val="00A86D3D"/>
    <w:rsid w:val="00A94CDC"/>
    <w:rsid w:val="00AA1BA5"/>
    <w:rsid w:val="00AA4CBB"/>
    <w:rsid w:val="00AA6838"/>
    <w:rsid w:val="00AA685B"/>
    <w:rsid w:val="00AB2948"/>
    <w:rsid w:val="00AB39FA"/>
    <w:rsid w:val="00AC13A7"/>
    <w:rsid w:val="00AD6933"/>
    <w:rsid w:val="00AD6B7B"/>
    <w:rsid w:val="00AE4165"/>
    <w:rsid w:val="00AE5436"/>
    <w:rsid w:val="00AF40A8"/>
    <w:rsid w:val="00B008BC"/>
    <w:rsid w:val="00B0138D"/>
    <w:rsid w:val="00B014B3"/>
    <w:rsid w:val="00B021E2"/>
    <w:rsid w:val="00B033A7"/>
    <w:rsid w:val="00B063D2"/>
    <w:rsid w:val="00B0683D"/>
    <w:rsid w:val="00B103CF"/>
    <w:rsid w:val="00B164AE"/>
    <w:rsid w:val="00B2432B"/>
    <w:rsid w:val="00B2440C"/>
    <w:rsid w:val="00B25D2A"/>
    <w:rsid w:val="00B30714"/>
    <w:rsid w:val="00B364FB"/>
    <w:rsid w:val="00B36CA5"/>
    <w:rsid w:val="00B375E5"/>
    <w:rsid w:val="00B40DC9"/>
    <w:rsid w:val="00B41559"/>
    <w:rsid w:val="00B4730F"/>
    <w:rsid w:val="00B513C3"/>
    <w:rsid w:val="00B53632"/>
    <w:rsid w:val="00B546B0"/>
    <w:rsid w:val="00B60D70"/>
    <w:rsid w:val="00B63ECB"/>
    <w:rsid w:val="00B73084"/>
    <w:rsid w:val="00B8344D"/>
    <w:rsid w:val="00B84590"/>
    <w:rsid w:val="00B90C97"/>
    <w:rsid w:val="00BA7388"/>
    <w:rsid w:val="00BB047B"/>
    <w:rsid w:val="00BB6398"/>
    <w:rsid w:val="00BC0E86"/>
    <w:rsid w:val="00BC5C9F"/>
    <w:rsid w:val="00BD0372"/>
    <w:rsid w:val="00BE094F"/>
    <w:rsid w:val="00BE29E2"/>
    <w:rsid w:val="00BE3582"/>
    <w:rsid w:val="00BE6E56"/>
    <w:rsid w:val="00BE7C3C"/>
    <w:rsid w:val="00BF4AC9"/>
    <w:rsid w:val="00BF791F"/>
    <w:rsid w:val="00C043F7"/>
    <w:rsid w:val="00C139CA"/>
    <w:rsid w:val="00C2251C"/>
    <w:rsid w:val="00C25151"/>
    <w:rsid w:val="00C2694A"/>
    <w:rsid w:val="00C361D7"/>
    <w:rsid w:val="00C41B60"/>
    <w:rsid w:val="00C41F5A"/>
    <w:rsid w:val="00C469C1"/>
    <w:rsid w:val="00C47CC3"/>
    <w:rsid w:val="00C50D31"/>
    <w:rsid w:val="00C51429"/>
    <w:rsid w:val="00C52141"/>
    <w:rsid w:val="00C5523B"/>
    <w:rsid w:val="00C57EB9"/>
    <w:rsid w:val="00C57F78"/>
    <w:rsid w:val="00C60F2D"/>
    <w:rsid w:val="00C67CEA"/>
    <w:rsid w:val="00C67E56"/>
    <w:rsid w:val="00C81B66"/>
    <w:rsid w:val="00C87726"/>
    <w:rsid w:val="00CA215D"/>
    <w:rsid w:val="00CA3058"/>
    <w:rsid w:val="00CA3397"/>
    <w:rsid w:val="00CA3D27"/>
    <w:rsid w:val="00CA7C78"/>
    <w:rsid w:val="00CB146B"/>
    <w:rsid w:val="00CB641F"/>
    <w:rsid w:val="00CC1E4D"/>
    <w:rsid w:val="00CC4A6E"/>
    <w:rsid w:val="00CC4C35"/>
    <w:rsid w:val="00CC5585"/>
    <w:rsid w:val="00CC5E09"/>
    <w:rsid w:val="00CC6B50"/>
    <w:rsid w:val="00CD439F"/>
    <w:rsid w:val="00CD6133"/>
    <w:rsid w:val="00CE1BFA"/>
    <w:rsid w:val="00CE2291"/>
    <w:rsid w:val="00CE31A4"/>
    <w:rsid w:val="00CE7BB0"/>
    <w:rsid w:val="00CF457D"/>
    <w:rsid w:val="00CF7C81"/>
    <w:rsid w:val="00CF7D9F"/>
    <w:rsid w:val="00D07315"/>
    <w:rsid w:val="00D077C6"/>
    <w:rsid w:val="00D134E3"/>
    <w:rsid w:val="00D17173"/>
    <w:rsid w:val="00D27820"/>
    <w:rsid w:val="00D27C0E"/>
    <w:rsid w:val="00D3612A"/>
    <w:rsid w:val="00D37703"/>
    <w:rsid w:val="00D37F25"/>
    <w:rsid w:val="00D411FB"/>
    <w:rsid w:val="00D429A9"/>
    <w:rsid w:val="00D439AA"/>
    <w:rsid w:val="00D50DD8"/>
    <w:rsid w:val="00D51177"/>
    <w:rsid w:val="00D53CEB"/>
    <w:rsid w:val="00D57C37"/>
    <w:rsid w:val="00D64BA9"/>
    <w:rsid w:val="00D655CA"/>
    <w:rsid w:val="00D65ADD"/>
    <w:rsid w:val="00D73DD2"/>
    <w:rsid w:val="00D76420"/>
    <w:rsid w:val="00D77876"/>
    <w:rsid w:val="00D85E98"/>
    <w:rsid w:val="00DA7967"/>
    <w:rsid w:val="00DB11C5"/>
    <w:rsid w:val="00DB2E21"/>
    <w:rsid w:val="00DC0120"/>
    <w:rsid w:val="00DC0C58"/>
    <w:rsid w:val="00DC3DF1"/>
    <w:rsid w:val="00DC72EB"/>
    <w:rsid w:val="00DC7829"/>
    <w:rsid w:val="00DD552B"/>
    <w:rsid w:val="00DD5706"/>
    <w:rsid w:val="00DE01C7"/>
    <w:rsid w:val="00DE2054"/>
    <w:rsid w:val="00DE643F"/>
    <w:rsid w:val="00DE6F78"/>
    <w:rsid w:val="00DF3098"/>
    <w:rsid w:val="00DF6C7C"/>
    <w:rsid w:val="00E04A43"/>
    <w:rsid w:val="00E05BB5"/>
    <w:rsid w:val="00E10CBD"/>
    <w:rsid w:val="00E112C2"/>
    <w:rsid w:val="00E17E9E"/>
    <w:rsid w:val="00E223D3"/>
    <w:rsid w:val="00E24E64"/>
    <w:rsid w:val="00E33067"/>
    <w:rsid w:val="00E356FB"/>
    <w:rsid w:val="00E37B26"/>
    <w:rsid w:val="00E40387"/>
    <w:rsid w:val="00E41387"/>
    <w:rsid w:val="00E43734"/>
    <w:rsid w:val="00E43EC1"/>
    <w:rsid w:val="00E45620"/>
    <w:rsid w:val="00E45E85"/>
    <w:rsid w:val="00E4622C"/>
    <w:rsid w:val="00E46571"/>
    <w:rsid w:val="00E47CAC"/>
    <w:rsid w:val="00E50FF4"/>
    <w:rsid w:val="00E51B6E"/>
    <w:rsid w:val="00E51FFB"/>
    <w:rsid w:val="00E526D7"/>
    <w:rsid w:val="00E53E9F"/>
    <w:rsid w:val="00E76D48"/>
    <w:rsid w:val="00E81551"/>
    <w:rsid w:val="00E82A6F"/>
    <w:rsid w:val="00E84EDB"/>
    <w:rsid w:val="00E85F0F"/>
    <w:rsid w:val="00E86D28"/>
    <w:rsid w:val="00E94646"/>
    <w:rsid w:val="00E960E6"/>
    <w:rsid w:val="00E964C1"/>
    <w:rsid w:val="00EB0E73"/>
    <w:rsid w:val="00EB0F97"/>
    <w:rsid w:val="00EB11E0"/>
    <w:rsid w:val="00EB1D58"/>
    <w:rsid w:val="00EB6C77"/>
    <w:rsid w:val="00EB6DA4"/>
    <w:rsid w:val="00EC35A2"/>
    <w:rsid w:val="00EC493B"/>
    <w:rsid w:val="00EC4C2B"/>
    <w:rsid w:val="00EC5AEC"/>
    <w:rsid w:val="00EC629C"/>
    <w:rsid w:val="00ED7448"/>
    <w:rsid w:val="00ED7804"/>
    <w:rsid w:val="00EE3EF4"/>
    <w:rsid w:val="00EE685E"/>
    <w:rsid w:val="00F02C71"/>
    <w:rsid w:val="00F04550"/>
    <w:rsid w:val="00F06FFE"/>
    <w:rsid w:val="00F118F9"/>
    <w:rsid w:val="00F169CA"/>
    <w:rsid w:val="00F17988"/>
    <w:rsid w:val="00F20765"/>
    <w:rsid w:val="00F2083A"/>
    <w:rsid w:val="00F21382"/>
    <w:rsid w:val="00F21526"/>
    <w:rsid w:val="00F25D0D"/>
    <w:rsid w:val="00F26A9F"/>
    <w:rsid w:val="00F26E68"/>
    <w:rsid w:val="00F26F71"/>
    <w:rsid w:val="00F27043"/>
    <w:rsid w:val="00F32354"/>
    <w:rsid w:val="00F3604C"/>
    <w:rsid w:val="00F41688"/>
    <w:rsid w:val="00F45D7B"/>
    <w:rsid w:val="00F4797D"/>
    <w:rsid w:val="00F50E72"/>
    <w:rsid w:val="00F525A9"/>
    <w:rsid w:val="00F543E7"/>
    <w:rsid w:val="00F60657"/>
    <w:rsid w:val="00F613C1"/>
    <w:rsid w:val="00F626CE"/>
    <w:rsid w:val="00F63037"/>
    <w:rsid w:val="00F649F2"/>
    <w:rsid w:val="00F70DA7"/>
    <w:rsid w:val="00F7261F"/>
    <w:rsid w:val="00F74C8C"/>
    <w:rsid w:val="00F86B00"/>
    <w:rsid w:val="00F91718"/>
    <w:rsid w:val="00F95BF9"/>
    <w:rsid w:val="00F97A41"/>
    <w:rsid w:val="00F97F5A"/>
    <w:rsid w:val="00FA2434"/>
    <w:rsid w:val="00FA73BE"/>
    <w:rsid w:val="00FB0094"/>
    <w:rsid w:val="00FB4605"/>
    <w:rsid w:val="00FB4EB9"/>
    <w:rsid w:val="00FC0F8C"/>
    <w:rsid w:val="00FC3B7B"/>
    <w:rsid w:val="00FD594C"/>
    <w:rsid w:val="00FE78E1"/>
    <w:rsid w:val="00FF33AB"/>
    <w:rsid w:val="00FF38A4"/>
    <w:rsid w:val="00FF5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E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77876"/>
    <w:rPr>
      <w:sz w:val="24"/>
      <w:szCs w:val="24"/>
      <w:lang w:eastAsia="en-US"/>
    </w:rPr>
  </w:style>
  <w:style w:type="paragraph" w:styleId="Heading1">
    <w:name w:val="heading 1"/>
    <w:basedOn w:val="Normal"/>
    <w:next w:val="NICEnormal"/>
    <w:link w:val="Heading1Char"/>
    <w:qFormat/>
    <w:rsid w:val="007F24A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F24A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F24A0"/>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7F24A0"/>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qFormat/>
    <w:rsid w:val="00F26E68"/>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tabs>
        <w:tab w:val="clear" w:pos="2127"/>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7F24A0"/>
    <w:rPr>
      <w:rFonts w:ascii="Arial" w:hAnsi="Arial" w:cs="Arial"/>
      <w:b/>
      <w:bCs/>
      <w:kern w:val="32"/>
      <w:sz w:val="32"/>
      <w:szCs w:val="32"/>
      <w:lang w:eastAsia="en-US"/>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F24A0"/>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uiPriority w:val="39"/>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6"/>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customStyle="1" w:styleId="Panelbullet1">
    <w:name w:val="Panel bullet 1"/>
    <w:basedOn w:val="Normal"/>
    <w:qFormat/>
    <w:rsid w:val="00DB11C5"/>
    <w:pPr>
      <w:numPr>
        <w:numId w:val="31"/>
      </w:numPr>
      <w:tabs>
        <w:tab w:val="num" w:pos="360"/>
        <w:tab w:val="num" w:pos="1134"/>
      </w:tabs>
      <w:contextualSpacing/>
    </w:pPr>
    <w:rPr>
      <w:rFonts w:ascii="Arial" w:hAnsi="Arial"/>
    </w:rPr>
  </w:style>
  <w:style w:type="character" w:styleId="UnresolvedMention">
    <w:name w:val="Unresolved Mention"/>
    <w:basedOn w:val="DefaultParagraphFont"/>
    <w:uiPriority w:val="99"/>
    <w:semiHidden/>
    <w:unhideWhenUsed/>
    <w:rsid w:val="004C128D"/>
    <w:rPr>
      <w:color w:val="605E5C"/>
      <w:shd w:val="clear" w:color="auto" w:fill="E1DFDD"/>
    </w:rPr>
  </w:style>
  <w:style w:type="character" w:customStyle="1" w:styleId="Heading4Char">
    <w:name w:val="Heading 4 Char"/>
    <w:basedOn w:val="DefaultParagraphFont"/>
    <w:link w:val="Heading4"/>
    <w:rsid w:val="004C128D"/>
    <w:rPr>
      <w:rFonts w:ascii="Arial" w:hAnsi="Arial"/>
      <w:b/>
      <w:bCs/>
      <w:iCs/>
      <w:sz w:val="24"/>
      <w:szCs w:val="28"/>
      <w:lang w:eastAsia="en-US"/>
    </w:rPr>
  </w:style>
  <w:style w:type="paragraph" w:styleId="ListParagraph">
    <w:name w:val="List Paragraph"/>
    <w:basedOn w:val="Normal"/>
    <w:uiPriority w:val="34"/>
    <w:qFormat/>
    <w:rsid w:val="000D5106"/>
    <w:pPr>
      <w:ind w:left="720"/>
      <w:contextualSpacing/>
    </w:pPr>
  </w:style>
  <w:style w:type="paragraph" w:styleId="Revision">
    <w:name w:val="Revision"/>
    <w:hidden/>
    <w:uiPriority w:val="99"/>
    <w:semiHidden/>
    <w:rsid w:val="005F0D52"/>
    <w:rPr>
      <w:sz w:val="24"/>
      <w:szCs w:val="24"/>
      <w:lang w:eastAsia="en-US"/>
    </w:rPr>
  </w:style>
  <w:style w:type="paragraph" w:customStyle="1" w:styleId="p1">
    <w:name w:val="p1"/>
    <w:basedOn w:val="Normal"/>
    <w:rsid w:val="001C12DF"/>
    <w:rPr>
      <w:rFonts w:ascii="Helvetica" w:hAnsi="Helvetica"/>
      <w:color w:val="000000"/>
      <w:sz w:val="32"/>
      <w:szCs w:val="32"/>
      <w:lang w:eastAsia="en-GB"/>
    </w:rPr>
  </w:style>
  <w:style w:type="character" w:customStyle="1" w:styleId="s1">
    <w:name w:val="s1"/>
    <w:rsid w:val="001C12DF"/>
    <w:rPr>
      <w:rFonts w:ascii="Helvetica" w:hAnsi="Helvetica" w:hint="default"/>
      <w:b w:val="0"/>
      <w:bCs w:val="0"/>
      <w:i w:val="0"/>
      <w:iCs w:val="0"/>
      <w:sz w:val="32"/>
      <w:szCs w:val="32"/>
    </w:rPr>
  </w:style>
  <w:style w:type="character" w:customStyle="1" w:styleId="apple-converted-space">
    <w:name w:val="apple-converted-space"/>
    <w:basedOn w:val="DefaultParagraphFont"/>
    <w:rsid w:val="001C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gcs.org.uk/professionals/guidelines-for-recent-publications/" TargetMode="External"/><Relationship Id="rId13" Type="http://schemas.openxmlformats.org/officeDocument/2006/relationships/hyperlink" Target="https://www.england.nhs.uk/publication/national-genomic-test-directories/" TargetMode="External"/><Relationship Id="rId18" Type="http://schemas.openxmlformats.org/officeDocument/2006/relationships/footer" Target="footer1.xml"/><Relationship Id="rId26" Type="http://schemas.openxmlformats.org/officeDocument/2006/relationships/hyperlink" Target="https://journals.plos.org/plosmedicine/article?id=10.1371/journal.pmed.1003295" TargetMode="External"/><Relationship Id="rId3" Type="http://schemas.openxmlformats.org/officeDocument/2006/relationships/styles" Target="styles.xml"/><Relationship Id="rId21" Type="http://schemas.openxmlformats.org/officeDocument/2006/relationships/hyperlink" Target="https://journals.sagepub.com/doi/abs/10.1177/0272989X211022246" TargetMode="External"/><Relationship Id="rId7" Type="http://schemas.openxmlformats.org/officeDocument/2006/relationships/endnotes" Target="endnotes.xml"/><Relationship Id="rId12" Type="http://schemas.openxmlformats.org/officeDocument/2006/relationships/hyperlink" Target="https://www.nice.org.uk/guidance/qs18/chapter/Quality-statement-3-Advice" TargetMode="External"/><Relationship Id="rId17" Type="http://schemas.openxmlformats.org/officeDocument/2006/relationships/header" Target="header1.xml"/><Relationship Id="rId25" Type="http://schemas.openxmlformats.org/officeDocument/2006/relationships/hyperlink" Target="https://targetovariancancer.org.uk/sites/default/files/2023-09/Updated%20March%202023%20-%20FINAL%20Pathfinder%20report%20-%20digital%20with%20new%20logo.pdf" TargetMode="External"/><Relationship Id="rId2" Type="http://schemas.openxmlformats.org/officeDocument/2006/relationships/numbering" Target="numbering.xml"/><Relationship Id="rId16" Type="http://schemas.openxmlformats.org/officeDocument/2006/relationships/hyperlink" Target="https://www.nice.org.uk/terms-and-conditions" TargetMode="External"/><Relationship Id="rId20" Type="http://schemas.openxmlformats.org/officeDocument/2006/relationships/footer" Target="footer2.xml"/><Relationship Id="rId29" Type="http://schemas.openxmlformats.org/officeDocument/2006/relationships/hyperlink" Target="https://www.thebagp.org/wp-content/uploads/download-manager-files/BGCS-BAGP-genetic-testing-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8/chapter/Quality-statement-2-Ultrasound" TargetMode="External"/><Relationship Id="rId24" Type="http://schemas.openxmlformats.org/officeDocument/2006/relationships/hyperlink" Target="https://eur02.safelinks.protection.outlook.com/?url=https%3A%2F%2Fjournals.plos.org%2Fplosone%2Farticle%3Fid%3D10.1371%2Fjournal.pone.0159725&amp;data=05%7C02%7CRDowning%40targetovariancancer.org.uk%7Cc6e95c45f9114954ecff08dcd0cb0ef2%7Cc4dd118807924c2b823073f7b7d0bfcd%7C0%7C0%7C638614817752989377%7CUnknown%7CTWFpbGZsb3d8eyJWIjoiMC4wLjAwMDAiLCJQIjoiV2luMzIiLCJBTiI6Ik1haWwiLCJXVCI6Mn0%3D%7C0%7C%7C%7C&amp;sdata=zAXG3FCuOYW2p%2B7M3CCqIYVkrcBu5Glfjm2kRQHvQXc%3D&amp;reserved=0" TargetMode="External"/><Relationship Id="rId5" Type="http://schemas.openxmlformats.org/officeDocument/2006/relationships/webSettings" Target="webSettings.xml"/><Relationship Id="rId15" Type="http://schemas.openxmlformats.org/officeDocument/2006/relationships/hyperlink" Target="https://www.nice.org.uk/guidance/qs15" TargetMode="External"/><Relationship Id="rId23" Type="http://schemas.openxmlformats.org/officeDocument/2006/relationships/hyperlink" Target="https://targetovariancancer.org.uk/breaking-down-barriers-early-diagnosis-ovarian-cancer" TargetMode="External"/><Relationship Id="rId28" Type="http://schemas.openxmlformats.org/officeDocument/2006/relationships/hyperlink" Target="https://www.england.nhs.uk/wp-content/uploads/2024/07/national-genomic-test-directory-rare-and-inherited-disease-eligibility-criteria-v7.pdf" TargetMode="External"/><Relationship Id="rId10" Type="http://schemas.openxmlformats.org/officeDocument/2006/relationships/hyperlink" Target="https://www.nice.org.uk/guidance/ng12/resources/2024-exceptional-surveillance-of-suspected-cancer-recognition-and-referral-nice-guideline-ng12-13431994093/chapter/Surveillance-proposal?tab=evidence"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gland.nhs.uk/about/equality/equality-hub/patient-equalities-programme/equality-frameworks-and-information-standards/accessibleinfo/" TargetMode="External"/><Relationship Id="rId14" Type="http://schemas.openxmlformats.org/officeDocument/2006/relationships/hyperlink" Target="https://www.england.nhs.uk/publication/national-genomic-test-directories/" TargetMode="External"/><Relationship Id="rId22" Type="http://schemas.openxmlformats.org/officeDocument/2006/relationships/hyperlink" Target="doi:10.1016/j.ejogrb.2024.06.025" TargetMode="External"/><Relationship Id="rId27" Type="http://schemas.openxmlformats.org/officeDocument/2006/relationships/hyperlink" Target="https://www.thebagp.org/wp-content/uploads/download-manager-files/BGCS-BAGP-genetic-testing-final.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9531</Words>
  <Characters>57371</Characters>
  <Application>Microsoft Office Word</Application>
  <DocSecurity>0</DocSecurity>
  <Lines>478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2024-10-11T10:44:00Z</dcterms:created>
  <dcterms:modified xsi:type="dcterms:W3CDTF">2025-01-30T13:39:00Z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2025-01-28T15:20:25Z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bca116c9-a5b3-4d1d-8e79-372a767da6ea</vt:lpwstr>
  </property>
  <property fmtid="{D5CDD505-2E9C-101B-9397-08002B2CF9AE}" pid="8" name="MSIP_Label_c69d85d5-6d9e-4305-a294-1f636ec0f2d6_ContentBits">
    <vt:lpwstr>0</vt:lpwstr>
  </property>
</Properties>
</file>