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67464" w14:textId="77777777" w:rsidR="00DE6F78" w:rsidRPr="00712CAA" w:rsidRDefault="00DE6F78" w:rsidP="00DE6F78">
      <w:pPr>
        <w:pStyle w:val="Title"/>
      </w:pPr>
      <w:bookmarkStart w:id="0" w:name="_Toc357694774"/>
      <w:r w:rsidRPr="00712CAA">
        <w:t xml:space="preserve">NATIONAL INSTITUTE FOR HEALTH AND </w:t>
      </w:r>
      <w:r w:rsidRPr="00712CAA">
        <w:br/>
        <w:t xml:space="preserve">CARE </w:t>
      </w:r>
      <w:r w:rsidRPr="00914EA4">
        <w:t>EXCELLENCE</w:t>
      </w:r>
    </w:p>
    <w:p w14:paraId="13DBCC2A" w14:textId="77777777" w:rsidR="003C514C" w:rsidRDefault="0009123A" w:rsidP="00DE6F78">
      <w:pPr>
        <w:pStyle w:val="Title"/>
      </w:pPr>
      <w:r w:rsidRPr="00712CAA">
        <w:t>Q</w:t>
      </w:r>
      <w:r>
        <w:t>uality standard</w:t>
      </w:r>
      <w:r w:rsidR="003C514C">
        <w:t>s</w:t>
      </w:r>
    </w:p>
    <w:p w14:paraId="723424B2" w14:textId="5DC715EF" w:rsidR="00DE6F78" w:rsidRPr="00712CAA" w:rsidRDefault="003C514C" w:rsidP="003C514C">
      <w:pPr>
        <w:pStyle w:val="Title"/>
        <w:rPr>
          <w:b w:val="0"/>
          <w:bCs w:val="0"/>
          <w:sz w:val="32"/>
        </w:rPr>
      </w:pPr>
      <w:r>
        <w:t>C</w:t>
      </w:r>
      <w:r w:rsidR="0009123A">
        <w:t>onsultation summary report</w:t>
      </w:r>
      <w:r w:rsidR="004A1476">
        <w:t xml:space="preserve">: </w:t>
      </w:r>
      <w:r w:rsidR="00567AC6" w:rsidRPr="00567AC6">
        <w:t>Meningitis (bacterial) and meningococcal disease</w:t>
      </w:r>
      <w:r w:rsidR="00567AC6">
        <w:t xml:space="preserve"> update</w:t>
      </w:r>
    </w:p>
    <w:p w14:paraId="5570BEC4" w14:textId="4B4884DA" w:rsidR="00DE6F78" w:rsidRPr="003C514C" w:rsidRDefault="003C514C" w:rsidP="003C514C">
      <w:pPr>
        <w:pStyle w:val="Paragraph"/>
      </w:pPr>
      <w:r w:rsidRPr="003C514C">
        <w:rPr>
          <w:rStyle w:val="Addbold"/>
        </w:rPr>
        <w:t>Quality Standards Advisory Committee post-consultation meeting:</w:t>
      </w:r>
      <w:r w:rsidRPr="003C514C">
        <w:t xml:space="preserve"> </w:t>
      </w:r>
      <w:r w:rsidR="00097828">
        <w:t>10</w:t>
      </w:r>
      <w:r w:rsidR="00567AC6">
        <w:t xml:space="preserve"> September 2024</w:t>
      </w:r>
    </w:p>
    <w:p w14:paraId="61535A04" w14:textId="77777777" w:rsidR="00DE6F78" w:rsidRPr="00712CAA" w:rsidRDefault="00DE6F78" w:rsidP="00DE6F78">
      <w:pPr>
        <w:pStyle w:val="Numberedheading1"/>
        <w:numPr>
          <w:ilvl w:val="0"/>
          <w:numId w:val="1"/>
        </w:numPr>
      </w:pPr>
      <w:r w:rsidRPr="00712CAA">
        <w:t>Introduction</w:t>
      </w:r>
    </w:p>
    <w:p w14:paraId="55B12C1C" w14:textId="03324908" w:rsidR="00DE6F78" w:rsidRDefault="00DE6F78" w:rsidP="00DE6F78">
      <w:pPr>
        <w:pStyle w:val="NICEnormal"/>
      </w:pPr>
      <w:r w:rsidRPr="00712CAA">
        <w:t xml:space="preserve">The draft quality standard for </w:t>
      </w:r>
      <w:r w:rsidR="00567AC6">
        <w:t>m</w:t>
      </w:r>
      <w:r w:rsidR="00567AC6" w:rsidRPr="00567AC6">
        <w:t>eningitis (bacterial) and meningococcal disease</w:t>
      </w:r>
      <w:r w:rsidR="00567AC6">
        <w:t xml:space="preserve"> (update) was</w:t>
      </w:r>
      <w:r w:rsidRPr="00712CAA">
        <w:t xml:space="preserve"> </w:t>
      </w:r>
      <w:r>
        <w:t>made available on the NICE website</w:t>
      </w:r>
      <w:r w:rsidRPr="00712CAA">
        <w:t xml:space="preserve"> for </w:t>
      </w:r>
      <w:r>
        <w:t xml:space="preserve">a 4-week public </w:t>
      </w:r>
      <w:r w:rsidRPr="00712CAA">
        <w:t xml:space="preserve">consultation </w:t>
      </w:r>
      <w:r>
        <w:t xml:space="preserve">period </w:t>
      </w:r>
      <w:r w:rsidRPr="00712CAA">
        <w:t xml:space="preserve">between </w:t>
      </w:r>
      <w:r w:rsidR="00567AC6">
        <w:t>25 June and 23 July 2024</w:t>
      </w:r>
      <w:r w:rsidRPr="00914EA4">
        <w:t>.</w:t>
      </w:r>
      <w:r w:rsidRPr="00712CAA">
        <w:t xml:space="preserve"> </w:t>
      </w:r>
      <w:r w:rsidRPr="000B484F">
        <w:t xml:space="preserve">Registered stakeholders were notified by email and invited to submit consultation comments on the draft quality standard. General feedback </w:t>
      </w:r>
      <w:r>
        <w:t xml:space="preserve">on the quality standard </w:t>
      </w:r>
      <w:r w:rsidRPr="000B484F">
        <w:t>and comments on individual quality statements were accepted.</w:t>
      </w:r>
      <w:r>
        <w:t xml:space="preserve"> </w:t>
      </w:r>
    </w:p>
    <w:p w14:paraId="08F61427" w14:textId="6E15CD9E" w:rsidR="001774F4" w:rsidRDefault="00DE6F78" w:rsidP="004A1476">
      <w:pPr>
        <w:pStyle w:val="NICEnormal"/>
        <w:rPr>
          <w:rFonts w:cs="Arial"/>
          <w:b/>
          <w:bCs/>
        </w:rPr>
      </w:pPr>
      <w:r>
        <w:t xml:space="preserve">Comments were received from </w:t>
      </w:r>
      <w:r w:rsidR="00CA5039">
        <w:t>1</w:t>
      </w:r>
      <w:r w:rsidR="006B0DFA">
        <w:t>3</w:t>
      </w:r>
      <w:r>
        <w:t xml:space="preserve"> organisations, which included service </w:t>
      </w:r>
      <w:r w:rsidRPr="00632B2B">
        <w:t xml:space="preserve">providers, </w:t>
      </w:r>
      <w:r w:rsidRPr="00632B2B">
        <w:rPr>
          <w:rFonts w:cs="Arial"/>
          <w:color w:val="000000"/>
          <w:kern w:val="24"/>
          <w:lang w:eastAsia="en-GB"/>
        </w:rPr>
        <w:t>national organisations, professional bodies and others</w:t>
      </w:r>
      <w:r>
        <w:rPr>
          <w:rFonts w:cs="Arial"/>
          <w:color w:val="000000"/>
          <w:kern w:val="24"/>
          <w:lang w:eastAsia="en-GB"/>
        </w:rPr>
        <w:t>.</w:t>
      </w:r>
      <w:r w:rsidRPr="00712CAA">
        <w:rPr>
          <w:rFonts w:cs="Arial"/>
        </w:rPr>
        <w:t xml:space="preserve"> </w:t>
      </w:r>
    </w:p>
    <w:p w14:paraId="636FD7CF" w14:textId="77777777" w:rsidR="00DE6F78" w:rsidRDefault="00DE6F78" w:rsidP="00DE6F78">
      <w:pPr>
        <w:pStyle w:val="NICEnormal"/>
      </w:pPr>
      <w:r>
        <w:t xml:space="preserve">This report provides the </w:t>
      </w:r>
      <w:r w:rsidR="00CE1BFA">
        <w:t>q</w:t>
      </w:r>
      <w:r>
        <w:t xml:space="preserve">uality </w:t>
      </w:r>
      <w:r w:rsidR="00CE1BFA">
        <w:t>standards a</w:t>
      </w:r>
      <w:r>
        <w:t xml:space="preserve">dvisory </w:t>
      </w:r>
      <w:r w:rsidR="00CE1BFA">
        <w:t>c</w:t>
      </w:r>
      <w:r>
        <w:t xml:space="preserve">ommittee with a high-level summary of the consultation comments, prepared by the </w:t>
      </w:r>
      <w:r w:rsidRPr="003F1C8E">
        <w:t>NICE quality standards team</w:t>
      </w:r>
      <w:r>
        <w:t xml:space="preserve">. It provides a basis for discussion by the </w:t>
      </w:r>
      <w:r w:rsidR="00CE1BFA">
        <w:t>c</w:t>
      </w:r>
      <w:r>
        <w:t xml:space="preserve">ommittee as part of the final meeting where the </w:t>
      </w:r>
      <w:r w:rsidR="00CE1BFA">
        <w:t>c</w:t>
      </w:r>
      <w:r>
        <w:t xml:space="preserve">ommittee will consider consultation comments. Where appropriate the </w:t>
      </w:r>
      <w:r w:rsidRPr="002B40C4">
        <w:t xml:space="preserve">quality standard </w:t>
      </w:r>
      <w:r>
        <w:t>will be</w:t>
      </w:r>
      <w:r w:rsidRPr="002B40C4">
        <w:t xml:space="preserve"> refined with input from the </w:t>
      </w:r>
      <w:r w:rsidR="00CE1BFA">
        <w:t>c</w:t>
      </w:r>
      <w:r>
        <w:t>ommittee</w:t>
      </w:r>
      <w:r w:rsidRPr="002B40C4">
        <w:t xml:space="preserve">. </w:t>
      </w:r>
    </w:p>
    <w:p w14:paraId="54B71084" w14:textId="0316AD39" w:rsidR="00DE6F78" w:rsidRPr="00487D08" w:rsidRDefault="00DE6F78" w:rsidP="00DE6F78">
      <w:pPr>
        <w:pStyle w:val="NICEnormal"/>
      </w:pPr>
      <w:r>
        <w:t xml:space="preserve">Consultation comments that </w:t>
      </w:r>
      <w:r w:rsidRPr="00487D08">
        <w:t>may result in changes to the quality standard</w:t>
      </w:r>
      <w:r>
        <w:t xml:space="preserve"> have been highlighted within this report</w:t>
      </w:r>
      <w:r w:rsidRPr="00487D08">
        <w:t>.</w:t>
      </w:r>
      <w:r>
        <w:t xml:space="preserve"> Comments suggesting changes that are outside of the process have not been included in this summary. </w:t>
      </w:r>
      <w:r w:rsidR="00674028">
        <w:t xml:space="preserve">The types of comments typically not included are those relating to source guidance recommendations and suggestions for non-accredited source guidance, requests to broaden statements out of scope, requests to include thresholds, targets, large volumes of supporting </w:t>
      </w:r>
      <w:r w:rsidR="00674028">
        <w:lastRenderedPageBreak/>
        <w:t xml:space="preserve">information, general comments on the role and purpose of quality standards and requests to change NICE templates. </w:t>
      </w:r>
      <w:r>
        <w:t xml:space="preserve">However, the </w:t>
      </w:r>
      <w:r w:rsidR="00CE1BFA">
        <w:t>c</w:t>
      </w:r>
      <w:r>
        <w:t>ommittee should read this summary alongside the</w:t>
      </w:r>
      <w:r w:rsidRPr="00487D08">
        <w:t xml:space="preserve"> full set of consultation comments</w:t>
      </w:r>
      <w:r w:rsidR="00404DCD">
        <w:t>,</w:t>
      </w:r>
      <w:r w:rsidRPr="00487D08">
        <w:t xml:space="preserve"> </w:t>
      </w:r>
      <w:r>
        <w:t>which are</w:t>
      </w:r>
      <w:r w:rsidRPr="00487D08">
        <w:t xml:space="preserve"> provided in appendi</w:t>
      </w:r>
      <w:r w:rsidR="00663DE3">
        <w:t>x</w:t>
      </w:r>
      <w:r w:rsidRPr="00487D08">
        <w:t xml:space="preserve"> </w:t>
      </w:r>
      <w:r w:rsidR="00663DE3">
        <w:t>1</w:t>
      </w:r>
      <w:r w:rsidR="00CA5039">
        <w:t>.</w:t>
      </w:r>
    </w:p>
    <w:p w14:paraId="0E017C83" w14:textId="77777777" w:rsidR="001774F4" w:rsidRDefault="001774F4">
      <w:pPr>
        <w:rPr>
          <w:rFonts w:ascii="Arial" w:hAnsi="Arial" w:cs="Arial"/>
          <w:b/>
          <w:bCs/>
          <w:kern w:val="32"/>
          <w:sz w:val="32"/>
        </w:rPr>
      </w:pPr>
      <w:r>
        <w:br w:type="page"/>
      </w:r>
    </w:p>
    <w:p w14:paraId="6A1257EC" w14:textId="77777777" w:rsidR="00DE6F78" w:rsidRDefault="00DE6F78" w:rsidP="00DE6F78">
      <w:pPr>
        <w:pStyle w:val="Numberedheading1"/>
        <w:numPr>
          <w:ilvl w:val="0"/>
          <w:numId w:val="1"/>
        </w:numPr>
      </w:pPr>
      <w:r>
        <w:lastRenderedPageBreak/>
        <w:t>Questions for consultation</w:t>
      </w:r>
    </w:p>
    <w:p w14:paraId="5CC3EAA0" w14:textId="77777777" w:rsidR="00DE6F78" w:rsidRPr="00BD14E4" w:rsidRDefault="00DE6F78" w:rsidP="00DE6F78">
      <w:pPr>
        <w:pStyle w:val="NICEnormal"/>
      </w:pPr>
      <w:r w:rsidRPr="00BD14E4">
        <w:t xml:space="preserve">Stakeholders were invited to respond to the following general questions: </w:t>
      </w:r>
    </w:p>
    <w:p w14:paraId="630CD98F" w14:textId="77777777" w:rsidR="00DE6F78" w:rsidRPr="00E325CA" w:rsidRDefault="00DE6F78" w:rsidP="00DE6F78">
      <w:pPr>
        <w:pStyle w:val="NICEnormal"/>
      </w:pPr>
      <w:r w:rsidRPr="00BD14E4">
        <w:t>1.</w:t>
      </w:r>
      <w:r>
        <w:t xml:space="preserve"> </w:t>
      </w:r>
      <w:r w:rsidRPr="00BD14E4">
        <w:t xml:space="preserve">Does this draft quality standard </w:t>
      </w:r>
      <w:r w:rsidRPr="00E325CA">
        <w:t>accurately reflect the key areas for quality improvement?</w:t>
      </w:r>
    </w:p>
    <w:p w14:paraId="7F033031" w14:textId="15A8431C" w:rsidR="00DE6F78" w:rsidRDefault="00DE6F78" w:rsidP="00DE6F78">
      <w:pPr>
        <w:pStyle w:val="NICEnormal"/>
      </w:pPr>
      <w:r w:rsidRPr="008D56D8">
        <w:t>2.</w:t>
      </w:r>
      <w:r>
        <w:t xml:space="preserve"> </w:t>
      </w:r>
      <w:r w:rsidR="00567AC6" w:rsidRPr="00567AC6">
        <w:t>Can data for the proposed quality measures be collected locally? Please include in your answer any data sources that can be used or reasons why data cannot be collected.</w:t>
      </w:r>
    </w:p>
    <w:p w14:paraId="385CC18F" w14:textId="77777777" w:rsidR="009F4BDF" w:rsidRDefault="00A07F72" w:rsidP="000229A9">
      <w:pPr>
        <w:pStyle w:val="NICEnormal"/>
      </w:pPr>
      <w:r>
        <w:t>3</w:t>
      </w:r>
      <w:r w:rsidR="009F4BDF">
        <w:t xml:space="preserve">. </w:t>
      </w:r>
      <w:r w:rsidR="009F4BDF" w:rsidRPr="009F4BDF">
        <w:t xml:space="preserve">Do you think each of the statements in this draft quality standard would be achievable by local services given the net resources needed to deliver them? Please describe any resource requirements that you think would be necessary for any </w:t>
      </w:r>
      <w:r w:rsidR="00CE1BFA">
        <w:t>statement</w:t>
      </w:r>
      <w:r w:rsidR="009F4BDF" w:rsidRPr="009F4BDF">
        <w:t>. Please describe any potential cost savings or opportunities for disinvestment.</w:t>
      </w:r>
    </w:p>
    <w:p w14:paraId="29C37F03" w14:textId="5D1FE055" w:rsidR="00567AC6" w:rsidRDefault="00567AC6" w:rsidP="000229A9">
      <w:pPr>
        <w:pStyle w:val="NICEnormal"/>
      </w:pPr>
      <w:r>
        <w:t xml:space="preserve">4. </w:t>
      </w:r>
      <w:r w:rsidRPr="00567AC6">
        <w:t>Please provide your comments on the equality and health inequalities assessment (EHIA) and the equality and diversity considerations section for each quality statement. Please confirm any issues that have been missed and how they can be addressed by health care services and practitioners.</w:t>
      </w:r>
    </w:p>
    <w:p w14:paraId="597A6B3B" w14:textId="698C6D4F" w:rsidR="00DE6F78" w:rsidRPr="00BD14E4" w:rsidRDefault="00DE6F78" w:rsidP="00DE6F78">
      <w:pPr>
        <w:pStyle w:val="NICEnormal"/>
      </w:pPr>
      <w:r w:rsidRPr="00BD14E4">
        <w:t>Stakeholders were also invited to respond to the following statement</w:t>
      </w:r>
      <w:r w:rsidR="007F073D">
        <w:t>-</w:t>
      </w:r>
      <w:r w:rsidRPr="00BD14E4">
        <w:t>specific question:</w:t>
      </w:r>
    </w:p>
    <w:p w14:paraId="70C47B48" w14:textId="77777777" w:rsidR="00567AC6" w:rsidRDefault="00567AC6" w:rsidP="00567AC6">
      <w:pPr>
        <w:pStyle w:val="NICEnormal"/>
      </w:pPr>
      <w:r>
        <w:rPr>
          <w:rStyle w:val="NICEnormalChar"/>
        </w:rPr>
        <w:t>5</w:t>
      </w:r>
      <w:r w:rsidR="00EB1D58">
        <w:rPr>
          <w:rStyle w:val="NICEnormalChar"/>
        </w:rPr>
        <w:t>.</w:t>
      </w:r>
      <w:r>
        <w:rPr>
          <w:rStyle w:val="NICEnormalChar"/>
        </w:rPr>
        <w:t xml:space="preserve"> </w:t>
      </w:r>
      <w:r w:rsidRPr="000C37A0">
        <w:t xml:space="preserve">For draft quality statement </w:t>
      </w:r>
      <w:r>
        <w:t>4</w:t>
      </w:r>
      <w:r w:rsidRPr="000C37A0">
        <w:t xml:space="preserve">: </w:t>
      </w:r>
      <w:r>
        <w:t>Due to difficulties in measuring whether a person is well enough for audiological assessment, the quality standard suggests that for measurement purposes, this could take place within 4 weeks of discharge from:</w:t>
      </w:r>
    </w:p>
    <w:p w14:paraId="3CBA614F" w14:textId="77777777" w:rsidR="00567AC6" w:rsidRDefault="00567AC6" w:rsidP="00567AC6">
      <w:pPr>
        <w:pStyle w:val="NICEnormal"/>
      </w:pPr>
      <w:r>
        <w:t xml:space="preserve">- hospital if the person had an uncomplicated acute admission </w:t>
      </w:r>
    </w:p>
    <w:p w14:paraId="5533D9C2" w14:textId="77777777" w:rsidR="00567AC6" w:rsidRDefault="00567AC6" w:rsidP="00567AC6">
      <w:pPr>
        <w:pStyle w:val="NICEnormal"/>
      </w:pPr>
      <w:r>
        <w:t>- a high dependency area, for example, an intensive care unit or a paediatric intensive care unit.</w:t>
      </w:r>
    </w:p>
    <w:p w14:paraId="4135BAF2" w14:textId="77777777" w:rsidR="00567AC6" w:rsidRDefault="00567AC6" w:rsidP="00567AC6">
      <w:pPr>
        <w:pStyle w:val="NICEnormal"/>
      </w:pPr>
      <w:r>
        <w:t xml:space="preserve">The quality standard also notes that preferably this assessment should take place prior to discharge. </w:t>
      </w:r>
    </w:p>
    <w:p w14:paraId="6FF84114" w14:textId="62D9CA51" w:rsidR="00653E73" w:rsidRDefault="00653E73" w:rsidP="00567AC6">
      <w:pPr>
        <w:pStyle w:val="NICEnormal"/>
      </w:pPr>
      <w:r>
        <w:lastRenderedPageBreak/>
        <w:t xml:space="preserve">Are these timescales appropriate and measurable? If they are not, please provide a definition or specific timings when this could occur. </w:t>
      </w:r>
    </w:p>
    <w:p w14:paraId="23B46413" w14:textId="77777777" w:rsidR="00DE6F78" w:rsidRDefault="00DE6F78" w:rsidP="00DE6F78">
      <w:pPr>
        <w:pStyle w:val="Numberedheading1"/>
        <w:numPr>
          <w:ilvl w:val="0"/>
          <w:numId w:val="1"/>
        </w:numPr>
      </w:pPr>
      <w:r>
        <w:t>General comments</w:t>
      </w:r>
    </w:p>
    <w:p w14:paraId="5A6FF4FB" w14:textId="77777777" w:rsidR="00DE6F78" w:rsidRPr="00E62C7C" w:rsidRDefault="00DE6F78" w:rsidP="00DE6F78">
      <w:pPr>
        <w:pStyle w:val="NICEnormal"/>
      </w:pPr>
      <w:r w:rsidRPr="00914506">
        <w:t>The following is a summary of general (non-statement</w:t>
      </w:r>
      <w:r>
        <w:t>-specific</w:t>
      </w:r>
      <w:r w:rsidRPr="00914506">
        <w:t>) comments</w:t>
      </w:r>
      <w:r>
        <w:t xml:space="preserve"> on the quality standard</w:t>
      </w:r>
      <w:r w:rsidRPr="00E62C7C">
        <w:t>.</w:t>
      </w:r>
    </w:p>
    <w:p w14:paraId="647335AA" w14:textId="26387C69" w:rsidR="006843E3" w:rsidRPr="00E62C7C" w:rsidRDefault="006A2F1E" w:rsidP="004F0733">
      <w:pPr>
        <w:pStyle w:val="Bulletleft1"/>
      </w:pPr>
      <w:r>
        <w:t>a</w:t>
      </w:r>
      <w:r w:rsidR="006843E3" w:rsidRPr="00E62C7C">
        <w:t>gree</w:t>
      </w:r>
      <w:r>
        <w:t>ment in general</w:t>
      </w:r>
      <w:r w:rsidR="006843E3" w:rsidRPr="00E62C7C">
        <w:t xml:space="preserve"> with the quality statements within this quality standard</w:t>
      </w:r>
    </w:p>
    <w:p w14:paraId="0A83B6FC" w14:textId="17588F71" w:rsidR="006843E3" w:rsidRPr="00E62C7C" w:rsidRDefault="006843E3" w:rsidP="004F0733">
      <w:pPr>
        <w:pStyle w:val="Bulletleft1"/>
      </w:pPr>
      <w:r w:rsidRPr="00E62C7C">
        <w:t>the quality standard does not adequately emphasise the importance of an accurate and timely diagnosis of meningitis</w:t>
      </w:r>
    </w:p>
    <w:p w14:paraId="3C449BCB" w14:textId="77B4F40D" w:rsidR="006A2F1E" w:rsidRPr="00E62C7C" w:rsidRDefault="00F975A0" w:rsidP="00440D1E">
      <w:pPr>
        <w:pStyle w:val="Bulletleft1"/>
      </w:pPr>
      <w:r>
        <w:t xml:space="preserve">a stakeholder felt that </w:t>
      </w:r>
      <w:r w:rsidR="00440D1E">
        <w:t xml:space="preserve">as this </w:t>
      </w:r>
      <w:r w:rsidR="006A2F1E" w:rsidRPr="00FC2F2B">
        <w:t>is a rare condition</w:t>
      </w:r>
      <w:r>
        <w:t>,</w:t>
      </w:r>
      <w:r w:rsidR="00440D1E">
        <w:t xml:space="preserve"> mo</w:t>
      </w:r>
      <w:r w:rsidR="006A2F1E" w:rsidRPr="00FC2F2B">
        <w:t>re robust guidance on named clinicians need</w:t>
      </w:r>
      <w:r w:rsidR="00440D1E">
        <w:t>s</w:t>
      </w:r>
      <w:r w:rsidR="006A2F1E" w:rsidRPr="00FC2F2B">
        <w:t xml:space="preserve"> to be quantified</w:t>
      </w:r>
      <w:r w:rsidR="00440D1E">
        <w:t>, for example named rehab consultants</w:t>
      </w:r>
      <w:r w:rsidR="006A2F1E" w:rsidRPr="00FC2F2B">
        <w:t>.</w:t>
      </w:r>
    </w:p>
    <w:p w14:paraId="2D49E940" w14:textId="77777777" w:rsidR="002E6287" w:rsidRDefault="002E6287" w:rsidP="002E6287">
      <w:pPr>
        <w:pStyle w:val="Heading3"/>
      </w:pPr>
      <w:r w:rsidRPr="00F56503">
        <w:t xml:space="preserve">Consultation </w:t>
      </w:r>
      <w:r w:rsidRPr="00660F4E">
        <w:t>comments</w:t>
      </w:r>
      <w:r>
        <w:t xml:space="preserve"> on data collection (consultation question 2)</w:t>
      </w:r>
    </w:p>
    <w:p w14:paraId="0785F4E6" w14:textId="77777777" w:rsidR="002E6287" w:rsidRDefault="002E6287" w:rsidP="002E6287">
      <w:pPr>
        <w:pStyle w:val="Bulletleft1last"/>
      </w:pPr>
      <w:r>
        <w:t>a stakeholder noted that data can be collected</w:t>
      </w:r>
      <w:r w:rsidRPr="00FC2F2B">
        <w:t>.</w:t>
      </w:r>
    </w:p>
    <w:p w14:paraId="06C2DE35" w14:textId="6DB9A435" w:rsidR="002E6287" w:rsidRDefault="002E6287" w:rsidP="002E6287">
      <w:pPr>
        <w:pStyle w:val="Heading3"/>
      </w:pPr>
      <w:r w:rsidRPr="00F56503">
        <w:t xml:space="preserve">Consultation </w:t>
      </w:r>
      <w:r w:rsidRPr="00660F4E">
        <w:t>comments</w:t>
      </w:r>
      <w:r>
        <w:t xml:space="preserve"> on equality and health inequalities (consultation question 4)</w:t>
      </w:r>
    </w:p>
    <w:p w14:paraId="6A5D8964" w14:textId="05DD646B" w:rsidR="006843E3" w:rsidRDefault="00440D1E" w:rsidP="006843E3">
      <w:pPr>
        <w:pStyle w:val="Bulletleft1"/>
      </w:pPr>
      <w:r>
        <w:t>suggestion</w:t>
      </w:r>
      <w:r w:rsidR="006843E3">
        <w:t xml:space="preserve"> to include more information about meeting the specific</w:t>
      </w:r>
      <w:r>
        <w:t xml:space="preserve">, </w:t>
      </w:r>
      <w:r w:rsidR="006843E3">
        <w:t>different presenting needs of children and adults</w:t>
      </w:r>
      <w:r w:rsidR="002E6287">
        <w:t>.</w:t>
      </w:r>
    </w:p>
    <w:p w14:paraId="56BAA25E" w14:textId="77777777" w:rsidR="002E6287" w:rsidRDefault="002E6287">
      <w:pPr>
        <w:rPr>
          <w:rFonts w:ascii="Arial" w:hAnsi="Arial" w:cs="Arial"/>
          <w:b/>
          <w:bCs/>
          <w:kern w:val="32"/>
          <w:sz w:val="32"/>
        </w:rPr>
      </w:pPr>
      <w:r>
        <w:br w:type="page"/>
      </w:r>
    </w:p>
    <w:p w14:paraId="6B000FBF" w14:textId="3910DB52" w:rsidR="00DE6F78" w:rsidRPr="00712CAA" w:rsidRDefault="00DE6F78" w:rsidP="00DE6F78">
      <w:pPr>
        <w:pStyle w:val="Numberedheading1"/>
        <w:numPr>
          <w:ilvl w:val="0"/>
          <w:numId w:val="1"/>
        </w:numPr>
      </w:pPr>
      <w:r>
        <w:lastRenderedPageBreak/>
        <w:t>Summary of consultation feedback by draft statement</w:t>
      </w:r>
    </w:p>
    <w:p w14:paraId="7C6903D3" w14:textId="77777777" w:rsidR="00DE6F78" w:rsidRDefault="00DE6F78" w:rsidP="004A1476">
      <w:pPr>
        <w:pStyle w:val="Numberedheading2"/>
      </w:pPr>
      <w:r>
        <w:t>Draft statement 1</w:t>
      </w:r>
    </w:p>
    <w:p w14:paraId="63C4B627" w14:textId="5F798891" w:rsidR="00DE6F78" w:rsidRDefault="00567AC6" w:rsidP="00567AC6">
      <w:pPr>
        <w:pStyle w:val="NICEnormal"/>
      </w:pPr>
      <w:r w:rsidRPr="00567AC6">
        <w:t>People sent home after clinical assessment indicates they are unlikely to have bacterial meningitis or meningococcal disease are given safety netting advice. [2012, updated 2024]</w:t>
      </w:r>
      <w:r>
        <w:t xml:space="preserve"> </w:t>
      </w:r>
    </w:p>
    <w:p w14:paraId="0C8CE3CB" w14:textId="77777777" w:rsidR="00DE6F78" w:rsidRDefault="00DE6F78" w:rsidP="00DE6F78">
      <w:pPr>
        <w:pStyle w:val="Heading3"/>
      </w:pPr>
      <w:r w:rsidRPr="00F56503">
        <w:t xml:space="preserve">Consultation </w:t>
      </w:r>
      <w:r w:rsidRPr="00660F4E">
        <w:t>comments</w:t>
      </w:r>
    </w:p>
    <w:p w14:paraId="140B8C42" w14:textId="77777777" w:rsidR="00DE6F78" w:rsidRPr="00660F4E" w:rsidRDefault="00DE6F78" w:rsidP="00DE6F78">
      <w:pPr>
        <w:pStyle w:val="NICEnormal"/>
      </w:pPr>
      <w:r>
        <w:t>Stakeholders made the following comments in relation to draft statement 1:</w:t>
      </w:r>
    </w:p>
    <w:p w14:paraId="714AFE27" w14:textId="77777777" w:rsidR="004F0733" w:rsidRPr="00A13980" w:rsidRDefault="004F0733" w:rsidP="00C31038">
      <w:pPr>
        <w:pStyle w:val="NICEnormal"/>
        <w:spacing w:after="0"/>
      </w:pPr>
      <w:r w:rsidRPr="00A13980">
        <w:t>Statement</w:t>
      </w:r>
    </w:p>
    <w:p w14:paraId="62148166" w14:textId="67C70F46" w:rsidR="00BC4D2D" w:rsidRDefault="00BC4D2D" w:rsidP="004F0733">
      <w:pPr>
        <w:pStyle w:val="Bulletleft1"/>
      </w:pPr>
      <w:r>
        <w:t>agree</w:t>
      </w:r>
      <w:r w:rsidR="00790173">
        <w:t>ment</w:t>
      </w:r>
      <w:r>
        <w:t xml:space="preserve"> with the quality statement in principle</w:t>
      </w:r>
    </w:p>
    <w:p w14:paraId="707D49A1" w14:textId="089FC3C7" w:rsidR="00BC4D2D" w:rsidRDefault="00790173" w:rsidP="004F0733">
      <w:pPr>
        <w:pStyle w:val="Bulletleft1"/>
      </w:pPr>
      <w:r>
        <w:t>comment</w:t>
      </w:r>
      <w:r w:rsidR="00F975A0">
        <w:t xml:space="preserve"> that </w:t>
      </w:r>
      <w:r w:rsidR="00BC4D2D">
        <w:t xml:space="preserve">people are not usually discharged with </w:t>
      </w:r>
      <w:r w:rsidR="00E375CF" w:rsidRPr="00A13980">
        <w:t>‘not bacterial meningitis’</w:t>
      </w:r>
    </w:p>
    <w:p w14:paraId="7CF9492A" w14:textId="308010EB" w:rsidR="00BC4D2D" w:rsidRDefault="004E3893" w:rsidP="004F0733">
      <w:pPr>
        <w:pStyle w:val="Bulletleft1"/>
      </w:pPr>
      <w:r>
        <w:t>c</w:t>
      </w:r>
      <w:r w:rsidR="00BC4D2D">
        <w:t xml:space="preserve">larity on the wording of the statement was suggested to show that it relates to people who have been clinically assessed for </w:t>
      </w:r>
      <w:r w:rsidR="00BC4D2D" w:rsidRPr="00567AC6">
        <w:t>bacterial meningitis or meningococcal disease</w:t>
      </w:r>
      <w:r w:rsidR="00BC4D2D">
        <w:t xml:space="preserve"> and are considered unlikely to have one of these conditions. Otherwise there were concerns that people for whom these conditions would not need to be considered would be given the safety netting advice</w:t>
      </w:r>
    </w:p>
    <w:p w14:paraId="01CC3C5B" w14:textId="401C340C" w:rsidR="00043EB2" w:rsidRPr="00A13980" w:rsidRDefault="00790173" w:rsidP="00043EB2">
      <w:pPr>
        <w:pStyle w:val="Bulletleft1"/>
      </w:pPr>
      <w:r>
        <w:t>comment</w:t>
      </w:r>
      <w:r w:rsidR="00043EB2">
        <w:t xml:space="preserve"> that s</w:t>
      </w:r>
      <w:r w:rsidR="00043EB2" w:rsidRPr="00A13980">
        <w:t xml:space="preserve">afety netting is standard practice for children who are discharged home after attending with fever. </w:t>
      </w:r>
      <w:r>
        <w:t>L</w:t>
      </w:r>
      <w:r w:rsidR="00043EB2" w:rsidRPr="00A13980">
        <w:t>eaflets can be adapted to include links to online resources</w:t>
      </w:r>
      <w:r w:rsidR="009E4B96">
        <w:t xml:space="preserve"> and there was </w:t>
      </w:r>
      <w:r>
        <w:t xml:space="preserve">a query of </w:t>
      </w:r>
      <w:r w:rsidR="00043EB2">
        <w:t xml:space="preserve">whether NICE </w:t>
      </w:r>
      <w:r>
        <w:t xml:space="preserve">will suggest </w:t>
      </w:r>
      <w:r w:rsidR="00043EB2" w:rsidRPr="00A13980">
        <w:t xml:space="preserve">which sources </w:t>
      </w:r>
      <w:r w:rsidR="009E4B96">
        <w:t>to use.</w:t>
      </w:r>
    </w:p>
    <w:p w14:paraId="70F1A823" w14:textId="77777777" w:rsidR="00043EB2" w:rsidRPr="00A13980" w:rsidRDefault="00043EB2" w:rsidP="00043EB2">
      <w:pPr>
        <w:pStyle w:val="Bulletleft1"/>
        <w:numPr>
          <w:ilvl w:val="0"/>
          <w:numId w:val="0"/>
        </w:numPr>
        <w:ind w:left="284"/>
      </w:pPr>
    </w:p>
    <w:p w14:paraId="0B469B7C" w14:textId="77777777" w:rsidR="004F0733" w:rsidRPr="00A13980" w:rsidRDefault="004F0733" w:rsidP="004F0733">
      <w:pPr>
        <w:pStyle w:val="Bulletleft1"/>
        <w:numPr>
          <w:ilvl w:val="0"/>
          <w:numId w:val="0"/>
        </w:numPr>
      </w:pPr>
      <w:r w:rsidRPr="00A13980">
        <w:t>Measures</w:t>
      </w:r>
    </w:p>
    <w:p w14:paraId="730DC65A" w14:textId="77777777" w:rsidR="00790173" w:rsidRDefault="00922A39" w:rsidP="00922A39">
      <w:pPr>
        <w:pStyle w:val="Bulletleft1"/>
      </w:pPr>
      <w:r>
        <w:t>current</w:t>
      </w:r>
      <w:r w:rsidR="00E375CF" w:rsidRPr="00A13980">
        <w:t xml:space="preserve"> measurement is not practical</w:t>
      </w:r>
    </w:p>
    <w:p w14:paraId="4550EBBA" w14:textId="727F5863" w:rsidR="00922A39" w:rsidRPr="00A13980" w:rsidRDefault="00922A39" w:rsidP="00922A39">
      <w:pPr>
        <w:pStyle w:val="Bulletleft1"/>
      </w:pPr>
      <w:r>
        <w:t xml:space="preserve">some data is </w:t>
      </w:r>
      <w:r w:rsidRPr="00A13980">
        <w:t xml:space="preserve">already routinely collected as part of the Emergency Care Data Set (ECDS) </w:t>
      </w:r>
    </w:p>
    <w:p w14:paraId="50949B21" w14:textId="77777777" w:rsidR="00043EB2" w:rsidRDefault="00043EB2" w:rsidP="00043EB2">
      <w:pPr>
        <w:pStyle w:val="Bulletleft1"/>
        <w:numPr>
          <w:ilvl w:val="0"/>
          <w:numId w:val="0"/>
        </w:numPr>
        <w:ind w:left="284"/>
      </w:pPr>
    </w:p>
    <w:p w14:paraId="40C3CF69" w14:textId="77777777" w:rsidR="004F0733" w:rsidRPr="00A13980" w:rsidRDefault="004F0733" w:rsidP="004F0733">
      <w:pPr>
        <w:pStyle w:val="Bulletleft1"/>
        <w:numPr>
          <w:ilvl w:val="0"/>
          <w:numId w:val="0"/>
        </w:numPr>
      </w:pPr>
      <w:r w:rsidRPr="00A13980">
        <w:t>Audience descriptors</w:t>
      </w:r>
    </w:p>
    <w:p w14:paraId="519E527E" w14:textId="6A805787" w:rsidR="00043EB2" w:rsidRDefault="00043EB2" w:rsidP="004F0733">
      <w:pPr>
        <w:pStyle w:val="Bulletleft1last"/>
      </w:pPr>
      <w:r>
        <w:t xml:space="preserve">the audience descriptor states the information should be given if appropriate. </w:t>
      </w:r>
      <w:r w:rsidR="00790173">
        <w:t xml:space="preserve">Comment that </w:t>
      </w:r>
      <w:r>
        <w:t xml:space="preserve">it is </w:t>
      </w:r>
      <w:r w:rsidR="00E375CF" w:rsidRPr="00A13980">
        <w:t xml:space="preserve">always appropriate to make parents and carers aware of </w:t>
      </w:r>
      <w:r w:rsidR="00E375CF" w:rsidRPr="00A13980">
        <w:lastRenderedPageBreak/>
        <w:t>symptoms of serious illnesses such as meningitis</w:t>
      </w:r>
      <w:r>
        <w:t xml:space="preserve"> therefore if appropriate should be removed</w:t>
      </w:r>
      <w:r w:rsidR="00F975A0">
        <w:t>.</w:t>
      </w:r>
    </w:p>
    <w:p w14:paraId="1C6FD5A6" w14:textId="770183B2" w:rsidR="00043EB2" w:rsidRDefault="00E375CF" w:rsidP="00C31038">
      <w:pPr>
        <w:pStyle w:val="Bulletleft1last"/>
        <w:numPr>
          <w:ilvl w:val="0"/>
          <w:numId w:val="0"/>
        </w:numPr>
        <w:spacing w:after="0"/>
        <w:ind w:left="284" w:hanging="284"/>
      </w:pPr>
      <w:r w:rsidRPr="00A13980">
        <w:t xml:space="preserve"> </w:t>
      </w:r>
      <w:r w:rsidR="00043EB2">
        <w:t>Definitions</w:t>
      </w:r>
      <w:r w:rsidR="00043EB2" w:rsidRPr="00A13980">
        <w:t xml:space="preserve"> </w:t>
      </w:r>
    </w:p>
    <w:p w14:paraId="5F88C163" w14:textId="5E4B940B" w:rsidR="00043EB2" w:rsidRPr="00A13980" w:rsidRDefault="008237F0" w:rsidP="008C2F36">
      <w:pPr>
        <w:pStyle w:val="Bulletleft1last"/>
      </w:pPr>
      <w:r>
        <w:t xml:space="preserve">there was a suggestion for NICE </w:t>
      </w:r>
      <w:r w:rsidR="00043EB2" w:rsidRPr="00A13980">
        <w:t>to define what good quality information to patients should contain</w:t>
      </w:r>
      <w:r w:rsidR="00F975A0">
        <w:t>.</w:t>
      </w:r>
      <w:r>
        <w:t xml:space="preserve"> </w:t>
      </w:r>
    </w:p>
    <w:p w14:paraId="5266F58C" w14:textId="77777777" w:rsidR="004F0733" w:rsidRPr="00A13980" w:rsidRDefault="004F0733" w:rsidP="00C31038">
      <w:pPr>
        <w:pStyle w:val="Bulletleft1"/>
        <w:numPr>
          <w:ilvl w:val="0"/>
          <w:numId w:val="0"/>
        </w:numPr>
        <w:rPr>
          <w:rFonts w:cs="Arial"/>
        </w:rPr>
      </w:pPr>
      <w:r w:rsidRPr="00A13980">
        <w:rPr>
          <w:rFonts w:cs="Arial"/>
        </w:rPr>
        <w:t>Equality and diversity considerations</w:t>
      </w:r>
    </w:p>
    <w:p w14:paraId="767F0DD4" w14:textId="07BF67CF" w:rsidR="00E375CF" w:rsidRDefault="00E375CF" w:rsidP="004F0733">
      <w:pPr>
        <w:pStyle w:val="Bulletleft1"/>
        <w:numPr>
          <w:ilvl w:val="0"/>
          <w:numId w:val="26"/>
        </w:numPr>
        <w:rPr>
          <w:rFonts w:cs="Arial"/>
        </w:rPr>
      </w:pPr>
      <w:r w:rsidRPr="00A13980">
        <w:rPr>
          <w:rFonts w:cs="Arial"/>
        </w:rPr>
        <w:t>brief safety netting advice given in busy clinical settings may not be understood properly by vulnerable people with communication difficulties</w:t>
      </w:r>
      <w:r w:rsidR="009E4B96">
        <w:rPr>
          <w:rFonts w:cs="Arial"/>
        </w:rPr>
        <w:t>,</w:t>
      </w:r>
      <w:r w:rsidRPr="00A13980">
        <w:rPr>
          <w:rFonts w:cs="Arial"/>
        </w:rPr>
        <w:t xml:space="preserve"> </w:t>
      </w:r>
      <w:r w:rsidR="008237F0">
        <w:rPr>
          <w:rFonts w:cs="Arial"/>
        </w:rPr>
        <w:t xml:space="preserve">for example </w:t>
      </w:r>
      <w:r w:rsidRPr="00A13980">
        <w:rPr>
          <w:rFonts w:cs="Arial"/>
        </w:rPr>
        <w:t>people living with cerebral palsy</w:t>
      </w:r>
      <w:r w:rsidR="008237F0">
        <w:rPr>
          <w:rFonts w:cs="Arial"/>
        </w:rPr>
        <w:t xml:space="preserve"> and </w:t>
      </w:r>
      <w:r w:rsidRPr="00A13980">
        <w:rPr>
          <w:rFonts w:cs="Arial"/>
        </w:rPr>
        <w:t>learning difficulties</w:t>
      </w:r>
      <w:r w:rsidR="008237F0">
        <w:rPr>
          <w:rFonts w:cs="Arial"/>
        </w:rPr>
        <w:t xml:space="preserve">. </w:t>
      </w:r>
      <w:r w:rsidR="009E4B96">
        <w:rPr>
          <w:rFonts w:cs="Arial"/>
        </w:rPr>
        <w:t xml:space="preserve">Suggestion for </w:t>
      </w:r>
      <w:r w:rsidRPr="00A13980">
        <w:rPr>
          <w:rFonts w:cs="Arial"/>
        </w:rPr>
        <w:t>guidance on safety netting advice for these vulnerable groups</w:t>
      </w:r>
    </w:p>
    <w:p w14:paraId="682D3103" w14:textId="6DA5801D" w:rsidR="009968F9" w:rsidRPr="00A13980" w:rsidRDefault="009968F9" w:rsidP="004F0733">
      <w:pPr>
        <w:pStyle w:val="Bulletleft1"/>
        <w:numPr>
          <w:ilvl w:val="0"/>
          <w:numId w:val="26"/>
        </w:numPr>
        <w:rPr>
          <w:rFonts w:cs="Arial"/>
        </w:rPr>
      </w:pPr>
      <w:r>
        <w:rPr>
          <w:rFonts w:cs="Arial"/>
        </w:rPr>
        <w:t xml:space="preserve">quality standard </w:t>
      </w:r>
      <w:r w:rsidRPr="009968F9">
        <w:rPr>
          <w:rFonts w:cs="Arial"/>
        </w:rPr>
        <w:t>states non-blanching rash</w:t>
      </w:r>
      <w:r>
        <w:rPr>
          <w:rFonts w:cs="Arial"/>
        </w:rPr>
        <w:t xml:space="preserve"> and the equality and health inequalities assessment </w:t>
      </w:r>
      <w:r w:rsidRPr="009968F9">
        <w:rPr>
          <w:rFonts w:cs="Arial"/>
        </w:rPr>
        <w:t xml:space="preserve">refers to </w:t>
      </w:r>
      <w:r>
        <w:rPr>
          <w:rFonts w:cs="Arial"/>
        </w:rPr>
        <w:t>p</w:t>
      </w:r>
      <w:r w:rsidRPr="009968F9">
        <w:rPr>
          <w:rFonts w:cs="Arial"/>
        </w:rPr>
        <w:t xml:space="preserve">ale, mottled skin or cyanosis </w:t>
      </w:r>
      <w:r>
        <w:rPr>
          <w:rFonts w:cs="Arial"/>
        </w:rPr>
        <w:t xml:space="preserve">being </w:t>
      </w:r>
      <w:r w:rsidRPr="009968F9">
        <w:rPr>
          <w:rFonts w:cs="Arial"/>
        </w:rPr>
        <w:t xml:space="preserve">difficult to see on </w:t>
      </w:r>
      <w:r>
        <w:rPr>
          <w:rFonts w:cs="Arial"/>
        </w:rPr>
        <w:t>different skin tones, this needs to be consistent</w:t>
      </w:r>
    </w:p>
    <w:p w14:paraId="221CEADB" w14:textId="118D2256" w:rsidR="005D442B" w:rsidRPr="008237F0" w:rsidRDefault="008237F0" w:rsidP="00A1723C">
      <w:pPr>
        <w:pStyle w:val="Bulletleft1"/>
        <w:numPr>
          <w:ilvl w:val="0"/>
          <w:numId w:val="26"/>
        </w:numPr>
        <w:rPr>
          <w:rFonts w:cs="Arial"/>
        </w:rPr>
      </w:pPr>
      <w:r w:rsidRPr="008237F0">
        <w:rPr>
          <w:rFonts w:cs="Arial"/>
        </w:rPr>
        <w:t>t</w:t>
      </w:r>
      <w:r w:rsidR="00766CDE" w:rsidRPr="008237F0">
        <w:rPr>
          <w:rFonts w:cs="Arial"/>
        </w:rPr>
        <w:t xml:space="preserve">he </w:t>
      </w:r>
      <w:r w:rsidRPr="008237F0">
        <w:rPr>
          <w:rFonts w:cs="Arial"/>
        </w:rPr>
        <w:t>Bliss</w:t>
      </w:r>
      <w:r>
        <w:rPr>
          <w:rFonts w:cs="Arial"/>
        </w:rPr>
        <w:t xml:space="preserve"> and Meningitis Research Foundation</w:t>
      </w:r>
      <w:r w:rsidR="00766CDE" w:rsidRPr="008237F0">
        <w:rPr>
          <w:rFonts w:cs="Arial"/>
        </w:rPr>
        <w:t xml:space="preserve"> information linked </w:t>
      </w:r>
      <w:r w:rsidRPr="008237F0">
        <w:rPr>
          <w:rFonts w:cs="Arial"/>
        </w:rPr>
        <w:t>relates</w:t>
      </w:r>
      <w:r w:rsidR="00766CDE" w:rsidRPr="008237F0">
        <w:rPr>
          <w:rFonts w:cs="Arial"/>
        </w:rPr>
        <w:t xml:space="preserve"> to children with no information linked relevant to adult</w:t>
      </w:r>
      <w:r w:rsidRPr="008237F0">
        <w:rPr>
          <w:rFonts w:cs="Arial"/>
        </w:rPr>
        <w:t>s</w:t>
      </w:r>
      <w:r>
        <w:rPr>
          <w:rFonts w:cs="Arial"/>
        </w:rPr>
        <w:t>.</w:t>
      </w:r>
    </w:p>
    <w:p w14:paraId="69599FCE" w14:textId="77777777" w:rsidR="00DB11C5" w:rsidRPr="0067426A" w:rsidRDefault="00DB11C5" w:rsidP="005D7E50">
      <w:pPr>
        <w:pStyle w:val="Heading3"/>
      </w:pPr>
      <w:r w:rsidRPr="0067426A">
        <w:t>Issues for consideration</w:t>
      </w:r>
    </w:p>
    <w:p w14:paraId="47974A31" w14:textId="77777777" w:rsidR="00DB11C5" w:rsidRPr="00F975A0" w:rsidRDefault="00DB11C5" w:rsidP="005D7E50">
      <w:pPr>
        <w:pStyle w:val="Heading4"/>
      </w:pPr>
      <w:r w:rsidRPr="00F975A0">
        <w:t>For decision:</w:t>
      </w:r>
    </w:p>
    <w:p w14:paraId="0CB3ED95" w14:textId="4CF1A0C1" w:rsidR="00F975A0" w:rsidRPr="00782288" w:rsidRDefault="00782288" w:rsidP="005D7E50">
      <w:pPr>
        <w:pStyle w:val="Bulletleft1"/>
        <w:rPr>
          <w:b/>
          <w:bCs/>
        </w:rPr>
      </w:pPr>
      <w:r>
        <w:t>d</w:t>
      </w:r>
      <w:r w:rsidR="00F975A0" w:rsidRPr="00F975A0">
        <w:t xml:space="preserve">oes the quality statement need to be reworded to make it clear the safety netting advice is only given when people have been assessed for bacterial meningitis or meningococcal disease, </w:t>
      </w:r>
      <w:r w:rsidR="00F975A0">
        <w:t xml:space="preserve">for example, </w:t>
      </w:r>
      <w:r w:rsidR="00F975A0" w:rsidRPr="00F975A0">
        <w:t>People sent home after clinical assessment for bacterial meningitis or meningococcal disease indicates they are unlikely to have one of these conditions are given safety netting advice</w:t>
      </w:r>
      <w:r>
        <w:t>?</w:t>
      </w:r>
    </w:p>
    <w:p w14:paraId="5BAE9993" w14:textId="42C20F44" w:rsidR="00782288" w:rsidRPr="00F975A0" w:rsidRDefault="00782288" w:rsidP="005D7E50">
      <w:pPr>
        <w:pStyle w:val="Bulletleft1"/>
        <w:rPr>
          <w:b/>
          <w:bCs/>
        </w:rPr>
      </w:pPr>
      <w:r>
        <w:t xml:space="preserve">are additional </w:t>
      </w:r>
      <w:r w:rsidR="0068226D">
        <w:t>equality</w:t>
      </w:r>
      <w:r>
        <w:t xml:space="preserve"> and diversity considerations needed? A stakeholder noted that </w:t>
      </w:r>
      <w:r w:rsidR="0068226D" w:rsidRPr="00A13980">
        <w:rPr>
          <w:rFonts w:cs="Arial"/>
        </w:rPr>
        <w:t>vulnerable people with communication difficulties</w:t>
      </w:r>
      <w:r w:rsidR="0068226D">
        <w:rPr>
          <w:rFonts w:cs="Arial"/>
        </w:rPr>
        <w:t xml:space="preserve"> may not understand the brief information given in a busy clinical setting. Please review the current considerations which highlight the importance of information being easy for the person to read and understand, as well as the additional information on the NHS England Accessible Information Standard. Any additional information added to the </w:t>
      </w:r>
      <w:r w:rsidR="0068226D">
        <w:rPr>
          <w:rFonts w:cs="Arial"/>
        </w:rPr>
        <w:lastRenderedPageBreak/>
        <w:t xml:space="preserve">equality and diversity considerations section needs to be specific to this topic and not to general information provision. </w:t>
      </w:r>
    </w:p>
    <w:p w14:paraId="2B0E0B08" w14:textId="77777777" w:rsidR="00372BCF" w:rsidRDefault="00372BCF">
      <w:pPr>
        <w:rPr>
          <w:rFonts w:ascii="Arial" w:hAnsi="Arial" w:cs="Arial"/>
          <w:b/>
          <w:bCs/>
          <w:sz w:val="28"/>
          <w:szCs w:val="28"/>
        </w:rPr>
      </w:pPr>
      <w:r>
        <w:br w:type="page"/>
      </w:r>
    </w:p>
    <w:p w14:paraId="7AE2FE56" w14:textId="697AE773" w:rsidR="00DE6F78" w:rsidRDefault="00DE6F78" w:rsidP="004A1476">
      <w:pPr>
        <w:pStyle w:val="Numberedheading2"/>
      </w:pPr>
      <w:r>
        <w:lastRenderedPageBreak/>
        <w:t>Draft statement 2</w:t>
      </w:r>
    </w:p>
    <w:p w14:paraId="714410DE" w14:textId="42E5876D" w:rsidR="00DE6F78" w:rsidRDefault="00372BCF" w:rsidP="00372BCF">
      <w:pPr>
        <w:pStyle w:val="NICEnormal"/>
      </w:pPr>
      <w:r w:rsidRPr="00372BCF">
        <w:t xml:space="preserve">People with suspected bacterial meningitis do not have neuroimaging before lumbar puncture unless clinically indicated. [New 2024] </w:t>
      </w:r>
    </w:p>
    <w:p w14:paraId="5B47F694" w14:textId="77777777" w:rsidR="00DE6F78" w:rsidRDefault="00DE6F78" w:rsidP="00DE6F78">
      <w:pPr>
        <w:pStyle w:val="Heading3"/>
      </w:pPr>
      <w:r>
        <w:t>Consultation comments</w:t>
      </w:r>
    </w:p>
    <w:p w14:paraId="72CB7530" w14:textId="77777777" w:rsidR="00DE6F78" w:rsidRPr="002B40C4" w:rsidRDefault="00DE6F78" w:rsidP="00DE6F78">
      <w:pPr>
        <w:pStyle w:val="NICEnormal"/>
      </w:pPr>
      <w:r w:rsidRPr="002B40C4">
        <w:t xml:space="preserve">Stakeholders made the following comments </w:t>
      </w:r>
      <w:r>
        <w:t>in relation to draft statement 2</w:t>
      </w:r>
      <w:r w:rsidRPr="002B40C4">
        <w:t>:</w:t>
      </w:r>
    </w:p>
    <w:p w14:paraId="30C27780" w14:textId="77777777" w:rsidR="00567AC6" w:rsidRPr="00A13980" w:rsidRDefault="00567AC6" w:rsidP="00C31038">
      <w:pPr>
        <w:pStyle w:val="NICEnormal"/>
        <w:spacing w:after="0"/>
      </w:pPr>
      <w:r w:rsidRPr="00A13980">
        <w:t>Statement</w:t>
      </w:r>
    </w:p>
    <w:p w14:paraId="37A728C0" w14:textId="6C4C7819" w:rsidR="00C1323B" w:rsidRDefault="00C1323B" w:rsidP="009E4B96">
      <w:pPr>
        <w:pStyle w:val="Bulletleft1"/>
      </w:pPr>
      <w:r>
        <w:t xml:space="preserve">mixed views on whether this statement would </w:t>
      </w:r>
      <w:r w:rsidRPr="00A13980">
        <w:t>ensur</w:t>
      </w:r>
      <w:r>
        <w:t>e</w:t>
      </w:r>
      <w:r w:rsidRPr="00A13980">
        <w:t xml:space="preserve"> that </w:t>
      </w:r>
      <w:r w:rsidR="00D36D0D">
        <w:t>lumbar puncture (</w:t>
      </w:r>
      <w:r w:rsidR="00D36D0D" w:rsidRPr="00A13980">
        <w:t>LP</w:t>
      </w:r>
      <w:r w:rsidR="00D36D0D">
        <w:t>)</w:t>
      </w:r>
      <w:r w:rsidR="00D36D0D" w:rsidRPr="00A13980">
        <w:t xml:space="preserve"> </w:t>
      </w:r>
      <w:r w:rsidRPr="00A13980">
        <w:t>is carried out</w:t>
      </w:r>
      <w:r>
        <w:t xml:space="preserve"> as soon as possible, and before </w:t>
      </w:r>
      <w:r w:rsidRPr="00A13980">
        <w:t>antibiotics are administered</w:t>
      </w:r>
      <w:r w:rsidR="009E4B96">
        <w:t xml:space="preserve">, with comment that in most </w:t>
      </w:r>
      <w:r w:rsidR="00DB4DDC" w:rsidRPr="00A13980">
        <w:t xml:space="preserve">emergency departments antibiotics will be commenced </w:t>
      </w:r>
      <w:r w:rsidR="001F1BBA">
        <w:t>first</w:t>
      </w:r>
      <w:r w:rsidR="009E4B96">
        <w:t xml:space="preserve"> and that </w:t>
      </w:r>
      <w:r>
        <w:t xml:space="preserve">organising a </w:t>
      </w:r>
      <w:r w:rsidR="00782288">
        <w:t>LP</w:t>
      </w:r>
      <w:r>
        <w:t xml:space="preserve"> takes time </w:t>
      </w:r>
    </w:p>
    <w:p w14:paraId="43A70915" w14:textId="07BC861D" w:rsidR="009E4B96" w:rsidRPr="00A13980" w:rsidRDefault="00C1323B" w:rsidP="00FA10BA">
      <w:pPr>
        <w:pStyle w:val="Bulletleft1"/>
      </w:pPr>
      <w:r>
        <w:t xml:space="preserve">suggestion to </w:t>
      </w:r>
      <w:r w:rsidR="00FA10BA">
        <w:t xml:space="preserve">highlight </w:t>
      </w:r>
      <w:r>
        <w:t xml:space="preserve">that </w:t>
      </w:r>
      <w:r w:rsidR="00FA10BA">
        <w:t xml:space="preserve">it is </w:t>
      </w:r>
      <w:r>
        <w:t>routine neuroimaging</w:t>
      </w:r>
      <w:r w:rsidR="00FA10BA">
        <w:t xml:space="preserve"> that</w:t>
      </w:r>
      <w:r>
        <w:t xml:space="preserve"> should not be carried out</w:t>
      </w:r>
      <w:r w:rsidR="00FA10BA">
        <w:t xml:space="preserve"> and to clarify that </w:t>
      </w:r>
      <w:r w:rsidR="009E4B96" w:rsidRPr="00A13980">
        <w:t>imaging should not be undertaken to rule out raised intracranial pressure</w:t>
      </w:r>
      <w:r w:rsidR="009E4B96">
        <w:t xml:space="preserve">, as this should be </w:t>
      </w:r>
      <w:r w:rsidR="009E4B96" w:rsidRPr="00C1323B">
        <w:t>a clinical diagnosis</w:t>
      </w:r>
    </w:p>
    <w:p w14:paraId="36F82024" w14:textId="75C154CE" w:rsidR="00CE5869" w:rsidRDefault="009E4B96" w:rsidP="00C27EAB">
      <w:pPr>
        <w:pStyle w:val="Bulletleft1"/>
      </w:pPr>
      <w:r>
        <w:t>th</w:t>
      </w:r>
      <w:r w:rsidR="00FA10BA">
        <w:t>is may not</w:t>
      </w:r>
      <w:r>
        <w:t xml:space="preserve"> </w:t>
      </w:r>
      <w:r w:rsidR="00C1323B">
        <w:t xml:space="preserve">increase the </w:t>
      </w:r>
      <w:r w:rsidR="00CE5869" w:rsidRPr="00A13980">
        <w:t xml:space="preserve">overall rates of LPs being performed or blood samples taken prior to administration of antibiotics  </w:t>
      </w:r>
    </w:p>
    <w:p w14:paraId="7889EA99" w14:textId="3EAA72A3" w:rsidR="00782288" w:rsidRDefault="00F122A6" w:rsidP="00F122A6">
      <w:pPr>
        <w:pStyle w:val="Bulletleft1"/>
      </w:pPr>
      <w:r>
        <w:t xml:space="preserve">suggestion </w:t>
      </w:r>
      <w:r w:rsidR="002D6017">
        <w:t xml:space="preserve">to highlight in the statement that </w:t>
      </w:r>
      <w:r>
        <w:t xml:space="preserve">the person </w:t>
      </w:r>
      <w:r w:rsidR="002D6017">
        <w:t xml:space="preserve">should </w:t>
      </w:r>
      <w:r>
        <w:t>not hav</w:t>
      </w:r>
      <w:r w:rsidR="002D6017">
        <w:t>e</w:t>
      </w:r>
      <w:r w:rsidRPr="00A13980">
        <w:t xml:space="preserve"> any risk factors for an evolving space-occupying lesion, or symptoms or signs of raised intracranial pressure</w:t>
      </w:r>
    </w:p>
    <w:p w14:paraId="0550E4CD" w14:textId="7FE2D5B3" w:rsidR="006A2F1E" w:rsidRPr="00A13980" w:rsidRDefault="00782288" w:rsidP="00782288">
      <w:pPr>
        <w:pStyle w:val="Bulletleft1"/>
      </w:pPr>
      <w:r>
        <w:t xml:space="preserve">comment that it may be helpful to specify that </w:t>
      </w:r>
      <w:r w:rsidRPr="00A13980">
        <w:t>infants with open fontanelles may present or behave with raised intracranial pressure differently</w:t>
      </w:r>
      <w:r w:rsidR="00F122A6">
        <w:t>.</w:t>
      </w:r>
    </w:p>
    <w:p w14:paraId="62AE60AC" w14:textId="77777777" w:rsidR="00567AC6" w:rsidRPr="00A13980" w:rsidRDefault="00567AC6" w:rsidP="00782288">
      <w:pPr>
        <w:pStyle w:val="Bulletleft1"/>
        <w:numPr>
          <w:ilvl w:val="0"/>
          <w:numId w:val="0"/>
        </w:numPr>
        <w:spacing w:before="240"/>
      </w:pPr>
      <w:r w:rsidRPr="00A13980">
        <w:t>Measures</w:t>
      </w:r>
    </w:p>
    <w:p w14:paraId="737A2C6D" w14:textId="4DCF8B9B" w:rsidR="00C27EAB" w:rsidRPr="00A13980" w:rsidRDefault="00F122A6" w:rsidP="00C27EAB">
      <w:pPr>
        <w:pStyle w:val="Bulletleft1"/>
      </w:pPr>
      <w:r>
        <w:t xml:space="preserve">suggestion to reword to include </w:t>
      </w:r>
      <w:r w:rsidR="00C27EAB" w:rsidRPr="00A13980">
        <w:t xml:space="preserve">confirmed and suspected bacterial meningitis </w:t>
      </w:r>
    </w:p>
    <w:p w14:paraId="42C22F60" w14:textId="302B462E" w:rsidR="00C27EAB" w:rsidRPr="00C27EAB" w:rsidRDefault="00F122A6" w:rsidP="00C27EAB">
      <w:pPr>
        <w:pStyle w:val="Bulletleft1"/>
      </w:pPr>
      <w:r>
        <w:t>s</w:t>
      </w:r>
      <w:r w:rsidR="00C27EAB" w:rsidRPr="00A13980">
        <w:t>uspected bacterial meningitis is part of the ECDS dataset, as are ‘suspected viral meningitis’ and ‘suspected encephalitis’</w:t>
      </w:r>
      <w:r>
        <w:t>. These</w:t>
      </w:r>
      <w:r w:rsidR="00C27EAB" w:rsidRPr="00A13980">
        <w:t xml:space="preserve"> conditions have overlapping symptoms and</w:t>
      </w:r>
      <w:r>
        <w:t>,</w:t>
      </w:r>
      <w:r w:rsidR="00C27EAB" w:rsidRPr="00A13980">
        <w:t xml:space="preserve"> at the point of </w:t>
      </w:r>
      <w:r>
        <w:t>making</w:t>
      </w:r>
      <w:r w:rsidR="00C27EAB" w:rsidRPr="00A13980">
        <w:t xml:space="preserve"> a diagnosis in the emergency department, when not all test results are back, there may be a certain randomness to which</w:t>
      </w:r>
      <w:r w:rsidR="00C27EAB" w:rsidRPr="00C27EAB">
        <w:t xml:space="preserve"> of these diagnoses is chosen. This will lead to concerns about data quality </w:t>
      </w:r>
    </w:p>
    <w:p w14:paraId="0EA8CF53" w14:textId="0350070E" w:rsidR="00567AC6" w:rsidRDefault="00F122A6" w:rsidP="00C27EAB">
      <w:pPr>
        <w:pStyle w:val="Bulletleft1"/>
      </w:pPr>
      <w:r>
        <w:t>p</w:t>
      </w:r>
      <w:r w:rsidR="00C27EAB" w:rsidRPr="00C27EAB">
        <w:t xml:space="preserve">rocess b </w:t>
      </w:r>
      <w:r w:rsidR="00782288">
        <w:t>–</w:t>
      </w:r>
      <w:r w:rsidR="00C27EAB" w:rsidRPr="00C27EAB">
        <w:t xml:space="preserve"> </w:t>
      </w:r>
      <w:r w:rsidR="00782288">
        <w:t xml:space="preserve">suggestion to state </w:t>
      </w:r>
      <w:r w:rsidR="00C27EAB" w:rsidRPr="00C27EAB">
        <w:t>‘valid’ clinical indication</w:t>
      </w:r>
      <w:r w:rsidR="00097828">
        <w:t>.</w:t>
      </w:r>
    </w:p>
    <w:p w14:paraId="561A44D8" w14:textId="77777777" w:rsidR="006A2F1E" w:rsidRDefault="006A2F1E" w:rsidP="006A2F1E">
      <w:pPr>
        <w:pStyle w:val="Bulletleft1"/>
        <w:numPr>
          <w:ilvl w:val="0"/>
          <w:numId w:val="0"/>
        </w:numPr>
      </w:pPr>
    </w:p>
    <w:p w14:paraId="037F240A" w14:textId="44516B59" w:rsidR="006A2F1E" w:rsidRPr="00A13980" w:rsidRDefault="006A2F1E" w:rsidP="006A2F1E">
      <w:pPr>
        <w:pStyle w:val="Bulletleft1"/>
        <w:numPr>
          <w:ilvl w:val="0"/>
          <w:numId w:val="0"/>
        </w:numPr>
      </w:pPr>
      <w:r>
        <w:t>Definitions</w:t>
      </w:r>
    </w:p>
    <w:p w14:paraId="2033CEE6" w14:textId="7EB2F866" w:rsidR="00F122A6" w:rsidRDefault="006A2F1E" w:rsidP="0051471E">
      <w:pPr>
        <w:pStyle w:val="Bulletleft1"/>
      </w:pPr>
      <w:r>
        <w:lastRenderedPageBreak/>
        <w:t>'</w:t>
      </w:r>
      <w:r w:rsidR="00F122A6">
        <w:t>c</w:t>
      </w:r>
      <w:r>
        <w:t xml:space="preserve">linically indicated' is inadequately defined </w:t>
      </w:r>
      <w:r w:rsidR="0051471E">
        <w:t>as the risk factors, symptoms and signs are more difficult to identify than the quality standard suggests</w:t>
      </w:r>
    </w:p>
    <w:p w14:paraId="427511AC" w14:textId="73D98154" w:rsidR="00F122A6" w:rsidRDefault="00F122A6" w:rsidP="00E409A1">
      <w:pPr>
        <w:pStyle w:val="Bulletleft1"/>
      </w:pPr>
      <w:r>
        <w:t xml:space="preserve">it would be helpful to give examples of risk factors for an evolving space-occupying lesion. </w:t>
      </w:r>
    </w:p>
    <w:p w14:paraId="6DE84A81" w14:textId="77777777" w:rsidR="006A2F1E" w:rsidRDefault="006A2F1E" w:rsidP="006A2F1E">
      <w:pPr>
        <w:pStyle w:val="Bulletleft1"/>
        <w:numPr>
          <w:ilvl w:val="0"/>
          <w:numId w:val="0"/>
        </w:numPr>
      </w:pPr>
    </w:p>
    <w:p w14:paraId="587A9207" w14:textId="77777777" w:rsidR="00440D1E" w:rsidRPr="00A13980" w:rsidRDefault="00440D1E" w:rsidP="00440D1E">
      <w:pPr>
        <w:pStyle w:val="Bulletleft1"/>
        <w:numPr>
          <w:ilvl w:val="0"/>
          <w:numId w:val="0"/>
        </w:numPr>
        <w:rPr>
          <w:rFonts w:cs="Arial"/>
        </w:rPr>
      </w:pPr>
      <w:r w:rsidRPr="00A13980">
        <w:rPr>
          <w:rFonts w:cs="Arial"/>
        </w:rPr>
        <w:t>Equality and diversity considerations</w:t>
      </w:r>
    </w:p>
    <w:p w14:paraId="247F655F" w14:textId="20C3DE16" w:rsidR="0084608E" w:rsidRPr="00E62C7C" w:rsidRDefault="00F122A6" w:rsidP="002E6287">
      <w:pPr>
        <w:pStyle w:val="Bulletleft1"/>
      </w:pPr>
      <w:r>
        <w:t>th</w:t>
      </w:r>
      <w:r w:rsidR="00440D1E" w:rsidRPr="00E62C7C">
        <w:t xml:space="preserve">e </w:t>
      </w:r>
      <w:r w:rsidR="00A25D42">
        <w:t>quality standard</w:t>
      </w:r>
      <w:r w:rsidR="00440D1E" w:rsidRPr="00E62C7C">
        <w:t xml:space="preserve"> assume</w:t>
      </w:r>
      <w:r>
        <w:t>s</w:t>
      </w:r>
      <w:r w:rsidR="00440D1E" w:rsidRPr="00E62C7C">
        <w:t xml:space="preserve"> </w:t>
      </w:r>
      <w:r w:rsidR="0051471E">
        <w:t>people</w:t>
      </w:r>
      <w:r w:rsidR="00440D1E" w:rsidRPr="00E62C7C">
        <w:t xml:space="preserve"> will have capacity </w:t>
      </w:r>
      <w:r>
        <w:t>and</w:t>
      </w:r>
      <w:r w:rsidR="00440D1E" w:rsidRPr="00E62C7C">
        <w:t xml:space="preserve"> give consent</w:t>
      </w:r>
      <w:r w:rsidR="0051471E">
        <w:t xml:space="preserve"> but t</w:t>
      </w:r>
      <w:r w:rsidR="00440D1E" w:rsidRPr="00E62C7C">
        <w:t xml:space="preserve">here can be significant issues </w:t>
      </w:r>
      <w:r w:rsidR="0051471E">
        <w:t>due</w:t>
      </w:r>
      <w:r w:rsidR="00440D1E" w:rsidRPr="00E62C7C">
        <w:t xml:space="preserve"> to previous trauma with invasive procedures</w:t>
      </w:r>
      <w:r w:rsidR="0051471E">
        <w:t>,</w:t>
      </w:r>
      <w:r w:rsidR="00440D1E" w:rsidRPr="00E62C7C">
        <w:t xml:space="preserve"> such as injections or </w:t>
      </w:r>
      <w:r w:rsidR="0051471E">
        <w:t>LP,</w:t>
      </w:r>
      <w:r>
        <w:t xml:space="preserve"> </w:t>
      </w:r>
      <w:r w:rsidR="0051471E">
        <w:t>meaning</w:t>
      </w:r>
      <w:r>
        <w:t xml:space="preserve"> reasonable adjustments may be needed</w:t>
      </w:r>
      <w:r w:rsidR="002E6287">
        <w:t>.</w:t>
      </w:r>
    </w:p>
    <w:p w14:paraId="2B8A6C10" w14:textId="77777777" w:rsidR="00DB11C5" w:rsidRPr="0067426A" w:rsidRDefault="00DB11C5" w:rsidP="005D7E50">
      <w:pPr>
        <w:pStyle w:val="Heading3"/>
      </w:pPr>
      <w:r w:rsidRPr="0067426A">
        <w:t>Issues for consideration</w:t>
      </w:r>
    </w:p>
    <w:p w14:paraId="78605955" w14:textId="77777777" w:rsidR="00DB11C5" w:rsidRPr="00B413F2" w:rsidRDefault="00DB11C5" w:rsidP="005D7E50">
      <w:pPr>
        <w:pStyle w:val="Heading4"/>
      </w:pPr>
      <w:r w:rsidRPr="00A6218A">
        <w:t>For discussion:</w:t>
      </w:r>
    </w:p>
    <w:p w14:paraId="23500293" w14:textId="684E116E" w:rsidR="00DB11C5" w:rsidRDefault="00782288" w:rsidP="005D7E50">
      <w:pPr>
        <w:pStyle w:val="Bulletleft1"/>
      </w:pPr>
      <w:r>
        <w:t>the definition of ‘clinically indicated’ is taken from the guideline recommendation. Is the definition clear enough? Are</w:t>
      </w:r>
      <w:r w:rsidRPr="00782288">
        <w:t xml:space="preserve"> risk factors for an evolving space-occupying lesion or </w:t>
      </w:r>
      <w:r>
        <w:t xml:space="preserve">the </w:t>
      </w:r>
      <w:r w:rsidRPr="00782288">
        <w:t>signs of raised intracranial pupillary reactions</w:t>
      </w:r>
      <w:r>
        <w:t xml:space="preserve"> in the definition relatively easy to recognise for a clinician or is a specific speciality needed to identify these? </w:t>
      </w:r>
    </w:p>
    <w:p w14:paraId="588ED48E" w14:textId="2B3022CF" w:rsidR="002C4449" w:rsidRDefault="002C4449" w:rsidP="005D7E50">
      <w:pPr>
        <w:pStyle w:val="Bulletleft1"/>
      </w:pPr>
      <w:r>
        <w:t>comment tha</w:t>
      </w:r>
      <w:r w:rsidR="000F17FD">
        <w:t>t</w:t>
      </w:r>
      <w:r w:rsidRPr="002C4449">
        <w:t xml:space="preserve"> a clinical assessment for raised intracranial pressure</w:t>
      </w:r>
      <w:r>
        <w:t xml:space="preserve"> </w:t>
      </w:r>
      <w:r w:rsidR="000F17FD">
        <w:t>needs to take place</w:t>
      </w:r>
      <w:r>
        <w:t xml:space="preserve">. Would this be carried out and documented prior to LP? </w:t>
      </w:r>
    </w:p>
    <w:p w14:paraId="4F7F7C12" w14:textId="3B612F2D" w:rsidR="00DB11C5" w:rsidRPr="001E5769" w:rsidRDefault="00E55DCC" w:rsidP="00DB11C5">
      <w:pPr>
        <w:pStyle w:val="Bulletleft1last"/>
      </w:pPr>
      <w:r>
        <w:t>c</w:t>
      </w:r>
      <w:r w:rsidR="005F4D0D">
        <w:t xml:space="preserve">omment received that </w:t>
      </w:r>
      <w:r w:rsidR="005F4D0D" w:rsidRPr="005F4D0D">
        <w:t>suspected bacterial meningitis</w:t>
      </w:r>
      <w:r w:rsidR="005F4D0D">
        <w:t xml:space="preserve">, </w:t>
      </w:r>
      <w:r w:rsidR="005F4D0D" w:rsidRPr="005F4D0D">
        <w:t xml:space="preserve">suspected viral meningitis and suspected encephalitis have overlapping symptoms and, at the point of making a diagnosis in the emergency department, when not all test results are </w:t>
      </w:r>
      <w:r w:rsidR="005F4D0D" w:rsidRPr="001E5769">
        <w:t xml:space="preserve">back, there may be a certain randomness to which of these diagnoses is chosen. Is this the case and what is the impact of this on the quality standard? </w:t>
      </w:r>
    </w:p>
    <w:p w14:paraId="68C7A0FE" w14:textId="77777777" w:rsidR="00DB11C5" w:rsidRPr="001E5769" w:rsidRDefault="00DB11C5" w:rsidP="005D7E50">
      <w:pPr>
        <w:pStyle w:val="Heading4"/>
      </w:pPr>
      <w:r w:rsidRPr="001E5769">
        <w:t>For decision:</w:t>
      </w:r>
    </w:p>
    <w:p w14:paraId="4D78240A" w14:textId="334A4279" w:rsidR="00DB11C5" w:rsidRPr="001E5769" w:rsidRDefault="00E55DCC" w:rsidP="005D7E50">
      <w:pPr>
        <w:pStyle w:val="Bulletleft1"/>
        <w:rPr>
          <w:b/>
          <w:bCs/>
        </w:rPr>
      </w:pPr>
      <w:r>
        <w:t xml:space="preserve">based on feedback at consultation, should the quality statement remain in the quality standard? </w:t>
      </w:r>
    </w:p>
    <w:p w14:paraId="0641E6AF" w14:textId="77777777" w:rsidR="00372BCF" w:rsidRDefault="00372BCF">
      <w:pPr>
        <w:rPr>
          <w:rFonts w:ascii="Arial" w:hAnsi="Arial" w:cs="Arial"/>
          <w:b/>
          <w:bCs/>
          <w:sz w:val="28"/>
          <w:szCs w:val="28"/>
        </w:rPr>
      </w:pPr>
      <w:r>
        <w:br w:type="page"/>
      </w:r>
    </w:p>
    <w:p w14:paraId="5FA410F2" w14:textId="44B8F2A8" w:rsidR="00567AC6" w:rsidRDefault="00567AC6" w:rsidP="00567AC6">
      <w:pPr>
        <w:pStyle w:val="Numberedheading2"/>
      </w:pPr>
      <w:r>
        <w:lastRenderedPageBreak/>
        <w:t>Draft statement 3</w:t>
      </w:r>
    </w:p>
    <w:p w14:paraId="342B0222" w14:textId="3D6EE07A" w:rsidR="00567AC6" w:rsidRDefault="00372BCF" w:rsidP="00567AC6">
      <w:pPr>
        <w:pStyle w:val="NICEnormal"/>
      </w:pPr>
      <w:r w:rsidRPr="00372BCF">
        <w:t>People with suspected bacterial meningitis or suspected meningococcal disease receive intravenous antibiotics within 1 hour of arrival at hospital.  [2012, updated 2024]</w:t>
      </w:r>
    </w:p>
    <w:p w14:paraId="70FDB39B" w14:textId="77777777" w:rsidR="00567AC6" w:rsidRDefault="00567AC6" w:rsidP="00567AC6">
      <w:pPr>
        <w:pStyle w:val="Heading3"/>
      </w:pPr>
      <w:r>
        <w:t>Consultation comments</w:t>
      </w:r>
    </w:p>
    <w:p w14:paraId="4FE038AB" w14:textId="494FB963" w:rsidR="00567AC6" w:rsidRPr="002B40C4" w:rsidRDefault="00567AC6" w:rsidP="00567AC6">
      <w:pPr>
        <w:pStyle w:val="NICEnormal"/>
      </w:pPr>
      <w:r w:rsidRPr="002B40C4">
        <w:t xml:space="preserve">Stakeholders made the following comments </w:t>
      </w:r>
      <w:r>
        <w:t xml:space="preserve">in relation to draft statement </w:t>
      </w:r>
      <w:r w:rsidR="00372BCF">
        <w:t>3</w:t>
      </w:r>
      <w:r w:rsidRPr="002B40C4">
        <w:t>:</w:t>
      </w:r>
    </w:p>
    <w:p w14:paraId="0218BD9C" w14:textId="6E5E4591" w:rsidR="00F122A6" w:rsidRPr="00F122A6" w:rsidRDefault="00D37320" w:rsidP="00F122A6">
      <w:pPr>
        <w:pStyle w:val="Bulletleft1"/>
        <w:numPr>
          <w:ilvl w:val="0"/>
          <w:numId w:val="0"/>
        </w:numPr>
        <w:ind w:left="284" w:hanging="284"/>
      </w:pPr>
      <w:r>
        <w:t>General</w:t>
      </w:r>
      <w:r w:rsidR="00567AC6" w:rsidRPr="00DE6F78">
        <w:t xml:space="preserve"> </w:t>
      </w:r>
    </w:p>
    <w:p w14:paraId="7EB4A3A4" w14:textId="13488168" w:rsidR="00F122A6" w:rsidRPr="00F122A6" w:rsidRDefault="005F2305" w:rsidP="0027765E">
      <w:pPr>
        <w:pStyle w:val="Bulletleft1"/>
      </w:pPr>
      <w:r>
        <w:rPr>
          <w:rFonts w:cs="Arial"/>
        </w:rPr>
        <w:t>agreement</w:t>
      </w:r>
      <w:r w:rsidR="00F122A6">
        <w:rPr>
          <w:rFonts w:cs="Arial"/>
        </w:rPr>
        <w:t xml:space="preserve"> that prompt antibiotic treatment is important but concerns </w:t>
      </w:r>
      <w:r>
        <w:rPr>
          <w:rFonts w:cs="Arial"/>
        </w:rPr>
        <w:t xml:space="preserve">were raised </w:t>
      </w:r>
      <w:r w:rsidR="00F122A6">
        <w:rPr>
          <w:rFonts w:cs="Arial"/>
        </w:rPr>
        <w:t>regarding a potential contradiction with the NICE guideline on sepsis which has a more nuanced approach to antibiotics, based on a NEWS2 score</w:t>
      </w:r>
      <w:r w:rsidR="00546066">
        <w:rPr>
          <w:rFonts w:cs="Arial"/>
        </w:rPr>
        <w:t>. This does not require antibiotics to be given to all people with suspected sepsis within 1 hour as this is based on risk of severe illness or death.</w:t>
      </w:r>
    </w:p>
    <w:p w14:paraId="1A058A6F" w14:textId="5F992DF9" w:rsidR="0027765E" w:rsidRDefault="00F122A6" w:rsidP="0027765E">
      <w:pPr>
        <w:pStyle w:val="Bulletleft1"/>
      </w:pPr>
      <w:r>
        <w:rPr>
          <w:rFonts w:cs="Arial"/>
        </w:rPr>
        <w:t xml:space="preserve">the statement should acknowledge this only relates to those people who did not receive antibiotics prior to arrival at hospital </w:t>
      </w:r>
    </w:p>
    <w:p w14:paraId="4B67EE8D" w14:textId="7806BB9C" w:rsidR="0027765E" w:rsidRDefault="0068226D" w:rsidP="00D37320">
      <w:pPr>
        <w:pStyle w:val="Bulletleft1"/>
      </w:pPr>
      <w:r>
        <w:t xml:space="preserve">there can be differences in opinion of when a person arrives at hospital and suggested this is clearly defined, for example the time they </w:t>
      </w:r>
      <w:r w:rsidR="0027765E" w:rsidRPr="0027765E">
        <w:t>register at the hospital</w:t>
      </w:r>
    </w:p>
    <w:p w14:paraId="678BA45D" w14:textId="38DECBAE" w:rsidR="0027765E" w:rsidRDefault="005F2305" w:rsidP="00D37320">
      <w:pPr>
        <w:pStyle w:val="Bulletleft1"/>
      </w:pPr>
      <w:r>
        <w:t>suggestion that the</w:t>
      </w:r>
      <w:r w:rsidR="0068226D">
        <w:t xml:space="preserve"> statement </w:t>
      </w:r>
      <w:r>
        <w:t xml:space="preserve">should </w:t>
      </w:r>
      <w:r w:rsidR="0068226D">
        <w:t>include the specific antibiotics to be given</w:t>
      </w:r>
      <w:r w:rsidR="00BE011B" w:rsidRPr="00BE011B">
        <w:t>.</w:t>
      </w:r>
    </w:p>
    <w:p w14:paraId="70D2341B" w14:textId="77777777" w:rsidR="00004709" w:rsidRDefault="00004709" w:rsidP="00B51892">
      <w:pPr>
        <w:pStyle w:val="Bulletleft1"/>
        <w:numPr>
          <w:ilvl w:val="0"/>
          <w:numId w:val="0"/>
        </w:numPr>
        <w:ind w:left="284"/>
      </w:pPr>
    </w:p>
    <w:p w14:paraId="111434B5" w14:textId="77777777" w:rsidR="00567AC6" w:rsidRPr="00FD241C" w:rsidRDefault="00567AC6" w:rsidP="00567AC6">
      <w:pPr>
        <w:pStyle w:val="Bulletleft1"/>
        <w:numPr>
          <w:ilvl w:val="0"/>
          <w:numId w:val="0"/>
        </w:numPr>
      </w:pPr>
      <w:r w:rsidRPr="00FD241C">
        <w:t>Measures</w:t>
      </w:r>
    </w:p>
    <w:p w14:paraId="5690F6A8" w14:textId="0B0B7B55" w:rsidR="0016156A" w:rsidRDefault="00004709" w:rsidP="006520AA">
      <w:pPr>
        <w:pStyle w:val="Bulletleft1"/>
      </w:pPr>
      <w:r>
        <w:t xml:space="preserve">should </w:t>
      </w:r>
      <w:r w:rsidR="00B51892">
        <w:t xml:space="preserve">the measure </w:t>
      </w:r>
      <w:r>
        <w:t>be</w:t>
      </w:r>
      <w:bookmarkStart w:id="1" w:name="_Hlk174701936"/>
      <w:r>
        <w:t xml:space="preserve"> </w:t>
      </w:r>
      <w:r w:rsidR="00D37320" w:rsidRPr="00FD241C">
        <w:t>confirmed and suspected bacterial meningitis</w:t>
      </w:r>
      <w:r>
        <w:t xml:space="preserve"> or</w:t>
      </w:r>
      <w:r w:rsidR="00D37320" w:rsidRPr="00FD241C">
        <w:t xml:space="preserve"> meningococcal disease</w:t>
      </w:r>
      <w:bookmarkEnd w:id="1"/>
    </w:p>
    <w:p w14:paraId="22799AC7" w14:textId="00496B63" w:rsidR="00D37320" w:rsidRDefault="00C52996" w:rsidP="006520AA">
      <w:pPr>
        <w:pStyle w:val="Bulletleft1"/>
      </w:pPr>
      <w:r>
        <w:t>a</w:t>
      </w:r>
      <w:r w:rsidR="0016156A">
        <w:t>s previously noted, we received comments that s</w:t>
      </w:r>
      <w:r w:rsidR="00D37320" w:rsidRPr="00FD241C">
        <w:t>uspected bacterial meningitis and suspected meningoco</w:t>
      </w:r>
      <w:r w:rsidR="00BC0D6C">
        <w:t>c</w:t>
      </w:r>
      <w:r w:rsidR="00D37320" w:rsidRPr="00FD241C">
        <w:t>cal disease are part of the ECDS dataset</w:t>
      </w:r>
      <w:r w:rsidR="00B64E65">
        <w:t xml:space="preserve"> and that due to overlapping symptoms there may be a certain randomness to the diagnosis chosen.</w:t>
      </w:r>
    </w:p>
    <w:p w14:paraId="55FC3C41" w14:textId="77777777" w:rsidR="00FD241C" w:rsidRPr="00FD241C" w:rsidRDefault="00FD241C" w:rsidP="00FD241C">
      <w:pPr>
        <w:pStyle w:val="Bulletleft1"/>
        <w:numPr>
          <w:ilvl w:val="0"/>
          <w:numId w:val="0"/>
        </w:numPr>
        <w:ind w:left="284"/>
      </w:pPr>
    </w:p>
    <w:p w14:paraId="39E80562" w14:textId="77777777" w:rsidR="00567AC6" w:rsidRPr="0067426A" w:rsidRDefault="00567AC6" w:rsidP="00567AC6">
      <w:pPr>
        <w:pStyle w:val="Heading3"/>
      </w:pPr>
      <w:r w:rsidRPr="0067426A">
        <w:lastRenderedPageBreak/>
        <w:t>Issues for consideration</w:t>
      </w:r>
    </w:p>
    <w:p w14:paraId="15234098" w14:textId="77777777" w:rsidR="00567AC6" w:rsidRPr="00B413F2" w:rsidRDefault="00567AC6" w:rsidP="00567AC6">
      <w:pPr>
        <w:pStyle w:val="Heading4"/>
      </w:pPr>
      <w:r w:rsidRPr="00A6218A">
        <w:t>For discussion:</w:t>
      </w:r>
    </w:p>
    <w:p w14:paraId="1AC64852" w14:textId="168BDC04" w:rsidR="00567AC6" w:rsidRDefault="0036309F" w:rsidP="00502AC0">
      <w:pPr>
        <w:pStyle w:val="Bulletleft1"/>
      </w:pPr>
      <w:r>
        <w:t xml:space="preserve">stakeholder suggested the measure should be </w:t>
      </w:r>
      <w:r w:rsidR="0016156A" w:rsidRPr="0016156A">
        <w:t>confirmed and suspected bacterial meningitis or meningococcal disease</w:t>
      </w:r>
      <w:r>
        <w:t>. Is it likely that there would be a confirmed diagnosis of bacterial meningitis before antibiotic administration if this was done within 1 hour of arrival</w:t>
      </w:r>
      <w:r w:rsidR="00502AC0">
        <w:t xml:space="preserve"> </w:t>
      </w:r>
      <w:r>
        <w:t xml:space="preserve">at hospital? </w:t>
      </w:r>
      <w:r w:rsidR="0016156A" w:rsidRPr="0016156A">
        <w:rPr>
          <w:highlight w:val="darkGray"/>
        </w:rPr>
        <w:t xml:space="preserve"> </w:t>
      </w:r>
    </w:p>
    <w:p w14:paraId="43D131DA" w14:textId="77777777" w:rsidR="00567AC6" w:rsidRDefault="00567AC6" w:rsidP="00567AC6">
      <w:pPr>
        <w:pStyle w:val="Heading4"/>
      </w:pPr>
      <w:r w:rsidRPr="00A65BD8">
        <w:t>For decision:</w:t>
      </w:r>
    </w:p>
    <w:p w14:paraId="54C1CAAB" w14:textId="6A448800" w:rsidR="00691EE3" w:rsidRPr="0016156A" w:rsidRDefault="0084608E" w:rsidP="00691EE3">
      <w:pPr>
        <w:pStyle w:val="Bulletleft1"/>
      </w:pPr>
      <w:r>
        <w:t>s</w:t>
      </w:r>
      <w:r w:rsidR="00691EE3" w:rsidRPr="0016156A">
        <w:t xml:space="preserve">hould a definition of arrival at hospital be included? If so, the following was suggested by an SCM previously, and this can be discussed and agreed at the committee meeting: </w:t>
      </w:r>
    </w:p>
    <w:p w14:paraId="78570237" w14:textId="4E40269D" w:rsidR="00691EE3" w:rsidRDefault="00691EE3" w:rsidP="00691EE3">
      <w:pPr>
        <w:pStyle w:val="Bulletleft1"/>
        <w:numPr>
          <w:ilvl w:val="0"/>
          <w:numId w:val="0"/>
        </w:numPr>
        <w:ind w:left="284"/>
      </w:pPr>
      <w:r>
        <w:t>Arrival at hospital can be defined as:</w:t>
      </w:r>
    </w:p>
    <w:p w14:paraId="13B81AEF" w14:textId="3FD02AB7" w:rsidR="00691EE3" w:rsidRDefault="00691EE3" w:rsidP="003F36EE">
      <w:pPr>
        <w:pStyle w:val="Bulletleft1"/>
        <w:numPr>
          <w:ilvl w:val="0"/>
          <w:numId w:val="35"/>
        </w:numPr>
      </w:pPr>
      <w:r>
        <w:t>on check in to the emergency department, hospital assessment unit or acute admission ward if the person has been referred with suspected meningitis by an external healthcare professional, such as GP, nurse, pharmacist or, paramedic</w:t>
      </w:r>
    </w:p>
    <w:p w14:paraId="4B725DA6" w14:textId="2D1395F6" w:rsidR="00691EE3" w:rsidRPr="00B64E65" w:rsidRDefault="00691EE3" w:rsidP="003F36EE">
      <w:pPr>
        <w:pStyle w:val="Bulletleft1"/>
        <w:numPr>
          <w:ilvl w:val="0"/>
          <w:numId w:val="35"/>
        </w:numPr>
      </w:pPr>
      <w:r>
        <w:t xml:space="preserve">from time of triage if the person arrived at the emergency department without </w:t>
      </w:r>
      <w:r w:rsidRPr="00B64E65">
        <w:t>being referred by an external healthcare professional</w:t>
      </w:r>
    </w:p>
    <w:p w14:paraId="7D7F80E4" w14:textId="20364561" w:rsidR="00567AC6" w:rsidRPr="00B64E65" w:rsidRDefault="00E97ADE" w:rsidP="00567AC6">
      <w:pPr>
        <w:pStyle w:val="Bulletleft1last"/>
      </w:pPr>
      <w:r>
        <w:t xml:space="preserve">comments were received that </w:t>
      </w:r>
      <w:r w:rsidR="00B64E65" w:rsidRPr="00B64E65">
        <w:t xml:space="preserve">this quality statement, and </w:t>
      </w:r>
      <w:r w:rsidR="00B64E65">
        <w:t xml:space="preserve">the </w:t>
      </w:r>
      <w:r w:rsidR="00B64E65" w:rsidRPr="00B64E65">
        <w:t>corresponding source guidance recommendations, contradict the se</w:t>
      </w:r>
      <w:r w:rsidR="00B64E65">
        <w:t>p</w:t>
      </w:r>
      <w:r w:rsidR="00B64E65" w:rsidRPr="00B64E65">
        <w:t xml:space="preserve">sis guideline recommendations. This will be discussed at the committee meeting. The NICE team are obtaining input from NICE clinical advisers and will feed this back at the meeting. </w:t>
      </w:r>
    </w:p>
    <w:p w14:paraId="0352F9A6" w14:textId="77777777" w:rsidR="00372BCF" w:rsidRDefault="00372BCF">
      <w:pPr>
        <w:rPr>
          <w:rFonts w:ascii="Arial" w:hAnsi="Arial" w:cs="Arial"/>
          <w:b/>
          <w:bCs/>
          <w:sz w:val="28"/>
          <w:szCs w:val="28"/>
        </w:rPr>
      </w:pPr>
      <w:r>
        <w:br w:type="page"/>
      </w:r>
    </w:p>
    <w:p w14:paraId="1F80B7FF" w14:textId="1287EB1A" w:rsidR="00567AC6" w:rsidRDefault="00567AC6" w:rsidP="00567AC6">
      <w:pPr>
        <w:pStyle w:val="Numberedheading2"/>
      </w:pPr>
      <w:r>
        <w:lastRenderedPageBreak/>
        <w:t>Draft statement 4</w:t>
      </w:r>
    </w:p>
    <w:p w14:paraId="281F6D35" w14:textId="75ECFFC4" w:rsidR="00567AC6" w:rsidRDefault="00372BCF" w:rsidP="00567AC6">
      <w:pPr>
        <w:pStyle w:val="NICEnormal"/>
      </w:pPr>
      <w:r w:rsidRPr="00372BCF">
        <w:t>People who have had bacterial meningitis or meningococcal disease are offered an audiological assessment within 4 weeks of them being well enough for testing. [2012, updated 2024]</w:t>
      </w:r>
    </w:p>
    <w:p w14:paraId="58AD4D3D" w14:textId="77777777" w:rsidR="00567AC6" w:rsidRDefault="00567AC6" w:rsidP="00567AC6">
      <w:pPr>
        <w:pStyle w:val="Heading3"/>
      </w:pPr>
      <w:r>
        <w:t>Consultation comments</w:t>
      </w:r>
    </w:p>
    <w:p w14:paraId="0B7905D7" w14:textId="3069F4A9" w:rsidR="00567AC6" w:rsidRPr="002B40C4" w:rsidRDefault="00567AC6" w:rsidP="00567AC6">
      <w:pPr>
        <w:pStyle w:val="NICEnormal"/>
      </w:pPr>
      <w:r w:rsidRPr="002B40C4">
        <w:t xml:space="preserve">Stakeholders made the following comments </w:t>
      </w:r>
      <w:r>
        <w:t xml:space="preserve">in relation to draft statement </w:t>
      </w:r>
      <w:r w:rsidR="00372BCF">
        <w:t>4</w:t>
      </w:r>
      <w:r w:rsidRPr="002B40C4">
        <w:t>:</w:t>
      </w:r>
    </w:p>
    <w:p w14:paraId="5CDC0926" w14:textId="76D5276F" w:rsidR="00567AC6" w:rsidRPr="00DB59A9" w:rsidRDefault="005E4562" w:rsidP="00810004">
      <w:pPr>
        <w:pStyle w:val="NICEnormal"/>
        <w:spacing w:after="0"/>
      </w:pPr>
      <w:r w:rsidRPr="00DB59A9">
        <w:t>General</w:t>
      </w:r>
    </w:p>
    <w:p w14:paraId="232F2638" w14:textId="2182BB3A" w:rsidR="00810004" w:rsidRPr="00DB59A9" w:rsidRDefault="00883D79" w:rsidP="00810004">
      <w:pPr>
        <w:pStyle w:val="Bulletleft1"/>
      </w:pPr>
      <w:r>
        <w:t xml:space="preserve">agreement that </w:t>
      </w:r>
      <w:r w:rsidR="00810004" w:rsidRPr="004F494F">
        <w:t>this is an important statement</w:t>
      </w:r>
      <w:r>
        <w:t>, with a suggestion to</w:t>
      </w:r>
      <w:r w:rsidR="00810004" w:rsidRPr="004F494F">
        <w:t xml:space="preserve"> merge with statement 5</w:t>
      </w:r>
    </w:p>
    <w:p w14:paraId="1C96828F" w14:textId="081F71D9" w:rsidR="005E4562" w:rsidRPr="00DB59A9" w:rsidRDefault="00883D79" w:rsidP="00567AC6">
      <w:pPr>
        <w:pStyle w:val="Bulletleft1"/>
      </w:pPr>
      <w:r>
        <w:t>comment</w:t>
      </w:r>
      <w:r w:rsidR="00810004">
        <w:t xml:space="preserve"> that </w:t>
      </w:r>
      <w:r w:rsidR="005E4562" w:rsidRPr="00DB59A9">
        <w:t xml:space="preserve">people </w:t>
      </w:r>
      <w:r w:rsidR="00810004">
        <w:t>sometimes wait longer than 4 weeks</w:t>
      </w:r>
      <w:r>
        <w:t>, with a query on</w:t>
      </w:r>
      <w:r w:rsidR="00810004">
        <w:t xml:space="preserve"> whether availability of appointments </w:t>
      </w:r>
      <w:r w:rsidR="005E4562" w:rsidRPr="00DB59A9">
        <w:t xml:space="preserve">for audiology assessment </w:t>
      </w:r>
      <w:r w:rsidR="0068226D">
        <w:t>is</w:t>
      </w:r>
      <w:r w:rsidR="005E4562" w:rsidRPr="00DB59A9">
        <w:t xml:space="preserve"> an issue in some areas </w:t>
      </w:r>
    </w:p>
    <w:p w14:paraId="021F242C" w14:textId="488ADB07" w:rsidR="00521B4D" w:rsidRPr="00DB59A9" w:rsidRDefault="00EC0340" w:rsidP="00567AC6">
      <w:pPr>
        <w:pStyle w:val="Bulletleft1"/>
      </w:pPr>
      <w:r>
        <w:t xml:space="preserve">concern that </w:t>
      </w:r>
      <w:r w:rsidR="00521B4D" w:rsidRPr="00DB59A9">
        <w:t>audiology services may be delivered by community trusts and hospital follow-ups</w:t>
      </w:r>
      <w:r w:rsidR="00AA2425">
        <w:t xml:space="preserve"> and that if they are not well organised, </w:t>
      </w:r>
      <w:r>
        <w:t>this could</w:t>
      </w:r>
      <w:r w:rsidR="00521B4D" w:rsidRPr="00DB59A9">
        <w:t xml:space="preserve"> cause the transfer of work to primary care.</w:t>
      </w:r>
    </w:p>
    <w:p w14:paraId="328816C0" w14:textId="099F8B19" w:rsidR="00567AC6" w:rsidRDefault="00567AC6" w:rsidP="00567AC6">
      <w:pPr>
        <w:pStyle w:val="Heading3"/>
      </w:pPr>
      <w:r w:rsidRPr="00F56503">
        <w:t xml:space="preserve">Consultation </w:t>
      </w:r>
      <w:r>
        <w:t xml:space="preserve">question </w:t>
      </w:r>
      <w:r w:rsidR="00653E73">
        <w:t>5</w:t>
      </w:r>
    </w:p>
    <w:p w14:paraId="05D21E53" w14:textId="77777777" w:rsidR="00653E73" w:rsidRDefault="00653E73" w:rsidP="00653E73">
      <w:pPr>
        <w:pStyle w:val="NICEnormal"/>
      </w:pPr>
      <w:r>
        <w:t>Due to difficulties in measuring whether a person is well enough for audiological assessment, the quality standard suggests that for measurement purposes, this could take place within 4 weeks of discharge from:</w:t>
      </w:r>
    </w:p>
    <w:p w14:paraId="68E2128B" w14:textId="77777777" w:rsidR="00653E73" w:rsidRDefault="00653E73" w:rsidP="00653E73">
      <w:pPr>
        <w:pStyle w:val="NICEnormal"/>
      </w:pPr>
      <w:r>
        <w:t xml:space="preserve">- hospital if the person had an uncomplicated acute admission </w:t>
      </w:r>
    </w:p>
    <w:p w14:paraId="43EE47C5" w14:textId="77777777" w:rsidR="00653E73" w:rsidRDefault="00653E73" w:rsidP="00653E73">
      <w:pPr>
        <w:pStyle w:val="NICEnormal"/>
      </w:pPr>
      <w:r>
        <w:t>- a high dependency area, for example, the intensive care unit or paediatric intensive care unit.</w:t>
      </w:r>
    </w:p>
    <w:p w14:paraId="27443246" w14:textId="77777777" w:rsidR="00653E73" w:rsidRDefault="00653E73" w:rsidP="00653E73">
      <w:pPr>
        <w:pStyle w:val="NICEnormal"/>
      </w:pPr>
      <w:r>
        <w:t xml:space="preserve">The quality standard also notes that preferably this assessment should take place prior to discharge. </w:t>
      </w:r>
    </w:p>
    <w:p w14:paraId="7E497BDF" w14:textId="77777777" w:rsidR="00653E73" w:rsidRDefault="00653E73" w:rsidP="00653E73">
      <w:pPr>
        <w:pStyle w:val="NICEnormal"/>
      </w:pPr>
      <w:r>
        <w:t xml:space="preserve">Are these timescales appropriate and measurable? If they are not, please provide a definition or specific timings when this could occur. </w:t>
      </w:r>
    </w:p>
    <w:p w14:paraId="525851A9" w14:textId="77777777" w:rsidR="006435A7" w:rsidRDefault="006435A7" w:rsidP="006435A7">
      <w:pPr>
        <w:pStyle w:val="NICEnormal"/>
      </w:pPr>
      <w:r>
        <w:t>Stakeholders made the following comments in relation to consultation question 5:</w:t>
      </w:r>
    </w:p>
    <w:p w14:paraId="3340A720" w14:textId="77777777" w:rsidR="006435A7" w:rsidRPr="000C37A0" w:rsidRDefault="006435A7" w:rsidP="00653E73">
      <w:pPr>
        <w:pStyle w:val="NICEnormal"/>
      </w:pPr>
    </w:p>
    <w:p w14:paraId="1AD82DE2" w14:textId="7265003B" w:rsidR="006435A7" w:rsidRDefault="006435A7" w:rsidP="006435A7">
      <w:pPr>
        <w:pStyle w:val="Bulletleft1"/>
      </w:pPr>
      <w:r>
        <w:t>n</w:t>
      </w:r>
      <w:r w:rsidRPr="00776183">
        <w:t>othing has been omitted</w:t>
      </w:r>
    </w:p>
    <w:p w14:paraId="32D45F7B" w14:textId="2F061770" w:rsidR="00567AC6" w:rsidRDefault="006435A7" w:rsidP="00567AC6">
      <w:pPr>
        <w:pStyle w:val="Bulletleft1"/>
      </w:pPr>
      <w:r>
        <w:t>‘uncomplicated admission’ should be defined</w:t>
      </w:r>
    </w:p>
    <w:p w14:paraId="3EDD3F93" w14:textId="27C6BC10" w:rsidR="005E4562" w:rsidRPr="00776183" w:rsidRDefault="006435A7" w:rsidP="006435A7">
      <w:pPr>
        <w:pStyle w:val="Bulletleft1"/>
      </w:pPr>
      <w:r>
        <w:t xml:space="preserve">disagreement that being fit for discharge is the only way to define being well enough for audiological assessment and concern that this would miss those people who had an appointment before discharge. </w:t>
      </w:r>
    </w:p>
    <w:p w14:paraId="2D352F2F" w14:textId="77777777" w:rsidR="00567AC6" w:rsidRPr="0067426A" w:rsidRDefault="00567AC6" w:rsidP="00567AC6">
      <w:pPr>
        <w:pStyle w:val="Heading3"/>
      </w:pPr>
      <w:r w:rsidRPr="0067426A">
        <w:t>Issues for consideration</w:t>
      </w:r>
    </w:p>
    <w:p w14:paraId="6C5FD764" w14:textId="77777777" w:rsidR="00567AC6" w:rsidRPr="00B413F2" w:rsidRDefault="00567AC6" w:rsidP="00567AC6">
      <w:pPr>
        <w:pStyle w:val="Heading4"/>
      </w:pPr>
      <w:r w:rsidRPr="00A6218A">
        <w:t>For discussion:</w:t>
      </w:r>
    </w:p>
    <w:p w14:paraId="33D715CF" w14:textId="7D9551FA" w:rsidR="00567AC6" w:rsidRDefault="00A0387E" w:rsidP="00567AC6">
      <w:pPr>
        <w:pStyle w:val="Bulletleft1"/>
      </w:pPr>
      <w:r>
        <w:t xml:space="preserve">concern that if audiology services weren’t available, primary care would be responsible for carrying this out. Is this the case? </w:t>
      </w:r>
    </w:p>
    <w:p w14:paraId="2439EB2C" w14:textId="77777777" w:rsidR="00567AC6" w:rsidRDefault="00567AC6" w:rsidP="00567AC6">
      <w:pPr>
        <w:pStyle w:val="Heading4"/>
      </w:pPr>
      <w:r w:rsidRPr="00A65BD8">
        <w:t>For decision:</w:t>
      </w:r>
    </w:p>
    <w:p w14:paraId="469DFC95" w14:textId="11A41AD0" w:rsidR="00653E73" w:rsidRDefault="006435A7" w:rsidP="00A0387E">
      <w:pPr>
        <w:pStyle w:val="Bulletleft1"/>
        <w:rPr>
          <w:rFonts w:cs="Arial"/>
          <w:b/>
          <w:bCs/>
          <w:sz w:val="28"/>
          <w:szCs w:val="28"/>
        </w:rPr>
      </w:pPr>
      <w:r>
        <w:t>a</w:t>
      </w:r>
      <w:r w:rsidRPr="006435A7">
        <w:t xml:space="preserve"> robust definition, for measurement purposes, of being well enough for testing is </w:t>
      </w:r>
      <w:r w:rsidRPr="00631E37">
        <w:t>needed</w:t>
      </w:r>
      <w:r w:rsidR="00631E37" w:rsidRPr="00631E37">
        <w:t xml:space="preserve"> if this statement is to remain in the quality standard</w:t>
      </w:r>
      <w:r w:rsidR="00A0387E">
        <w:t xml:space="preserve">. Few comments were received from stakeholders on the draft definition, this can be discussed at the committee meeting. </w:t>
      </w:r>
      <w:r w:rsidR="00653E73">
        <w:br w:type="page"/>
      </w:r>
    </w:p>
    <w:p w14:paraId="56049B10" w14:textId="5833645C" w:rsidR="00567AC6" w:rsidRDefault="00567AC6" w:rsidP="00567AC6">
      <w:pPr>
        <w:pStyle w:val="Numberedheading2"/>
      </w:pPr>
      <w:r>
        <w:lastRenderedPageBreak/>
        <w:t>Draft statement 5</w:t>
      </w:r>
    </w:p>
    <w:p w14:paraId="09BD90FA" w14:textId="56282C1E" w:rsidR="00567AC6" w:rsidRDefault="00653E73" w:rsidP="00567AC6">
      <w:pPr>
        <w:pStyle w:val="NICEnormal"/>
      </w:pPr>
      <w:r w:rsidRPr="00653E73">
        <w:t xml:space="preserve">People who have had bacterial meningitis or meningococcal disease have a follow-up appointment in secondary care within 6 weeks of discharge from hospital. [2012, updated 2024]  </w:t>
      </w:r>
    </w:p>
    <w:p w14:paraId="486F8A55" w14:textId="77777777" w:rsidR="00567AC6" w:rsidRDefault="00567AC6" w:rsidP="00567AC6">
      <w:pPr>
        <w:pStyle w:val="Heading3"/>
      </w:pPr>
      <w:r>
        <w:t>Consultation comments</w:t>
      </w:r>
    </w:p>
    <w:p w14:paraId="7A1AAB9A" w14:textId="68367C27" w:rsidR="00567AC6" w:rsidRPr="002B40C4" w:rsidRDefault="00567AC6" w:rsidP="00567AC6">
      <w:pPr>
        <w:pStyle w:val="NICEnormal"/>
      </w:pPr>
      <w:r w:rsidRPr="002B40C4">
        <w:t xml:space="preserve">Stakeholders made the following comments </w:t>
      </w:r>
      <w:r>
        <w:t xml:space="preserve">in relation to draft statement </w:t>
      </w:r>
      <w:r w:rsidR="00372BCF">
        <w:t>5</w:t>
      </w:r>
      <w:r w:rsidRPr="002B40C4">
        <w:t>:</w:t>
      </w:r>
    </w:p>
    <w:p w14:paraId="16761DAA" w14:textId="0CC0730C" w:rsidR="00567AC6" w:rsidRPr="00E62C7C" w:rsidRDefault="00DB59A9" w:rsidP="009357C6">
      <w:pPr>
        <w:pStyle w:val="NICEnormal"/>
        <w:spacing w:after="0"/>
      </w:pPr>
      <w:r w:rsidRPr="00E62C7C">
        <w:t>General</w:t>
      </w:r>
    </w:p>
    <w:p w14:paraId="5BDEE5D2" w14:textId="6E8D2C1B" w:rsidR="00631E37" w:rsidRDefault="00631E37" w:rsidP="00631E37">
      <w:pPr>
        <w:pStyle w:val="Bulletleft1"/>
      </w:pPr>
      <w:r>
        <w:t>agreement with the inclusion of this quality statement</w:t>
      </w:r>
      <w:r w:rsidR="00A25D42">
        <w:t>, with comments that this often does not happen for adults</w:t>
      </w:r>
    </w:p>
    <w:p w14:paraId="5BE3E425" w14:textId="6F898B2F" w:rsidR="00DB59A9" w:rsidRPr="00E62C7C" w:rsidRDefault="00631E37" w:rsidP="00631E37">
      <w:pPr>
        <w:pStyle w:val="Bulletleft1"/>
      </w:pPr>
      <w:r>
        <w:t xml:space="preserve">stakeholders noted different complications that can be caused by bacterial meningitis or meningococcal disease, commenting that people should be assessed </w:t>
      </w:r>
      <w:r w:rsidR="00557A0B">
        <w:t>for all of them</w:t>
      </w:r>
      <w:r>
        <w:t xml:space="preserve">. These include assessment of </w:t>
      </w:r>
      <w:r w:rsidR="00DB59A9" w:rsidRPr="00E62C7C">
        <w:t>mobility, activities of daily living, communication, cognition</w:t>
      </w:r>
      <w:r>
        <w:t xml:space="preserve">, </w:t>
      </w:r>
      <w:r w:rsidR="00A25D42">
        <w:t xml:space="preserve">mood, </w:t>
      </w:r>
      <w:r w:rsidRPr="00E62C7C">
        <w:t>weakness, spasticity, seizures</w:t>
      </w:r>
      <w:r w:rsidR="00A25D42">
        <w:t xml:space="preserve">, </w:t>
      </w:r>
      <w:r w:rsidR="00DB59A9" w:rsidRPr="00E62C7C">
        <w:t>control of bladder and bowel</w:t>
      </w:r>
      <w:r w:rsidR="00A25D42">
        <w:t xml:space="preserve"> and adjustment to hearing changes where appropriate</w:t>
      </w:r>
      <w:r>
        <w:t>. R</w:t>
      </w:r>
      <w:r w:rsidR="00DB59A9" w:rsidRPr="00E62C7C">
        <w:t xml:space="preserve">eferral to </w:t>
      </w:r>
      <w:r>
        <w:t>specialised rehabilitation is needed for these conditions</w:t>
      </w:r>
    </w:p>
    <w:p w14:paraId="41303622" w14:textId="683BCEA2" w:rsidR="00631E37" w:rsidRDefault="00631E37" w:rsidP="00567AC6">
      <w:pPr>
        <w:pStyle w:val="Bulletleft1"/>
      </w:pPr>
      <w:r>
        <w:t xml:space="preserve">some comments </w:t>
      </w:r>
      <w:r w:rsidR="0084608E">
        <w:t>asking</w:t>
      </w:r>
      <w:r>
        <w:t xml:space="preserve"> which healthcare professional would be best placed to carry out the assessment, due to the variety of issues to be considered </w:t>
      </w:r>
    </w:p>
    <w:p w14:paraId="73EBB1C4" w14:textId="62D24324" w:rsidR="00A25D42" w:rsidRPr="00E62C7C" w:rsidRDefault="00A25D42" w:rsidP="009357C6">
      <w:pPr>
        <w:pStyle w:val="Bulletleft1"/>
        <w:spacing w:after="240"/>
      </w:pPr>
      <w:r>
        <w:t xml:space="preserve">adults </w:t>
      </w:r>
      <w:r w:rsidRPr="00E62C7C">
        <w:t>can be treated in a variety of ward settings, and many health professionals will have little experience in treating a patient with meningitis</w:t>
      </w:r>
      <w:r>
        <w:t xml:space="preserve">. </w:t>
      </w:r>
      <w:r w:rsidR="00557A0B">
        <w:t xml:space="preserve">A stakeholder queried how the </w:t>
      </w:r>
      <w:r>
        <w:t xml:space="preserve">requirement for follow-up </w:t>
      </w:r>
      <w:r w:rsidR="00557A0B">
        <w:t xml:space="preserve">would </w:t>
      </w:r>
      <w:r>
        <w:t>be communicated to relevant healthcare professionals</w:t>
      </w:r>
    </w:p>
    <w:p w14:paraId="04D69CAD" w14:textId="25078FBF" w:rsidR="00567AC6" w:rsidRPr="00E62C7C" w:rsidRDefault="00DB59A9" w:rsidP="00567AC6">
      <w:pPr>
        <w:pStyle w:val="Bulletleft1"/>
        <w:numPr>
          <w:ilvl w:val="0"/>
          <w:numId w:val="0"/>
        </w:numPr>
      </w:pPr>
      <w:r w:rsidRPr="00E62C7C">
        <w:t>Resource impact</w:t>
      </w:r>
    </w:p>
    <w:p w14:paraId="19ADF905" w14:textId="3CD1BE60" w:rsidR="00DB59A9" w:rsidRPr="00E62C7C" w:rsidRDefault="00A25D42" w:rsidP="009357C6">
      <w:pPr>
        <w:pStyle w:val="Bulletleft1"/>
        <w:spacing w:after="240"/>
      </w:pPr>
      <w:r>
        <w:t>f</w:t>
      </w:r>
      <w:r w:rsidR="00DB59A9" w:rsidRPr="00E62C7C">
        <w:t>ollow up in secondary care within 6 weeks may be difficult to achieve due to waiting time pressures in the paediatric population</w:t>
      </w:r>
      <w:r w:rsidR="0084608E">
        <w:t xml:space="preserve"> meaning a</w:t>
      </w:r>
      <w:r w:rsidR="00DB59A9" w:rsidRPr="00E62C7C">
        <w:t xml:space="preserve">dditional resources may </w:t>
      </w:r>
      <w:r w:rsidR="0084608E">
        <w:t>be needed t</w:t>
      </w:r>
      <w:r w:rsidR="00DB59A9" w:rsidRPr="00E62C7C">
        <w:t xml:space="preserve">o achieve this </w:t>
      </w:r>
    </w:p>
    <w:p w14:paraId="54070668" w14:textId="77777777" w:rsidR="00567AC6" w:rsidRPr="00E62C7C" w:rsidRDefault="00567AC6" w:rsidP="00567AC6">
      <w:pPr>
        <w:pStyle w:val="Bulletleft1"/>
        <w:numPr>
          <w:ilvl w:val="0"/>
          <w:numId w:val="0"/>
        </w:numPr>
        <w:rPr>
          <w:rFonts w:cs="Arial"/>
        </w:rPr>
      </w:pPr>
      <w:r w:rsidRPr="00E62C7C">
        <w:rPr>
          <w:rFonts w:cs="Arial"/>
        </w:rPr>
        <w:t>Equality and diversity considerations</w:t>
      </w:r>
    </w:p>
    <w:p w14:paraId="2EF50834" w14:textId="017C78DB" w:rsidR="00DB59A9" w:rsidRDefault="00DB59A9" w:rsidP="00567AC6">
      <w:pPr>
        <w:pStyle w:val="Bulletleft1last"/>
      </w:pPr>
      <w:r w:rsidRPr="00E62C7C">
        <w:t>people may need reasonable adjustments as a result of the impact of the illness</w:t>
      </w:r>
      <w:r w:rsidR="00A25D42">
        <w:t>, or the adjustments they need may change because of the illness</w:t>
      </w:r>
      <w:r w:rsidRPr="00DB59A9">
        <w:t xml:space="preserve">  </w:t>
      </w:r>
    </w:p>
    <w:p w14:paraId="643E988D" w14:textId="0B226026" w:rsidR="006435A7" w:rsidRDefault="006435A7" w:rsidP="00BF4522">
      <w:pPr>
        <w:pStyle w:val="Bulletleft1last"/>
      </w:pPr>
      <w:r w:rsidRPr="00776183">
        <w:lastRenderedPageBreak/>
        <w:t>risk of significant issues for people with a learning disability</w:t>
      </w:r>
      <w:r w:rsidR="00BF4522">
        <w:t xml:space="preserve"> in arranging follow-up. This population</w:t>
      </w:r>
      <w:r w:rsidRPr="00776183">
        <w:t xml:space="preserve"> are known to have significant issues accessing healthcare with many relying on others and </w:t>
      </w:r>
      <w:r w:rsidR="00BF4522">
        <w:t xml:space="preserve">these issues are compounded </w:t>
      </w:r>
      <w:r w:rsidRPr="00776183">
        <w:t>for those from ethnic communities</w:t>
      </w:r>
      <w:r w:rsidR="00BF4522">
        <w:t>.</w:t>
      </w:r>
    </w:p>
    <w:p w14:paraId="73BE516F" w14:textId="77777777" w:rsidR="00567AC6" w:rsidRPr="0067426A" w:rsidRDefault="00567AC6" w:rsidP="00567AC6">
      <w:pPr>
        <w:pStyle w:val="Heading3"/>
      </w:pPr>
      <w:r w:rsidRPr="0067426A">
        <w:t>Issues for consideration</w:t>
      </w:r>
    </w:p>
    <w:p w14:paraId="6746F3F3" w14:textId="77777777" w:rsidR="00567AC6" w:rsidRPr="00B413F2" w:rsidRDefault="00567AC6" w:rsidP="00567AC6">
      <w:pPr>
        <w:pStyle w:val="Heading4"/>
      </w:pPr>
      <w:r w:rsidRPr="00A6218A">
        <w:t>For discussion:</w:t>
      </w:r>
    </w:p>
    <w:p w14:paraId="2809AF62" w14:textId="7313DC68" w:rsidR="00567AC6" w:rsidRDefault="009357C6" w:rsidP="00567AC6">
      <w:pPr>
        <w:pStyle w:val="Bulletleft1"/>
      </w:pPr>
      <w:r>
        <w:t>clarification of which healthcare professionals would carry out this follow-up appointment. The guideline specifies a paediatrician for babies, children and young people and a hospital doctor for adults</w:t>
      </w:r>
    </w:p>
    <w:p w14:paraId="35C4D57F" w14:textId="3AF6B034" w:rsidR="00225F82" w:rsidRDefault="00225F82" w:rsidP="00567AC6">
      <w:pPr>
        <w:pStyle w:val="Bulletleft1"/>
      </w:pPr>
      <w:r>
        <w:t>should the equality and diversity considerations be amended to include the issues raised around the difficulties faced by people with a learning disability?</w:t>
      </w:r>
    </w:p>
    <w:p w14:paraId="047261E2" w14:textId="2F4D0B01" w:rsidR="00225F82" w:rsidRDefault="00225F82" w:rsidP="00225F82">
      <w:pPr>
        <w:pStyle w:val="Bulletleft1"/>
      </w:pPr>
      <w:r>
        <w:t>comment that this may cause a resource impact issue in paediatric secondary care, is this likely to be the case?</w:t>
      </w:r>
    </w:p>
    <w:p w14:paraId="670C213E" w14:textId="77777777" w:rsidR="00653E73" w:rsidRDefault="00653E73">
      <w:pPr>
        <w:rPr>
          <w:rFonts w:ascii="Arial" w:hAnsi="Arial" w:cs="Arial"/>
          <w:b/>
          <w:bCs/>
          <w:kern w:val="32"/>
          <w:sz w:val="32"/>
        </w:rPr>
      </w:pPr>
      <w:r>
        <w:br w:type="page"/>
      </w:r>
    </w:p>
    <w:p w14:paraId="705A04CF" w14:textId="05D21213" w:rsidR="00DE6F78" w:rsidRDefault="00DE6F78" w:rsidP="00DE6F78">
      <w:pPr>
        <w:pStyle w:val="Numberedheading1"/>
        <w:numPr>
          <w:ilvl w:val="0"/>
          <w:numId w:val="1"/>
        </w:numPr>
      </w:pPr>
      <w:r w:rsidRPr="00914EA4">
        <w:lastRenderedPageBreak/>
        <w:t>Suggestions</w:t>
      </w:r>
      <w:r>
        <w:t xml:space="preserve"> for additional statements</w:t>
      </w:r>
    </w:p>
    <w:p w14:paraId="48777C53" w14:textId="77777777" w:rsidR="00DE6F78" w:rsidRDefault="00DE6F78" w:rsidP="00DE6F78">
      <w:pPr>
        <w:pStyle w:val="NICEnormal"/>
      </w:pPr>
      <w:r w:rsidRPr="00FF1CC6">
        <w:t xml:space="preserve">The following is a summary of </w:t>
      </w:r>
      <w:r>
        <w:t>stakeholder suggestions for additional statements</w:t>
      </w:r>
      <w:r w:rsidRPr="00FF1CC6">
        <w:t>.</w:t>
      </w:r>
    </w:p>
    <w:p w14:paraId="797DF4D2" w14:textId="4D836D67" w:rsidR="004F2537" w:rsidRPr="005D442B" w:rsidRDefault="004F2537" w:rsidP="004F2537">
      <w:pPr>
        <w:pStyle w:val="Heading3"/>
      </w:pPr>
      <w:r>
        <w:t xml:space="preserve">Primary care </w:t>
      </w:r>
    </w:p>
    <w:p w14:paraId="6122152F" w14:textId="1AD829D5" w:rsidR="004F2537" w:rsidRDefault="004F2537" w:rsidP="004F2537">
      <w:pPr>
        <w:pStyle w:val="NICEnormal"/>
      </w:pPr>
      <w:r w:rsidRPr="005D442B">
        <w:t xml:space="preserve">A </w:t>
      </w:r>
      <w:r>
        <w:t xml:space="preserve">stakeholder commented that the quality standard does not </w:t>
      </w:r>
      <w:r w:rsidR="0067037F">
        <w:t>include the</w:t>
      </w:r>
      <w:r>
        <w:t xml:space="preserve"> actions to be taken if meningitis is identified in primary care</w:t>
      </w:r>
      <w:r w:rsidR="0067037F">
        <w:t xml:space="preserve">, particularly around </w:t>
      </w:r>
      <w:r w:rsidR="003033B1">
        <w:t xml:space="preserve">ensuring </w:t>
      </w:r>
      <w:r w:rsidR="0067037F">
        <w:t>antibiotic administration</w:t>
      </w:r>
      <w:r w:rsidR="003033B1">
        <w:t xml:space="preserve"> within 1 hour</w:t>
      </w:r>
      <w:r>
        <w:t xml:space="preserve">. </w:t>
      </w:r>
    </w:p>
    <w:p w14:paraId="13D55080" w14:textId="1DC9D181" w:rsidR="004F2537" w:rsidRDefault="004F2537" w:rsidP="004F2537">
      <w:pPr>
        <w:pStyle w:val="NICEnormal"/>
      </w:pPr>
      <w:r>
        <w:t>This was discussed at the first quality standards advisory committee and was not prioritised for inclusion in the quality standard due to concerns</w:t>
      </w:r>
      <w:r w:rsidRPr="004F2537">
        <w:t xml:space="preserve"> about the measurability of </w:t>
      </w:r>
      <w:r>
        <w:t xml:space="preserve">a </w:t>
      </w:r>
      <w:r w:rsidRPr="004F2537">
        <w:t>statement covering antibiotics administered before arrival at hospital.</w:t>
      </w:r>
    </w:p>
    <w:p w14:paraId="4243A41C" w14:textId="6923F1BE" w:rsidR="00B8344D" w:rsidRPr="005D442B" w:rsidRDefault="005D442B" w:rsidP="00B8344D">
      <w:pPr>
        <w:pStyle w:val="Heading3"/>
      </w:pPr>
      <w:r>
        <w:t>Additional guidance</w:t>
      </w:r>
    </w:p>
    <w:p w14:paraId="37FBABED" w14:textId="45AAC36A" w:rsidR="00B8344D" w:rsidRPr="00ED7100" w:rsidRDefault="005D442B" w:rsidP="00B8344D">
      <w:pPr>
        <w:pStyle w:val="NICEnormal"/>
        <w:rPr>
          <w:highlight w:val="cyan"/>
        </w:rPr>
      </w:pPr>
      <w:r w:rsidRPr="005D442B">
        <w:t xml:space="preserve">A </w:t>
      </w:r>
      <w:r>
        <w:t xml:space="preserve">stakeholder felt a </w:t>
      </w:r>
      <w:r w:rsidRPr="005D442B">
        <w:t xml:space="preserve">key area for quality improvement is </w:t>
      </w:r>
      <w:r>
        <w:t xml:space="preserve">the </w:t>
      </w:r>
      <w:r w:rsidRPr="005D442B">
        <w:t>management of long</w:t>
      </w:r>
      <w:r>
        <w:t>-</w:t>
      </w:r>
      <w:r w:rsidRPr="005D442B">
        <w:t>term complications after meningitis</w:t>
      </w:r>
      <w:r>
        <w:t xml:space="preserve">, noting that </w:t>
      </w:r>
      <w:r w:rsidRPr="005D442B">
        <w:t xml:space="preserve">there is </w:t>
      </w:r>
      <w:r>
        <w:t xml:space="preserve">currently </w:t>
      </w:r>
      <w:r w:rsidRPr="005D442B">
        <w:t xml:space="preserve">no guideline for management of longer term complications. </w:t>
      </w:r>
      <w:r>
        <w:t>Another noted that there are no s</w:t>
      </w:r>
      <w:r w:rsidRPr="005D442B">
        <w:t>pecific guidelines about safety netting advice for people living with long term disabilities.</w:t>
      </w:r>
    </w:p>
    <w:p w14:paraId="18494A8E" w14:textId="43178363" w:rsidR="005D442B" w:rsidRPr="005D442B" w:rsidRDefault="005D442B" w:rsidP="00B8344D">
      <w:pPr>
        <w:pStyle w:val="NICEnormal"/>
      </w:pPr>
      <w:r w:rsidRPr="005D442B">
        <w:t xml:space="preserve">Guideline development is outside the remit of quality standards. The comments will be passed on to the guideline development team for consideration. </w:t>
      </w:r>
    </w:p>
    <w:p w14:paraId="2C27D965" w14:textId="72C246A9" w:rsidR="005D442B" w:rsidRDefault="005D442B" w:rsidP="00B8344D">
      <w:pPr>
        <w:pStyle w:val="NICEnormal"/>
      </w:pPr>
      <w:r>
        <w:t>Within the quality standard, i</w:t>
      </w:r>
      <w:r w:rsidRPr="005D442B">
        <w:t>t is anticipated that long-term conditions not identified prior to discharge from hospital would be identified at the follow-up appointment detailed in quality statement 5 and relevant referrals made.</w:t>
      </w:r>
      <w:r>
        <w:t xml:space="preserve"> </w:t>
      </w:r>
    </w:p>
    <w:p w14:paraId="56F0D80A" w14:textId="11F55A75" w:rsidR="005D442B" w:rsidRDefault="005D442B" w:rsidP="00B8344D">
      <w:pPr>
        <w:pStyle w:val="NICEnormal"/>
      </w:pPr>
      <w:r>
        <w:t xml:space="preserve">In addition, </w:t>
      </w:r>
      <w:r w:rsidR="00C55A07">
        <w:t xml:space="preserve">the equality and diversity considerations section </w:t>
      </w:r>
      <w:r w:rsidR="00EB24A4">
        <w:t xml:space="preserve">of quality statement 1 on safety netting advice </w:t>
      </w:r>
      <w:r w:rsidR="00C55A07">
        <w:t xml:space="preserve">highlights the importance of ensuring the information given suits the person’s needs and highlights the importance of meeting the requirements of </w:t>
      </w:r>
      <w:hyperlink r:id="rId8" w:history="1">
        <w:r w:rsidR="00C55A07" w:rsidRPr="007B2042">
          <w:rPr>
            <w:rStyle w:val="Hyperlink"/>
          </w:rPr>
          <w:t>NHS England's Accessible Information Standard</w:t>
        </w:r>
      </w:hyperlink>
      <w:r w:rsidR="00C55A07">
        <w:t>.</w:t>
      </w:r>
      <w:r>
        <w:t xml:space="preserve"> </w:t>
      </w:r>
    </w:p>
    <w:bookmarkEnd w:id="0"/>
    <w:p w14:paraId="7E802AD7" w14:textId="3155DE31" w:rsidR="006B4135" w:rsidRDefault="00B63ECB" w:rsidP="00B63ECB">
      <w:pPr>
        <w:rPr>
          <w:rStyle w:val="NICEnormalChar"/>
        </w:rPr>
      </w:pPr>
      <w:r w:rsidRPr="00EA3805">
        <w:rPr>
          <w:rStyle w:val="NICEnormalChar"/>
        </w:rPr>
        <w:t xml:space="preserve">© NICE </w:t>
      </w:r>
      <w:r w:rsidR="00653E73">
        <w:rPr>
          <w:rStyle w:val="NICEnormalChar"/>
        </w:rPr>
        <w:t>2024.</w:t>
      </w:r>
      <w:r w:rsidRPr="00EA3805">
        <w:rPr>
          <w:rStyle w:val="NICEnormalChar"/>
        </w:rPr>
        <w:t xml:space="preserve"> All rights reserved</w:t>
      </w:r>
      <w:r w:rsidRPr="00EA3805">
        <w:rPr>
          <w:rStyle w:val="NICEnormalChar"/>
          <w:rFonts w:cs="Arial"/>
        </w:rPr>
        <w:t xml:space="preserve">. </w:t>
      </w:r>
      <w:r w:rsidR="00DD5706" w:rsidRPr="00C35831">
        <w:rPr>
          <w:rStyle w:val="NICEnormalChar"/>
          <w:rFonts w:cs="Arial"/>
        </w:rPr>
        <w:t xml:space="preserve">Subject to </w:t>
      </w:r>
      <w:hyperlink r:id="rId9" w:anchor="notice-of-rights" w:history="1">
        <w:r w:rsidR="00DD5706">
          <w:rPr>
            <w:rStyle w:val="Hyperlink"/>
            <w:rFonts w:ascii="Arial" w:hAnsi="Arial" w:cs="Arial"/>
          </w:rPr>
          <w:t>Notice of rights</w:t>
        </w:r>
      </w:hyperlink>
      <w:r w:rsidRPr="00EA3805">
        <w:rPr>
          <w:rStyle w:val="NICEnormalChar"/>
        </w:rPr>
        <w:t>.</w:t>
      </w:r>
    </w:p>
    <w:p w14:paraId="15F883E7" w14:textId="77777777" w:rsidR="006B4135" w:rsidRDefault="006B4135">
      <w:pPr>
        <w:rPr>
          <w:rStyle w:val="NICEnormalChar"/>
        </w:rPr>
      </w:pPr>
      <w:r>
        <w:rPr>
          <w:rStyle w:val="NICEnormalChar"/>
        </w:rPr>
        <w:br w:type="page"/>
      </w:r>
    </w:p>
    <w:p w14:paraId="2CB96623" w14:textId="77777777" w:rsidR="00B63ECB" w:rsidRPr="0001392D" w:rsidRDefault="00B63ECB" w:rsidP="00DE6F78">
      <w:pPr>
        <w:pStyle w:val="Paragraph"/>
        <w:sectPr w:rsidR="00B63ECB" w:rsidRPr="0001392D" w:rsidSect="0037542E">
          <w:headerReference w:type="default"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pPr>
    </w:p>
    <w:p w14:paraId="5F9026B4" w14:textId="2C731455" w:rsidR="00DE6F78" w:rsidRPr="00660F4E" w:rsidRDefault="00DE6F78" w:rsidP="00DE6F78">
      <w:pPr>
        <w:pStyle w:val="Heading1"/>
      </w:pPr>
      <w:bookmarkStart w:id="2" w:name="_Toc357694781"/>
      <w:r w:rsidRPr="00FC11EC">
        <w:lastRenderedPageBreak/>
        <w:t xml:space="preserve">Appendix </w:t>
      </w:r>
      <w:r w:rsidR="00663DE3">
        <w:t>1</w:t>
      </w:r>
      <w:r>
        <w:t xml:space="preserve">: </w:t>
      </w:r>
      <w:bookmarkEnd w:id="2"/>
      <w:r w:rsidRPr="00660F4E">
        <w:t xml:space="preserve">Quality </w:t>
      </w:r>
      <w:r>
        <w:t>s</w:t>
      </w:r>
      <w:r w:rsidRPr="00660F4E">
        <w:t xml:space="preserve">tandard </w:t>
      </w:r>
      <w:r>
        <w:t>c</w:t>
      </w:r>
      <w:r w:rsidRPr="00660F4E">
        <w:t xml:space="preserve">onsultation </w:t>
      </w:r>
      <w:r>
        <w:t>c</w:t>
      </w:r>
      <w:r w:rsidRPr="00660F4E">
        <w:t xml:space="preserve">omments </w:t>
      </w:r>
      <w:r>
        <w:t>t</w:t>
      </w:r>
      <w:r w:rsidRPr="00660F4E">
        <w:t>able</w:t>
      </w:r>
      <w:r w:rsidR="004563DF">
        <w:t xml:space="preserve"> – registered stakeholders</w:t>
      </w:r>
    </w:p>
    <w:tbl>
      <w:tblPr>
        <w:tblW w:w="4975"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779"/>
        <w:gridCol w:w="1897"/>
        <w:gridCol w:w="1562"/>
        <w:gridCol w:w="10357"/>
      </w:tblGrid>
      <w:tr w:rsidR="00720667" w:rsidRPr="005E4CAE" w14:paraId="7DD2EDEB" w14:textId="77777777" w:rsidTr="00720667">
        <w:trPr>
          <w:trHeight w:val="572"/>
          <w:tblHeader/>
        </w:trPr>
        <w:tc>
          <w:tcPr>
            <w:tcW w:w="267" w:type="pct"/>
            <w:shd w:val="clear" w:color="auto" w:fill="E6E6E6"/>
          </w:tcPr>
          <w:p w14:paraId="50DD72B9" w14:textId="77777777" w:rsidR="00720667" w:rsidRPr="005E4CAE" w:rsidRDefault="00720667" w:rsidP="006E21D7">
            <w:pPr>
              <w:pStyle w:val="Heading4"/>
              <w:rPr>
                <w:rFonts w:cs="Arial"/>
                <w:sz w:val="20"/>
                <w:szCs w:val="20"/>
              </w:rPr>
            </w:pPr>
            <w:r w:rsidRPr="005E4CAE">
              <w:rPr>
                <w:rFonts w:cs="Arial"/>
                <w:sz w:val="20"/>
                <w:szCs w:val="20"/>
              </w:rPr>
              <w:t>ID</w:t>
            </w:r>
          </w:p>
        </w:tc>
        <w:tc>
          <w:tcPr>
            <w:tcW w:w="650" w:type="pct"/>
            <w:shd w:val="clear" w:color="auto" w:fill="E6E6E6"/>
          </w:tcPr>
          <w:p w14:paraId="5A86F3FA" w14:textId="77777777" w:rsidR="00720667" w:rsidRPr="005E4CAE" w:rsidRDefault="00720667" w:rsidP="006E21D7">
            <w:pPr>
              <w:pStyle w:val="Heading4"/>
              <w:rPr>
                <w:rFonts w:cs="Arial"/>
                <w:sz w:val="20"/>
                <w:szCs w:val="20"/>
              </w:rPr>
            </w:pPr>
            <w:r w:rsidRPr="005E4CAE">
              <w:rPr>
                <w:rFonts w:cs="Arial"/>
                <w:sz w:val="20"/>
                <w:szCs w:val="20"/>
              </w:rPr>
              <w:t>Stakeholder</w:t>
            </w:r>
          </w:p>
        </w:tc>
        <w:tc>
          <w:tcPr>
            <w:tcW w:w="535" w:type="pct"/>
            <w:shd w:val="clear" w:color="auto" w:fill="E6E6E6"/>
          </w:tcPr>
          <w:p w14:paraId="064AB6AF" w14:textId="77777777" w:rsidR="00720667" w:rsidRPr="005E4CAE" w:rsidRDefault="00720667" w:rsidP="006E21D7">
            <w:pPr>
              <w:pStyle w:val="Heading1"/>
              <w:rPr>
                <w:sz w:val="20"/>
                <w:szCs w:val="20"/>
              </w:rPr>
            </w:pPr>
            <w:r w:rsidRPr="005E4CAE">
              <w:rPr>
                <w:sz w:val="20"/>
                <w:szCs w:val="20"/>
              </w:rPr>
              <w:t>Section</w:t>
            </w:r>
          </w:p>
        </w:tc>
        <w:tc>
          <w:tcPr>
            <w:tcW w:w="3548" w:type="pct"/>
            <w:shd w:val="clear" w:color="auto" w:fill="E6E6E6"/>
          </w:tcPr>
          <w:p w14:paraId="2253A44D" w14:textId="6ACDC23C" w:rsidR="00720667" w:rsidRPr="005E4CAE" w:rsidRDefault="00720667" w:rsidP="00720667">
            <w:pPr>
              <w:pStyle w:val="Heading1"/>
              <w:rPr>
                <w:sz w:val="20"/>
                <w:szCs w:val="20"/>
              </w:rPr>
            </w:pPr>
            <w:r w:rsidRPr="005E4CAE">
              <w:rPr>
                <w:sz w:val="20"/>
                <w:szCs w:val="20"/>
              </w:rPr>
              <w:t>Comments</w:t>
            </w:r>
          </w:p>
        </w:tc>
      </w:tr>
      <w:tr w:rsidR="00720667" w:rsidRPr="005E4CAE" w14:paraId="794F15C4" w14:textId="77777777" w:rsidTr="006E21D7">
        <w:tc>
          <w:tcPr>
            <w:tcW w:w="5000" w:type="pct"/>
            <w:gridSpan w:val="4"/>
          </w:tcPr>
          <w:p w14:paraId="1FFE494F" w14:textId="77777777" w:rsidR="00720667" w:rsidRPr="005E4CAE" w:rsidRDefault="00720667" w:rsidP="006E21D7">
            <w:pPr>
              <w:pStyle w:val="ListParagraph"/>
              <w:ind w:left="0"/>
              <w:jc w:val="both"/>
              <w:rPr>
                <w:rFonts w:ascii="Arial" w:hAnsi="Arial" w:cs="Arial"/>
                <w:sz w:val="20"/>
                <w:szCs w:val="20"/>
              </w:rPr>
            </w:pPr>
            <w:r w:rsidRPr="005E4CAE">
              <w:rPr>
                <w:rFonts w:ascii="Arial" w:hAnsi="Arial" w:cs="Arial"/>
                <w:sz w:val="20"/>
                <w:szCs w:val="20"/>
              </w:rPr>
              <w:t>General comments</w:t>
            </w:r>
          </w:p>
        </w:tc>
      </w:tr>
      <w:tr w:rsidR="00720667" w:rsidRPr="005E4CAE" w14:paraId="5CCB4624" w14:textId="77777777" w:rsidTr="006E21D7">
        <w:tc>
          <w:tcPr>
            <w:tcW w:w="267" w:type="pct"/>
            <w:shd w:val="clear" w:color="auto" w:fill="auto"/>
          </w:tcPr>
          <w:p w14:paraId="6A02F7A3" w14:textId="31B67756" w:rsidR="00720667" w:rsidRPr="005E4CAE" w:rsidRDefault="00720667" w:rsidP="006E21D7">
            <w:pPr>
              <w:rPr>
                <w:rFonts w:ascii="Arial" w:hAnsi="Arial" w:cs="Arial"/>
                <w:sz w:val="20"/>
                <w:szCs w:val="20"/>
              </w:rPr>
            </w:pPr>
            <w:r w:rsidRPr="005E4CAE">
              <w:rPr>
                <w:rFonts w:ascii="Arial" w:hAnsi="Arial" w:cs="Arial"/>
                <w:sz w:val="20"/>
                <w:szCs w:val="20"/>
              </w:rPr>
              <w:t>1</w:t>
            </w:r>
          </w:p>
        </w:tc>
        <w:tc>
          <w:tcPr>
            <w:tcW w:w="650" w:type="pct"/>
            <w:shd w:val="clear" w:color="auto" w:fill="auto"/>
          </w:tcPr>
          <w:p w14:paraId="0EE316BD" w14:textId="77777777" w:rsidR="00720667" w:rsidRPr="005E4CAE" w:rsidRDefault="00720667" w:rsidP="006E21D7">
            <w:pPr>
              <w:rPr>
                <w:rFonts w:ascii="Arial" w:hAnsi="Arial" w:cs="Arial"/>
                <w:bCs/>
                <w:sz w:val="20"/>
                <w:szCs w:val="20"/>
              </w:rPr>
            </w:pPr>
            <w:r w:rsidRPr="005E4CAE">
              <w:rPr>
                <w:rFonts w:ascii="Arial" w:hAnsi="Arial" w:cs="Arial"/>
                <w:bCs/>
                <w:sz w:val="20"/>
                <w:szCs w:val="20"/>
              </w:rPr>
              <w:t>British Society of Physical and Rehabilitation Medicine</w:t>
            </w:r>
          </w:p>
        </w:tc>
        <w:tc>
          <w:tcPr>
            <w:tcW w:w="535" w:type="pct"/>
            <w:shd w:val="clear" w:color="auto" w:fill="auto"/>
          </w:tcPr>
          <w:p w14:paraId="38EC0111" w14:textId="77777777" w:rsidR="00720667" w:rsidRPr="005E4CAE" w:rsidRDefault="00720667" w:rsidP="006E21D7">
            <w:pPr>
              <w:rPr>
                <w:rFonts w:ascii="Arial" w:hAnsi="Arial" w:cs="Arial"/>
                <w:sz w:val="20"/>
                <w:szCs w:val="20"/>
              </w:rPr>
            </w:pPr>
            <w:r w:rsidRPr="005E4CAE">
              <w:rPr>
                <w:rFonts w:ascii="Arial" w:hAnsi="Arial" w:cs="Arial"/>
                <w:sz w:val="20"/>
                <w:szCs w:val="20"/>
              </w:rPr>
              <w:t xml:space="preserve">General </w:t>
            </w:r>
          </w:p>
        </w:tc>
        <w:tc>
          <w:tcPr>
            <w:tcW w:w="3548" w:type="pct"/>
            <w:shd w:val="clear" w:color="auto" w:fill="auto"/>
          </w:tcPr>
          <w:p w14:paraId="50F1A9B0" w14:textId="77777777" w:rsidR="00720667" w:rsidRPr="005E4CAE" w:rsidRDefault="00720667" w:rsidP="006E21D7">
            <w:pPr>
              <w:pStyle w:val="ListParagraph"/>
              <w:ind w:left="0"/>
              <w:rPr>
                <w:rFonts w:ascii="Arial" w:eastAsia="Times New Roman" w:hAnsi="Arial" w:cs="Arial"/>
                <w:sz w:val="20"/>
                <w:szCs w:val="20"/>
                <w:lang w:eastAsia="en-US"/>
              </w:rPr>
            </w:pPr>
            <w:r w:rsidRPr="005E4CAE">
              <w:rPr>
                <w:rFonts w:ascii="Arial" w:eastAsia="Times New Roman" w:hAnsi="Arial" w:cs="Arial"/>
                <w:sz w:val="20"/>
                <w:szCs w:val="20"/>
              </w:rPr>
              <w:t xml:space="preserve">The guidelines do not include </w:t>
            </w:r>
            <w:bookmarkStart w:id="3" w:name="_Hlk173134213"/>
            <w:r w:rsidRPr="005E4CAE">
              <w:rPr>
                <w:rFonts w:ascii="Arial" w:eastAsia="Times New Roman" w:hAnsi="Arial" w:cs="Arial"/>
                <w:sz w:val="20"/>
                <w:szCs w:val="20"/>
              </w:rPr>
              <w:t>statements on screening for longer term disabilities like weakness, spasticity, cognitive issues and communication difficulties</w:t>
            </w:r>
            <w:bookmarkEnd w:id="3"/>
            <w:r w:rsidRPr="005E4CAE">
              <w:rPr>
                <w:rFonts w:ascii="Arial" w:eastAsia="Times New Roman" w:hAnsi="Arial" w:cs="Arial"/>
                <w:sz w:val="20"/>
                <w:szCs w:val="20"/>
              </w:rPr>
              <w:t>.</w:t>
            </w:r>
          </w:p>
          <w:p w14:paraId="6207ADD6" w14:textId="77777777" w:rsidR="00720667" w:rsidRPr="005E4CAE" w:rsidRDefault="00720667" w:rsidP="006E21D7">
            <w:pPr>
              <w:pStyle w:val="ListParagraph"/>
              <w:ind w:left="0"/>
              <w:rPr>
                <w:rFonts w:ascii="Arial" w:eastAsia="Times New Roman" w:hAnsi="Arial" w:cs="Arial"/>
                <w:sz w:val="20"/>
                <w:szCs w:val="20"/>
              </w:rPr>
            </w:pPr>
          </w:p>
          <w:p w14:paraId="5BA4CFF8" w14:textId="77777777" w:rsidR="00720667" w:rsidRPr="005E4CAE" w:rsidRDefault="00720667" w:rsidP="006E21D7">
            <w:pPr>
              <w:pStyle w:val="ListParagraph"/>
              <w:ind w:left="0"/>
              <w:rPr>
                <w:rFonts w:ascii="Arial" w:eastAsia="Times New Roman" w:hAnsi="Arial" w:cs="Arial"/>
                <w:sz w:val="20"/>
                <w:szCs w:val="20"/>
              </w:rPr>
            </w:pPr>
          </w:p>
        </w:tc>
      </w:tr>
      <w:tr w:rsidR="00720667" w:rsidRPr="005E4CAE" w14:paraId="705E6246" w14:textId="77777777" w:rsidTr="006E21D7">
        <w:tc>
          <w:tcPr>
            <w:tcW w:w="267" w:type="pct"/>
            <w:shd w:val="clear" w:color="auto" w:fill="auto"/>
          </w:tcPr>
          <w:p w14:paraId="7D4EC63D" w14:textId="400CFB88" w:rsidR="00720667" w:rsidRPr="005E4CAE" w:rsidRDefault="00720667" w:rsidP="006E21D7">
            <w:pPr>
              <w:rPr>
                <w:rFonts w:ascii="Arial" w:hAnsi="Arial" w:cs="Arial"/>
                <w:sz w:val="20"/>
                <w:szCs w:val="20"/>
              </w:rPr>
            </w:pPr>
            <w:r w:rsidRPr="005E4CAE">
              <w:rPr>
                <w:rFonts w:ascii="Arial" w:hAnsi="Arial" w:cs="Arial"/>
                <w:sz w:val="20"/>
                <w:szCs w:val="20"/>
              </w:rPr>
              <w:t>2</w:t>
            </w:r>
          </w:p>
        </w:tc>
        <w:tc>
          <w:tcPr>
            <w:tcW w:w="650" w:type="pct"/>
            <w:shd w:val="clear" w:color="auto" w:fill="auto"/>
          </w:tcPr>
          <w:p w14:paraId="52181954" w14:textId="77777777" w:rsidR="00720667" w:rsidRPr="005E4CAE" w:rsidRDefault="00720667" w:rsidP="006E21D7">
            <w:pPr>
              <w:rPr>
                <w:rFonts w:ascii="Arial" w:hAnsi="Arial" w:cs="Arial"/>
                <w:bCs/>
                <w:sz w:val="20"/>
                <w:szCs w:val="20"/>
              </w:rPr>
            </w:pPr>
            <w:r w:rsidRPr="005E4CAE">
              <w:rPr>
                <w:rFonts w:ascii="Arial" w:hAnsi="Arial" w:cs="Arial"/>
                <w:bCs/>
                <w:sz w:val="20"/>
                <w:szCs w:val="20"/>
              </w:rPr>
              <w:t>Faculty of Intensive Care Medicine</w:t>
            </w:r>
          </w:p>
        </w:tc>
        <w:tc>
          <w:tcPr>
            <w:tcW w:w="535" w:type="pct"/>
            <w:shd w:val="clear" w:color="auto" w:fill="auto"/>
            <w:vAlign w:val="center"/>
          </w:tcPr>
          <w:p w14:paraId="01909F6F" w14:textId="77777777" w:rsidR="00720667" w:rsidRPr="005E4CAE" w:rsidRDefault="00720667" w:rsidP="006E21D7">
            <w:pPr>
              <w:rPr>
                <w:rFonts w:ascii="Arial" w:hAnsi="Arial" w:cs="Arial"/>
                <w:sz w:val="20"/>
                <w:szCs w:val="20"/>
              </w:rPr>
            </w:pPr>
            <w:r w:rsidRPr="005E4CAE">
              <w:rPr>
                <w:rFonts w:ascii="Arial" w:hAnsi="Arial" w:cs="Arial"/>
                <w:sz w:val="20"/>
                <w:szCs w:val="20"/>
              </w:rPr>
              <w:t>General</w:t>
            </w:r>
          </w:p>
        </w:tc>
        <w:tc>
          <w:tcPr>
            <w:tcW w:w="3548" w:type="pct"/>
            <w:shd w:val="clear" w:color="auto" w:fill="auto"/>
            <w:vAlign w:val="center"/>
          </w:tcPr>
          <w:p w14:paraId="244118BA" w14:textId="77777777" w:rsidR="00720667" w:rsidRPr="005E4CAE" w:rsidRDefault="00720667" w:rsidP="006E21D7">
            <w:pPr>
              <w:pStyle w:val="ListParagraph"/>
              <w:ind w:left="0"/>
              <w:rPr>
                <w:rFonts w:ascii="Arial" w:eastAsia="Times New Roman" w:hAnsi="Arial" w:cs="Arial"/>
                <w:sz w:val="20"/>
                <w:szCs w:val="20"/>
              </w:rPr>
            </w:pPr>
            <w:r w:rsidRPr="005E4CAE">
              <w:rPr>
                <w:rFonts w:ascii="Arial" w:hAnsi="Arial" w:cs="Arial"/>
                <w:sz w:val="20"/>
                <w:szCs w:val="20"/>
              </w:rPr>
              <w:t xml:space="preserve">Thank you for the opportunity to comment on this draft quality standard. The FICM Professional Affairs and Safety Committee provided feedback on question 1 only. </w:t>
            </w:r>
          </w:p>
        </w:tc>
      </w:tr>
      <w:tr w:rsidR="00720667" w:rsidRPr="005E4CAE" w14:paraId="227B197D" w14:textId="77777777" w:rsidTr="006E21D7">
        <w:tc>
          <w:tcPr>
            <w:tcW w:w="267" w:type="pct"/>
            <w:shd w:val="clear" w:color="auto" w:fill="auto"/>
          </w:tcPr>
          <w:p w14:paraId="6FED0070" w14:textId="4D1A54DA" w:rsidR="00720667" w:rsidRPr="005E4CAE" w:rsidRDefault="00720667" w:rsidP="006E21D7">
            <w:pPr>
              <w:rPr>
                <w:rFonts w:ascii="Arial" w:hAnsi="Arial" w:cs="Arial"/>
                <w:bCs/>
                <w:sz w:val="20"/>
                <w:szCs w:val="20"/>
              </w:rPr>
            </w:pPr>
            <w:r w:rsidRPr="005E4CAE">
              <w:rPr>
                <w:rFonts w:ascii="Arial" w:hAnsi="Arial" w:cs="Arial"/>
                <w:bCs/>
                <w:sz w:val="20"/>
                <w:szCs w:val="20"/>
              </w:rPr>
              <w:t>3</w:t>
            </w:r>
          </w:p>
        </w:tc>
        <w:tc>
          <w:tcPr>
            <w:tcW w:w="650" w:type="pct"/>
            <w:shd w:val="clear" w:color="auto" w:fill="auto"/>
          </w:tcPr>
          <w:p w14:paraId="7236CB96" w14:textId="77777777" w:rsidR="00720667" w:rsidRPr="005E4CAE" w:rsidRDefault="00720667" w:rsidP="006E21D7">
            <w:pPr>
              <w:rPr>
                <w:rFonts w:ascii="Arial" w:hAnsi="Arial" w:cs="Arial"/>
                <w:bCs/>
                <w:sz w:val="20"/>
                <w:szCs w:val="20"/>
              </w:rPr>
            </w:pPr>
            <w:r w:rsidRPr="005E4CAE">
              <w:rPr>
                <w:rFonts w:ascii="Arial" w:hAnsi="Arial" w:cs="Arial"/>
                <w:bCs/>
                <w:sz w:val="20"/>
                <w:szCs w:val="20"/>
              </w:rPr>
              <w:t>Meningitis Research Foundation</w:t>
            </w:r>
          </w:p>
        </w:tc>
        <w:tc>
          <w:tcPr>
            <w:tcW w:w="535" w:type="pct"/>
            <w:shd w:val="clear" w:color="auto" w:fill="auto"/>
          </w:tcPr>
          <w:p w14:paraId="3B2D1FEB" w14:textId="77777777" w:rsidR="00720667" w:rsidRPr="005E4CAE" w:rsidRDefault="00720667" w:rsidP="006E21D7">
            <w:pPr>
              <w:rPr>
                <w:rFonts w:ascii="Arial" w:hAnsi="Arial" w:cs="Arial"/>
                <w:sz w:val="20"/>
                <w:szCs w:val="20"/>
              </w:rPr>
            </w:pPr>
            <w:r w:rsidRPr="005E4CAE">
              <w:rPr>
                <w:rFonts w:ascii="Arial" w:hAnsi="Arial" w:cs="Arial"/>
                <w:sz w:val="20"/>
                <w:szCs w:val="20"/>
              </w:rPr>
              <w:t>General</w:t>
            </w:r>
          </w:p>
        </w:tc>
        <w:tc>
          <w:tcPr>
            <w:tcW w:w="3548" w:type="pct"/>
            <w:shd w:val="clear" w:color="auto" w:fill="auto"/>
            <w:vAlign w:val="center"/>
          </w:tcPr>
          <w:p w14:paraId="4D2E5FE6" w14:textId="77777777" w:rsidR="00720667" w:rsidRPr="005E4CAE" w:rsidRDefault="00720667" w:rsidP="006E21D7">
            <w:pPr>
              <w:pStyle w:val="Paragraphnonumbers"/>
              <w:spacing w:after="0"/>
              <w:rPr>
                <w:rFonts w:cs="Arial"/>
                <w:sz w:val="20"/>
                <w:szCs w:val="20"/>
              </w:rPr>
            </w:pPr>
            <w:r w:rsidRPr="005E4CAE">
              <w:rPr>
                <w:rFonts w:cs="Arial"/>
                <w:sz w:val="20"/>
                <w:szCs w:val="20"/>
              </w:rPr>
              <w:t xml:space="preserve">Whilst we largely </w:t>
            </w:r>
            <w:bookmarkStart w:id="4" w:name="_Hlk173135085"/>
            <w:r w:rsidRPr="005E4CAE">
              <w:rPr>
                <w:rFonts w:cs="Arial"/>
                <w:sz w:val="20"/>
                <w:szCs w:val="20"/>
              </w:rPr>
              <w:t>agree with the quality statements within this quality standard, we feel that as a whole, the Quality Standards do not adequately emphasise the importance of an accurate and timely diagnosis of meningitis.</w:t>
            </w:r>
            <w:bookmarkEnd w:id="4"/>
          </w:p>
          <w:p w14:paraId="0721D91E" w14:textId="77777777" w:rsidR="00720667" w:rsidRPr="005E4CAE" w:rsidRDefault="00720667" w:rsidP="006E21D7">
            <w:pPr>
              <w:pStyle w:val="Paragraphnonumbers"/>
              <w:spacing w:after="0"/>
              <w:rPr>
                <w:rFonts w:cs="Arial"/>
                <w:sz w:val="20"/>
                <w:szCs w:val="20"/>
              </w:rPr>
            </w:pPr>
          </w:p>
          <w:p w14:paraId="38931037" w14:textId="77777777" w:rsidR="00720667" w:rsidRPr="005E4CAE" w:rsidRDefault="00720667" w:rsidP="006E21D7">
            <w:pPr>
              <w:pStyle w:val="Paragraphnonumbers"/>
              <w:spacing w:after="0"/>
              <w:rPr>
                <w:rFonts w:cs="Arial"/>
                <w:sz w:val="20"/>
                <w:szCs w:val="20"/>
              </w:rPr>
            </w:pPr>
            <w:r w:rsidRPr="005E4CAE">
              <w:rPr>
                <w:rFonts w:cs="Arial"/>
                <w:sz w:val="20"/>
                <w:szCs w:val="20"/>
              </w:rPr>
              <w:t xml:space="preserve">Accurate and timely diagnosis of meningitis was an area which stakeholders deemed extremely important in their suggestions on key areas for quality improvement, yet this is not proportionately reflected in the final quality standard.  For example, there were a total of 15 comments supporting improvements to the timing and accuracy of diagnostic testing within the areas of CSF &amp; blood samples (4), unnecessary CT scans (5) and reducing time to LP (6), with only 1 quality standard reflecting this.   In comparison, 2 quality standards in the area of after-care (Statements 4 and 5) reflect 8 stakeholder comments identifying these as key areas for quality improvement.  Whilst we agree that improvements to after care are vital, there is a risk that if meningitis is not confirmed in the first place, then patients might not receive any follow up at all, regardless of what quality statements exist in this key area.   </w:t>
            </w:r>
          </w:p>
          <w:p w14:paraId="7CE1F048" w14:textId="77777777" w:rsidR="00720667" w:rsidRPr="005E4CAE" w:rsidRDefault="00720667" w:rsidP="006E21D7">
            <w:pPr>
              <w:pStyle w:val="Paragraphnonumbers"/>
              <w:spacing w:after="0"/>
              <w:rPr>
                <w:rFonts w:cs="Arial"/>
                <w:sz w:val="20"/>
                <w:szCs w:val="20"/>
              </w:rPr>
            </w:pPr>
          </w:p>
          <w:p w14:paraId="681C5879" w14:textId="72A15887" w:rsidR="00720667" w:rsidRPr="005E4CAE" w:rsidRDefault="00720667" w:rsidP="00720667">
            <w:pPr>
              <w:pStyle w:val="Paragraphnonumbers"/>
              <w:spacing w:after="0"/>
              <w:rPr>
                <w:rFonts w:cs="Arial"/>
                <w:sz w:val="20"/>
                <w:szCs w:val="20"/>
              </w:rPr>
            </w:pPr>
            <w:r w:rsidRPr="005E4CAE">
              <w:rPr>
                <w:rFonts w:cs="Arial"/>
                <w:sz w:val="20"/>
                <w:szCs w:val="20"/>
              </w:rPr>
              <w:t>Accurate and timely diagnosis is vital for antimicrobial stewardship, driving appropriate acute treatment for patients and providing them with the diagnosis they need for access to appropriate follow-up care. As diagnosis is key to appropriate downstream patient care and could therefore have an impact on a larger number of patients, we would like to see a statement about the importance of performing timely LP and blood samples included in the QS.</w:t>
            </w:r>
          </w:p>
        </w:tc>
      </w:tr>
      <w:tr w:rsidR="00720667" w:rsidRPr="005E4CAE" w14:paraId="47BF05CA" w14:textId="77777777" w:rsidTr="006E21D7">
        <w:tc>
          <w:tcPr>
            <w:tcW w:w="267" w:type="pct"/>
            <w:shd w:val="clear" w:color="auto" w:fill="auto"/>
          </w:tcPr>
          <w:p w14:paraId="678DA0BB" w14:textId="06361973" w:rsidR="00720667" w:rsidRPr="005E4CAE" w:rsidRDefault="00720667" w:rsidP="006E21D7">
            <w:pPr>
              <w:rPr>
                <w:rFonts w:ascii="Arial" w:hAnsi="Arial" w:cs="Arial"/>
                <w:sz w:val="20"/>
                <w:szCs w:val="20"/>
              </w:rPr>
            </w:pPr>
            <w:r w:rsidRPr="005E4CAE">
              <w:rPr>
                <w:rFonts w:ascii="Arial" w:hAnsi="Arial" w:cs="Arial"/>
                <w:sz w:val="20"/>
                <w:szCs w:val="20"/>
              </w:rPr>
              <w:lastRenderedPageBreak/>
              <w:t>4</w:t>
            </w:r>
          </w:p>
        </w:tc>
        <w:tc>
          <w:tcPr>
            <w:tcW w:w="650" w:type="pct"/>
            <w:shd w:val="clear" w:color="auto" w:fill="auto"/>
          </w:tcPr>
          <w:p w14:paraId="3F5C1B59" w14:textId="77777777" w:rsidR="00720667" w:rsidRPr="005E4CAE" w:rsidRDefault="00720667" w:rsidP="006E21D7">
            <w:pPr>
              <w:rPr>
                <w:rFonts w:ascii="Arial" w:hAnsi="Arial" w:cs="Arial"/>
                <w:bCs/>
                <w:sz w:val="20"/>
                <w:szCs w:val="20"/>
              </w:rPr>
            </w:pPr>
            <w:r w:rsidRPr="005E4CAE">
              <w:rPr>
                <w:rFonts w:ascii="Arial" w:hAnsi="Arial" w:cs="Arial"/>
                <w:bCs/>
                <w:sz w:val="20"/>
                <w:szCs w:val="20"/>
              </w:rPr>
              <w:t>NHS England – Clinical Programme Team</w:t>
            </w:r>
          </w:p>
        </w:tc>
        <w:tc>
          <w:tcPr>
            <w:tcW w:w="535" w:type="pct"/>
            <w:shd w:val="clear" w:color="auto" w:fill="auto"/>
          </w:tcPr>
          <w:p w14:paraId="4B91F102" w14:textId="77777777" w:rsidR="00720667" w:rsidRPr="005E4CAE" w:rsidRDefault="00720667" w:rsidP="006E21D7">
            <w:pPr>
              <w:rPr>
                <w:rFonts w:ascii="Arial" w:hAnsi="Arial" w:cs="Arial"/>
                <w:sz w:val="20"/>
                <w:szCs w:val="20"/>
              </w:rPr>
            </w:pPr>
            <w:r w:rsidRPr="005E4CAE">
              <w:rPr>
                <w:rFonts w:ascii="Arial" w:hAnsi="Arial" w:cs="Arial"/>
                <w:sz w:val="20"/>
                <w:szCs w:val="20"/>
              </w:rPr>
              <w:t>General</w:t>
            </w:r>
          </w:p>
        </w:tc>
        <w:tc>
          <w:tcPr>
            <w:tcW w:w="3548" w:type="pct"/>
            <w:shd w:val="clear" w:color="auto" w:fill="auto"/>
          </w:tcPr>
          <w:p w14:paraId="38D7C519" w14:textId="77777777" w:rsidR="00720667" w:rsidRPr="005E4CAE" w:rsidRDefault="00720667" w:rsidP="006E21D7">
            <w:pPr>
              <w:pStyle w:val="Paragraphnonumbers"/>
              <w:spacing w:after="0"/>
              <w:rPr>
                <w:rFonts w:cs="Arial"/>
                <w:color w:val="000000"/>
                <w:sz w:val="20"/>
                <w:szCs w:val="20"/>
              </w:rPr>
            </w:pPr>
            <w:bookmarkStart w:id="5" w:name="_Hlk173134796"/>
            <w:r w:rsidRPr="005E4CAE">
              <w:rPr>
                <w:rFonts w:cs="Arial"/>
                <w:sz w:val="20"/>
                <w:szCs w:val="20"/>
              </w:rPr>
              <w:t xml:space="preserve">Need to </w:t>
            </w:r>
            <w:r w:rsidRPr="005E4CAE">
              <w:rPr>
                <w:rFonts w:cs="Arial"/>
                <w:color w:val="000000"/>
                <w:sz w:val="20"/>
                <w:szCs w:val="20"/>
              </w:rPr>
              <w:t xml:space="preserve">emphasize the importance of reasonable adjustments and accessible communication throughout the standard, ensuring care is tailored to meet people’s needs.  </w:t>
            </w:r>
          </w:p>
          <w:p w14:paraId="48B13516" w14:textId="77777777" w:rsidR="00720667" w:rsidRPr="005E4CAE" w:rsidRDefault="00720667" w:rsidP="006E21D7">
            <w:pPr>
              <w:rPr>
                <w:rFonts w:ascii="Arial" w:hAnsi="Arial" w:cs="Arial"/>
                <w:sz w:val="20"/>
                <w:szCs w:val="20"/>
              </w:rPr>
            </w:pPr>
          </w:p>
          <w:p w14:paraId="514E6123" w14:textId="77777777" w:rsidR="00720667" w:rsidRPr="005E4CAE" w:rsidRDefault="00720667" w:rsidP="006E21D7">
            <w:pPr>
              <w:rPr>
                <w:rFonts w:ascii="Arial" w:hAnsi="Arial" w:cs="Arial"/>
                <w:sz w:val="20"/>
                <w:szCs w:val="20"/>
              </w:rPr>
            </w:pPr>
            <w:r w:rsidRPr="005E4CAE">
              <w:rPr>
                <w:rFonts w:ascii="Arial" w:hAnsi="Arial" w:cs="Arial"/>
                <w:sz w:val="20"/>
                <w:szCs w:val="20"/>
              </w:rPr>
              <w:t xml:space="preserve">If the Quality Standard is all age does it need to include more information about meeting the specific (different) presenting needs of children and adults? </w:t>
            </w:r>
          </w:p>
          <w:p w14:paraId="46F154E1" w14:textId="77777777" w:rsidR="00720667" w:rsidRPr="005E4CAE" w:rsidRDefault="00720667" w:rsidP="006E21D7">
            <w:pPr>
              <w:pStyle w:val="Paragraphnonumbers"/>
              <w:spacing w:after="0"/>
              <w:rPr>
                <w:rFonts w:cs="Arial"/>
                <w:sz w:val="20"/>
                <w:szCs w:val="20"/>
              </w:rPr>
            </w:pPr>
          </w:p>
          <w:p w14:paraId="33521B6C" w14:textId="77777777" w:rsidR="00720667" w:rsidRPr="005E4CAE" w:rsidRDefault="00720667" w:rsidP="006E21D7">
            <w:pPr>
              <w:pStyle w:val="Paragraphnonumbers"/>
              <w:spacing w:after="0"/>
              <w:rPr>
                <w:rFonts w:cs="Arial"/>
                <w:sz w:val="20"/>
                <w:szCs w:val="20"/>
                <w:lang w:eastAsia="en-US"/>
              </w:rPr>
            </w:pPr>
            <w:r w:rsidRPr="005E4CAE">
              <w:rPr>
                <w:rFonts w:cs="Arial"/>
                <w:sz w:val="20"/>
                <w:szCs w:val="20"/>
                <w:lang w:eastAsia="en-US"/>
              </w:rPr>
              <w:t>Deterioration can be more acute in people with a learning disability and clinicians should be acting more quickly where people have a learning disability to escalate concerns.</w:t>
            </w:r>
          </w:p>
          <w:p w14:paraId="6FF2D659" w14:textId="77777777" w:rsidR="00720667" w:rsidRPr="005E4CAE" w:rsidRDefault="00720667" w:rsidP="006E21D7">
            <w:pPr>
              <w:pStyle w:val="Paragraphnonumbers"/>
              <w:spacing w:after="0"/>
              <w:rPr>
                <w:rFonts w:cs="Arial"/>
                <w:sz w:val="20"/>
                <w:szCs w:val="20"/>
                <w:lang w:eastAsia="en-US"/>
              </w:rPr>
            </w:pPr>
          </w:p>
          <w:p w14:paraId="5216058C" w14:textId="77777777" w:rsidR="00720667" w:rsidRPr="005E4CAE" w:rsidRDefault="00720667" w:rsidP="006E21D7">
            <w:pPr>
              <w:pStyle w:val="Paragraphnonumbers"/>
              <w:spacing w:after="0"/>
              <w:rPr>
                <w:rFonts w:cs="Arial"/>
                <w:color w:val="000000"/>
                <w:sz w:val="20"/>
                <w:szCs w:val="20"/>
              </w:rPr>
            </w:pPr>
            <w:r w:rsidRPr="005E4CAE">
              <w:rPr>
                <w:rFonts w:cs="Arial"/>
                <w:color w:val="000000"/>
                <w:sz w:val="20"/>
                <w:szCs w:val="20"/>
              </w:rPr>
              <w:t>The guidance appears to assume a patient will have capacity / give consent. There can be significant issues relating to previous trauma in contact with health care for invasive procedures such as injections – lumbar puncture etc. Guidance would be strengthened with reference to reasonable adjustments for blood tests and lumbar puncture. </w:t>
            </w:r>
          </w:p>
          <w:p w14:paraId="31DFB762" w14:textId="77777777" w:rsidR="00720667" w:rsidRPr="005E4CAE" w:rsidRDefault="00720667" w:rsidP="006E21D7">
            <w:pPr>
              <w:pStyle w:val="Paragraphnonumbers"/>
              <w:spacing w:after="0"/>
              <w:rPr>
                <w:rFonts w:cs="Arial"/>
                <w:color w:val="000000"/>
                <w:sz w:val="20"/>
                <w:szCs w:val="20"/>
              </w:rPr>
            </w:pPr>
          </w:p>
          <w:p w14:paraId="6E8AF72D" w14:textId="77777777" w:rsidR="00720667" w:rsidRPr="005E4CAE" w:rsidRDefault="00720667" w:rsidP="006E21D7">
            <w:pPr>
              <w:pStyle w:val="Paragraphnonumbers"/>
              <w:spacing w:after="0"/>
              <w:rPr>
                <w:rFonts w:cs="Arial"/>
                <w:color w:val="000000"/>
                <w:sz w:val="20"/>
                <w:szCs w:val="20"/>
              </w:rPr>
            </w:pPr>
            <w:r w:rsidRPr="005E4CAE">
              <w:rPr>
                <w:rFonts w:cs="Arial"/>
                <w:color w:val="000000"/>
                <w:sz w:val="20"/>
                <w:szCs w:val="20"/>
              </w:rPr>
              <w:t>Given known issues around diagnostic overshadowing with people with a learning disability it would be helpful to give a low threshold (assuming clinically safe) for proceeding with treatment – similarly for autistic people who may not be able to describe symptoms. </w:t>
            </w:r>
          </w:p>
          <w:p w14:paraId="64396B9D" w14:textId="77777777" w:rsidR="00720667" w:rsidRPr="005E4CAE" w:rsidRDefault="00720667" w:rsidP="006E21D7">
            <w:pPr>
              <w:pStyle w:val="Paragraphnonumbers"/>
              <w:spacing w:after="0"/>
              <w:rPr>
                <w:rFonts w:cs="Arial"/>
                <w:color w:val="000000"/>
                <w:sz w:val="20"/>
                <w:szCs w:val="20"/>
              </w:rPr>
            </w:pPr>
          </w:p>
          <w:p w14:paraId="09E24007" w14:textId="77777777" w:rsidR="00720667" w:rsidRPr="005E4CAE" w:rsidRDefault="00720667" w:rsidP="006E21D7">
            <w:pPr>
              <w:pStyle w:val="ListParagraph"/>
              <w:ind w:left="0"/>
              <w:rPr>
                <w:rFonts w:ascii="Arial" w:eastAsia="Times New Roman" w:hAnsi="Arial" w:cs="Arial"/>
                <w:sz w:val="20"/>
                <w:szCs w:val="20"/>
              </w:rPr>
            </w:pPr>
            <w:r w:rsidRPr="005E4CAE">
              <w:rPr>
                <w:rFonts w:ascii="Arial" w:eastAsia="Times New Roman" w:hAnsi="Arial" w:cs="Arial"/>
                <w:color w:val="000000"/>
                <w:sz w:val="20"/>
                <w:szCs w:val="20"/>
              </w:rPr>
              <w:t>In line with the diagnostic overshadowing – consider comorbidities and impact on signs well as race – does a petechial rash present as clearly in all case?</w:t>
            </w:r>
            <w:r w:rsidRPr="005E4CAE">
              <w:rPr>
                <w:rFonts w:ascii="Arial" w:hAnsi="Arial" w:cs="Arial"/>
                <w:color w:val="000000"/>
                <w:sz w:val="20"/>
                <w:szCs w:val="20"/>
              </w:rPr>
              <w:t> </w:t>
            </w:r>
            <w:bookmarkEnd w:id="5"/>
          </w:p>
        </w:tc>
      </w:tr>
      <w:tr w:rsidR="00720667" w:rsidRPr="005E4CAE" w14:paraId="4F9B4E84" w14:textId="77777777" w:rsidTr="006E21D7">
        <w:tc>
          <w:tcPr>
            <w:tcW w:w="267" w:type="pct"/>
            <w:shd w:val="clear" w:color="auto" w:fill="auto"/>
          </w:tcPr>
          <w:p w14:paraId="064DE789" w14:textId="647AF39E" w:rsidR="00720667" w:rsidRPr="005E4CAE" w:rsidRDefault="00720667" w:rsidP="006E21D7">
            <w:pPr>
              <w:rPr>
                <w:rFonts w:ascii="Arial" w:hAnsi="Arial" w:cs="Arial"/>
                <w:sz w:val="20"/>
                <w:szCs w:val="20"/>
              </w:rPr>
            </w:pPr>
            <w:r w:rsidRPr="005E4CAE">
              <w:rPr>
                <w:rFonts w:ascii="Arial" w:hAnsi="Arial" w:cs="Arial"/>
                <w:sz w:val="20"/>
                <w:szCs w:val="20"/>
              </w:rPr>
              <w:t>5</w:t>
            </w:r>
          </w:p>
        </w:tc>
        <w:tc>
          <w:tcPr>
            <w:tcW w:w="650" w:type="pct"/>
            <w:shd w:val="clear" w:color="auto" w:fill="auto"/>
          </w:tcPr>
          <w:p w14:paraId="75B81B61" w14:textId="77777777" w:rsidR="00720667" w:rsidRPr="005E4CAE" w:rsidRDefault="00720667" w:rsidP="006E21D7">
            <w:pPr>
              <w:rPr>
                <w:rFonts w:ascii="Arial" w:hAnsi="Arial" w:cs="Arial"/>
                <w:bCs/>
                <w:sz w:val="20"/>
                <w:szCs w:val="20"/>
              </w:rPr>
            </w:pPr>
            <w:r w:rsidRPr="005E4CAE">
              <w:rPr>
                <w:rFonts w:ascii="Arial" w:hAnsi="Arial" w:cs="Arial"/>
                <w:bCs/>
                <w:sz w:val="20"/>
                <w:szCs w:val="20"/>
              </w:rPr>
              <w:t>Royal College of Nursing - Emergency Care Forum Committee</w:t>
            </w:r>
          </w:p>
        </w:tc>
        <w:tc>
          <w:tcPr>
            <w:tcW w:w="535" w:type="pct"/>
            <w:shd w:val="clear" w:color="auto" w:fill="auto"/>
          </w:tcPr>
          <w:p w14:paraId="32FF4350" w14:textId="77777777" w:rsidR="00720667" w:rsidRPr="005E4CAE" w:rsidRDefault="00720667" w:rsidP="006E21D7">
            <w:pPr>
              <w:rPr>
                <w:rFonts w:ascii="Arial" w:hAnsi="Arial" w:cs="Arial"/>
                <w:sz w:val="20"/>
                <w:szCs w:val="20"/>
              </w:rPr>
            </w:pPr>
            <w:r w:rsidRPr="005E4CAE">
              <w:rPr>
                <w:rFonts w:ascii="Arial" w:hAnsi="Arial" w:cs="Arial"/>
                <w:sz w:val="20"/>
                <w:szCs w:val="20"/>
              </w:rPr>
              <w:t>General</w:t>
            </w:r>
          </w:p>
        </w:tc>
        <w:tc>
          <w:tcPr>
            <w:tcW w:w="3548" w:type="pct"/>
            <w:shd w:val="clear" w:color="auto" w:fill="auto"/>
          </w:tcPr>
          <w:p w14:paraId="05C61D45" w14:textId="77777777" w:rsidR="00720667" w:rsidRPr="005E4CAE" w:rsidRDefault="00720667" w:rsidP="006E21D7">
            <w:pPr>
              <w:pStyle w:val="Paragraphnonumbers"/>
              <w:spacing w:after="0"/>
              <w:rPr>
                <w:rFonts w:cs="Arial"/>
                <w:sz w:val="20"/>
                <w:szCs w:val="20"/>
              </w:rPr>
            </w:pPr>
            <w:r w:rsidRPr="005E4CAE">
              <w:rPr>
                <w:rFonts w:cs="Arial"/>
                <w:sz w:val="20"/>
                <w:szCs w:val="20"/>
              </w:rPr>
              <w:t xml:space="preserve">As above – </w:t>
            </w:r>
            <w:bookmarkStart w:id="6" w:name="_Hlk173135848"/>
            <w:r w:rsidRPr="005E4CAE">
              <w:rPr>
                <w:rFonts w:cs="Arial"/>
                <w:sz w:val="20"/>
                <w:szCs w:val="20"/>
              </w:rPr>
              <w:t>this is a rare condition. More robust guidance on named clinicians need to be quantified i.e. Ambulance Service to receiving department Named Rehab consultants. Physician to Audiology.</w:t>
            </w:r>
            <w:bookmarkEnd w:id="6"/>
          </w:p>
          <w:p w14:paraId="1C5DA54D" w14:textId="77777777" w:rsidR="00720667" w:rsidRPr="005E4CAE" w:rsidRDefault="00720667" w:rsidP="006E21D7">
            <w:pPr>
              <w:pStyle w:val="Paragraphnonumbers"/>
              <w:spacing w:after="0"/>
              <w:rPr>
                <w:rFonts w:cs="Arial"/>
                <w:sz w:val="20"/>
                <w:szCs w:val="20"/>
              </w:rPr>
            </w:pPr>
          </w:p>
        </w:tc>
      </w:tr>
      <w:tr w:rsidR="00720667" w:rsidRPr="005E4CAE" w14:paraId="5644456D" w14:textId="77777777" w:rsidTr="006E21D7">
        <w:tc>
          <w:tcPr>
            <w:tcW w:w="267" w:type="pct"/>
            <w:shd w:val="clear" w:color="auto" w:fill="auto"/>
          </w:tcPr>
          <w:p w14:paraId="14200C1A" w14:textId="5BE0DFFE" w:rsidR="00720667" w:rsidRPr="005E4CAE" w:rsidRDefault="00720667" w:rsidP="006E21D7">
            <w:pPr>
              <w:rPr>
                <w:rFonts w:ascii="Arial" w:hAnsi="Arial" w:cs="Arial"/>
                <w:sz w:val="20"/>
                <w:szCs w:val="20"/>
              </w:rPr>
            </w:pPr>
            <w:r w:rsidRPr="005E4CAE">
              <w:rPr>
                <w:rFonts w:ascii="Arial" w:hAnsi="Arial" w:cs="Arial"/>
                <w:sz w:val="20"/>
                <w:szCs w:val="20"/>
              </w:rPr>
              <w:t>6</w:t>
            </w:r>
          </w:p>
        </w:tc>
        <w:tc>
          <w:tcPr>
            <w:tcW w:w="650" w:type="pct"/>
            <w:shd w:val="clear" w:color="auto" w:fill="auto"/>
          </w:tcPr>
          <w:p w14:paraId="2C7CF55F" w14:textId="77777777" w:rsidR="00720667" w:rsidRPr="005E4CAE" w:rsidRDefault="00720667" w:rsidP="006E21D7">
            <w:pPr>
              <w:rPr>
                <w:rFonts w:ascii="Arial" w:hAnsi="Arial" w:cs="Arial"/>
                <w:bCs/>
                <w:sz w:val="20"/>
                <w:szCs w:val="20"/>
              </w:rPr>
            </w:pPr>
            <w:r w:rsidRPr="005E4CAE">
              <w:rPr>
                <w:rFonts w:ascii="Arial" w:hAnsi="Arial" w:cs="Arial"/>
                <w:sz w:val="20"/>
                <w:szCs w:val="20"/>
              </w:rPr>
              <w:t>UK Health Security Agency</w:t>
            </w:r>
          </w:p>
        </w:tc>
        <w:tc>
          <w:tcPr>
            <w:tcW w:w="535" w:type="pct"/>
            <w:shd w:val="clear" w:color="auto" w:fill="auto"/>
          </w:tcPr>
          <w:p w14:paraId="50DE12A1" w14:textId="77777777" w:rsidR="00720667" w:rsidRPr="005E4CAE" w:rsidRDefault="00720667" w:rsidP="006E21D7">
            <w:pPr>
              <w:rPr>
                <w:rFonts w:ascii="Arial" w:hAnsi="Arial" w:cs="Arial"/>
                <w:sz w:val="20"/>
                <w:szCs w:val="20"/>
              </w:rPr>
            </w:pPr>
            <w:r w:rsidRPr="005E4CAE">
              <w:rPr>
                <w:rFonts w:ascii="Arial" w:hAnsi="Arial" w:cs="Arial"/>
                <w:sz w:val="20"/>
                <w:szCs w:val="20"/>
              </w:rPr>
              <w:t>General</w:t>
            </w:r>
          </w:p>
        </w:tc>
        <w:tc>
          <w:tcPr>
            <w:tcW w:w="3548" w:type="pct"/>
            <w:shd w:val="clear" w:color="auto" w:fill="auto"/>
          </w:tcPr>
          <w:p w14:paraId="727D9183" w14:textId="77777777" w:rsidR="00720667" w:rsidRPr="005E4CAE" w:rsidRDefault="00720667" w:rsidP="006E21D7">
            <w:pPr>
              <w:pStyle w:val="ListParagraph"/>
              <w:ind w:left="0"/>
              <w:rPr>
                <w:rFonts w:ascii="Arial" w:eastAsia="Times New Roman" w:hAnsi="Arial" w:cs="Arial"/>
                <w:sz w:val="20"/>
                <w:szCs w:val="20"/>
                <w:lang w:eastAsia="en-US"/>
              </w:rPr>
            </w:pPr>
            <w:r w:rsidRPr="005E4CAE">
              <w:rPr>
                <w:rFonts w:ascii="Arial" w:hAnsi="Arial" w:cs="Arial"/>
                <w:sz w:val="20"/>
                <w:szCs w:val="20"/>
              </w:rPr>
              <w:t>Pages 7 and 11 refers to ‘Adapted’ from NICE’s guidelines on meningitis (bacterial) and meningococcal disease: recognition, diagnosis and management’ in what way is text being adapted? Shouldn’t this be a straightforward reference to NICE?</w:t>
            </w:r>
          </w:p>
        </w:tc>
      </w:tr>
      <w:tr w:rsidR="00720667" w:rsidRPr="005E4CAE" w14:paraId="67BB54AB" w14:textId="77777777" w:rsidTr="006E21D7">
        <w:tc>
          <w:tcPr>
            <w:tcW w:w="5000" w:type="pct"/>
            <w:gridSpan w:val="4"/>
          </w:tcPr>
          <w:p w14:paraId="142843BD" w14:textId="113EF8CD" w:rsidR="00720667" w:rsidRPr="005E4CAE" w:rsidRDefault="00720667" w:rsidP="006E21D7">
            <w:pPr>
              <w:rPr>
                <w:rFonts w:ascii="Arial" w:hAnsi="Arial" w:cs="Arial"/>
                <w:sz w:val="20"/>
                <w:szCs w:val="20"/>
              </w:rPr>
            </w:pPr>
            <w:r w:rsidRPr="005E4CAE">
              <w:rPr>
                <w:rFonts w:ascii="Arial" w:hAnsi="Arial" w:cs="Arial"/>
                <w:sz w:val="20"/>
                <w:szCs w:val="20"/>
              </w:rPr>
              <w:t xml:space="preserve">Question 1 responses  </w:t>
            </w:r>
          </w:p>
        </w:tc>
      </w:tr>
      <w:tr w:rsidR="00720667" w:rsidRPr="005E4CAE" w14:paraId="39DD59FB" w14:textId="77777777" w:rsidTr="006E21D7">
        <w:tc>
          <w:tcPr>
            <w:tcW w:w="267" w:type="pct"/>
            <w:shd w:val="clear" w:color="auto" w:fill="auto"/>
          </w:tcPr>
          <w:p w14:paraId="18AC0801" w14:textId="5CFE0D2E" w:rsidR="00720667" w:rsidRPr="005E4CAE" w:rsidRDefault="00720667" w:rsidP="006E21D7">
            <w:pPr>
              <w:rPr>
                <w:rFonts w:ascii="Arial" w:hAnsi="Arial" w:cs="Arial"/>
                <w:sz w:val="20"/>
                <w:szCs w:val="20"/>
              </w:rPr>
            </w:pPr>
            <w:r w:rsidRPr="005E4CAE">
              <w:rPr>
                <w:rFonts w:ascii="Arial" w:hAnsi="Arial" w:cs="Arial"/>
                <w:sz w:val="20"/>
                <w:szCs w:val="20"/>
              </w:rPr>
              <w:t>7</w:t>
            </w:r>
          </w:p>
        </w:tc>
        <w:tc>
          <w:tcPr>
            <w:tcW w:w="650" w:type="pct"/>
            <w:shd w:val="clear" w:color="auto" w:fill="auto"/>
          </w:tcPr>
          <w:p w14:paraId="1ABBC6B6" w14:textId="77777777" w:rsidR="00720667" w:rsidRPr="005E4CAE" w:rsidRDefault="00720667" w:rsidP="006E21D7">
            <w:pPr>
              <w:rPr>
                <w:rFonts w:ascii="Arial" w:hAnsi="Arial" w:cs="Arial"/>
                <w:bCs/>
                <w:sz w:val="20"/>
                <w:szCs w:val="20"/>
              </w:rPr>
            </w:pPr>
            <w:r w:rsidRPr="005E4CAE">
              <w:rPr>
                <w:rFonts w:ascii="Arial" w:hAnsi="Arial" w:cs="Arial"/>
                <w:bCs/>
                <w:sz w:val="20"/>
                <w:szCs w:val="20"/>
              </w:rPr>
              <w:t xml:space="preserve">Association of Paediatric </w:t>
            </w:r>
            <w:r w:rsidRPr="005E4CAE">
              <w:rPr>
                <w:rFonts w:ascii="Arial" w:hAnsi="Arial" w:cs="Arial"/>
                <w:bCs/>
                <w:sz w:val="20"/>
                <w:szCs w:val="20"/>
              </w:rPr>
              <w:lastRenderedPageBreak/>
              <w:t>Emergency Medicine (APEM)</w:t>
            </w:r>
          </w:p>
        </w:tc>
        <w:tc>
          <w:tcPr>
            <w:tcW w:w="535" w:type="pct"/>
            <w:shd w:val="clear" w:color="auto" w:fill="auto"/>
          </w:tcPr>
          <w:p w14:paraId="30C2FE5F" w14:textId="77777777" w:rsidR="00720667" w:rsidRPr="005E4CAE" w:rsidRDefault="00720667" w:rsidP="006E21D7">
            <w:pPr>
              <w:rPr>
                <w:rFonts w:ascii="Arial" w:hAnsi="Arial" w:cs="Arial"/>
                <w:sz w:val="20"/>
                <w:szCs w:val="20"/>
              </w:rPr>
            </w:pPr>
            <w:r w:rsidRPr="005E4CAE">
              <w:rPr>
                <w:rFonts w:ascii="Arial" w:hAnsi="Arial" w:cs="Arial"/>
                <w:sz w:val="20"/>
                <w:szCs w:val="20"/>
              </w:rPr>
              <w:lastRenderedPageBreak/>
              <w:t>Question 1</w:t>
            </w:r>
          </w:p>
        </w:tc>
        <w:tc>
          <w:tcPr>
            <w:tcW w:w="3548" w:type="pct"/>
            <w:shd w:val="clear" w:color="auto" w:fill="auto"/>
          </w:tcPr>
          <w:p w14:paraId="43A55C93" w14:textId="77777777" w:rsidR="00720667" w:rsidRPr="005E4CAE" w:rsidRDefault="00720667" w:rsidP="006E21D7">
            <w:pPr>
              <w:rPr>
                <w:rFonts w:ascii="Arial" w:hAnsi="Arial" w:cs="Arial"/>
                <w:sz w:val="20"/>
                <w:szCs w:val="20"/>
              </w:rPr>
            </w:pPr>
            <w:r w:rsidRPr="005E4CAE">
              <w:rPr>
                <w:rFonts w:ascii="Arial" w:hAnsi="Arial" w:cs="Arial"/>
                <w:sz w:val="20"/>
                <w:szCs w:val="20"/>
              </w:rPr>
              <w:t xml:space="preserve">Yes, but </w:t>
            </w:r>
            <w:bookmarkStart w:id="7" w:name="_Hlk173135670"/>
            <w:r w:rsidRPr="005E4CAE">
              <w:rPr>
                <w:rFonts w:ascii="Arial" w:hAnsi="Arial" w:cs="Arial"/>
                <w:sz w:val="20"/>
                <w:szCs w:val="20"/>
              </w:rPr>
              <w:t>we are wondering where the standard sits with the current move towards targeting antibiotics in people who aren’t in septic shock and aiming to give antibiotics between 1 and 3 hours</w:t>
            </w:r>
            <w:bookmarkEnd w:id="7"/>
            <w:r w:rsidRPr="005E4CAE">
              <w:rPr>
                <w:rFonts w:ascii="Arial" w:hAnsi="Arial" w:cs="Arial"/>
                <w:sz w:val="20"/>
                <w:szCs w:val="20"/>
              </w:rPr>
              <w:t>?</w:t>
            </w:r>
          </w:p>
        </w:tc>
      </w:tr>
      <w:tr w:rsidR="00720667" w:rsidRPr="005E4CAE" w14:paraId="697BDDC2" w14:textId="77777777" w:rsidTr="006E21D7">
        <w:tc>
          <w:tcPr>
            <w:tcW w:w="267" w:type="pct"/>
            <w:shd w:val="clear" w:color="auto" w:fill="auto"/>
          </w:tcPr>
          <w:p w14:paraId="7BD1BF35" w14:textId="194C8BDC" w:rsidR="00720667" w:rsidRPr="005E4CAE" w:rsidRDefault="00720667" w:rsidP="006E21D7">
            <w:pPr>
              <w:rPr>
                <w:rFonts w:ascii="Arial" w:hAnsi="Arial" w:cs="Arial"/>
                <w:sz w:val="20"/>
                <w:szCs w:val="20"/>
              </w:rPr>
            </w:pPr>
            <w:r w:rsidRPr="005E4CAE">
              <w:rPr>
                <w:rFonts w:ascii="Arial" w:hAnsi="Arial" w:cs="Arial"/>
                <w:sz w:val="20"/>
                <w:szCs w:val="20"/>
              </w:rPr>
              <w:t>8</w:t>
            </w:r>
          </w:p>
        </w:tc>
        <w:tc>
          <w:tcPr>
            <w:tcW w:w="650" w:type="pct"/>
            <w:shd w:val="clear" w:color="auto" w:fill="auto"/>
          </w:tcPr>
          <w:p w14:paraId="38A149F8" w14:textId="77777777" w:rsidR="00720667" w:rsidRPr="005E4CAE" w:rsidRDefault="00720667" w:rsidP="006E21D7">
            <w:pPr>
              <w:rPr>
                <w:rFonts w:ascii="Arial" w:hAnsi="Arial" w:cs="Arial"/>
                <w:bCs/>
                <w:sz w:val="20"/>
                <w:szCs w:val="20"/>
              </w:rPr>
            </w:pPr>
            <w:r w:rsidRPr="005E4CAE">
              <w:rPr>
                <w:rFonts w:ascii="Arial" w:hAnsi="Arial" w:cs="Arial"/>
                <w:bCs/>
                <w:sz w:val="20"/>
                <w:szCs w:val="20"/>
              </w:rPr>
              <w:t>Faculty of Intensive Care Medicine</w:t>
            </w:r>
          </w:p>
        </w:tc>
        <w:tc>
          <w:tcPr>
            <w:tcW w:w="535" w:type="pct"/>
            <w:shd w:val="clear" w:color="auto" w:fill="auto"/>
          </w:tcPr>
          <w:p w14:paraId="1E9F705C" w14:textId="77777777" w:rsidR="00720667" w:rsidRPr="005E4CAE" w:rsidRDefault="00720667" w:rsidP="006E21D7">
            <w:pPr>
              <w:rPr>
                <w:rFonts w:ascii="Arial" w:hAnsi="Arial" w:cs="Arial"/>
                <w:sz w:val="20"/>
                <w:szCs w:val="20"/>
              </w:rPr>
            </w:pPr>
            <w:r w:rsidRPr="005E4CAE">
              <w:rPr>
                <w:rFonts w:ascii="Arial" w:hAnsi="Arial" w:cs="Arial"/>
                <w:sz w:val="20"/>
                <w:szCs w:val="20"/>
              </w:rPr>
              <w:t>Question 1</w:t>
            </w:r>
          </w:p>
        </w:tc>
        <w:tc>
          <w:tcPr>
            <w:tcW w:w="3548" w:type="pct"/>
            <w:shd w:val="clear" w:color="auto" w:fill="auto"/>
            <w:vAlign w:val="center"/>
          </w:tcPr>
          <w:p w14:paraId="65A634EA" w14:textId="77777777" w:rsidR="00720667" w:rsidRPr="005E4CAE" w:rsidRDefault="00720667" w:rsidP="006E21D7">
            <w:pPr>
              <w:pStyle w:val="Paragraphnonumbers"/>
              <w:spacing w:line="240" w:lineRule="auto"/>
              <w:rPr>
                <w:rFonts w:cs="Arial"/>
                <w:sz w:val="20"/>
                <w:szCs w:val="20"/>
              </w:rPr>
            </w:pPr>
            <w:r w:rsidRPr="005E4CAE">
              <w:rPr>
                <w:rFonts w:cs="Arial"/>
                <w:sz w:val="20"/>
                <w:szCs w:val="20"/>
              </w:rPr>
              <w:t>No, this draft quality standard does not accurately reflect the key areas for quality improvement.</w:t>
            </w:r>
          </w:p>
          <w:p w14:paraId="3448D764" w14:textId="77777777" w:rsidR="00720667" w:rsidRPr="005E4CAE" w:rsidRDefault="00720667" w:rsidP="006E21D7">
            <w:pPr>
              <w:rPr>
                <w:rFonts w:ascii="Arial" w:hAnsi="Arial" w:cs="Arial"/>
                <w:sz w:val="20"/>
                <w:szCs w:val="20"/>
              </w:rPr>
            </w:pPr>
            <w:r w:rsidRPr="005E4CAE">
              <w:rPr>
                <w:rFonts w:ascii="Arial" w:hAnsi="Arial" w:cs="Arial"/>
                <w:sz w:val="20"/>
                <w:szCs w:val="20"/>
              </w:rPr>
              <w:t>(See quality statements 2 &amp; 3 for FICM comments)</w:t>
            </w:r>
          </w:p>
        </w:tc>
      </w:tr>
      <w:tr w:rsidR="00720667" w:rsidRPr="005E4CAE" w14:paraId="20FA1D0C" w14:textId="77777777" w:rsidTr="006E21D7">
        <w:tc>
          <w:tcPr>
            <w:tcW w:w="267" w:type="pct"/>
            <w:shd w:val="clear" w:color="auto" w:fill="auto"/>
          </w:tcPr>
          <w:p w14:paraId="4FF751CA" w14:textId="289E2AD9" w:rsidR="00720667" w:rsidRPr="005E4CAE" w:rsidRDefault="00720667" w:rsidP="006E21D7">
            <w:pPr>
              <w:rPr>
                <w:rFonts w:ascii="Arial" w:hAnsi="Arial" w:cs="Arial"/>
                <w:sz w:val="20"/>
                <w:szCs w:val="20"/>
              </w:rPr>
            </w:pPr>
            <w:r w:rsidRPr="005E4CAE">
              <w:rPr>
                <w:rFonts w:ascii="Arial" w:hAnsi="Arial" w:cs="Arial"/>
                <w:sz w:val="20"/>
                <w:szCs w:val="20"/>
              </w:rPr>
              <w:t>9</w:t>
            </w:r>
          </w:p>
        </w:tc>
        <w:tc>
          <w:tcPr>
            <w:tcW w:w="650" w:type="pct"/>
            <w:shd w:val="clear" w:color="auto" w:fill="auto"/>
          </w:tcPr>
          <w:p w14:paraId="5E0984F4" w14:textId="77777777" w:rsidR="00720667" w:rsidRPr="005E4CAE" w:rsidRDefault="00720667" w:rsidP="006E21D7">
            <w:pPr>
              <w:rPr>
                <w:rFonts w:ascii="Arial" w:hAnsi="Arial" w:cs="Arial"/>
                <w:bCs/>
                <w:iCs/>
                <w:sz w:val="20"/>
                <w:szCs w:val="20"/>
              </w:rPr>
            </w:pPr>
            <w:r w:rsidRPr="005E4CAE">
              <w:rPr>
                <w:rFonts w:ascii="Arial" w:hAnsi="Arial" w:cs="Arial"/>
                <w:bCs/>
                <w:sz w:val="20"/>
                <w:szCs w:val="20"/>
              </w:rPr>
              <w:t>Meningitis Now</w:t>
            </w:r>
          </w:p>
        </w:tc>
        <w:tc>
          <w:tcPr>
            <w:tcW w:w="535" w:type="pct"/>
            <w:shd w:val="clear" w:color="auto" w:fill="auto"/>
          </w:tcPr>
          <w:p w14:paraId="2E3E64ED" w14:textId="77777777" w:rsidR="00720667" w:rsidRPr="005E4CAE" w:rsidRDefault="00720667" w:rsidP="006E21D7">
            <w:pPr>
              <w:rPr>
                <w:rFonts w:ascii="Arial" w:hAnsi="Arial" w:cs="Arial"/>
                <w:sz w:val="20"/>
                <w:szCs w:val="20"/>
              </w:rPr>
            </w:pPr>
            <w:r w:rsidRPr="005E4CAE">
              <w:rPr>
                <w:rFonts w:ascii="Arial" w:hAnsi="Arial" w:cs="Arial"/>
                <w:sz w:val="20"/>
                <w:szCs w:val="20"/>
              </w:rPr>
              <w:t>Question 1</w:t>
            </w:r>
          </w:p>
        </w:tc>
        <w:tc>
          <w:tcPr>
            <w:tcW w:w="3548" w:type="pct"/>
            <w:shd w:val="clear" w:color="auto" w:fill="auto"/>
          </w:tcPr>
          <w:p w14:paraId="2AB29B3C" w14:textId="77777777" w:rsidR="00720667" w:rsidRPr="005E4CAE" w:rsidRDefault="00720667" w:rsidP="006E21D7">
            <w:pPr>
              <w:rPr>
                <w:rFonts w:ascii="Arial" w:hAnsi="Arial" w:cs="Arial"/>
                <w:sz w:val="20"/>
                <w:szCs w:val="20"/>
              </w:rPr>
            </w:pPr>
            <w:r w:rsidRPr="005E4CAE">
              <w:rPr>
                <w:rFonts w:ascii="Arial" w:hAnsi="Arial" w:cs="Arial"/>
                <w:sz w:val="20"/>
                <w:szCs w:val="20"/>
              </w:rPr>
              <w:t xml:space="preserve">We agree that </w:t>
            </w:r>
            <w:bookmarkStart w:id="8" w:name="_Hlk173135607"/>
            <w:r w:rsidRPr="005E4CAE">
              <w:rPr>
                <w:rFonts w:ascii="Arial" w:hAnsi="Arial" w:cs="Arial"/>
                <w:sz w:val="20"/>
                <w:szCs w:val="20"/>
              </w:rPr>
              <w:t>the draft quality standard reflects the key areas for improvement. In particular, safety netting information, hearing assessment and follow-up are often problematic for those who we support.</w:t>
            </w:r>
            <w:bookmarkEnd w:id="8"/>
          </w:p>
        </w:tc>
      </w:tr>
      <w:tr w:rsidR="00720667" w:rsidRPr="005E4CAE" w14:paraId="0BF9F9E3" w14:textId="77777777" w:rsidTr="006E21D7">
        <w:tc>
          <w:tcPr>
            <w:tcW w:w="267" w:type="pct"/>
            <w:shd w:val="clear" w:color="auto" w:fill="auto"/>
          </w:tcPr>
          <w:p w14:paraId="36391D71" w14:textId="3511A04E" w:rsidR="00720667" w:rsidRPr="005E4CAE" w:rsidRDefault="00720667" w:rsidP="006E21D7">
            <w:pPr>
              <w:rPr>
                <w:rFonts w:ascii="Arial" w:hAnsi="Arial" w:cs="Arial"/>
                <w:sz w:val="20"/>
                <w:szCs w:val="20"/>
              </w:rPr>
            </w:pPr>
            <w:r w:rsidRPr="005E4CAE">
              <w:rPr>
                <w:rFonts w:ascii="Arial" w:hAnsi="Arial" w:cs="Arial"/>
                <w:sz w:val="20"/>
                <w:szCs w:val="20"/>
              </w:rPr>
              <w:t>10</w:t>
            </w:r>
          </w:p>
        </w:tc>
        <w:tc>
          <w:tcPr>
            <w:tcW w:w="650" w:type="pct"/>
            <w:shd w:val="clear" w:color="auto" w:fill="auto"/>
          </w:tcPr>
          <w:p w14:paraId="482B47D9" w14:textId="77777777" w:rsidR="00720667" w:rsidRPr="005E4CAE" w:rsidRDefault="00720667" w:rsidP="006E21D7">
            <w:pPr>
              <w:rPr>
                <w:rFonts w:ascii="Arial" w:hAnsi="Arial" w:cs="Arial"/>
                <w:bCs/>
                <w:sz w:val="20"/>
                <w:szCs w:val="20"/>
              </w:rPr>
            </w:pPr>
            <w:r w:rsidRPr="005E4CAE">
              <w:rPr>
                <w:rFonts w:ascii="Arial" w:hAnsi="Arial" w:cs="Arial"/>
                <w:bCs/>
                <w:sz w:val="20"/>
                <w:szCs w:val="20"/>
              </w:rPr>
              <w:t>Royal College Emergency Medicine</w:t>
            </w:r>
          </w:p>
        </w:tc>
        <w:tc>
          <w:tcPr>
            <w:tcW w:w="535" w:type="pct"/>
            <w:shd w:val="clear" w:color="auto" w:fill="auto"/>
          </w:tcPr>
          <w:p w14:paraId="3F703AD4" w14:textId="77777777" w:rsidR="00720667" w:rsidRPr="005E4CAE" w:rsidRDefault="00720667" w:rsidP="006E21D7">
            <w:pPr>
              <w:rPr>
                <w:rFonts w:ascii="Arial" w:hAnsi="Arial" w:cs="Arial"/>
                <w:sz w:val="20"/>
                <w:szCs w:val="20"/>
              </w:rPr>
            </w:pPr>
            <w:r w:rsidRPr="005E4CAE">
              <w:rPr>
                <w:rFonts w:ascii="Arial" w:hAnsi="Arial" w:cs="Arial"/>
                <w:sz w:val="20"/>
                <w:szCs w:val="20"/>
              </w:rPr>
              <w:t>Question 1</w:t>
            </w:r>
          </w:p>
        </w:tc>
        <w:tc>
          <w:tcPr>
            <w:tcW w:w="3548" w:type="pct"/>
            <w:shd w:val="clear" w:color="auto" w:fill="auto"/>
          </w:tcPr>
          <w:p w14:paraId="4F8DBF8A" w14:textId="77777777" w:rsidR="00720667" w:rsidRPr="005E4CAE" w:rsidRDefault="00720667" w:rsidP="006E21D7">
            <w:pPr>
              <w:rPr>
                <w:rFonts w:ascii="Arial" w:hAnsi="Arial" w:cs="Arial"/>
                <w:sz w:val="20"/>
                <w:szCs w:val="20"/>
              </w:rPr>
            </w:pPr>
            <w:r w:rsidRPr="005E4CAE">
              <w:rPr>
                <w:rFonts w:ascii="Arial" w:hAnsi="Arial" w:cs="Arial"/>
                <w:sz w:val="20"/>
                <w:szCs w:val="20"/>
              </w:rPr>
              <w:t>No comments</w:t>
            </w:r>
          </w:p>
        </w:tc>
      </w:tr>
      <w:tr w:rsidR="00720667" w:rsidRPr="005E4CAE" w14:paraId="12A3A94D" w14:textId="77777777" w:rsidTr="006E21D7">
        <w:tc>
          <w:tcPr>
            <w:tcW w:w="267" w:type="pct"/>
            <w:shd w:val="clear" w:color="auto" w:fill="auto"/>
          </w:tcPr>
          <w:p w14:paraId="0FF42A65" w14:textId="24090230" w:rsidR="00720667" w:rsidRPr="005E4CAE" w:rsidRDefault="00720667" w:rsidP="006E21D7">
            <w:pPr>
              <w:rPr>
                <w:rFonts w:ascii="Arial" w:hAnsi="Arial" w:cs="Arial"/>
                <w:sz w:val="20"/>
                <w:szCs w:val="20"/>
              </w:rPr>
            </w:pPr>
            <w:r w:rsidRPr="005E4CAE">
              <w:rPr>
                <w:rFonts w:ascii="Arial" w:hAnsi="Arial" w:cs="Arial"/>
                <w:sz w:val="20"/>
                <w:szCs w:val="20"/>
              </w:rPr>
              <w:t>11</w:t>
            </w:r>
          </w:p>
        </w:tc>
        <w:tc>
          <w:tcPr>
            <w:tcW w:w="650" w:type="pct"/>
            <w:shd w:val="clear" w:color="auto" w:fill="auto"/>
          </w:tcPr>
          <w:p w14:paraId="250B2F9F" w14:textId="77777777" w:rsidR="00720667" w:rsidRPr="005E4CAE" w:rsidRDefault="00720667" w:rsidP="006E21D7">
            <w:pPr>
              <w:rPr>
                <w:rFonts w:ascii="Arial" w:hAnsi="Arial" w:cs="Arial"/>
                <w:bCs/>
                <w:iCs/>
                <w:sz w:val="20"/>
                <w:szCs w:val="20"/>
              </w:rPr>
            </w:pPr>
            <w:r w:rsidRPr="005E4CAE">
              <w:rPr>
                <w:rFonts w:ascii="Arial" w:hAnsi="Arial" w:cs="Arial"/>
                <w:bCs/>
                <w:sz w:val="20"/>
                <w:szCs w:val="20"/>
              </w:rPr>
              <w:t>Royal College of Nursing - Emergency Care Forum Committee</w:t>
            </w:r>
          </w:p>
        </w:tc>
        <w:tc>
          <w:tcPr>
            <w:tcW w:w="535" w:type="pct"/>
            <w:shd w:val="clear" w:color="auto" w:fill="auto"/>
          </w:tcPr>
          <w:p w14:paraId="392EB2D1" w14:textId="77777777" w:rsidR="00720667" w:rsidRPr="005E4CAE" w:rsidRDefault="00720667" w:rsidP="006E21D7">
            <w:pPr>
              <w:pStyle w:val="Paragraphnonumbers"/>
              <w:spacing w:after="0"/>
              <w:rPr>
                <w:rFonts w:cs="Arial"/>
                <w:sz w:val="20"/>
                <w:szCs w:val="20"/>
              </w:rPr>
            </w:pPr>
            <w:r w:rsidRPr="005E4CAE">
              <w:rPr>
                <w:rFonts w:cs="Arial"/>
                <w:sz w:val="20"/>
                <w:szCs w:val="20"/>
              </w:rPr>
              <w:t>Question 1</w:t>
            </w:r>
          </w:p>
          <w:p w14:paraId="4F8EBD6A" w14:textId="77777777" w:rsidR="00720667" w:rsidRPr="005E4CAE" w:rsidRDefault="00720667" w:rsidP="006E21D7">
            <w:pPr>
              <w:rPr>
                <w:rFonts w:ascii="Arial" w:hAnsi="Arial" w:cs="Arial"/>
                <w:sz w:val="20"/>
                <w:szCs w:val="20"/>
              </w:rPr>
            </w:pPr>
          </w:p>
        </w:tc>
        <w:tc>
          <w:tcPr>
            <w:tcW w:w="3548" w:type="pct"/>
            <w:shd w:val="clear" w:color="auto" w:fill="auto"/>
          </w:tcPr>
          <w:p w14:paraId="32055BE8" w14:textId="77777777" w:rsidR="00720667" w:rsidRPr="005E4CAE" w:rsidRDefault="00720667" w:rsidP="006E21D7">
            <w:pPr>
              <w:rPr>
                <w:rFonts w:ascii="Arial" w:hAnsi="Arial" w:cs="Arial"/>
                <w:sz w:val="20"/>
                <w:szCs w:val="20"/>
              </w:rPr>
            </w:pPr>
            <w:r w:rsidRPr="005E4CAE">
              <w:rPr>
                <w:rFonts w:ascii="Arial" w:hAnsi="Arial" w:cs="Arial"/>
                <w:sz w:val="20"/>
                <w:szCs w:val="20"/>
              </w:rPr>
              <w:t>Reflects key areas of Quality Improvement (QI) but time of re-assessment of standard needs to be quantified.</w:t>
            </w:r>
          </w:p>
        </w:tc>
      </w:tr>
      <w:tr w:rsidR="00720667" w:rsidRPr="005E4CAE" w14:paraId="1C4144CB" w14:textId="77777777" w:rsidTr="006E21D7">
        <w:tc>
          <w:tcPr>
            <w:tcW w:w="5000" w:type="pct"/>
            <w:gridSpan w:val="4"/>
          </w:tcPr>
          <w:p w14:paraId="2BA2B688" w14:textId="77777777" w:rsidR="00720667" w:rsidRPr="005E4CAE" w:rsidRDefault="00720667" w:rsidP="006E21D7">
            <w:pPr>
              <w:pStyle w:val="Default"/>
              <w:rPr>
                <w:sz w:val="20"/>
                <w:szCs w:val="20"/>
              </w:rPr>
            </w:pPr>
            <w:r w:rsidRPr="005E4CAE">
              <w:rPr>
                <w:sz w:val="20"/>
                <w:szCs w:val="20"/>
              </w:rPr>
              <w:t>Question 2 – data collection</w:t>
            </w:r>
          </w:p>
        </w:tc>
      </w:tr>
      <w:tr w:rsidR="00720667" w:rsidRPr="005E4CAE" w14:paraId="762D5ED0" w14:textId="77777777" w:rsidTr="006E21D7">
        <w:tc>
          <w:tcPr>
            <w:tcW w:w="267" w:type="pct"/>
            <w:shd w:val="clear" w:color="auto" w:fill="auto"/>
          </w:tcPr>
          <w:p w14:paraId="0EF8DADE" w14:textId="57329B85" w:rsidR="00720667" w:rsidRPr="005E4CAE" w:rsidRDefault="00720667" w:rsidP="006E21D7">
            <w:pPr>
              <w:rPr>
                <w:rFonts w:ascii="Arial" w:hAnsi="Arial" w:cs="Arial"/>
                <w:sz w:val="20"/>
                <w:szCs w:val="20"/>
              </w:rPr>
            </w:pPr>
            <w:r w:rsidRPr="005E4CAE">
              <w:rPr>
                <w:rFonts w:ascii="Arial" w:hAnsi="Arial" w:cs="Arial"/>
                <w:sz w:val="20"/>
                <w:szCs w:val="20"/>
              </w:rPr>
              <w:t>12</w:t>
            </w:r>
          </w:p>
        </w:tc>
        <w:tc>
          <w:tcPr>
            <w:tcW w:w="650" w:type="pct"/>
            <w:shd w:val="clear" w:color="auto" w:fill="auto"/>
          </w:tcPr>
          <w:p w14:paraId="7BF1362F" w14:textId="77777777" w:rsidR="00720667" w:rsidRPr="005E4CAE" w:rsidRDefault="00720667" w:rsidP="006E21D7">
            <w:pPr>
              <w:rPr>
                <w:rFonts w:ascii="Arial" w:hAnsi="Arial" w:cs="Arial"/>
                <w:bCs/>
                <w:iCs/>
                <w:sz w:val="20"/>
                <w:szCs w:val="20"/>
              </w:rPr>
            </w:pPr>
            <w:r w:rsidRPr="005E4CAE">
              <w:rPr>
                <w:rFonts w:ascii="Arial" w:hAnsi="Arial" w:cs="Arial"/>
                <w:bCs/>
                <w:sz w:val="20"/>
                <w:szCs w:val="20"/>
              </w:rPr>
              <w:t>Royal College Emergency Medicine</w:t>
            </w:r>
          </w:p>
        </w:tc>
        <w:tc>
          <w:tcPr>
            <w:tcW w:w="535" w:type="pct"/>
            <w:shd w:val="clear" w:color="auto" w:fill="auto"/>
          </w:tcPr>
          <w:p w14:paraId="6FB8AA79" w14:textId="77777777" w:rsidR="00720667" w:rsidRPr="005E4CAE" w:rsidRDefault="00720667" w:rsidP="006E21D7">
            <w:pPr>
              <w:rPr>
                <w:rFonts w:ascii="Arial" w:hAnsi="Arial" w:cs="Arial"/>
                <w:sz w:val="20"/>
                <w:szCs w:val="20"/>
              </w:rPr>
            </w:pPr>
            <w:r w:rsidRPr="005E4CAE">
              <w:rPr>
                <w:rFonts w:ascii="Arial" w:hAnsi="Arial" w:cs="Arial"/>
                <w:sz w:val="20"/>
                <w:szCs w:val="20"/>
              </w:rPr>
              <w:t>Question 2</w:t>
            </w:r>
          </w:p>
        </w:tc>
        <w:tc>
          <w:tcPr>
            <w:tcW w:w="3548" w:type="pct"/>
            <w:shd w:val="clear" w:color="auto" w:fill="auto"/>
          </w:tcPr>
          <w:p w14:paraId="1A70D879" w14:textId="77777777" w:rsidR="00720667" w:rsidRPr="005E4CAE" w:rsidRDefault="00720667" w:rsidP="006E21D7">
            <w:pPr>
              <w:rPr>
                <w:rFonts w:ascii="Arial" w:hAnsi="Arial" w:cs="Arial"/>
                <w:sz w:val="20"/>
                <w:szCs w:val="20"/>
              </w:rPr>
            </w:pPr>
            <w:r w:rsidRPr="005E4CAE">
              <w:rPr>
                <w:rFonts w:ascii="Arial" w:hAnsi="Arial" w:cs="Arial"/>
                <w:sz w:val="20"/>
                <w:szCs w:val="20"/>
              </w:rPr>
              <w:t>No comments</w:t>
            </w:r>
          </w:p>
        </w:tc>
      </w:tr>
      <w:tr w:rsidR="00720667" w:rsidRPr="005E4CAE" w14:paraId="28716E71" w14:textId="77777777" w:rsidTr="006E21D7">
        <w:tc>
          <w:tcPr>
            <w:tcW w:w="267" w:type="pct"/>
            <w:shd w:val="clear" w:color="auto" w:fill="auto"/>
          </w:tcPr>
          <w:p w14:paraId="459B4EFE" w14:textId="4BBC4C5E" w:rsidR="00720667" w:rsidRPr="005E4CAE" w:rsidRDefault="00720667" w:rsidP="006E21D7">
            <w:pPr>
              <w:rPr>
                <w:rFonts w:ascii="Arial" w:hAnsi="Arial" w:cs="Arial"/>
                <w:sz w:val="20"/>
                <w:szCs w:val="20"/>
              </w:rPr>
            </w:pPr>
            <w:bookmarkStart w:id="9" w:name="_Hlk173135757"/>
            <w:r w:rsidRPr="005E4CAE">
              <w:rPr>
                <w:rFonts w:ascii="Arial" w:hAnsi="Arial" w:cs="Arial"/>
                <w:sz w:val="20"/>
                <w:szCs w:val="20"/>
              </w:rPr>
              <w:t>13</w:t>
            </w:r>
          </w:p>
        </w:tc>
        <w:tc>
          <w:tcPr>
            <w:tcW w:w="650" w:type="pct"/>
            <w:shd w:val="clear" w:color="auto" w:fill="auto"/>
          </w:tcPr>
          <w:p w14:paraId="723242CF" w14:textId="77777777" w:rsidR="00720667" w:rsidRPr="005E4CAE" w:rsidRDefault="00720667" w:rsidP="006E21D7">
            <w:pPr>
              <w:rPr>
                <w:rFonts w:ascii="Arial" w:hAnsi="Arial" w:cs="Arial"/>
                <w:bCs/>
                <w:iCs/>
                <w:sz w:val="20"/>
                <w:szCs w:val="20"/>
              </w:rPr>
            </w:pPr>
            <w:r w:rsidRPr="005E4CAE">
              <w:rPr>
                <w:rFonts w:ascii="Arial" w:hAnsi="Arial" w:cs="Arial"/>
                <w:bCs/>
                <w:sz w:val="20"/>
                <w:szCs w:val="20"/>
              </w:rPr>
              <w:t>Royal College of Nursing - Emergency Care Forum Committee</w:t>
            </w:r>
          </w:p>
        </w:tc>
        <w:tc>
          <w:tcPr>
            <w:tcW w:w="535" w:type="pct"/>
            <w:shd w:val="clear" w:color="auto" w:fill="auto"/>
          </w:tcPr>
          <w:p w14:paraId="0D39E58E" w14:textId="77777777" w:rsidR="00720667" w:rsidRPr="005E4CAE" w:rsidRDefault="00720667" w:rsidP="006E21D7">
            <w:pPr>
              <w:rPr>
                <w:rFonts w:ascii="Arial" w:hAnsi="Arial" w:cs="Arial"/>
                <w:sz w:val="20"/>
                <w:szCs w:val="20"/>
              </w:rPr>
            </w:pPr>
            <w:r w:rsidRPr="005E4CAE">
              <w:rPr>
                <w:rFonts w:ascii="Arial" w:hAnsi="Arial" w:cs="Arial"/>
                <w:sz w:val="20"/>
                <w:szCs w:val="20"/>
              </w:rPr>
              <w:t>Question 2</w:t>
            </w:r>
          </w:p>
        </w:tc>
        <w:tc>
          <w:tcPr>
            <w:tcW w:w="3548" w:type="pct"/>
            <w:shd w:val="clear" w:color="auto" w:fill="auto"/>
          </w:tcPr>
          <w:p w14:paraId="012830DC" w14:textId="77777777" w:rsidR="00720667" w:rsidRPr="005E4CAE" w:rsidRDefault="00720667" w:rsidP="006E21D7">
            <w:pPr>
              <w:pStyle w:val="Paragraphnonumbers"/>
              <w:spacing w:after="0"/>
              <w:rPr>
                <w:rFonts w:cs="Arial"/>
                <w:sz w:val="20"/>
                <w:szCs w:val="20"/>
              </w:rPr>
            </w:pPr>
            <w:r w:rsidRPr="005E4CAE">
              <w:rPr>
                <w:rFonts w:cs="Arial"/>
                <w:sz w:val="20"/>
                <w:szCs w:val="20"/>
              </w:rPr>
              <w:t>Yes. However, key departments in each organisation responsible for Multi-disciplinary Team (MDT), data sharing agreements, audit standards and local QI could be quantified or at least given and a guide example.</w:t>
            </w:r>
          </w:p>
          <w:p w14:paraId="7DE72B34" w14:textId="77777777" w:rsidR="00720667" w:rsidRPr="005E4CAE" w:rsidRDefault="00720667" w:rsidP="006E21D7">
            <w:pPr>
              <w:rPr>
                <w:rFonts w:ascii="Arial" w:hAnsi="Arial" w:cs="Arial"/>
                <w:sz w:val="20"/>
                <w:szCs w:val="20"/>
              </w:rPr>
            </w:pPr>
          </w:p>
        </w:tc>
      </w:tr>
      <w:bookmarkEnd w:id="9"/>
      <w:tr w:rsidR="00720667" w:rsidRPr="005E4CAE" w14:paraId="19651F10" w14:textId="77777777" w:rsidTr="006E21D7">
        <w:tc>
          <w:tcPr>
            <w:tcW w:w="5000" w:type="pct"/>
            <w:gridSpan w:val="4"/>
          </w:tcPr>
          <w:p w14:paraId="2A7659F0" w14:textId="77777777" w:rsidR="00720667" w:rsidRPr="005E4CAE" w:rsidRDefault="00720667" w:rsidP="006E21D7">
            <w:pPr>
              <w:pStyle w:val="Paragraphnonumbers"/>
              <w:spacing w:after="0"/>
              <w:rPr>
                <w:rFonts w:cs="Arial"/>
                <w:sz w:val="20"/>
                <w:szCs w:val="20"/>
              </w:rPr>
            </w:pPr>
            <w:r w:rsidRPr="005E4CAE">
              <w:rPr>
                <w:rFonts w:cs="Arial"/>
                <w:sz w:val="20"/>
                <w:szCs w:val="20"/>
              </w:rPr>
              <w:t>Question 3 – resource impact</w:t>
            </w:r>
          </w:p>
        </w:tc>
      </w:tr>
      <w:tr w:rsidR="00720667" w:rsidRPr="005E4CAE" w14:paraId="7A88FF2F" w14:textId="77777777" w:rsidTr="006E21D7">
        <w:tc>
          <w:tcPr>
            <w:tcW w:w="267" w:type="pct"/>
            <w:shd w:val="clear" w:color="auto" w:fill="auto"/>
          </w:tcPr>
          <w:p w14:paraId="5765583E" w14:textId="4A7F40BD" w:rsidR="00720667" w:rsidRPr="005E4CAE" w:rsidRDefault="00720667" w:rsidP="006E21D7">
            <w:pPr>
              <w:rPr>
                <w:rFonts w:ascii="Arial" w:hAnsi="Arial" w:cs="Arial"/>
                <w:sz w:val="20"/>
                <w:szCs w:val="20"/>
              </w:rPr>
            </w:pPr>
            <w:r w:rsidRPr="005E4CAE">
              <w:rPr>
                <w:rFonts w:ascii="Arial" w:hAnsi="Arial" w:cs="Arial"/>
                <w:sz w:val="20"/>
                <w:szCs w:val="20"/>
              </w:rPr>
              <w:t>1</w:t>
            </w:r>
            <w:r w:rsidR="003C6E44">
              <w:rPr>
                <w:rFonts w:ascii="Arial" w:hAnsi="Arial" w:cs="Arial"/>
                <w:sz w:val="20"/>
                <w:szCs w:val="20"/>
              </w:rPr>
              <w:t>4</w:t>
            </w:r>
          </w:p>
        </w:tc>
        <w:tc>
          <w:tcPr>
            <w:tcW w:w="650" w:type="pct"/>
            <w:shd w:val="clear" w:color="auto" w:fill="auto"/>
          </w:tcPr>
          <w:p w14:paraId="65F71B89" w14:textId="77777777" w:rsidR="00720667" w:rsidRPr="005E4CAE" w:rsidRDefault="00720667" w:rsidP="006E21D7">
            <w:pPr>
              <w:rPr>
                <w:rFonts w:ascii="Arial" w:hAnsi="Arial" w:cs="Arial"/>
                <w:bCs/>
                <w:iCs/>
                <w:sz w:val="20"/>
                <w:szCs w:val="20"/>
              </w:rPr>
            </w:pPr>
            <w:r w:rsidRPr="005E4CAE">
              <w:rPr>
                <w:rFonts w:ascii="Arial" w:hAnsi="Arial" w:cs="Arial"/>
                <w:bCs/>
                <w:sz w:val="20"/>
                <w:szCs w:val="20"/>
              </w:rPr>
              <w:t>Royal College Emergency Medicine</w:t>
            </w:r>
          </w:p>
        </w:tc>
        <w:tc>
          <w:tcPr>
            <w:tcW w:w="535" w:type="pct"/>
            <w:shd w:val="clear" w:color="auto" w:fill="auto"/>
          </w:tcPr>
          <w:p w14:paraId="53E84EE1" w14:textId="77777777" w:rsidR="00720667" w:rsidRPr="005E4CAE" w:rsidRDefault="00720667" w:rsidP="006E21D7">
            <w:pPr>
              <w:rPr>
                <w:rFonts w:ascii="Arial" w:hAnsi="Arial" w:cs="Arial"/>
                <w:sz w:val="20"/>
                <w:szCs w:val="20"/>
              </w:rPr>
            </w:pPr>
            <w:r w:rsidRPr="005E4CAE">
              <w:rPr>
                <w:rFonts w:ascii="Arial" w:hAnsi="Arial" w:cs="Arial"/>
                <w:sz w:val="20"/>
                <w:szCs w:val="20"/>
              </w:rPr>
              <w:t>Question 3</w:t>
            </w:r>
          </w:p>
        </w:tc>
        <w:tc>
          <w:tcPr>
            <w:tcW w:w="3548" w:type="pct"/>
            <w:shd w:val="clear" w:color="auto" w:fill="auto"/>
          </w:tcPr>
          <w:p w14:paraId="1226EE19" w14:textId="77777777" w:rsidR="00720667" w:rsidRPr="005E4CAE" w:rsidRDefault="00720667" w:rsidP="006E21D7">
            <w:pPr>
              <w:rPr>
                <w:rFonts w:ascii="Arial" w:hAnsi="Arial" w:cs="Arial"/>
                <w:sz w:val="20"/>
                <w:szCs w:val="20"/>
              </w:rPr>
            </w:pPr>
            <w:r w:rsidRPr="005E4CAE">
              <w:rPr>
                <w:rFonts w:ascii="Arial" w:hAnsi="Arial" w:cs="Arial"/>
                <w:sz w:val="20"/>
                <w:szCs w:val="20"/>
              </w:rPr>
              <w:t>No comments</w:t>
            </w:r>
          </w:p>
        </w:tc>
      </w:tr>
      <w:tr w:rsidR="00720667" w:rsidRPr="005E4CAE" w14:paraId="03C6A323" w14:textId="77777777" w:rsidTr="006E21D7">
        <w:tc>
          <w:tcPr>
            <w:tcW w:w="5000" w:type="pct"/>
            <w:gridSpan w:val="4"/>
          </w:tcPr>
          <w:p w14:paraId="74B2A090" w14:textId="31EDE8A5" w:rsidR="00720667" w:rsidRPr="005E4CAE" w:rsidRDefault="00720667" w:rsidP="006E21D7">
            <w:pPr>
              <w:rPr>
                <w:rFonts w:ascii="Arial" w:hAnsi="Arial" w:cs="Arial"/>
                <w:color w:val="000000"/>
                <w:sz w:val="20"/>
                <w:szCs w:val="20"/>
              </w:rPr>
            </w:pPr>
            <w:r w:rsidRPr="005E4CAE">
              <w:rPr>
                <w:rFonts w:ascii="Arial" w:hAnsi="Arial" w:cs="Arial"/>
                <w:color w:val="000000"/>
                <w:sz w:val="20"/>
                <w:szCs w:val="20"/>
              </w:rPr>
              <w:t xml:space="preserve">Question </w:t>
            </w:r>
            <w:r w:rsidR="001F1BBA" w:rsidRPr="005E4CAE">
              <w:rPr>
                <w:rFonts w:ascii="Arial" w:hAnsi="Arial" w:cs="Arial"/>
                <w:color w:val="000000"/>
                <w:sz w:val="20"/>
                <w:szCs w:val="20"/>
              </w:rPr>
              <w:t>6</w:t>
            </w:r>
            <w:r w:rsidRPr="005E4CAE">
              <w:rPr>
                <w:rFonts w:ascii="Arial" w:hAnsi="Arial" w:cs="Arial"/>
                <w:color w:val="000000"/>
                <w:sz w:val="20"/>
                <w:szCs w:val="20"/>
              </w:rPr>
              <w:t xml:space="preserve"> – challenges using the guideline</w:t>
            </w:r>
          </w:p>
        </w:tc>
      </w:tr>
      <w:tr w:rsidR="00720667" w:rsidRPr="005E4CAE" w14:paraId="451B0C10" w14:textId="77777777" w:rsidTr="006E21D7">
        <w:tc>
          <w:tcPr>
            <w:tcW w:w="267" w:type="pct"/>
            <w:shd w:val="clear" w:color="auto" w:fill="auto"/>
          </w:tcPr>
          <w:p w14:paraId="766D1BB3" w14:textId="45506179" w:rsidR="00720667" w:rsidRPr="005E4CAE" w:rsidRDefault="00720667" w:rsidP="006E21D7">
            <w:pPr>
              <w:rPr>
                <w:rFonts w:ascii="Arial" w:hAnsi="Arial" w:cs="Arial"/>
                <w:sz w:val="20"/>
                <w:szCs w:val="20"/>
              </w:rPr>
            </w:pPr>
            <w:r w:rsidRPr="005E4CAE">
              <w:rPr>
                <w:rFonts w:ascii="Arial" w:hAnsi="Arial" w:cs="Arial"/>
                <w:sz w:val="20"/>
                <w:szCs w:val="20"/>
              </w:rPr>
              <w:t>1</w:t>
            </w:r>
            <w:r w:rsidR="003C6E44">
              <w:rPr>
                <w:rFonts w:ascii="Arial" w:hAnsi="Arial" w:cs="Arial"/>
                <w:sz w:val="20"/>
                <w:szCs w:val="20"/>
              </w:rPr>
              <w:t>5</w:t>
            </w:r>
          </w:p>
        </w:tc>
        <w:tc>
          <w:tcPr>
            <w:tcW w:w="650" w:type="pct"/>
            <w:shd w:val="clear" w:color="auto" w:fill="auto"/>
          </w:tcPr>
          <w:p w14:paraId="52CCA5C0" w14:textId="77777777" w:rsidR="00720667" w:rsidRPr="005E4CAE" w:rsidRDefault="00720667" w:rsidP="006E21D7">
            <w:pPr>
              <w:rPr>
                <w:rFonts w:ascii="Arial" w:hAnsi="Arial" w:cs="Arial"/>
                <w:bCs/>
                <w:sz w:val="20"/>
                <w:szCs w:val="20"/>
              </w:rPr>
            </w:pPr>
            <w:r w:rsidRPr="005E4CAE">
              <w:rPr>
                <w:rFonts w:ascii="Arial" w:hAnsi="Arial" w:cs="Arial"/>
                <w:bCs/>
                <w:sz w:val="20"/>
                <w:szCs w:val="20"/>
              </w:rPr>
              <w:t>Meningitis Now</w:t>
            </w:r>
          </w:p>
        </w:tc>
        <w:tc>
          <w:tcPr>
            <w:tcW w:w="535" w:type="pct"/>
            <w:shd w:val="clear" w:color="auto" w:fill="auto"/>
          </w:tcPr>
          <w:p w14:paraId="0FFF9D2E" w14:textId="77777777" w:rsidR="00720667" w:rsidRPr="005E4CAE" w:rsidRDefault="00720667" w:rsidP="006E21D7">
            <w:pPr>
              <w:rPr>
                <w:rFonts w:ascii="Arial" w:hAnsi="Arial" w:cs="Arial"/>
                <w:sz w:val="20"/>
                <w:szCs w:val="20"/>
              </w:rPr>
            </w:pPr>
            <w:r w:rsidRPr="005E4CAE">
              <w:rPr>
                <w:rFonts w:ascii="Arial" w:hAnsi="Arial" w:cs="Arial"/>
                <w:sz w:val="20"/>
                <w:szCs w:val="20"/>
              </w:rPr>
              <w:t>Question 5</w:t>
            </w:r>
          </w:p>
        </w:tc>
        <w:tc>
          <w:tcPr>
            <w:tcW w:w="3548" w:type="pct"/>
            <w:shd w:val="clear" w:color="auto" w:fill="auto"/>
          </w:tcPr>
          <w:p w14:paraId="5C3DACCD" w14:textId="77777777" w:rsidR="00720667" w:rsidRPr="005E4CAE" w:rsidRDefault="00720667" w:rsidP="006E21D7">
            <w:pPr>
              <w:pStyle w:val="Paragraphnonumbers"/>
              <w:spacing w:after="0"/>
              <w:rPr>
                <w:rFonts w:cs="Arial"/>
                <w:sz w:val="20"/>
                <w:szCs w:val="20"/>
              </w:rPr>
            </w:pPr>
            <w:r w:rsidRPr="005E4CAE">
              <w:rPr>
                <w:rFonts w:cs="Arial"/>
                <w:sz w:val="20"/>
                <w:szCs w:val="20"/>
              </w:rPr>
              <w:t xml:space="preserve">We believe, that given meningitis is a relatively rare disease, ensuring that all relevant health professionals are aware of these standards may be problematic.  This may be more challenging in adult settings, where many health professionals have less experience in treating/caring for patients with meningitis or meningococcal disease. As a charity, we are keen to help in the promotion of these quality standards in whatever way we can. </w:t>
            </w:r>
          </w:p>
        </w:tc>
      </w:tr>
      <w:tr w:rsidR="00720667" w:rsidRPr="005E4CAE" w14:paraId="444F1DF3" w14:textId="77777777" w:rsidTr="006E21D7">
        <w:tc>
          <w:tcPr>
            <w:tcW w:w="267" w:type="pct"/>
            <w:shd w:val="clear" w:color="auto" w:fill="auto"/>
          </w:tcPr>
          <w:p w14:paraId="39AAA89D" w14:textId="33A981CA" w:rsidR="00720667" w:rsidRPr="005E4CAE" w:rsidRDefault="00720667" w:rsidP="006E21D7">
            <w:pPr>
              <w:rPr>
                <w:rFonts w:ascii="Arial" w:hAnsi="Arial" w:cs="Arial"/>
                <w:sz w:val="20"/>
                <w:szCs w:val="20"/>
              </w:rPr>
            </w:pPr>
            <w:r w:rsidRPr="005E4CAE">
              <w:rPr>
                <w:rFonts w:ascii="Arial" w:hAnsi="Arial" w:cs="Arial"/>
                <w:sz w:val="20"/>
                <w:szCs w:val="20"/>
              </w:rPr>
              <w:lastRenderedPageBreak/>
              <w:t>1</w:t>
            </w:r>
            <w:r w:rsidR="003C6E44">
              <w:rPr>
                <w:rFonts w:ascii="Arial" w:hAnsi="Arial" w:cs="Arial"/>
                <w:sz w:val="20"/>
                <w:szCs w:val="20"/>
              </w:rPr>
              <w:t>6</w:t>
            </w:r>
          </w:p>
        </w:tc>
        <w:tc>
          <w:tcPr>
            <w:tcW w:w="650" w:type="pct"/>
            <w:shd w:val="clear" w:color="auto" w:fill="auto"/>
          </w:tcPr>
          <w:p w14:paraId="631370F7" w14:textId="77777777" w:rsidR="00720667" w:rsidRPr="005E4CAE" w:rsidRDefault="00720667" w:rsidP="006E21D7">
            <w:pPr>
              <w:rPr>
                <w:rFonts w:ascii="Arial" w:hAnsi="Arial" w:cs="Arial"/>
                <w:bCs/>
                <w:iCs/>
                <w:sz w:val="20"/>
                <w:szCs w:val="20"/>
              </w:rPr>
            </w:pPr>
            <w:r w:rsidRPr="005E4CAE">
              <w:rPr>
                <w:rFonts w:ascii="Arial" w:hAnsi="Arial" w:cs="Arial"/>
                <w:bCs/>
                <w:sz w:val="20"/>
                <w:szCs w:val="20"/>
              </w:rPr>
              <w:t>Royal College Emergency Medicine</w:t>
            </w:r>
          </w:p>
        </w:tc>
        <w:tc>
          <w:tcPr>
            <w:tcW w:w="535" w:type="pct"/>
            <w:shd w:val="clear" w:color="auto" w:fill="auto"/>
          </w:tcPr>
          <w:p w14:paraId="7BE19D14" w14:textId="77777777" w:rsidR="00720667" w:rsidRPr="005E4CAE" w:rsidRDefault="00720667" w:rsidP="006E21D7">
            <w:pPr>
              <w:rPr>
                <w:rFonts w:ascii="Arial" w:hAnsi="Arial" w:cs="Arial"/>
                <w:sz w:val="20"/>
                <w:szCs w:val="20"/>
              </w:rPr>
            </w:pPr>
            <w:r w:rsidRPr="005E4CAE">
              <w:rPr>
                <w:rFonts w:ascii="Arial" w:hAnsi="Arial" w:cs="Arial"/>
                <w:sz w:val="20"/>
                <w:szCs w:val="20"/>
              </w:rPr>
              <w:t>Question 5</w:t>
            </w:r>
          </w:p>
        </w:tc>
        <w:tc>
          <w:tcPr>
            <w:tcW w:w="3548" w:type="pct"/>
            <w:shd w:val="clear" w:color="auto" w:fill="auto"/>
          </w:tcPr>
          <w:p w14:paraId="1953F0F1" w14:textId="77777777" w:rsidR="00720667" w:rsidRPr="005E4CAE" w:rsidRDefault="00720667" w:rsidP="006E21D7">
            <w:pPr>
              <w:rPr>
                <w:rFonts w:ascii="Arial" w:hAnsi="Arial" w:cs="Arial"/>
                <w:sz w:val="20"/>
                <w:szCs w:val="20"/>
              </w:rPr>
            </w:pPr>
            <w:r w:rsidRPr="005E4CAE">
              <w:rPr>
                <w:rFonts w:ascii="Arial" w:hAnsi="Arial" w:cs="Arial"/>
                <w:sz w:val="20"/>
                <w:szCs w:val="20"/>
              </w:rPr>
              <w:t>No comments</w:t>
            </w:r>
          </w:p>
        </w:tc>
      </w:tr>
      <w:tr w:rsidR="00720667" w:rsidRPr="005E4CAE" w14:paraId="2C7D8872" w14:textId="77777777" w:rsidTr="006E21D7">
        <w:tc>
          <w:tcPr>
            <w:tcW w:w="267" w:type="pct"/>
            <w:shd w:val="clear" w:color="auto" w:fill="auto"/>
          </w:tcPr>
          <w:p w14:paraId="2A3CC94C" w14:textId="5034B057" w:rsidR="00720667" w:rsidRPr="005E4CAE" w:rsidRDefault="00720667" w:rsidP="006E21D7">
            <w:pPr>
              <w:rPr>
                <w:rFonts w:ascii="Arial" w:hAnsi="Arial" w:cs="Arial"/>
                <w:sz w:val="20"/>
                <w:szCs w:val="20"/>
              </w:rPr>
            </w:pPr>
            <w:r w:rsidRPr="005E4CAE">
              <w:rPr>
                <w:rFonts w:ascii="Arial" w:hAnsi="Arial" w:cs="Arial"/>
                <w:sz w:val="20"/>
                <w:szCs w:val="20"/>
              </w:rPr>
              <w:t>1</w:t>
            </w:r>
            <w:r w:rsidR="003C6E44">
              <w:rPr>
                <w:rFonts w:ascii="Arial" w:hAnsi="Arial" w:cs="Arial"/>
                <w:sz w:val="20"/>
                <w:szCs w:val="20"/>
              </w:rPr>
              <w:t>7</w:t>
            </w:r>
          </w:p>
        </w:tc>
        <w:tc>
          <w:tcPr>
            <w:tcW w:w="650" w:type="pct"/>
            <w:shd w:val="clear" w:color="auto" w:fill="auto"/>
          </w:tcPr>
          <w:p w14:paraId="7903302A" w14:textId="77777777" w:rsidR="00720667" w:rsidRPr="005E4CAE" w:rsidRDefault="00720667" w:rsidP="006E21D7">
            <w:pPr>
              <w:rPr>
                <w:rFonts w:ascii="Arial" w:hAnsi="Arial" w:cs="Arial"/>
                <w:bCs/>
                <w:iCs/>
                <w:sz w:val="20"/>
                <w:szCs w:val="20"/>
              </w:rPr>
            </w:pPr>
            <w:r w:rsidRPr="005E4CAE">
              <w:rPr>
                <w:rFonts w:ascii="Arial" w:hAnsi="Arial" w:cs="Arial"/>
                <w:bCs/>
                <w:sz w:val="20"/>
                <w:szCs w:val="20"/>
              </w:rPr>
              <w:t>Royal College of Nursing - Emergency Care Forum Committee</w:t>
            </w:r>
          </w:p>
        </w:tc>
        <w:tc>
          <w:tcPr>
            <w:tcW w:w="535" w:type="pct"/>
            <w:shd w:val="clear" w:color="auto" w:fill="auto"/>
          </w:tcPr>
          <w:p w14:paraId="0A5BA702" w14:textId="77777777" w:rsidR="00720667" w:rsidRPr="005E4CAE" w:rsidRDefault="00720667" w:rsidP="006E21D7">
            <w:pPr>
              <w:rPr>
                <w:rFonts w:ascii="Arial" w:hAnsi="Arial" w:cs="Arial"/>
                <w:sz w:val="20"/>
                <w:szCs w:val="20"/>
              </w:rPr>
            </w:pPr>
            <w:r w:rsidRPr="005E4CAE">
              <w:rPr>
                <w:rFonts w:ascii="Arial" w:hAnsi="Arial" w:cs="Arial"/>
                <w:sz w:val="20"/>
                <w:szCs w:val="20"/>
              </w:rPr>
              <w:t>Question 5</w:t>
            </w:r>
          </w:p>
        </w:tc>
        <w:tc>
          <w:tcPr>
            <w:tcW w:w="3548" w:type="pct"/>
            <w:shd w:val="clear" w:color="auto" w:fill="auto"/>
          </w:tcPr>
          <w:p w14:paraId="7922B2FE" w14:textId="77777777" w:rsidR="00720667" w:rsidRPr="005E4CAE" w:rsidRDefault="00720667" w:rsidP="006E21D7">
            <w:pPr>
              <w:pStyle w:val="Paragraphnonumbers"/>
              <w:spacing w:after="0"/>
              <w:rPr>
                <w:rFonts w:cs="Arial"/>
                <w:sz w:val="20"/>
                <w:szCs w:val="20"/>
              </w:rPr>
            </w:pPr>
            <w:r w:rsidRPr="005E4CAE">
              <w:rPr>
                <w:rFonts w:cs="Arial"/>
                <w:sz w:val="20"/>
                <w:szCs w:val="20"/>
              </w:rPr>
              <w:t xml:space="preserve">Yes. we have no further comments on this matter. </w:t>
            </w:r>
          </w:p>
          <w:p w14:paraId="4339AE1D" w14:textId="77777777" w:rsidR="00720667" w:rsidRPr="005E4CAE" w:rsidRDefault="00720667" w:rsidP="006E21D7">
            <w:pPr>
              <w:ind w:left="720"/>
              <w:rPr>
                <w:rFonts w:ascii="Arial" w:hAnsi="Arial" w:cs="Arial"/>
                <w:sz w:val="20"/>
                <w:szCs w:val="20"/>
              </w:rPr>
            </w:pPr>
          </w:p>
          <w:p w14:paraId="16D9617C" w14:textId="77777777" w:rsidR="00720667" w:rsidRPr="005E4CAE" w:rsidRDefault="00720667" w:rsidP="006E21D7">
            <w:pPr>
              <w:ind w:left="720"/>
              <w:rPr>
                <w:rFonts w:ascii="Arial" w:hAnsi="Arial" w:cs="Arial"/>
                <w:sz w:val="20"/>
                <w:szCs w:val="20"/>
              </w:rPr>
            </w:pPr>
          </w:p>
        </w:tc>
      </w:tr>
      <w:tr w:rsidR="00720667" w:rsidRPr="005E4CAE" w14:paraId="108F7AF7" w14:textId="77777777" w:rsidTr="00720667">
        <w:tc>
          <w:tcPr>
            <w:tcW w:w="5000" w:type="pct"/>
            <w:gridSpan w:val="4"/>
            <w:shd w:val="clear" w:color="auto" w:fill="auto"/>
          </w:tcPr>
          <w:p w14:paraId="6825E357" w14:textId="77777777" w:rsidR="00720667" w:rsidRPr="005E4CAE" w:rsidRDefault="00720667" w:rsidP="006E21D7">
            <w:pPr>
              <w:pStyle w:val="Paragraphnonumbers"/>
              <w:spacing w:after="0"/>
              <w:rPr>
                <w:rFonts w:cs="Arial"/>
                <w:sz w:val="20"/>
                <w:szCs w:val="20"/>
              </w:rPr>
            </w:pPr>
            <w:r w:rsidRPr="005E4CAE">
              <w:rPr>
                <w:rFonts w:cs="Arial"/>
                <w:sz w:val="20"/>
                <w:szCs w:val="20"/>
              </w:rPr>
              <w:t>Statement 1</w:t>
            </w:r>
          </w:p>
        </w:tc>
      </w:tr>
      <w:tr w:rsidR="00720667" w:rsidRPr="005E4CAE" w14:paraId="0F9E3FD5" w14:textId="77777777" w:rsidTr="006E21D7">
        <w:tc>
          <w:tcPr>
            <w:tcW w:w="267" w:type="pct"/>
            <w:shd w:val="clear" w:color="auto" w:fill="auto"/>
          </w:tcPr>
          <w:p w14:paraId="6B6D20F5" w14:textId="46E28FD5" w:rsidR="00720667" w:rsidRPr="005E4CAE" w:rsidRDefault="003C6E44" w:rsidP="006E21D7">
            <w:pPr>
              <w:rPr>
                <w:rFonts w:ascii="Arial" w:hAnsi="Arial" w:cs="Arial"/>
                <w:sz w:val="20"/>
                <w:szCs w:val="20"/>
              </w:rPr>
            </w:pPr>
            <w:r>
              <w:rPr>
                <w:rFonts w:ascii="Arial" w:hAnsi="Arial" w:cs="Arial"/>
                <w:sz w:val="20"/>
                <w:szCs w:val="20"/>
              </w:rPr>
              <w:t>18</w:t>
            </w:r>
          </w:p>
        </w:tc>
        <w:tc>
          <w:tcPr>
            <w:tcW w:w="650" w:type="pct"/>
            <w:shd w:val="clear" w:color="auto" w:fill="auto"/>
          </w:tcPr>
          <w:p w14:paraId="54963EEE" w14:textId="77777777" w:rsidR="00720667" w:rsidRPr="005E4CAE" w:rsidRDefault="00720667" w:rsidP="006E21D7">
            <w:pPr>
              <w:rPr>
                <w:rFonts w:ascii="Arial" w:hAnsi="Arial" w:cs="Arial"/>
                <w:bCs/>
                <w:sz w:val="20"/>
                <w:szCs w:val="20"/>
              </w:rPr>
            </w:pPr>
            <w:r w:rsidRPr="005E4CAE">
              <w:rPr>
                <w:rFonts w:ascii="Arial" w:hAnsi="Arial" w:cs="Arial"/>
                <w:bCs/>
                <w:sz w:val="20"/>
                <w:szCs w:val="20"/>
              </w:rPr>
              <w:t>Association of Paediatric Emergency Medicine (APEM)</w:t>
            </w:r>
          </w:p>
        </w:tc>
        <w:tc>
          <w:tcPr>
            <w:tcW w:w="535" w:type="pct"/>
            <w:shd w:val="clear" w:color="auto" w:fill="auto"/>
          </w:tcPr>
          <w:p w14:paraId="22F907E8" w14:textId="77777777" w:rsidR="00720667" w:rsidRPr="005E4CAE" w:rsidRDefault="00720667" w:rsidP="006E21D7">
            <w:pPr>
              <w:rPr>
                <w:rFonts w:ascii="Arial" w:hAnsi="Arial" w:cs="Arial"/>
                <w:sz w:val="20"/>
                <w:szCs w:val="20"/>
              </w:rPr>
            </w:pPr>
            <w:r w:rsidRPr="005E4CAE">
              <w:rPr>
                <w:rFonts w:ascii="Arial" w:hAnsi="Arial" w:cs="Arial"/>
                <w:sz w:val="20"/>
                <w:szCs w:val="20"/>
              </w:rPr>
              <w:t>Statement 1</w:t>
            </w:r>
          </w:p>
        </w:tc>
        <w:tc>
          <w:tcPr>
            <w:tcW w:w="3548" w:type="pct"/>
            <w:shd w:val="clear" w:color="auto" w:fill="auto"/>
          </w:tcPr>
          <w:p w14:paraId="46B101C8" w14:textId="77777777" w:rsidR="00720667" w:rsidRPr="005E4CAE" w:rsidRDefault="00720667" w:rsidP="006E21D7">
            <w:pPr>
              <w:pStyle w:val="Paragraphnonumbers"/>
              <w:spacing w:after="0"/>
              <w:rPr>
                <w:rFonts w:cs="Arial"/>
                <w:sz w:val="20"/>
                <w:szCs w:val="20"/>
              </w:rPr>
            </w:pPr>
            <w:bookmarkStart w:id="10" w:name="_Hlk173136903"/>
            <w:r w:rsidRPr="005E4CAE">
              <w:rPr>
                <w:rFonts w:cs="Arial"/>
                <w:sz w:val="20"/>
                <w:szCs w:val="20"/>
              </w:rPr>
              <w:t>Safety netting is standard practice for children who are discharged home after attending with fever. Leaflets can be adapted if necessary to include links to online resources. Will NICE be suggesting which online sources of information can be used?</w:t>
            </w:r>
            <w:bookmarkEnd w:id="10"/>
          </w:p>
        </w:tc>
      </w:tr>
      <w:tr w:rsidR="00720667" w:rsidRPr="005E4CAE" w14:paraId="69837D51" w14:textId="77777777" w:rsidTr="006E21D7">
        <w:tc>
          <w:tcPr>
            <w:tcW w:w="267" w:type="pct"/>
            <w:shd w:val="clear" w:color="auto" w:fill="auto"/>
          </w:tcPr>
          <w:p w14:paraId="4503909E" w14:textId="27A87F39" w:rsidR="00720667" w:rsidRPr="005E4CAE" w:rsidRDefault="003C6E44" w:rsidP="006E21D7">
            <w:pPr>
              <w:rPr>
                <w:rFonts w:ascii="Arial" w:hAnsi="Arial" w:cs="Arial"/>
                <w:sz w:val="20"/>
                <w:szCs w:val="20"/>
              </w:rPr>
            </w:pPr>
            <w:r>
              <w:rPr>
                <w:rFonts w:ascii="Arial" w:hAnsi="Arial" w:cs="Arial"/>
                <w:sz w:val="20"/>
                <w:szCs w:val="20"/>
              </w:rPr>
              <w:t>19</w:t>
            </w:r>
          </w:p>
        </w:tc>
        <w:tc>
          <w:tcPr>
            <w:tcW w:w="650" w:type="pct"/>
            <w:shd w:val="clear" w:color="auto" w:fill="auto"/>
          </w:tcPr>
          <w:p w14:paraId="34CFC6C1" w14:textId="77777777" w:rsidR="00720667" w:rsidRPr="005E4CAE" w:rsidRDefault="00720667" w:rsidP="006E21D7">
            <w:pPr>
              <w:rPr>
                <w:rFonts w:ascii="Arial" w:hAnsi="Arial" w:cs="Arial"/>
                <w:bCs/>
                <w:iCs/>
                <w:sz w:val="20"/>
                <w:szCs w:val="20"/>
              </w:rPr>
            </w:pPr>
            <w:r w:rsidRPr="005E4CAE">
              <w:rPr>
                <w:rFonts w:ascii="Arial" w:hAnsi="Arial" w:cs="Arial"/>
                <w:bCs/>
                <w:sz w:val="20"/>
                <w:szCs w:val="20"/>
              </w:rPr>
              <w:t>British Society of Physical and Rehabilitation Medicine</w:t>
            </w:r>
          </w:p>
        </w:tc>
        <w:tc>
          <w:tcPr>
            <w:tcW w:w="535" w:type="pct"/>
            <w:shd w:val="clear" w:color="auto" w:fill="auto"/>
          </w:tcPr>
          <w:p w14:paraId="2208AD49" w14:textId="77777777" w:rsidR="00720667" w:rsidRPr="005E4CAE" w:rsidRDefault="00720667" w:rsidP="006E21D7">
            <w:pPr>
              <w:rPr>
                <w:rFonts w:ascii="Arial" w:hAnsi="Arial" w:cs="Arial"/>
                <w:sz w:val="20"/>
                <w:szCs w:val="20"/>
              </w:rPr>
            </w:pPr>
            <w:r w:rsidRPr="005E4CAE">
              <w:rPr>
                <w:rFonts w:ascii="Arial" w:hAnsi="Arial" w:cs="Arial"/>
                <w:sz w:val="20"/>
                <w:szCs w:val="20"/>
              </w:rPr>
              <w:t>Statement 1</w:t>
            </w:r>
          </w:p>
        </w:tc>
        <w:tc>
          <w:tcPr>
            <w:tcW w:w="3548" w:type="pct"/>
            <w:shd w:val="clear" w:color="auto" w:fill="auto"/>
          </w:tcPr>
          <w:p w14:paraId="41EC94D3" w14:textId="77777777" w:rsidR="00720667" w:rsidRPr="005E4CAE" w:rsidRDefault="00720667" w:rsidP="006E21D7">
            <w:pPr>
              <w:pStyle w:val="Paragraphnonumbers"/>
              <w:spacing w:after="0"/>
              <w:rPr>
                <w:rFonts w:cs="Arial"/>
                <w:sz w:val="20"/>
                <w:szCs w:val="20"/>
              </w:rPr>
            </w:pPr>
            <w:r w:rsidRPr="005E4CAE">
              <w:rPr>
                <w:rFonts w:cs="Arial"/>
                <w:sz w:val="20"/>
                <w:szCs w:val="20"/>
              </w:rPr>
              <w:t xml:space="preserve">Safety netting advice: </w:t>
            </w:r>
            <w:bookmarkStart w:id="11" w:name="_Hlk173136474"/>
            <w:r w:rsidRPr="005E4CAE">
              <w:rPr>
                <w:rFonts w:cs="Arial"/>
                <w:sz w:val="20"/>
                <w:szCs w:val="20"/>
              </w:rPr>
              <w:t>This is currently done in clinical practice. The issue is that the brief safety netting advice given in busy clinical settings may not be understood properly by vulnerable people with communication difficulties such as people living with cerebral palsy, learning difficulties, those with language of communication other than English. The statement should include guidance on safety netting advice for these vulnerable groups.</w:t>
            </w:r>
            <w:bookmarkEnd w:id="11"/>
          </w:p>
          <w:p w14:paraId="2C162B2F" w14:textId="77777777" w:rsidR="00720667" w:rsidRPr="005E4CAE" w:rsidRDefault="00720667" w:rsidP="006E21D7">
            <w:pPr>
              <w:rPr>
                <w:rFonts w:ascii="Arial" w:hAnsi="Arial" w:cs="Arial"/>
                <w:sz w:val="20"/>
                <w:szCs w:val="20"/>
              </w:rPr>
            </w:pPr>
            <w:bookmarkStart w:id="12" w:name="_Hlk173136512"/>
            <w:r w:rsidRPr="005E4CAE">
              <w:rPr>
                <w:rFonts w:ascii="Arial" w:hAnsi="Arial" w:cs="Arial"/>
                <w:sz w:val="20"/>
                <w:szCs w:val="20"/>
              </w:rPr>
              <w:t>There should be a more robust advice for people who are immunocompromised such as those on steroids, disease modifying drugs for multiple sclerosis, cancer etc.</w:t>
            </w:r>
            <w:bookmarkEnd w:id="12"/>
          </w:p>
        </w:tc>
      </w:tr>
      <w:tr w:rsidR="00720667" w:rsidRPr="005E4CAE" w14:paraId="3F2856C3" w14:textId="77777777" w:rsidTr="006E21D7">
        <w:tc>
          <w:tcPr>
            <w:tcW w:w="267" w:type="pct"/>
            <w:shd w:val="clear" w:color="auto" w:fill="auto"/>
          </w:tcPr>
          <w:p w14:paraId="746B850F" w14:textId="67D0E2E9" w:rsidR="00720667" w:rsidRPr="005E4CAE" w:rsidRDefault="00720667" w:rsidP="006E21D7">
            <w:pPr>
              <w:rPr>
                <w:rFonts w:ascii="Arial" w:hAnsi="Arial" w:cs="Arial"/>
                <w:sz w:val="20"/>
                <w:szCs w:val="20"/>
              </w:rPr>
            </w:pPr>
            <w:r w:rsidRPr="005E4CAE">
              <w:rPr>
                <w:rFonts w:ascii="Arial" w:hAnsi="Arial" w:cs="Arial"/>
                <w:sz w:val="20"/>
                <w:szCs w:val="20"/>
              </w:rPr>
              <w:t>2</w:t>
            </w:r>
            <w:r w:rsidR="003C6E44">
              <w:rPr>
                <w:rFonts w:ascii="Arial" w:hAnsi="Arial" w:cs="Arial"/>
                <w:sz w:val="20"/>
                <w:szCs w:val="20"/>
              </w:rPr>
              <w:t>0</w:t>
            </w:r>
          </w:p>
        </w:tc>
        <w:tc>
          <w:tcPr>
            <w:tcW w:w="650" w:type="pct"/>
            <w:shd w:val="clear" w:color="auto" w:fill="auto"/>
          </w:tcPr>
          <w:p w14:paraId="5BDC7B38" w14:textId="77777777" w:rsidR="00720667" w:rsidRPr="005E4CAE" w:rsidRDefault="00720667" w:rsidP="006E21D7">
            <w:pPr>
              <w:rPr>
                <w:rFonts w:ascii="Arial" w:hAnsi="Arial" w:cs="Arial"/>
                <w:bCs/>
                <w:iCs/>
                <w:sz w:val="20"/>
                <w:szCs w:val="20"/>
              </w:rPr>
            </w:pPr>
            <w:r w:rsidRPr="005E4CAE">
              <w:rPr>
                <w:rFonts w:ascii="Arial" w:hAnsi="Arial" w:cs="Arial"/>
                <w:bCs/>
                <w:sz w:val="20"/>
                <w:szCs w:val="20"/>
              </w:rPr>
              <w:t>Meningitis Now</w:t>
            </w:r>
          </w:p>
        </w:tc>
        <w:tc>
          <w:tcPr>
            <w:tcW w:w="535" w:type="pct"/>
            <w:shd w:val="clear" w:color="auto" w:fill="auto"/>
          </w:tcPr>
          <w:p w14:paraId="34700D67" w14:textId="77777777" w:rsidR="00720667" w:rsidRPr="005E4CAE" w:rsidRDefault="00720667" w:rsidP="006E21D7">
            <w:pPr>
              <w:rPr>
                <w:rFonts w:ascii="Arial" w:hAnsi="Arial" w:cs="Arial"/>
                <w:sz w:val="20"/>
                <w:szCs w:val="20"/>
              </w:rPr>
            </w:pPr>
            <w:r w:rsidRPr="005E4CAE">
              <w:rPr>
                <w:rFonts w:ascii="Arial" w:hAnsi="Arial" w:cs="Arial"/>
                <w:sz w:val="20"/>
                <w:szCs w:val="20"/>
              </w:rPr>
              <w:t>Statement 1</w:t>
            </w:r>
          </w:p>
        </w:tc>
        <w:tc>
          <w:tcPr>
            <w:tcW w:w="3548" w:type="pct"/>
            <w:shd w:val="clear" w:color="auto" w:fill="auto"/>
          </w:tcPr>
          <w:p w14:paraId="49BEFE23" w14:textId="77777777" w:rsidR="00720667" w:rsidRPr="005E4CAE" w:rsidRDefault="00720667" w:rsidP="006E21D7">
            <w:pPr>
              <w:rPr>
                <w:rFonts w:ascii="Arial" w:hAnsi="Arial" w:cs="Arial"/>
                <w:sz w:val="20"/>
                <w:szCs w:val="20"/>
              </w:rPr>
            </w:pPr>
            <w:r w:rsidRPr="005E4CAE">
              <w:rPr>
                <w:rFonts w:ascii="Arial" w:hAnsi="Arial" w:cs="Arial"/>
                <w:sz w:val="20"/>
                <w:szCs w:val="20"/>
              </w:rPr>
              <w:t xml:space="preserve">Data Source: </w:t>
            </w:r>
            <w:bookmarkStart w:id="13" w:name="_Hlk173136619"/>
            <w:r w:rsidRPr="005E4CAE">
              <w:rPr>
                <w:rFonts w:ascii="Arial" w:hAnsi="Arial" w:cs="Arial"/>
                <w:sz w:val="20"/>
                <w:szCs w:val="20"/>
              </w:rPr>
              <w:t>will assessment be dependent on the quality and consistency of information recorded by individual health practitioners in the patient records? How will these variables this be accounted for?</w:t>
            </w:r>
            <w:bookmarkEnd w:id="13"/>
          </w:p>
        </w:tc>
      </w:tr>
      <w:tr w:rsidR="00720667" w:rsidRPr="005E4CAE" w14:paraId="64249832" w14:textId="77777777" w:rsidTr="006E21D7">
        <w:tc>
          <w:tcPr>
            <w:tcW w:w="267" w:type="pct"/>
            <w:shd w:val="clear" w:color="auto" w:fill="auto"/>
          </w:tcPr>
          <w:p w14:paraId="09954CB6" w14:textId="6CF6AF7D" w:rsidR="00720667" w:rsidRPr="005E4CAE" w:rsidRDefault="00720667" w:rsidP="006E21D7">
            <w:pPr>
              <w:rPr>
                <w:rFonts w:ascii="Arial" w:hAnsi="Arial" w:cs="Arial"/>
                <w:sz w:val="20"/>
                <w:szCs w:val="20"/>
              </w:rPr>
            </w:pPr>
            <w:r w:rsidRPr="005E4CAE">
              <w:rPr>
                <w:rFonts w:ascii="Arial" w:hAnsi="Arial" w:cs="Arial"/>
                <w:sz w:val="20"/>
                <w:szCs w:val="20"/>
              </w:rPr>
              <w:t>2</w:t>
            </w:r>
            <w:r w:rsidR="003C6E44">
              <w:rPr>
                <w:rFonts w:ascii="Arial" w:hAnsi="Arial" w:cs="Arial"/>
                <w:sz w:val="20"/>
                <w:szCs w:val="20"/>
              </w:rPr>
              <w:t>1</w:t>
            </w:r>
          </w:p>
        </w:tc>
        <w:tc>
          <w:tcPr>
            <w:tcW w:w="650" w:type="pct"/>
            <w:shd w:val="clear" w:color="auto" w:fill="auto"/>
          </w:tcPr>
          <w:p w14:paraId="3FAC9BBD" w14:textId="77777777" w:rsidR="00720667" w:rsidRPr="005E4CAE" w:rsidRDefault="00720667" w:rsidP="006E21D7">
            <w:pPr>
              <w:rPr>
                <w:rFonts w:ascii="Arial" w:hAnsi="Arial" w:cs="Arial"/>
                <w:bCs/>
                <w:sz w:val="20"/>
                <w:szCs w:val="20"/>
              </w:rPr>
            </w:pPr>
            <w:r w:rsidRPr="005E4CAE">
              <w:rPr>
                <w:rFonts w:ascii="Arial" w:hAnsi="Arial" w:cs="Arial"/>
                <w:bCs/>
                <w:sz w:val="20"/>
                <w:szCs w:val="20"/>
              </w:rPr>
              <w:t>Meningitis Research Foundation</w:t>
            </w:r>
          </w:p>
        </w:tc>
        <w:tc>
          <w:tcPr>
            <w:tcW w:w="535" w:type="pct"/>
            <w:shd w:val="clear" w:color="auto" w:fill="auto"/>
          </w:tcPr>
          <w:p w14:paraId="5BDF6F49" w14:textId="77777777" w:rsidR="00720667" w:rsidRPr="005E4CAE" w:rsidRDefault="00720667" w:rsidP="006E21D7">
            <w:pPr>
              <w:rPr>
                <w:rFonts w:ascii="Arial" w:hAnsi="Arial" w:cs="Arial"/>
                <w:sz w:val="20"/>
                <w:szCs w:val="20"/>
              </w:rPr>
            </w:pPr>
            <w:r w:rsidRPr="005E4CAE">
              <w:rPr>
                <w:rFonts w:ascii="Arial" w:hAnsi="Arial" w:cs="Arial"/>
                <w:sz w:val="20"/>
                <w:szCs w:val="20"/>
              </w:rPr>
              <w:t>Statement 1</w:t>
            </w:r>
          </w:p>
        </w:tc>
        <w:tc>
          <w:tcPr>
            <w:tcW w:w="3548" w:type="pct"/>
            <w:shd w:val="clear" w:color="auto" w:fill="auto"/>
            <w:vAlign w:val="center"/>
          </w:tcPr>
          <w:p w14:paraId="25BD2441" w14:textId="77777777" w:rsidR="00720667" w:rsidRPr="005E4CAE" w:rsidRDefault="00720667" w:rsidP="006E21D7">
            <w:pPr>
              <w:rPr>
                <w:rFonts w:ascii="Arial" w:hAnsi="Arial" w:cs="Arial"/>
                <w:sz w:val="20"/>
                <w:szCs w:val="20"/>
              </w:rPr>
            </w:pPr>
            <w:r w:rsidRPr="005E4CAE">
              <w:rPr>
                <w:rFonts w:ascii="Arial" w:hAnsi="Arial" w:cs="Arial"/>
                <w:sz w:val="20"/>
                <w:szCs w:val="20"/>
              </w:rPr>
              <w:t xml:space="preserve">We are very pleased to see this quality standard include a statement about the importance of safety netting advice. Within the quality standard there is wording that says “Healthcare professionals (such as GPs and emergency department clinicians) provide safety netting advice to people who are being sent home after clinical assessment without a diagnosis of bacterial meningitis or meningococcal disease, and their parents and carers </w:t>
            </w:r>
            <w:r w:rsidRPr="005E4CAE">
              <w:rPr>
                <w:rFonts w:ascii="Arial" w:hAnsi="Arial" w:cs="Arial"/>
                <w:b/>
                <w:bCs/>
                <w:sz w:val="20"/>
                <w:szCs w:val="20"/>
              </w:rPr>
              <w:t>if appropriate</w:t>
            </w:r>
            <w:r w:rsidRPr="005E4CAE">
              <w:rPr>
                <w:rFonts w:ascii="Arial" w:hAnsi="Arial" w:cs="Arial"/>
                <w:sz w:val="20"/>
                <w:szCs w:val="20"/>
              </w:rPr>
              <w:t xml:space="preserve">”. </w:t>
            </w:r>
            <w:bookmarkStart w:id="14" w:name="_Hlk173137002"/>
            <w:r w:rsidRPr="005E4CAE">
              <w:rPr>
                <w:rFonts w:ascii="Arial" w:hAnsi="Arial" w:cs="Arial"/>
                <w:sz w:val="20"/>
                <w:szCs w:val="20"/>
              </w:rPr>
              <w:t xml:space="preserve"> We would argue that it is always appropriate to make parents and carers aware of symptoms of serious illnesses such as meningitis and so suggest that the words if appropriate are removed. We would also advise that the word “clinical” should be replaced with the word assessment (including full clinical evaluation and investigations as indicated). In young children, clinical assessment alone is often not adequate to exclude meningitis or sepsis and tests are required. </w:t>
            </w:r>
            <w:bookmarkEnd w:id="14"/>
          </w:p>
        </w:tc>
      </w:tr>
      <w:tr w:rsidR="00720667" w:rsidRPr="005E4CAE" w14:paraId="2326A623" w14:textId="77777777" w:rsidTr="006E21D7">
        <w:tc>
          <w:tcPr>
            <w:tcW w:w="267" w:type="pct"/>
            <w:shd w:val="clear" w:color="auto" w:fill="auto"/>
          </w:tcPr>
          <w:p w14:paraId="6AEF940C" w14:textId="67A641EC" w:rsidR="00720667" w:rsidRPr="005E4CAE" w:rsidRDefault="00720667" w:rsidP="006E21D7">
            <w:pPr>
              <w:rPr>
                <w:rFonts w:ascii="Arial" w:hAnsi="Arial" w:cs="Arial"/>
                <w:sz w:val="20"/>
                <w:szCs w:val="20"/>
              </w:rPr>
            </w:pPr>
            <w:r w:rsidRPr="005E4CAE">
              <w:rPr>
                <w:rFonts w:ascii="Arial" w:hAnsi="Arial" w:cs="Arial"/>
                <w:sz w:val="20"/>
                <w:szCs w:val="20"/>
              </w:rPr>
              <w:t>2</w:t>
            </w:r>
            <w:r w:rsidR="003C6E44">
              <w:rPr>
                <w:rFonts w:ascii="Arial" w:hAnsi="Arial" w:cs="Arial"/>
                <w:sz w:val="20"/>
                <w:szCs w:val="20"/>
              </w:rPr>
              <w:t>2</w:t>
            </w:r>
          </w:p>
        </w:tc>
        <w:tc>
          <w:tcPr>
            <w:tcW w:w="650" w:type="pct"/>
            <w:shd w:val="clear" w:color="auto" w:fill="auto"/>
          </w:tcPr>
          <w:p w14:paraId="040F810E" w14:textId="77777777" w:rsidR="00720667" w:rsidRPr="005E4CAE" w:rsidRDefault="00720667" w:rsidP="006E21D7">
            <w:pPr>
              <w:rPr>
                <w:rFonts w:ascii="Arial" w:hAnsi="Arial" w:cs="Arial"/>
                <w:bCs/>
                <w:sz w:val="20"/>
                <w:szCs w:val="20"/>
              </w:rPr>
            </w:pPr>
            <w:r w:rsidRPr="005E4CAE">
              <w:rPr>
                <w:rFonts w:ascii="Arial" w:hAnsi="Arial" w:cs="Arial"/>
                <w:bCs/>
                <w:sz w:val="20"/>
                <w:szCs w:val="20"/>
              </w:rPr>
              <w:t xml:space="preserve">NHS England -Antimicrobial Prescribing and </w:t>
            </w:r>
            <w:r w:rsidRPr="005E4CAE">
              <w:rPr>
                <w:rFonts w:ascii="Arial" w:hAnsi="Arial" w:cs="Arial"/>
                <w:bCs/>
                <w:sz w:val="20"/>
                <w:szCs w:val="20"/>
              </w:rPr>
              <w:lastRenderedPageBreak/>
              <w:t>Medicines Optimisation Team</w:t>
            </w:r>
          </w:p>
        </w:tc>
        <w:tc>
          <w:tcPr>
            <w:tcW w:w="535" w:type="pct"/>
            <w:shd w:val="clear" w:color="auto" w:fill="auto"/>
          </w:tcPr>
          <w:p w14:paraId="61D6B0C1" w14:textId="77777777" w:rsidR="00720667" w:rsidRPr="005E4CAE" w:rsidRDefault="00720667" w:rsidP="006E21D7">
            <w:pPr>
              <w:rPr>
                <w:rFonts w:ascii="Arial" w:hAnsi="Arial" w:cs="Arial"/>
                <w:sz w:val="20"/>
                <w:szCs w:val="20"/>
              </w:rPr>
            </w:pPr>
            <w:r w:rsidRPr="005E4CAE">
              <w:rPr>
                <w:rFonts w:ascii="Arial" w:hAnsi="Arial" w:cs="Arial"/>
                <w:sz w:val="20"/>
                <w:szCs w:val="20"/>
              </w:rPr>
              <w:lastRenderedPageBreak/>
              <w:t>Statement 1</w:t>
            </w:r>
          </w:p>
        </w:tc>
        <w:tc>
          <w:tcPr>
            <w:tcW w:w="3548" w:type="pct"/>
            <w:shd w:val="clear" w:color="auto" w:fill="auto"/>
          </w:tcPr>
          <w:p w14:paraId="0447BE93" w14:textId="77777777" w:rsidR="00720667" w:rsidRPr="00E97ADE" w:rsidRDefault="00720667" w:rsidP="006E21D7">
            <w:pPr>
              <w:pStyle w:val="Paragraphnonumbers"/>
              <w:spacing w:after="0"/>
              <w:rPr>
                <w:rFonts w:cs="Arial"/>
                <w:sz w:val="20"/>
                <w:szCs w:val="20"/>
              </w:rPr>
            </w:pPr>
            <w:bookmarkStart w:id="15" w:name="_Hlk173136672"/>
            <w:r w:rsidRPr="00E97ADE">
              <w:rPr>
                <w:rFonts w:cs="Arial"/>
                <w:sz w:val="20"/>
                <w:szCs w:val="20"/>
              </w:rPr>
              <w:t xml:space="preserve">Should the quality statement read ‘People </w:t>
            </w:r>
            <w:r w:rsidRPr="00E97ADE">
              <w:rPr>
                <w:rFonts w:cs="Arial"/>
                <w:i/>
                <w:iCs/>
                <w:sz w:val="20"/>
                <w:szCs w:val="20"/>
              </w:rPr>
              <w:t>with suspected bacterial meningitis or meningococcal disease</w:t>
            </w:r>
            <w:r w:rsidRPr="00E97ADE">
              <w:rPr>
                <w:rFonts w:cs="Arial"/>
                <w:sz w:val="20"/>
                <w:szCs w:val="20"/>
              </w:rPr>
              <w:t xml:space="preserve"> who are sent home after clinical assessment indicates that they are unlikely to have bacterial meningitis or meningococcal </w:t>
            </w:r>
            <w:r w:rsidRPr="00E97ADE">
              <w:rPr>
                <w:rFonts w:cs="Arial"/>
                <w:sz w:val="20"/>
                <w:szCs w:val="20"/>
              </w:rPr>
              <w:lastRenderedPageBreak/>
              <w:t xml:space="preserve">disease are given safety netting advice’? Otherwise it reads that any patient who is clinically assessed (perhaps for headache/migraine) and who is unlikely to have bacterial meningitis will need to be given safety netting advice about bacterial meningitis/meningococcal disease, when this was never a possible differential diagnosis? </w:t>
            </w:r>
          </w:p>
          <w:bookmarkEnd w:id="15"/>
          <w:p w14:paraId="4F66B470" w14:textId="77777777" w:rsidR="00720667" w:rsidRPr="00E97ADE" w:rsidRDefault="00720667" w:rsidP="006E21D7">
            <w:pPr>
              <w:pStyle w:val="Paragraphnonumbers"/>
              <w:spacing w:after="0"/>
              <w:rPr>
                <w:rFonts w:cs="Arial"/>
                <w:sz w:val="20"/>
                <w:szCs w:val="20"/>
              </w:rPr>
            </w:pPr>
          </w:p>
          <w:p w14:paraId="32251EE1" w14:textId="77777777" w:rsidR="00720667" w:rsidRPr="00E97ADE" w:rsidRDefault="00720667" w:rsidP="006E21D7">
            <w:pPr>
              <w:pStyle w:val="Paragraphnonumbers"/>
              <w:spacing w:after="0"/>
              <w:rPr>
                <w:rFonts w:cs="Arial"/>
                <w:sz w:val="20"/>
                <w:szCs w:val="20"/>
              </w:rPr>
            </w:pPr>
            <w:r w:rsidRPr="00E97ADE">
              <w:rPr>
                <w:rFonts w:cs="Arial"/>
                <w:sz w:val="20"/>
                <w:szCs w:val="20"/>
              </w:rPr>
              <w:t>“</w:t>
            </w:r>
            <w:bookmarkStart w:id="16" w:name="_Hlk173136708"/>
            <w:r w:rsidRPr="00E97ADE">
              <w:rPr>
                <w:rFonts w:cs="Arial"/>
                <w:sz w:val="20"/>
                <w:szCs w:val="20"/>
              </w:rPr>
              <w:t>Denominator – the number of people sent home after clinical assessment shows it is unlikely that they have bacterial meningitis or meningococcal disease” – see above point. Suggest this should be narrowed down to only include those where there was a clinical suspicion of meningitis rather than all patients discharged who are unlikely to have meningitis?</w:t>
            </w:r>
            <w:bookmarkEnd w:id="16"/>
          </w:p>
          <w:p w14:paraId="551E70AF" w14:textId="77777777" w:rsidR="00720667" w:rsidRPr="00E97ADE" w:rsidRDefault="00720667" w:rsidP="006E21D7">
            <w:pPr>
              <w:pStyle w:val="Paragraphnonumbers"/>
              <w:spacing w:after="0"/>
              <w:rPr>
                <w:rFonts w:cs="Arial"/>
                <w:sz w:val="20"/>
                <w:szCs w:val="20"/>
              </w:rPr>
            </w:pPr>
          </w:p>
          <w:p w14:paraId="0BD5C657" w14:textId="77777777" w:rsidR="00720667" w:rsidRPr="00E97ADE" w:rsidRDefault="00720667" w:rsidP="006E21D7">
            <w:pPr>
              <w:rPr>
                <w:rFonts w:ascii="Arial" w:hAnsi="Arial" w:cs="Arial"/>
                <w:sz w:val="20"/>
                <w:szCs w:val="20"/>
              </w:rPr>
            </w:pPr>
            <w:bookmarkStart w:id="17" w:name="_Hlk173136786"/>
            <w:r w:rsidRPr="00E97ADE">
              <w:rPr>
                <w:rFonts w:ascii="Arial" w:hAnsi="Arial" w:cs="Arial"/>
                <w:sz w:val="20"/>
                <w:szCs w:val="20"/>
              </w:rPr>
              <w:t xml:space="preserve">Would it make sense to define what good quality information to patients should contain rather than having the current very unspecific recommendation to give “advice” on signs / symptoms to look out for and when to return to hospital? </w:t>
            </w:r>
            <w:bookmarkStart w:id="18" w:name="_Hlk173137238"/>
            <w:r w:rsidRPr="00E97ADE">
              <w:rPr>
                <w:rFonts w:ascii="Arial" w:hAnsi="Arial" w:cs="Arial"/>
                <w:sz w:val="20"/>
                <w:szCs w:val="20"/>
              </w:rPr>
              <w:t>The bliss MRF information linked only pertains to children with no information linked relevant to adult patients.</w:t>
            </w:r>
            <w:bookmarkEnd w:id="18"/>
            <w:r w:rsidRPr="00E97ADE">
              <w:rPr>
                <w:rFonts w:ascii="Arial" w:hAnsi="Arial" w:cs="Arial"/>
                <w:sz w:val="20"/>
                <w:szCs w:val="20"/>
              </w:rPr>
              <w:t xml:space="preserve"> </w:t>
            </w:r>
            <w:bookmarkEnd w:id="17"/>
          </w:p>
        </w:tc>
      </w:tr>
      <w:tr w:rsidR="00720667" w:rsidRPr="005E4CAE" w14:paraId="385D1C34" w14:textId="77777777" w:rsidTr="006E21D7">
        <w:tc>
          <w:tcPr>
            <w:tcW w:w="267" w:type="pct"/>
            <w:shd w:val="clear" w:color="auto" w:fill="auto"/>
          </w:tcPr>
          <w:p w14:paraId="1CC05ED7" w14:textId="42BB788C" w:rsidR="00720667" w:rsidRPr="005E4CAE" w:rsidRDefault="00720667" w:rsidP="006E21D7">
            <w:pPr>
              <w:rPr>
                <w:rFonts w:ascii="Arial" w:hAnsi="Arial" w:cs="Arial"/>
                <w:sz w:val="20"/>
                <w:szCs w:val="20"/>
              </w:rPr>
            </w:pPr>
            <w:r w:rsidRPr="005E4CAE">
              <w:rPr>
                <w:rFonts w:ascii="Arial" w:hAnsi="Arial" w:cs="Arial"/>
                <w:sz w:val="20"/>
                <w:szCs w:val="20"/>
              </w:rPr>
              <w:lastRenderedPageBreak/>
              <w:t>2</w:t>
            </w:r>
            <w:r w:rsidR="003C6E44">
              <w:rPr>
                <w:rFonts w:ascii="Arial" w:hAnsi="Arial" w:cs="Arial"/>
                <w:sz w:val="20"/>
                <w:szCs w:val="20"/>
              </w:rPr>
              <w:t>3</w:t>
            </w:r>
          </w:p>
        </w:tc>
        <w:tc>
          <w:tcPr>
            <w:tcW w:w="650" w:type="pct"/>
            <w:shd w:val="clear" w:color="auto" w:fill="auto"/>
          </w:tcPr>
          <w:p w14:paraId="1B031495" w14:textId="77777777" w:rsidR="00720667" w:rsidRPr="005E4CAE" w:rsidRDefault="00720667" w:rsidP="006E21D7">
            <w:pPr>
              <w:rPr>
                <w:rFonts w:ascii="Arial" w:hAnsi="Arial" w:cs="Arial"/>
                <w:sz w:val="20"/>
                <w:szCs w:val="20"/>
              </w:rPr>
            </w:pPr>
            <w:r w:rsidRPr="005E4CAE">
              <w:rPr>
                <w:rFonts w:ascii="Arial" w:hAnsi="Arial" w:cs="Arial"/>
                <w:bCs/>
                <w:sz w:val="20"/>
                <w:szCs w:val="20"/>
              </w:rPr>
              <w:t>NHS England – Clinical Programme Team</w:t>
            </w:r>
          </w:p>
        </w:tc>
        <w:tc>
          <w:tcPr>
            <w:tcW w:w="535" w:type="pct"/>
            <w:shd w:val="clear" w:color="auto" w:fill="auto"/>
          </w:tcPr>
          <w:p w14:paraId="60394DA0" w14:textId="77777777" w:rsidR="00720667" w:rsidRPr="005E4CAE" w:rsidRDefault="00720667" w:rsidP="006E21D7">
            <w:pPr>
              <w:rPr>
                <w:rFonts w:ascii="Arial" w:hAnsi="Arial" w:cs="Arial"/>
                <w:sz w:val="20"/>
                <w:szCs w:val="20"/>
              </w:rPr>
            </w:pPr>
            <w:r w:rsidRPr="005E4CAE">
              <w:rPr>
                <w:rFonts w:ascii="Arial" w:hAnsi="Arial" w:cs="Arial"/>
                <w:sz w:val="20"/>
                <w:szCs w:val="20"/>
              </w:rPr>
              <w:t>Statement 1</w:t>
            </w:r>
          </w:p>
        </w:tc>
        <w:tc>
          <w:tcPr>
            <w:tcW w:w="3548" w:type="pct"/>
            <w:shd w:val="clear" w:color="auto" w:fill="auto"/>
          </w:tcPr>
          <w:p w14:paraId="1163E77E" w14:textId="77777777" w:rsidR="00720667" w:rsidRPr="00E97ADE" w:rsidRDefault="00720667" w:rsidP="006E21D7">
            <w:pPr>
              <w:rPr>
                <w:rFonts w:ascii="Arial" w:hAnsi="Arial" w:cs="Arial"/>
                <w:sz w:val="20"/>
                <w:szCs w:val="20"/>
              </w:rPr>
            </w:pPr>
            <w:r w:rsidRPr="00E97ADE">
              <w:rPr>
                <w:rFonts w:ascii="Arial" w:hAnsi="Arial" w:cs="Arial"/>
                <w:sz w:val="20"/>
                <w:szCs w:val="20"/>
              </w:rPr>
              <w:t>Greater reassurance for children and families needed. It’s very transactional at a very difficult time for people and their families and carers. What if there are disagreements? Should Martha’s Rule be referenced here?</w:t>
            </w:r>
          </w:p>
          <w:p w14:paraId="40B4839F" w14:textId="77777777" w:rsidR="00720667" w:rsidRPr="00E97ADE" w:rsidRDefault="00720667" w:rsidP="006E21D7">
            <w:pPr>
              <w:rPr>
                <w:rFonts w:ascii="Arial" w:hAnsi="Arial" w:cs="Arial"/>
                <w:sz w:val="20"/>
                <w:szCs w:val="20"/>
              </w:rPr>
            </w:pPr>
          </w:p>
          <w:p w14:paraId="682A431A" w14:textId="77777777" w:rsidR="00720667" w:rsidRPr="00E97ADE" w:rsidRDefault="00720667" w:rsidP="006E21D7">
            <w:pPr>
              <w:rPr>
                <w:rFonts w:ascii="Arial" w:hAnsi="Arial" w:cs="Arial"/>
                <w:sz w:val="20"/>
                <w:szCs w:val="20"/>
              </w:rPr>
            </w:pPr>
            <w:r w:rsidRPr="00E97ADE">
              <w:rPr>
                <w:rFonts w:ascii="Arial" w:hAnsi="Arial" w:cs="Arial"/>
                <w:color w:val="000000"/>
                <w:sz w:val="20"/>
                <w:szCs w:val="20"/>
              </w:rPr>
              <w:t>4.5 Information and support – this links to earlier general statement about diagnostic overshadowing and impact of co morbidities on signs and symptoms, information should include spotting signs of acute deuteriation – and provided to families / paid carers  and adhere to the NHS Accessible Communication standard. </w:t>
            </w:r>
          </w:p>
        </w:tc>
      </w:tr>
      <w:tr w:rsidR="00720667" w:rsidRPr="005E4CAE" w14:paraId="60532A65" w14:textId="77777777" w:rsidTr="006E21D7">
        <w:tc>
          <w:tcPr>
            <w:tcW w:w="267" w:type="pct"/>
            <w:shd w:val="clear" w:color="auto" w:fill="auto"/>
          </w:tcPr>
          <w:p w14:paraId="670FD5F9" w14:textId="52061170" w:rsidR="00720667" w:rsidRPr="005E4CAE" w:rsidRDefault="00720667" w:rsidP="006E21D7">
            <w:pPr>
              <w:rPr>
                <w:rFonts w:ascii="Arial" w:hAnsi="Arial" w:cs="Arial"/>
                <w:sz w:val="20"/>
                <w:szCs w:val="20"/>
              </w:rPr>
            </w:pPr>
            <w:r w:rsidRPr="005E4CAE">
              <w:rPr>
                <w:rFonts w:ascii="Arial" w:hAnsi="Arial" w:cs="Arial"/>
                <w:sz w:val="20"/>
                <w:szCs w:val="20"/>
              </w:rPr>
              <w:t>2</w:t>
            </w:r>
            <w:r w:rsidR="003C6E44">
              <w:rPr>
                <w:rFonts w:ascii="Arial" w:hAnsi="Arial" w:cs="Arial"/>
                <w:sz w:val="20"/>
                <w:szCs w:val="20"/>
              </w:rPr>
              <w:t>4</w:t>
            </w:r>
          </w:p>
        </w:tc>
        <w:tc>
          <w:tcPr>
            <w:tcW w:w="650" w:type="pct"/>
            <w:shd w:val="clear" w:color="auto" w:fill="auto"/>
          </w:tcPr>
          <w:p w14:paraId="65909E8D" w14:textId="77777777" w:rsidR="00720667" w:rsidRPr="005E4CAE" w:rsidRDefault="00720667" w:rsidP="006E21D7">
            <w:pPr>
              <w:rPr>
                <w:rFonts w:ascii="Arial" w:hAnsi="Arial" w:cs="Arial"/>
                <w:bCs/>
                <w:sz w:val="20"/>
                <w:szCs w:val="20"/>
              </w:rPr>
            </w:pPr>
            <w:r w:rsidRPr="005E4CAE">
              <w:rPr>
                <w:rFonts w:ascii="Arial" w:hAnsi="Arial" w:cs="Arial"/>
                <w:bCs/>
                <w:sz w:val="20"/>
                <w:szCs w:val="20"/>
              </w:rPr>
              <w:t>Royal College Emergency Medicine</w:t>
            </w:r>
          </w:p>
        </w:tc>
        <w:tc>
          <w:tcPr>
            <w:tcW w:w="535" w:type="pct"/>
            <w:shd w:val="clear" w:color="auto" w:fill="auto"/>
          </w:tcPr>
          <w:p w14:paraId="781F730B" w14:textId="77777777" w:rsidR="00720667" w:rsidRPr="005E4CAE" w:rsidRDefault="00720667" w:rsidP="006E21D7">
            <w:pPr>
              <w:rPr>
                <w:rFonts w:ascii="Arial" w:hAnsi="Arial" w:cs="Arial"/>
                <w:sz w:val="20"/>
                <w:szCs w:val="20"/>
              </w:rPr>
            </w:pPr>
            <w:r w:rsidRPr="005E4CAE">
              <w:rPr>
                <w:rFonts w:ascii="Arial" w:hAnsi="Arial" w:cs="Arial"/>
                <w:sz w:val="20"/>
                <w:szCs w:val="20"/>
              </w:rPr>
              <w:t>Statement 1</w:t>
            </w:r>
          </w:p>
        </w:tc>
        <w:tc>
          <w:tcPr>
            <w:tcW w:w="3548" w:type="pct"/>
            <w:shd w:val="clear" w:color="auto" w:fill="auto"/>
          </w:tcPr>
          <w:p w14:paraId="698D5572" w14:textId="77777777" w:rsidR="00720667" w:rsidRPr="005E4CAE" w:rsidRDefault="00720667" w:rsidP="006E21D7">
            <w:pPr>
              <w:pStyle w:val="Paragraphnonumbers"/>
              <w:spacing w:after="0"/>
              <w:rPr>
                <w:rFonts w:cs="Arial"/>
                <w:sz w:val="20"/>
                <w:szCs w:val="20"/>
              </w:rPr>
            </w:pPr>
            <w:r w:rsidRPr="005E4CAE">
              <w:rPr>
                <w:rFonts w:cs="Arial"/>
                <w:sz w:val="20"/>
                <w:szCs w:val="20"/>
              </w:rPr>
              <w:t>Quality statement 1: Safety netting advice</w:t>
            </w:r>
          </w:p>
          <w:p w14:paraId="6E13D858" w14:textId="77777777" w:rsidR="00720667" w:rsidRPr="005E4CAE" w:rsidRDefault="00720667" w:rsidP="006E21D7">
            <w:pPr>
              <w:pStyle w:val="Paragraphnonumbers"/>
              <w:spacing w:after="0"/>
              <w:rPr>
                <w:rFonts w:cs="Arial"/>
                <w:sz w:val="20"/>
                <w:szCs w:val="20"/>
              </w:rPr>
            </w:pPr>
            <w:bookmarkStart w:id="19" w:name="_Hlk173136540"/>
            <w:r w:rsidRPr="005E4CAE">
              <w:rPr>
                <w:rFonts w:cs="Arial"/>
                <w:sz w:val="20"/>
                <w:szCs w:val="20"/>
              </w:rPr>
              <w:t>Agree in principle, however as patients tend to present with symptoms rather than labels. Similarly, they do not get discharged home with labels of ‘not bacterial meningitis’; effectively this standard almost becomes meaningless. There is significant complexity when considering children.  A standard that references discharging patients who present with a fever or rash might be more practical.</w:t>
            </w:r>
          </w:p>
          <w:bookmarkEnd w:id="19"/>
          <w:p w14:paraId="0A5F9152" w14:textId="77777777" w:rsidR="00720667" w:rsidRPr="005E4CAE" w:rsidRDefault="00720667" w:rsidP="006E21D7">
            <w:pPr>
              <w:pStyle w:val="Paragraphnonumbers"/>
              <w:spacing w:after="0"/>
              <w:rPr>
                <w:rFonts w:cs="Arial"/>
                <w:sz w:val="20"/>
                <w:szCs w:val="20"/>
              </w:rPr>
            </w:pPr>
          </w:p>
          <w:p w14:paraId="0F56B941" w14:textId="77777777" w:rsidR="00720667" w:rsidRPr="005E4CAE" w:rsidRDefault="00720667" w:rsidP="006E21D7">
            <w:pPr>
              <w:pStyle w:val="Paragraphnonumbers"/>
              <w:spacing w:after="0"/>
              <w:rPr>
                <w:rFonts w:cs="Arial"/>
                <w:sz w:val="20"/>
                <w:szCs w:val="20"/>
              </w:rPr>
            </w:pPr>
            <w:r w:rsidRPr="005E4CAE">
              <w:rPr>
                <w:rFonts w:cs="Arial"/>
                <w:sz w:val="20"/>
                <w:szCs w:val="20"/>
              </w:rPr>
              <w:t>Measurement</w:t>
            </w:r>
          </w:p>
          <w:p w14:paraId="0D0DAA83" w14:textId="77777777" w:rsidR="00720667" w:rsidRPr="005E4CAE" w:rsidRDefault="00720667" w:rsidP="006E21D7">
            <w:pPr>
              <w:rPr>
                <w:rFonts w:ascii="Arial" w:hAnsi="Arial" w:cs="Arial"/>
                <w:sz w:val="20"/>
                <w:szCs w:val="20"/>
              </w:rPr>
            </w:pPr>
            <w:bookmarkStart w:id="20" w:name="_Hlk173136579"/>
            <w:r w:rsidRPr="005E4CAE">
              <w:rPr>
                <w:rFonts w:ascii="Arial" w:hAnsi="Arial" w:cs="Arial"/>
                <w:sz w:val="20"/>
                <w:szCs w:val="20"/>
              </w:rPr>
              <w:t>As currently configured measurement is not practical. We note specifically that the suggested data collection makes no use of information that is already routinely collected as part of the Emergency Care Data Set (ECDS) submission required of all emergency departments.</w:t>
            </w:r>
            <w:bookmarkEnd w:id="20"/>
          </w:p>
        </w:tc>
      </w:tr>
      <w:tr w:rsidR="00720667" w:rsidRPr="005E4CAE" w14:paraId="5618BE9B" w14:textId="77777777" w:rsidTr="006E21D7">
        <w:tc>
          <w:tcPr>
            <w:tcW w:w="267" w:type="pct"/>
            <w:shd w:val="clear" w:color="auto" w:fill="auto"/>
          </w:tcPr>
          <w:p w14:paraId="718E577B" w14:textId="6D0D2B05" w:rsidR="00720667" w:rsidRPr="005E4CAE" w:rsidRDefault="00720667" w:rsidP="006E21D7">
            <w:pPr>
              <w:rPr>
                <w:rFonts w:ascii="Arial" w:hAnsi="Arial" w:cs="Arial"/>
                <w:sz w:val="20"/>
                <w:szCs w:val="20"/>
              </w:rPr>
            </w:pPr>
            <w:r w:rsidRPr="005E4CAE">
              <w:rPr>
                <w:rFonts w:ascii="Arial" w:hAnsi="Arial" w:cs="Arial"/>
                <w:sz w:val="20"/>
                <w:szCs w:val="20"/>
              </w:rPr>
              <w:lastRenderedPageBreak/>
              <w:t>2</w:t>
            </w:r>
            <w:r w:rsidR="003C6E44">
              <w:rPr>
                <w:rFonts w:ascii="Arial" w:hAnsi="Arial" w:cs="Arial"/>
                <w:sz w:val="20"/>
                <w:szCs w:val="20"/>
              </w:rPr>
              <w:t>5</w:t>
            </w:r>
          </w:p>
        </w:tc>
        <w:tc>
          <w:tcPr>
            <w:tcW w:w="650" w:type="pct"/>
            <w:shd w:val="clear" w:color="auto" w:fill="auto"/>
          </w:tcPr>
          <w:p w14:paraId="7CBEEE02" w14:textId="77777777" w:rsidR="00720667" w:rsidRPr="005E4CAE" w:rsidRDefault="00720667" w:rsidP="006E21D7">
            <w:pPr>
              <w:rPr>
                <w:rFonts w:ascii="Arial" w:hAnsi="Arial" w:cs="Arial"/>
                <w:bCs/>
                <w:sz w:val="20"/>
                <w:szCs w:val="20"/>
              </w:rPr>
            </w:pPr>
            <w:r w:rsidRPr="005E4CAE">
              <w:rPr>
                <w:rFonts w:ascii="Arial" w:hAnsi="Arial" w:cs="Arial"/>
                <w:sz w:val="20"/>
                <w:szCs w:val="20"/>
              </w:rPr>
              <w:t>Royal College of General Practitioners</w:t>
            </w:r>
            <w:r w:rsidRPr="005E4CAE">
              <w:rPr>
                <w:rStyle w:val="normaltextrun"/>
                <w:rFonts w:ascii="Arial" w:hAnsi="Arial" w:cs="Arial"/>
                <w:color w:val="000000"/>
                <w:sz w:val="20"/>
                <w:szCs w:val="20"/>
                <w:shd w:val="clear" w:color="auto" w:fill="FFFFFF"/>
              </w:rPr>
              <w:t> </w:t>
            </w:r>
            <w:r w:rsidRPr="005E4CAE">
              <w:rPr>
                <w:rStyle w:val="eop"/>
                <w:rFonts w:ascii="Arial" w:hAnsi="Arial" w:cs="Arial"/>
                <w:color w:val="000000"/>
                <w:sz w:val="20"/>
                <w:szCs w:val="20"/>
                <w:shd w:val="clear" w:color="auto" w:fill="FFFFFF"/>
              </w:rPr>
              <w:t> </w:t>
            </w:r>
          </w:p>
        </w:tc>
        <w:tc>
          <w:tcPr>
            <w:tcW w:w="535" w:type="pct"/>
            <w:shd w:val="clear" w:color="auto" w:fill="auto"/>
          </w:tcPr>
          <w:p w14:paraId="43BDCB52" w14:textId="77777777" w:rsidR="00720667" w:rsidRPr="005E4CAE" w:rsidRDefault="00720667" w:rsidP="006E21D7">
            <w:pPr>
              <w:rPr>
                <w:rFonts w:ascii="Arial" w:hAnsi="Arial" w:cs="Arial"/>
                <w:sz w:val="20"/>
                <w:szCs w:val="20"/>
              </w:rPr>
            </w:pPr>
            <w:r w:rsidRPr="005E4CAE">
              <w:rPr>
                <w:rFonts w:ascii="Arial" w:hAnsi="Arial" w:cs="Arial"/>
                <w:sz w:val="20"/>
                <w:szCs w:val="20"/>
              </w:rPr>
              <w:t xml:space="preserve">Statement 1 </w:t>
            </w:r>
          </w:p>
        </w:tc>
        <w:tc>
          <w:tcPr>
            <w:tcW w:w="3548" w:type="pct"/>
            <w:shd w:val="clear" w:color="auto" w:fill="auto"/>
          </w:tcPr>
          <w:p w14:paraId="1AFF7ADA" w14:textId="32CE2011" w:rsidR="00720667" w:rsidRPr="005E4CAE" w:rsidRDefault="00720667" w:rsidP="006E21D7">
            <w:pPr>
              <w:rPr>
                <w:rFonts w:ascii="Arial" w:hAnsi="Arial" w:cs="Arial"/>
                <w:sz w:val="20"/>
                <w:szCs w:val="20"/>
              </w:rPr>
            </w:pPr>
            <w:bookmarkStart w:id="21" w:name="_Hlk173137061"/>
            <w:r w:rsidRPr="005E4CAE">
              <w:rPr>
                <w:rFonts w:ascii="Arial" w:hAnsi="Arial" w:cs="Arial"/>
                <w:sz w:val="20"/>
                <w:szCs w:val="20"/>
              </w:rPr>
              <w:t>We believe that GP access and the delays due to workforce challenges require attention, as it is important to be able to identify who among the presenting patients may have meningitis. The entire system, including 111/999 and other services, need to work collectively to reduce long delays that impact individual patient health. Additionally, it is important to consider all elements of safety netting as we would for other conditions, as well as descriptions of red flag symptoms</w:t>
            </w:r>
            <w:bookmarkEnd w:id="21"/>
            <w:r w:rsidRPr="005E4CAE">
              <w:rPr>
                <w:rFonts w:ascii="Arial" w:hAnsi="Arial" w:cs="Arial"/>
                <w:sz w:val="20"/>
                <w:szCs w:val="20"/>
              </w:rPr>
              <w:t>.</w:t>
            </w:r>
          </w:p>
        </w:tc>
      </w:tr>
      <w:tr w:rsidR="00720667" w:rsidRPr="005E4CAE" w14:paraId="0F303095" w14:textId="77777777" w:rsidTr="006E21D7">
        <w:tc>
          <w:tcPr>
            <w:tcW w:w="267" w:type="pct"/>
            <w:shd w:val="clear" w:color="auto" w:fill="auto"/>
          </w:tcPr>
          <w:p w14:paraId="0E55301B" w14:textId="657CE1C1" w:rsidR="00720667" w:rsidRPr="005E4CAE" w:rsidRDefault="00720667" w:rsidP="006E21D7">
            <w:pPr>
              <w:rPr>
                <w:rFonts w:ascii="Arial" w:hAnsi="Arial" w:cs="Arial"/>
                <w:sz w:val="20"/>
                <w:szCs w:val="20"/>
              </w:rPr>
            </w:pPr>
            <w:r w:rsidRPr="005E4CAE">
              <w:rPr>
                <w:rFonts w:ascii="Arial" w:hAnsi="Arial" w:cs="Arial"/>
                <w:sz w:val="20"/>
                <w:szCs w:val="20"/>
              </w:rPr>
              <w:t>2</w:t>
            </w:r>
            <w:r w:rsidR="003C6E44">
              <w:rPr>
                <w:rFonts w:ascii="Arial" w:hAnsi="Arial" w:cs="Arial"/>
                <w:sz w:val="20"/>
                <w:szCs w:val="20"/>
              </w:rPr>
              <w:t>6</w:t>
            </w:r>
          </w:p>
        </w:tc>
        <w:tc>
          <w:tcPr>
            <w:tcW w:w="650" w:type="pct"/>
            <w:shd w:val="clear" w:color="auto" w:fill="auto"/>
          </w:tcPr>
          <w:p w14:paraId="75232F95" w14:textId="77777777" w:rsidR="00720667" w:rsidRPr="005E4CAE" w:rsidRDefault="00720667" w:rsidP="006E21D7">
            <w:pPr>
              <w:rPr>
                <w:rFonts w:ascii="Arial" w:hAnsi="Arial" w:cs="Arial"/>
                <w:bCs/>
                <w:sz w:val="20"/>
                <w:szCs w:val="20"/>
              </w:rPr>
            </w:pPr>
            <w:r w:rsidRPr="005E4CAE">
              <w:rPr>
                <w:rFonts w:ascii="Arial" w:hAnsi="Arial" w:cs="Arial"/>
                <w:sz w:val="20"/>
                <w:szCs w:val="20"/>
              </w:rPr>
              <w:t>UK Health Security Agency</w:t>
            </w:r>
          </w:p>
        </w:tc>
        <w:tc>
          <w:tcPr>
            <w:tcW w:w="535" w:type="pct"/>
            <w:shd w:val="clear" w:color="auto" w:fill="auto"/>
          </w:tcPr>
          <w:p w14:paraId="61E554AC" w14:textId="77777777" w:rsidR="00720667" w:rsidRPr="005E4CAE" w:rsidRDefault="00720667" w:rsidP="006E21D7">
            <w:pPr>
              <w:rPr>
                <w:rFonts w:ascii="Arial" w:hAnsi="Arial" w:cs="Arial"/>
                <w:sz w:val="20"/>
                <w:szCs w:val="20"/>
              </w:rPr>
            </w:pPr>
            <w:r w:rsidRPr="005E4CAE">
              <w:rPr>
                <w:rFonts w:ascii="Arial" w:hAnsi="Arial" w:cs="Arial"/>
                <w:sz w:val="20"/>
                <w:szCs w:val="20"/>
              </w:rPr>
              <w:t>Statement 1</w:t>
            </w:r>
          </w:p>
        </w:tc>
        <w:tc>
          <w:tcPr>
            <w:tcW w:w="3548" w:type="pct"/>
            <w:shd w:val="clear" w:color="auto" w:fill="auto"/>
          </w:tcPr>
          <w:p w14:paraId="35EE39E7" w14:textId="77777777" w:rsidR="00720667" w:rsidRPr="005E4CAE" w:rsidRDefault="00720667" w:rsidP="006E21D7">
            <w:pPr>
              <w:rPr>
                <w:rFonts w:ascii="Arial" w:hAnsi="Arial" w:cs="Arial"/>
                <w:sz w:val="20"/>
                <w:szCs w:val="20"/>
              </w:rPr>
            </w:pPr>
            <w:r w:rsidRPr="005E4CAE">
              <w:rPr>
                <w:rFonts w:ascii="Arial" w:hAnsi="Arial" w:cs="Arial"/>
                <w:sz w:val="20"/>
                <w:szCs w:val="20"/>
              </w:rPr>
              <w:t>Under ‘Equality and diversity considerations’ on page 7 it states ‘non-blanching rash’, NICE also refers to ‘Pale, mottled skin or cyanosis may be difficult to see on brown, black or tanned skin’</w:t>
            </w:r>
          </w:p>
        </w:tc>
      </w:tr>
      <w:tr w:rsidR="00720667" w:rsidRPr="005E4CAE" w14:paraId="7A78039D" w14:textId="77777777" w:rsidTr="00720667">
        <w:tc>
          <w:tcPr>
            <w:tcW w:w="5000" w:type="pct"/>
            <w:gridSpan w:val="4"/>
            <w:shd w:val="clear" w:color="auto" w:fill="auto"/>
          </w:tcPr>
          <w:p w14:paraId="46C4798D" w14:textId="77777777" w:rsidR="00720667" w:rsidRPr="005E4CAE" w:rsidRDefault="00720667" w:rsidP="006E21D7">
            <w:pPr>
              <w:rPr>
                <w:rFonts w:ascii="Arial" w:hAnsi="Arial" w:cs="Arial"/>
                <w:sz w:val="20"/>
                <w:szCs w:val="20"/>
              </w:rPr>
            </w:pPr>
            <w:r w:rsidRPr="005E4CAE">
              <w:rPr>
                <w:rFonts w:ascii="Arial" w:hAnsi="Arial" w:cs="Arial"/>
                <w:sz w:val="20"/>
                <w:szCs w:val="20"/>
              </w:rPr>
              <w:t>Statement 2</w:t>
            </w:r>
          </w:p>
        </w:tc>
      </w:tr>
      <w:tr w:rsidR="00720667" w:rsidRPr="005E4CAE" w14:paraId="0FAF397E" w14:textId="77777777" w:rsidTr="006E21D7">
        <w:tc>
          <w:tcPr>
            <w:tcW w:w="267" w:type="pct"/>
            <w:shd w:val="clear" w:color="auto" w:fill="auto"/>
          </w:tcPr>
          <w:p w14:paraId="692FA5BA" w14:textId="6D8073E7" w:rsidR="00720667" w:rsidRPr="005E4CAE" w:rsidRDefault="00720667" w:rsidP="006E21D7">
            <w:pPr>
              <w:rPr>
                <w:rFonts w:ascii="Arial" w:hAnsi="Arial" w:cs="Arial"/>
                <w:sz w:val="20"/>
                <w:szCs w:val="20"/>
              </w:rPr>
            </w:pPr>
            <w:r w:rsidRPr="005E4CAE">
              <w:rPr>
                <w:rFonts w:ascii="Arial" w:hAnsi="Arial" w:cs="Arial"/>
                <w:sz w:val="20"/>
                <w:szCs w:val="20"/>
              </w:rPr>
              <w:t>2</w:t>
            </w:r>
            <w:r w:rsidR="003C6E44">
              <w:rPr>
                <w:rFonts w:ascii="Arial" w:hAnsi="Arial" w:cs="Arial"/>
                <w:sz w:val="20"/>
                <w:szCs w:val="20"/>
              </w:rPr>
              <w:t>7</w:t>
            </w:r>
          </w:p>
        </w:tc>
        <w:tc>
          <w:tcPr>
            <w:tcW w:w="650" w:type="pct"/>
            <w:shd w:val="clear" w:color="auto" w:fill="auto"/>
          </w:tcPr>
          <w:p w14:paraId="63F5CEF9" w14:textId="77777777" w:rsidR="00720667" w:rsidRPr="005E4CAE" w:rsidRDefault="00720667" w:rsidP="006E21D7">
            <w:pPr>
              <w:rPr>
                <w:rFonts w:ascii="Arial" w:hAnsi="Arial" w:cs="Arial"/>
                <w:sz w:val="20"/>
                <w:szCs w:val="20"/>
              </w:rPr>
            </w:pPr>
            <w:r w:rsidRPr="005E4CAE">
              <w:rPr>
                <w:rFonts w:ascii="Arial" w:hAnsi="Arial" w:cs="Arial"/>
                <w:bCs/>
                <w:sz w:val="20"/>
                <w:szCs w:val="20"/>
              </w:rPr>
              <w:t>Association of Paediatric Emergency Medicine (APEM)</w:t>
            </w:r>
          </w:p>
        </w:tc>
        <w:tc>
          <w:tcPr>
            <w:tcW w:w="535" w:type="pct"/>
            <w:shd w:val="clear" w:color="auto" w:fill="auto"/>
          </w:tcPr>
          <w:p w14:paraId="681210B4" w14:textId="77777777" w:rsidR="00720667" w:rsidRPr="005E4CAE" w:rsidRDefault="00720667" w:rsidP="006E21D7">
            <w:pPr>
              <w:rPr>
                <w:rFonts w:ascii="Arial" w:hAnsi="Arial" w:cs="Arial"/>
                <w:sz w:val="20"/>
                <w:szCs w:val="20"/>
              </w:rPr>
            </w:pPr>
            <w:r w:rsidRPr="005E4CAE">
              <w:rPr>
                <w:rFonts w:ascii="Arial" w:hAnsi="Arial" w:cs="Arial"/>
                <w:sz w:val="20"/>
                <w:szCs w:val="20"/>
              </w:rPr>
              <w:t>Statement 2</w:t>
            </w:r>
          </w:p>
        </w:tc>
        <w:tc>
          <w:tcPr>
            <w:tcW w:w="3548" w:type="pct"/>
            <w:shd w:val="clear" w:color="auto" w:fill="auto"/>
          </w:tcPr>
          <w:p w14:paraId="1817B8F6" w14:textId="77777777" w:rsidR="00720667" w:rsidRPr="005E4CAE" w:rsidRDefault="00720667" w:rsidP="006E21D7">
            <w:pPr>
              <w:pStyle w:val="Paragraphnonumbers"/>
              <w:spacing w:after="0"/>
              <w:rPr>
                <w:rFonts w:cs="Arial"/>
                <w:sz w:val="20"/>
                <w:szCs w:val="20"/>
              </w:rPr>
            </w:pPr>
            <w:r w:rsidRPr="005E4CAE">
              <w:rPr>
                <w:rFonts w:cs="Arial"/>
                <w:sz w:val="20"/>
                <w:szCs w:val="20"/>
              </w:rPr>
              <w:t xml:space="preserve">We wondered if it may be sensible to reorganise the statement to read: </w:t>
            </w:r>
            <w:bookmarkStart w:id="22" w:name="_Hlk173138216"/>
            <w:r w:rsidRPr="005E4CAE">
              <w:rPr>
                <w:rFonts w:cs="Arial"/>
                <w:sz w:val="20"/>
                <w:szCs w:val="20"/>
              </w:rPr>
              <w:t xml:space="preserve">People with suspected bacterial meningitis should have lumbar puncture before neuroimaging if they do not have any risk factors for an evolving space-occupying lesion, or symptoms or signs of raised intracranial pressure. </w:t>
            </w:r>
          </w:p>
          <w:p w14:paraId="611F7A99" w14:textId="77777777" w:rsidR="00720667" w:rsidRPr="005E4CAE" w:rsidRDefault="00720667" w:rsidP="006E21D7">
            <w:pPr>
              <w:rPr>
                <w:rFonts w:ascii="Arial" w:hAnsi="Arial" w:cs="Arial"/>
                <w:sz w:val="20"/>
                <w:szCs w:val="20"/>
              </w:rPr>
            </w:pPr>
            <w:r w:rsidRPr="005E4CAE">
              <w:rPr>
                <w:rFonts w:ascii="Arial" w:hAnsi="Arial" w:cs="Arial"/>
                <w:sz w:val="20"/>
                <w:szCs w:val="20"/>
              </w:rPr>
              <w:t>We also wondered if it would be helpful to stipulate that infants with open fontanelles are a different group of patients who may present or behave with raised intracranial pressure differently</w:t>
            </w:r>
            <w:bookmarkEnd w:id="22"/>
            <w:r w:rsidRPr="005E4CAE">
              <w:rPr>
                <w:rFonts w:ascii="Arial" w:hAnsi="Arial" w:cs="Arial"/>
                <w:sz w:val="20"/>
                <w:szCs w:val="20"/>
              </w:rPr>
              <w:t xml:space="preserve">. </w:t>
            </w:r>
          </w:p>
        </w:tc>
      </w:tr>
      <w:tr w:rsidR="00720667" w:rsidRPr="005E4CAE" w14:paraId="5B6D7C92" w14:textId="77777777" w:rsidTr="006E21D7">
        <w:tc>
          <w:tcPr>
            <w:tcW w:w="267" w:type="pct"/>
            <w:shd w:val="clear" w:color="auto" w:fill="auto"/>
          </w:tcPr>
          <w:p w14:paraId="503D5E8E" w14:textId="03F2A403" w:rsidR="00720667" w:rsidRPr="005E4CAE" w:rsidRDefault="003C6E44" w:rsidP="006E21D7">
            <w:pPr>
              <w:rPr>
                <w:rFonts w:ascii="Arial" w:hAnsi="Arial" w:cs="Arial"/>
                <w:sz w:val="20"/>
                <w:szCs w:val="20"/>
              </w:rPr>
            </w:pPr>
            <w:r>
              <w:rPr>
                <w:rFonts w:ascii="Arial" w:hAnsi="Arial" w:cs="Arial"/>
                <w:sz w:val="20"/>
                <w:szCs w:val="20"/>
              </w:rPr>
              <w:t>28</w:t>
            </w:r>
          </w:p>
        </w:tc>
        <w:tc>
          <w:tcPr>
            <w:tcW w:w="650" w:type="pct"/>
            <w:shd w:val="clear" w:color="auto" w:fill="auto"/>
          </w:tcPr>
          <w:p w14:paraId="5D6147E0" w14:textId="77777777" w:rsidR="00720667" w:rsidRPr="005E4CAE" w:rsidRDefault="00720667" w:rsidP="006E21D7">
            <w:pPr>
              <w:rPr>
                <w:rFonts w:ascii="Arial" w:hAnsi="Arial" w:cs="Arial"/>
                <w:bCs/>
                <w:sz w:val="20"/>
                <w:szCs w:val="20"/>
              </w:rPr>
            </w:pPr>
            <w:r w:rsidRPr="005E4CAE">
              <w:rPr>
                <w:rFonts w:ascii="Arial" w:hAnsi="Arial" w:cs="Arial"/>
                <w:bCs/>
                <w:sz w:val="20"/>
                <w:szCs w:val="20"/>
              </w:rPr>
              <w:t>Faculty of Intensive Care Medicine</w:t>
            </w:r>
          </w:p>
        </w:tc>
        <w:tc>
          <w:tcPr>
            <w:tcW w:w="535" w:type="pct"/>
            <w:shd w:val="clear" w:color="auto" w:fill="auto"/>
          </w:tcPr>
          <w:p w14:paraId="780F317E" w14:textId="77777777" w:rsidR="00720667" w:rsidRPr="005E4CAE" w:rsidRDefault="00720667" w:rsidP="006E21D7">
            <w:pPr>
              <w:rPr>
                <w:rFonts w:ascii="Arial" w:hAnsi="Arial" w:cs="Arial"/>
                <w:sz w:val="20"/>
                <w:szCs w:val="20"/>
              </w:rPr>
            </w:pPr>
            <w:r w:rsidRPr="005E4CAE">
              <w:rPr>
                <w:rFonts w:ascii="Arial" w:hAnsi="Arial" w:cs="Arial"/>
                <w:sz w:val="20"/>
                <w:szCs w:val="20"/>
              </w:rPr>
              <w:t>Statement 2</w:t>
            </w:r>
          </w:p>
        </w:tc>
        <w:tc>
          <w:tcPr>
            <w:tcW w:w="3548" w:type="pct"/>
            <w:shd w:val="clear" w:color="auto" w:fill="auto"/>
            <w:vAlign w:val="center"/>
          </w:tcPr>
          <w:p w14:paraId="79EA95CC" w14:textId="77777777" w:rsidR="00720667" w:rsidRPr="005E4CAE" w:rsidRDefault="00720667" w:rsidP="006E21D7">
            <w:pPr>
              <w:spacing w:after="160" w:line="259" w:lineRule="auto"/>
              <w:rPr>
                <w:rFonts w:ascii="Arial" w:hAnsi="Arial" w:cs="Arial"/>
                <w:b/>
                <w:bCs/>
                <w:sz w:val="20"/>
                <w:szCs w:val="20"/>
              </w:rPr>
            </w:pPr>
            <w:r w:rsidRPr="005E4CAE">
              <w:rPr>
                <w:rFonts w:ascii="Arial" w:hAnsi="Arial" w:cs="Arial"/>
                <w:b/>
                <w:bCs/>
                <w:sz w:val="20"/>
                <w:szCs w:val="20"/>
              </w:rPr>
              <w:t>Quality Statement 2</w:t>
            </w:r>
          </w:p>
          <w:p w14:paraId="3781AA05" w14:textId="77777777" w:rsidR="00720667" w:rsidRPr="005E4CAE" w:rsidRDefault="00720667" w:rsidP="006E21D7">
            <w:pPr>
              <w:spacing w:after="160" w:line="259" w:lineRule="auto"/>
              <w:rPr>
                <w:rFonts w:ascii="Arial" w:hAnsi="Arial" w:cs="Arial"/>
                <w:sz w:val="20"/>
                <w:szCs w:val="20"/>
              </w:rPr>
            </w:pPr>
            <w:r w:rsidRPr="005E4CAE">
              <w:rPr>
                <w:rFonts w:ascii="Arial" w:hAnsi="Arial" w:cs="Arial"/>
                <w:sz w:val="20"/>
                <w:szCs w:val="20"/>
              </w:rPr>
              <w:t>The Faculty of Intensive Care Medicine's Professional Affairs and Safety (FICMPAS) Committee has concerns regarding the guidance standard that </w:t>
            </w:r>
            <w:r w:rsidRPr="005E4CAE">
              <w:rPr>
                <w:rFonts w:ascii="Arial" w:hAnsi="Arial" w:cs="Arial"/>
                <w:i/>
                <w:iCs/>
                <w:sz w:val="20"/>
                <w:szCs w:val="20"/>
              </w:rPr>
              <w:t>'People with suspected bacterial meningitis do not have neuroimaging before lumbar puncture unless clinically indicated.'</w:t>
            </w:r>
          </w:p>
          <w:p w14:paraId="046465DA" w14:textId="77777777" w:rsidR="00720667" w:rsidRPr="005E4CAE" w:rsidRDefault="00720667" w:rsidP="006E21D7">
            <w:pPr>
              <w:spacing w:after="160" w:line="259" w:lineRule="auto"/>
              <w:rPr>
                <w:rFonts w:ascii="Arial" w:hAnsi="Arial" w:cs="Arial"/>
                <w:sz w:val="20"/>
                <w:szCs w:val="20"/>
              </w:rPr>
            </w:pPr>
            <w:r w:rsidRPr="005E4CAE">
              <w:rPr>
                <w:rFonts w:ascii="Arial" w:hAnsi="Arial" w:cs="Arial"/>
                <w:sz w:val="20"/>
                <w:szCs w:val="20"/>
              </w:rPr>
              <w:t>'Clinically indicated' is inadequately defined for this to be a meaningful sentence.</w:t>
            </w:r>
          </w:p>
          <w:p w14:paraId="1AA3FC1E" w14:textId="77777777" w:rsidR="00720667" w:rsidRPr="005E4CAE" w:rsidRDefault="00720667" w:rsidP="006E21D7">
            <w:pPr>
              <w:spacing w:after="160" w:line="259" w:lineRule="auto"/>
              <w:rPr>
                <w:rFonts w:ascii="Arial" w:hAnsi="Arial" w:cs="Arial"/>
                <w:sz w:val="20"/>
                <w:szCs w:val="20"/>
              </w:rPr>
            </w:pPr>
            <w:r w:rsidRPr="005E4CAE">
              <w:rPr>
                <w:rFonts w:ascii="Arial" w:hAnsi="Arial" w:cs="Arial"/>
                <w:i/>
                <w:iCs/>
                <w:sz w:val="20"/>
                <w:szCs w:val="20"/>
              </w:rPr>
              <w:t>'Risk factors for an evolving space-occupying lesion'</w:t>
            </w:r>
            <w:r w:rsidRPr="005E4CAE">
              <w:rPr>
                <w:rFonts w:ascii="Arial" w:hAnsi="Arial" w:cs="Arial"/>
                <w:sz w:val="20"/>
                <w:szCs w:val="20"/>
              </w:rPr>
              <w:t xml:space="preserve"> or </w:t>
            </w:r>
            <w:r w:rsidRPr="005E4CAE">
              <w:rPr>
                <w:rFonts w:ascii="Arial" w:hAnsi="Arial" w:cs="Arial"/>
                <w:i/>
                <w:iCs/>
                <w:sz w:val="20"/>
                <w:szCs w:val="20"/>
              </w:rPr>
              <w:t>'any of these symptoms or signs of raised intracranial pupillary reactions'</w:t>
            </w:r>
            <w:r w:rsidRPr="005E4CAE">
              <w:rPr>
                <w:rFonts w:ascii="Arial" w:hAnsi="Arial" w:cs="Arial"/>
                <w:sz w:val="20"/>
                <w:szCs w:val="20"/>
              </w:rPr>
              <w:t xml:space="preserve"> are far less easy to identify than the guidance recognises.</w:t>
            </w:r>
          </w:p>
          <w:p w14:paraId="200BCCEA" w14:textId="78B47385" w:rsidR="00720667" w:rsidRPr="005E4CAE" w:rsidRDefault="00720667" w:rsidP="006E21D7">
            <w:pPr>
              <w:spacing w:after="160" w:line="259" w:lineRule="auto"/>
              <w:rPr>
                <w:rFonts w:ascii="Arial" w:hAnsi="Arial" w:cs="Arial"/>
                <w:sz w:val="20"/>
                <w:szCs w:val="20"/>
              </w:rPr>
            </w:pPr>
            <w:r w:rsidRPr="005E4CAE">
              <w:rPr>
                <w:rFonts w:ascii="Arial" w:hAnsi="Arial" w:cs="Arial"/>
                <w:sz w:val="20"/>
                <w:szCs w:val="20"/>
              </w:rPr>
              <w:t>It would be useful to give examples of risk factors for an evolving space-occupying lesion as we do not think this can be presumed knowledge. Clarity would also be essential from an audit perspective, which is what you are trying to promote in relation to these standards.</w:t>
            </w:r>
          </w:p>
          <w:p w14:paraId="7FC0E174" w14:textId="77777777" w:rsidR="00720667" w:rsidRPr="005E4CAE" w:rsidRDefault="00720667" w:rsidP="006E21D7">
            <w:pPr>
              <w:spacing w:after="160" w:line="259" w:lineRule="auto"/>
              <w:rPr>
                <w:rFonts w:ascii="Arial" w:hAnsi="Arial" w:cs="Arial"/>
                <w:sz w:val="20"/>
                <w:szCs w:val="20"/>
              </w:rPr>
            </w:pPr>
            <w:r w:rsidRPr="005E4CAE">
              <w:rPr>
                <w:rFonts w:ascii="Arial" w:hAnsi="Arial" w:cs="Arial"/>
                <w:sz w:val="20"/>
                <w:szCs w:val="20"/>
              </w:rPr>
              <w:t>Our main concern is that as a guidance statement it perhaps is defensible but as an audit standard it is not.</w:t>
            </w:r>
          </w:p>
          <w:p w14:paraId="2596250A" w14:textId="77777777" w:rsidR="00720667" w:rsidRPr="005E4CAE" w:rsidRDefault="00720667" w:rsidP="006E21D7">
            <w:pPr>
              <w:spacing w:after="160" w:line="259" w:lineRule="auto"/>
              <w:rPr>
                <w:rFonts w:ascii="Arial" w:hAnsi="Arial" w:cs="Arial"/>
                <w:sz w:val="20"/>
                <w:szCs w:val="20"/>
              </w:rPr>
            </w:pPr>
            <w:r w:rsidRPr="005E4CAE">
              <w:rPr>
                <w:rFonts w:ascii="Arial" w:hAnsi="Arial" w:cs="Arial"/>
                <w:sz w:val="20"/>
                <w:szCs w:val="20"/>
              </w:rPr>
              <w:lastRenderedPageBreak/>
              <w:t>In real world terms we are concerned the guidance (and worse the planned audit) on - lumbar puncture before neuroimaging will become ‘lumbar puncture must occur before antibiotics’ which means patients will have delay before receiving lifesaving antibiotics.</w:t>
            </w:r>
          </w:p>
          <w:p w14:paraId="0C17BAE4" w14:textId="77777777" w:rsidR="00720667" w:rsidRPr="005E4CAE" w:rsidRDefault="00720667" w:rsidP="006E21D7">
            <w:pPr>
              <w:spacing w:after="160" w:line="259" w:lineRule="auto"/>
              <w:rPr>
                <w:rFonts w:ascii="Arial" w:hAnsi="Arial" w:cs="Arial"/>
                <w:sz w:val="20"/>
                <w:szCs w:val="20"/>
              </w:rPr>
            </w:pPr>
            <w:r w:rsidRPr="005E4CAE">
              <w:rPr>
                <w:rFonts w:ascii="Arial" w:hAnsi="Arial" w:cs="Arial"/>
                <w:sz w:val="20"/>
                <w:szCs w:val="20"/>
              </w:rPr>
              <w:t>We understand the science, but we consider the guidance inadequately accounts for how, where and when the guidance must be used, i.e. the reality of the emergency department and hospital environment.</w:t>
            </w:r>
          </w:p>
          <w:p w14:paraId="05697088" w14:textId="77777777" w:rsidR="00720667" w:rsidRPr="005E4CAE" w:rsidRDefault="00720667" w:rsidP="006E21D7">
            <w:pPr>
              <w:spacing w:after="160" w:line="259" w:lineRule="auto"/>
              <w:rPr>
                <w:rFonts w:ascii="Arial" w:hAnsi="Arial" w:cs="Arial"/>
                <w:sz w:val="20"/>
                <w:szCs w:val="20"/>
              </w:rPr>
            </w:pPr>
            <w:r w:rsidRPr="005E4CAE">
              <w:rPr>
                <w:rFonts w:ascii="Arial" w:hAnsi="Arial" w:cs="Arial"/>
                <w:sz w:val="20"/>
                <w:szCs w:val="20"/>
              </w:rPr>
              <w:t>Organising a lumbar puncture and finding those with the skills to rapidly and safely perform one, takes time and resources. In comparison, CT scans do not.</w:t>
            </w:r>
          </w:p>
          <w:p w14:paraId="390ED19F" w14:textId="77777777" w:rsidR="00720667" w:rsidRPr="005E4CAE" w:rsidRDefault="00720667" w:rsidP="006E21D7">
            <w:pPr>
              <w:spacing w:after="160" w:line="259" w:lineRule="auto"/>
              <w:rPr>
                <w:rFonts w:ascii="Arial" w:hAnsi="Arial" w:cs="Arial"/>
                <w:sz w:val="20"/>
                <w:szCs w:val="20"/>
              </w:rPr>
            </w:pPr>
            <w:r w:rsidRPr="005E4CAE">
              <w:rPr>
                <w:rFonts w:ascii="Arial" w:hAnsi="Arial" w:cs="Arial"/>
                <w:sz w:val="20"/>
                <w:szCs w:val="20"/>
              </w:rPr>
              <w:t>Trying to organise a lumbar puncture risks delaying antibiotics in ways that a CT scan is much less likely.</w:t>
            </w:r>
          </w:p>
          <w:p w14:paraId="088C8DCB" w14:textId="77777777" w:rsidR="00720667" w:rsidRPr="005E4CAE" w:rsidRDefault="00720667" w:rsidP="006E21D7">
            <w:pPr>
              <w:spacing w:after="160" w:line="259" w:lineRule="auto"/>
              <w:rPr>
                <w:rFonts w:ascii="Arial" w:hAnsi="Arial" w:cs="Arial"/>
                <w:sz w:val="20"/>
                <w:szCs w:val="20"/>
              </w:rPr>
            </w:pPr>
            <w:r w:rsidRPr="005E4CAE">
              <w:rPr>
                <w:rFonts w:ascii="Arial" w:hAnsi="Arial" w:cs="Arial"/>
                <w:sz w:val="20"/>
                <w:szCs w:val="20"/>
              </w:rPr>
              <w:t xml:space="preserve">Long and well </w:t>
            </w:r>
            <w:hyperlink r:id="rId14" w:history="1">
              <w:r w:rsidRPr="005E4CAE">
                <w:rPr>
                  <w:rStyle w:val="Hyperlink"/>
                  <w:rFonts w:ascii="Arial" w:hAnsi="Arial" w:cs="Arial"/>
                  <w:sz w:val="20"/>
                  <w:szCs w:val="20"/>
                </w:rPr>
                <w:t>established intensive care clinical practice</w:t>
              </w:r>
            </w:hyperlink>
            <w:r w:rsidRPr="005E4CAE">
              <w:rPr>
                <w:rFonts w:ascii="Arial" w:hAnsi="Arial" w:cs="Arial"/>
                <w:sz w:val="20"/>
                <w:szCs w:val="20"/>
              </w:rPr>
              <w:t xml:space="preserve"> is to CT scan, or at least consider very carefully, before lumbar puncture.</w:t>
            </w:r>
          </w:p>
          <w:p w14:paraId="13284DBC" w14:textId="77777777" w:rsidR="00720667" w:rsidRPr="005E4CAE" w:rsidRDefault="00720667" w:rsidP="006E21D7">
            <w:pPr>
              <w:spacing w:after="160" w:line="259" w:lineRule="auto"/>
              <w:rPr>
                <w:rFonts w:ascii="Arial" w:hAnsi="Arial" w:cs="Arial"/>
                <w:sz w:val="20"/>
                <w:szCs w:val="20"/>
              </w:rPr>
            </w:pPr>
            <w:r w:rsidRPr="005E4CAE">
              <w:rPr>
                <w:rFonts w:ascii="Arial" w:hAnsi="Arial" w:cs="Arial"/>
                <w:sz w:val="20"/>
                <w:szCs w:val="20"/>
              </w:rPr>
              <w:t>We strongly consider that the priority treatment is the commencement of antibiotics/antivirals as soon as there is a suspicion of meningoencephalitis; i.e. before lumbar puncture or CT scan; especially in patients with altered GCS or neurology. This we consider is the safest, pragmatic and professionally defensible course of action. </w:t>
            </w:r>
          </w:p>
          <w:p w14:paraId="0C3AE67D" w14:textId="77777777" w:rsidR="00720667" w:rsidRPr="005E4CAE" w:rsidRDefault="00720667" w:rsidP="006E21D7">
            <w:pPr>
              <w:spacing w:after="160" w:line="259" w:lineRule="auto"/>
              <w:rPr>
                <w:rFonts w:ascii="Arial" w:hAnsi="Arial" w:cs="Arial"/>
                <w:sz w:val="20"/>
                <w:szCs w:val="20"/>
              </w:rPr>
            </w:pPr>
            <w:r w:rsidRPr="005E4CAE">
              <w:rPr>
                <w:rFonts w:ascii="Arial" w:hAnsi="Arial" w:cs="Arial"/>
                <w:sz w:val="20"/>
                <w:szCs w:val="20"/>
              </w:rPr>
              <w:t>We accept that the patient cohorts for which you are trying to provide guidance are not the same as intensive care patients (our cohort). However, the real world conditions healthcare professionals will be working in when applying your guidance will mean they risk being left confused and morally distressed by the decision making burden; and patients will be placed at risk by antibiotic/antiviral delay.</w:t>
            </w:r>
          </w:p>
          <w:p w14:paraId="4AA8FDEF" w14:textId="77777777" w:rsidR="00720667" w:rsidRPr="005E4CAE" w:rsidRDefault="00720667" w:rsidP="006E21D7">
            <w:pPr>
              <w:spacing w:after="160" w:line="259" w:lineRule="auto"/>
              <w:rPr>
                <w:rFonts w:ascii="Arial" w:hAnsi="Arial" w:cs="Arial"/>
                <w:sz w:val="20"/>
                <w:szCs w:val="20"/>
              </w:rPr>
            </w:pPr>
            <w:r w:rsidRPr="005E4CAE">
              <w:rPr>
                <w:rFonts w:ascii="Arial" w:hAnsi="Arial" w:cs="Arial"/>
                <w:sz w:val="20"/>
                <w:szCs w:val="20"/>
              </w:rPr>
              <w:t>At the very least we do not think lumbar puncture before neuroimaging is robust enough to be a quality standard that is audited.</w:t>
            </w:r>
          </w:p>
          <w:p w14:paraId="5022A053" w14:textId="77777777" w:rsidR="00720667" w:rsidRPr="005E4CAE" w:rsidRDefault="00720667" w:rsidP="006E21D7">
            <w:pPr>
              <w:pStyle w:val="Paragraphnonumbers"/>
              <w:spacing w:after="0"/>
              <w:rPr>
                <w:rFonts w:cs="Arial"/>
                <w:sz w:val="20"/>
                <w:szCs w:val="20"/>
              </w:rPr>
            </w:pPr>
            <w:r w:rsidRPr="005E4CAE">
              <w:rPr>
                <w:rFonts w:cs="Arial"/>
                <w:sz w:val="20"/>
                <w:szCs w:val="20"/>
              </w:rPr>
              <w:t>We would value the specific opinion of the Royal College of Emergency Medicine on this issue, especially if they can provide some ‘real world’ feedback. </w:t>
            </w:r>
          </w:p>
        </w:tc>
      </w:tr>
      <w:tr w:rsidR="00720667" w:rsidRPr="005E4CAE" w14:paraId="07326DF4" w14:textId="77777777" w:rsidTr="006E21D7">
        <w:tc>
          <w:tcPr>
            <w:tcW w:w="267" w:type="pct"/>
            <w:shd w:val="clear" w:color="auto" w:fill="auto"/>
          </w:tcPr>
          <w:p w14:paraId="1250E6E0" w14:textId="45808346" w:rsidR="00720667" w:rsidRPr="005E4CAE" w:rsidRDefault="003C6E44" w:rsidP="006E21D7">
            <w:pPr>
              <w:rPr>
                <w:rFonts w:ascii="Arial" w:hAnsi="Arial" w:cs="Arial"/>
                <w:sz w:val="20"/>
                <w:szCs w:val="20"/>
              </w:rPr>
            </w:pPr>
            <w:r>
              <w:rPr>
                <w:rFonts w:ascii="Arial" w:hAnsi="Arial" w:cs="Arial"/>
                <w:sz w:val="20"/>
                <w:szCs w:val="20"/>
              </w:rPr>
              <w:lastRenderedPageBreak/>
              <w:t>29</w:t>
            </w:r>
          </w:p>
        </w:tc>
        <w:tc>
          <w:tcPr>
            <w:tcW w:w="650" w:type="pct"/>
            <w:shd w:val="clear" w:color="auto" w:fill="auto"/>
          </w:tcPr>
          <w:p w14:paraId="44B5E030" w14:textId="77777777" w:rsidR="00720667" w:rsidRPr="005E4CAE" w:rsidRDefault="00720667" w:rsidP="006E21D7">
            <w:pPr>
              <w:rPr>
                <w:rFonts w:ascii="Arial" w:hAnsi="Arial" w:cs="Arial"/>
                <w:bCs/>
                <w:sz w:val="20"/>
                <w:szCs w:val="20"/>
              </w:rPr>
            </w:pPr>
            <w:r w:rsidRPr="005E4CAE">
              <w:rPr>
                <w:rFonts w:ascii="Arial" w:hAnsi="Arial" w:cs="Arial"/>
                <w:bCs/>
                <w:sz w:val="20"/>
                <w:szCs w:val="20"/>
              </w:rPr>
              <w:t>Meningitis Research Foundation</w:t>
            </w:r>
          </w:p>
        </w:tc>
        <w:tc>
          <w:tcPr>
            <w:tcW w:w="535" w:type="pct"/>
            <w:shd w:val="clear" w:color="auto" w:fill="auto"/>
          </w:tcPr>
          <w:p w14:paraId="10666FDA" w14:textId="77777777" w:rsidR="00720667" w:rsidRPr="005E4CAE" w:rsidRDefault="00720667" w:rsidP="006E21D7">
            <w:pPr>
              <w:rPr>
                <w:rFonts w:ascii="Arial" w:hAnsi="Arial" w:cs="Arial"/>
                <w:sz w:val="20"/>
                <w:szCs w:val="20"/>
              </w:rPr>
            </w:pPr>
            <w:r w:rsidRPr="005E4CAE">
              <w:rPr>
                <w:rFonts w:ascii="Arial" w:hAnsi="Arial" w:cs="Arial"/>
                <w:sz w:val="20"/>
                <w:szCs w:val="20"/>
              </w:rPr>
              <w:t>Statement 2</w:t>
            </w:r>
          </w:p>
        </w:tc>
        <w:tc>
          <w:tcPr>
            <w:tcW w:w="3548" w:type="pct"/>
            <w:shd w:val="clear" w:color="auto" w:fill="auto"/>
            <w:vAlign w:val="center"/>
          </w:tcPr>
          <w:p w14:paraId="44DDAC93" w14:textId="77777777" w:rsidR="00720667" w:rsidRPr="005E4CAE" w:rsidRDefault="00720667" w:rsidP="006E21D7">
            <w:pPr>
              <w:pStyle w:val="Paragraphnonumbers"/>
              <w:spacing w:after="0"/>
              <w:rPr>
                <w:rFonts w:cs="Arial"/>
                <w:sz w:val="20"/>
                <w:szCs w:val="20"/>
              </w:rPr>
            </w:pPr>
            <w:bookmarkStart w:id="23" w:name="_Hlk173138273"/>
            <w:r w:rsidRPr="005E4CAE">
              <w:rPr>
                <w:rFonts w:cs="Arial"/>
                <w:sz w:val="20"/>
                <w:szCs w:val="20"/>
              </w:rPr>
              <w:t xml:space="preserve">We agree that this statement is important for reducing delays to LP. The word “routine” should be added prior to neuroimaging. Also imaging should not be undertaken to rule out raised intracranial pressure. We are not sure that this statement in isolation addresses the priority of ensuring that an LP is carried out/blood sample taken before antibiotics are administered as soon as possible. </w:t>
            </w:r>
            <w:bookmarkEnd w:id="23"/>
          </w:p>
        </w:tc>
      </w:tr>
      <w:tr w:rsidR="00720667" w:rsidRPr="005E4CAE" w14:paraId="5F3F3DE9" w14:textId="77777777" w:rsidTr="006E21D7">
        <w:tc>
          <w:tcPr>
            <w:tcW w:w="267" w:type="pct"/>
            <w:shd w:val="clear" w:color="auto" w:fill="auto"/>
          </w:tcPr>
          <w:p w14:paraId="34B0E85B" w14:textId="175C12C9" w:rsidR="00720667" w:rsidRPr="005E4CAE" w:rsidRDefault="00720667" w:rsidP="006E21D7">
            <w:pPr>
              <w:rPr>
                <w:rFonts w:ascii="Arial" w:hAnsi="Arial" w:cs="Arial"/>
                <w:sz w:val="20"/>
                <w:szCs w:val="20"/>
              </w:rPr>
            </w:pPr>
            <w:r w:rsidRPr="005E4CAE">
              <w:rPr>
                <w:rFonts w:ascii="Arial" w:hAnsi="Arial" w:cs="Arial"/>
                <w:sz w:val="20"/>
                <w:szCs w:val="20"/>
              </w:rPr>
              <w:lastRenderedPageBreak/>
              <w:t>3</w:t>
            </w:r>
            <w:r w:rsidR="003C6E44">
              <w:rPr>
                <w:rFonts w:ascii="Arial" w:hAnsi="Arial" w:cs="Arial"/>
                <w:sz w:val="20"/>
                <w:szCs w:val="20"/>
              </w:rPr>
              <w:t>0</w:t>
            </w:r>
          </w:p>
        </w:tc>
        <w:tc>
          <w:tcPr>
            <w:tcW w:w="650" w:type="pct"/>
            <w:shd w:val="clear" w:color="auto" w:fill="auto"/>
          </w:tcPr>
          <w:p w14:paraId="01CEC62D" w14:textId="77777777" w:rsidR="00720667" w:rsidRPr="005E4CAE" w:rsidRDefault="00720667" w:rsidP="006E21D7">
            <w:pPr>
              <w:rPr>
                <w:rFonts w:ascii="Arial" w:hAnsi="Arial" w:cs="Arial"/>
                <w:bCs/>
                <w:sz w:val="20"/>
                <w:szCs w:val="20"/>
              </w:rPr>
            </w:pPr>
            <w:r w:rsidRPr="005E4CAE">
              <w:rPr>
                <w:rFonts w:ascii="Arial" w:hAnsi="Arial" w:cs="Arial"/>
                <w:bCs/>
                <w:sz w:val="20"/>
                <w:szCs w:val="20"/>
              </w:rPr>
              <w:t>Meningitis Research Foundation</w:t>
            </w:r>
          </w:p>
        </w:tc>
        <w:tc>
          <w:tcPr>
            <w:tcW w:w="535" w:type="pct"/>
            <w:shd w:val="clear" w:color="auto" w:fill="auto"/>
          </w:tcPr>
          <w:p w14:paraId="74955B06" w14:textId="77777777" w:rsidR="00720667" w:rsidRPr="005E4CAE" w:rsidRDefault="00720667" w:rsidP="006E21D7">
            <w:pPr>
              <w:rPr>
                <w:rFonts w:ascii="Arial" w:hAnsi="Arial" w:cs="Arial"/>
                <w:sz w:val="20"/>
                <w:szCs w:val="20"/>
              </w:rPr>
            </w:pPr>
            <w:r w:rsidRPr="005E4CAE">
              <w:rPr>
                <w:rFonts w:ascii="Arial" w:hAnsi="Arial" w:cs="Arial"/>
                <w:sz w:val="20"/>
                <w:szCs w:val="20"/>
              </w:rPr>
              <w:t>Statement 2</w:t>
            </w:r>
          </w:p>
        </w:tc>
        <w:tc>
          <w:tcPr>
            <w:tcW w:w="3548" w:type="pct"/>
            <w:shd w:val="clear" w:color="auto" w:fill="auto"/>
            <w:vAlign w:val="center"/>
          </w:tcPr>
          <w:p w14:paraId="32AE2E9E" w14:textId="28B0EABE" w:rsidR="00720667" w:rsidRPr="005E4CAE" w:rsidRDefault="00720667" w:rsidP="006E21D7">
            <w:pPr>
              <w:pStyle w:val="Paragraphnonumbers"/>
              <w:spacing w:after="0"/>
              <w:rPr>
                <w:rFonts w:cs="Arial"/>
                <w:sz w:val="20"/>
                <w:szCs w:val="20"/>
              </w:rPr>
            </w:pPr>
            <w:r w:rsidRPr="005E4CAE">
              <w:rPr>
                <w:rFonts w:cs="Arial"/>
                <w:sz w:val="20"/>
                <w:szCs w:val="20"/>
              </w:rPr>
              <w:t xml:space="preserve">Quality statement 2 </w:t>
            </w:r>
            <w:bookmarkStart w:id="24" w:name="_Hlk173138318"/>
            <w:r w:rsidRPr="005E4CAE">
              <w:rPr>
                <w:rFonts w:cs="Arial"/>
                <w:sz w:val="20"/>
                <w:szCs w:val="20"/>
              </w:rPr>
              <w:t xml:space="preserve">could help reduce delays to LP which is vital to improving the diagnosis of meningitis.  However, this QS on its own does would not increase overall rates of LPs being performed or blood samples taken prior to administration of antibiotics, which is the key action required in order to increase confirmed cases of meningitis and identify the causative pathogens.  We also consider that scans are often undertaken in the mistaken belief that they will show whether it is safe to perform a LP. The quality statement should make it clear that raised intracranial pressure is a clinical diagnosis. </w:t>
            </w:r>
            <w:bookmarkEnd w:id="24"/>
          </w:p>
        </w:tc>
      </w:tr>
      <w:tr w:rsidR="00720667" w:rsidRPr="005E4CAE" w14:paraId="23EECCA3" w14:textId="77777777" w:rsidTr="006E21D7">
        <w:tc>
          <w:tcPr>
            <w:tcW w:w="267" w:type="pct"/>
            <w:shd w:val="clear" w:color="auto" w:fill="auto"/>
          </w:tcPr>
          <w:p w14:paraId="1836FDAC" w14:textId="171D1B64" w:rsidR="00720667" w:rsidRPr="005E4CAE" w:rsidRDefault="00720667" w:rsidP="006E21D7">
            <w:pPr>
              <w:rPr>
                <w:rFonts w:ascii="Arial" w:hAnsi="Arial" w:cs="Arial"/>
                <w:sz w:val="20"/>
                <w:szCs w:val="20"/>
              </w:rPr>
            </w:pPr>
            <w:r w:rsidRPr="005E4CAE">
              <w:rPr>
                <w:rFonts w:ascii="Arial" w:hAnsi="Arial" w:cs="Arial"/>
                <w:sz w:val="20"/>
                <w:szCs w:val="20"/>
              </w:rPr>
              <w:t>3</w:t>
            </w:r>
            <w:r w:rsidR="003C6E44">
              <w:rPr>
                <w:rFonts w:ascii="Arial" w:hAnsi="Arial" w:cs="Arial"/>
                <w:sz w:val="20"/>
                <w:szCs w:val="20"/>
              </w:rPr>
              <w:t>1</w:t>
            </w:r>
          </w:p>
        </w:tc>
        <w:tc>
          <w:tcPr>
            <w:tcW w:w="650" w:type="pct"/>
            <w:shd w:val="clear" w:color="auto" w:fill="auto"/>
          </w:tcPr>
          <w:p w14:paraId="10AE63CA" w14:textId="77777777" w:rsidR="00720667" w:rsidRPr="005E4CAE" w:rsidRDefault="00720667" w:rsidP="006E21D7">
            <w:pPr>
              <w:rPr>
                <w:rFonts w:ascii="Arial" w:hAnsi="Arial" w:cs="Arial"/>
                <w:bCs/>
                <w:sz w:val="20"/>
                <w:szCs w:val="20"/>
              </w:rPr>
            </w:pPr>
            <w:r w:rsidRPr="005E4CAE">
              <w:rPr>
                <w:rFonts w:ascii="Arial" w:hAnsi="Arial" w:cs="Arial"/>
                <w:bCs/>
                <w:sz w:val="20"/>
                <w:szCs w:val="20"/>
              </w:rPr>
              <w:t>NHS England – Clinical Programme Team</w:t>
            </w:r>
          </w:p>
        </w:tc>
        <w:tc>
          <w:tcPr>
            <w:tcW w:w="535" w:type="pct"/>
            <w:shd w:val="clear" w:color="auto" w:fill="auto"/>
          </w:tcPr>
          <w:p w14:paraId="0D36E79F" w14:textId="77777777" w:rsidR="00720667" w:rsidRPr="005E4CAE" w:rsidRDefault="00720667" w:rsidP="006E21D7">
            <w:pPr>
              <w:rPr>
                <w:rFonts w:ascii="Arial" w:hAnsi="Arial" w:cs="Arial"/>
                <w:sz w:val="20"/>
                <w:szCs w:val="20"/>
              </w:rPr>
            </w:pPr>
            <w:r w:rsidRPr="005E4CAE">
              <w:rPr>
                <w:rFonts w:ascii="Arial" w:hAnsi="Arial" w:cs="Arial"/>
                <w:sz w:val="20"/>
                <w:szCs w:val="20"/>
              </w:rPr>
              <w:t>Statement 2</w:t>
            </w:r>
          </w:p>
        </w:tc>
        <w:tc>
          <w:tcPr>
            <w:tcW w:w="3548" w:type="pct"/>
            <w:shd w:val="clear" w:color="auto" w:fill="auto"/>
          </w:tcPr>
          <w:p w14:paraId="0E606AD3" w14:textId="77777777" w:rsidR="00720667" w:rsidRPr="005E4CAE" w:rsidRDefault="00720667" w:rsidP="006E21D7">
            <w:pPr>
              <w:pStyle w:val="Paragraphnonumbers"/>
              <w:spacing w:after="0"/>
              <w:rPr>
                <w:rFonts w:cs="Arial"/>
                <w:color w:val="000000"/>
                <w:sz w:val="20"/>
                <w:szCs w:val="20"/>
              </w:rPr>
            </w:pPr>
            <w:r w:rsidRPr="005E4CAE">
              <w:rPr>
                <w:rFonts w:cs="Arial"/>
                <w:color w:val="000000"/>
                <w:sz w:val="20"/>
                <w:szCs w:val="20"/>
              </w:rPr>
              <w:t>The guidance appears to assume a patient will have capacity / give consent. There can be significant issues relating to previous trauma in contact with health care for invasive procedures such as injections – lumbar puncture etc. Guidance would be strengthened with reference to reasonable adjustments for blood tests and lumbar puncture. </w:t>
            </w:r>
          </w:p>
        </w:tc>
      </w:tr>
      <w:tr w:rsidR="00720667" w:rsidRPr="005E4CAE" w14:paraId="077CDAC3" w14:textId="77777777" w:rsidTr="006E21D7">
        <w:tc>
          <w:tcPr>
            <w:tcW w:w="267" w:type="pct"/>
            <w:shd w:val="clear" w:color="auto" w:fill="auto"/>
          </w:tcPr>
          <w:p w14:paraId="1B2D5498" w14:textId="5C530496" w:rsidR="00720667" w:rsidRPr="005E4CAE" w:rsidRDefault="00720667" w:rsidP="006E21D7">
            <w:pPr>
              <w:rPr>
                <w:rFonts w:ascii="Arial" w:hAnsi="Arial" w:cs="Arial"/>
                <w:sz w:val="20"/>
                <w:szCs w:val="20"/>
              </w:rPr>
            </w:pPr>
            <w:r w:rsidRPr="005E4CAE">
              <w:rPr>
                <w:rFonts w:ascii="Arial" w:hAnsi="Arial" w:cs="Arial"/>
                <w:sz w:val="20"/>
                <w:szCs w:val="20"/>
              </w:rPr>
              <w:t>3</w:t>
            </w:r>
            <w:r w:rsidR="003C6E44">
              <w:rPr>
                <w:rFonts w:ascii="Arial" w:hAnsi="Arial" w:cs="Arial"/>
                <w:sz w:val="20"/>
                <w:szCs w:val="20"/>
              </w:rPr>
              <w:t>2</w:t>
            </w:r>
          </w:p>
        </w:tc>
        <w:tc>
          <w:tcPr>
            <w:tcW w:w="650" w:type="pct"/>
            <w:shd w:val="clear" w:color="auto" w:fill="auto"/>
          </w:tcPr>
          <w:p w14:paraId="35131AB8" w14:textId="77777777" w:rsidR="00720667" w:rsidRPr="005E4CAE" w:rsidRDefault="00720667" w:rsidP="006E21D7">
            <w:pPr>
              <w:rPr>
                <w:rFonts w:ascii="Arial" w:hAnsi="Arial" w:cs="Arial"/>
                <w:bCs/>
                <w:iCs/>
                <w:sz w:val="20"/>
                <w:szCs w:val="20"/>
              </w:rPr>
            </w:pPr>
            <w:r w:rsidRPr="005E4CAE">
              <w:rPr>
                <w:rFonts w:ascii="Arial" w:hAnsi="Arial" w:cs="Arial"/>
                <w:bCs/>
                <w:sz w:val="20"/>
                <w:szCs w:val="20"/>
              </w:rPr>
              <w:t>Royal College Emergency Medicine</w:t>
            </w:r>
          </w:p>
        </w:tc>
        <w:tc>
          <w:tcPr>
            <w:tcW w:w="535" w:type="pct"/>
            <w:shd w:val="clear" w:color="auto" w:fill="auto"/>
          </w:tcPr>
          <w:p w14:paraId="38F4D3F8" w14:textId="77777777" w:rsidR="00720667" w:rsidRPr="005E4CAE" w:rsidRDefault="00720667" w:rsidP="006E21D7">
            <w:pPr>
              <w:rPr>
                <w:rFonts w:ascii="Arial" w:hAnsi="Arial" w:cs="Arial"/>
                <w:sz w:val="20"/>
                <w:szCs w:val="20"/>
              </w:rPr>
            </w:pPr>
            <w:r w:rsidRPr="005E4CAE">
              <w:rPr>
                <w:rFonts w:ascii="Arial" w:hAnsi="Arial" w:cs="Arial"/>
                <w:sz w:val="20"/>
                <w:szCs w:val="20"/>
              </w:rPr>
              <w:t>Statement 2</w:t>
            </w:r>
          </w:p>
        </w:tc>
        <w:tc>
          <w:tcPr>
            <w:tcW w:w="3548" w:type="pct"/>
            <w:shd w:val="clear" w:color="auto" w:fill="auto"/>
          </w:tcPr>
          <w:p w14:paraId="2374A3BE" w14:textId="77777777" w:rsidR="00720667" w:rsidRPr="005E4CAE" w:rsidRDefault="00720667" w:rsidP="006E21D7">
            <w:pPr>
              <w:pStyle w:val="Paragraphnonumbers"/>
              <w:spacing w:after="0"/>
              <w:rPr>
                <w:rFonts w:cs="Arial"/>
                <w:sz w:val="20"/>
                <w:szCs w:val="20"/>
              </w:rPr>
            </w:pPr>
            <w:r w:rsidRPr="005E4CAE">
              <w:rPr>
                <w:rFonts w:cs="Arial"/>
                <w:sz w:val="20"/>
                <w:szCs w:val="20"/>
              </w:rPr>
              <w:t>Quality statement 2: Lumbar puncture</w:t>
            </w:r>
          </w:p>
          <w:p w14:paraId="4CBA70E9" w14:textId="77777777" w:rsidR="00720667" w:rsidRPr="005E4CAE" w:rsidRDefault="00720667" w:rsidP="006E21D7">
            <w:pPr>
              <w:pStyle w:val="Paragraphnonumbers"/>
              <w:spacing w:after="0"/>
              <w:rPr>
                <w:rFonts w:cs="Arial"/>
                <w:sz w:val="20"/>
                <w:szCs w:val="20"/>
              </w:rPr>
            </w:pPr>
            <w:r w:rsidRPr="005E4CAE">
              <w:rPr>
                <w:rFonts w:cs="Arial"/>
                <w:sz w:val="20"/>
                <w:szCs w:val="20"/>
              </w:rPr>
              <w:t>Broadly agree in principle, however the reality in most emergency departments is that if bacterial meningitis or meningococcal disease is suspected then antibiotics will be commenced before LP is performed (this highlights the tension between quality statement 2 and quality statement 3).  Whilst this widespread practice might be at odds with the NICE recommendations (</w:t>
            </w:r>
            <w:hyperlink r:id="rId15" w:anchor="recognising-bacterial-meningitis-and-meningococcal-disease" w:history="1">
              <w:r w:rsidRPr="005E4CAE">
                <w:rPr>
                  <w:rFonts w:cs="Arial"/>
                  <w:color w:val="0000FF"/>
                  <w:sz w:val="20"/>
                  <w:szCs w:val="20"/>
                  <w:u w:val="single"/>
                </w:rPr>
                <w:t>Recommendations | Meningitis (bacterial) and meningococcal disease: recognition, diagnosis and management | Guidance | NICE</w:t>
              </w:r>
            </w:hyperlink>
            <w:r w:rsidRPr="005E4CAE">
              <w:rPr>
                <w:rFonts w:cs="Arial"/>
                <w:sz w:val="20"/>
                <w:szCs w:val="20"/>
              </w:rPr>
              <w:t xml:space="preserve"> 1.4.9) it is pragmatic given the logistical and resource issues of getting an LP performed within 1 hour of arrival at hospital triggered based on symptoms and clinical assessment alone.  The usual course of events would be antibiotics given +/- antivirals, neuroimaging if indicated and then LP later on, usually performed by the admitting medical team.  We would therefore question the stated rationale that performing lumbar puncture without delay reduces the time in starting antibiotic treatment.</w:t>
            </w:r>
          </w:p>
          <w:p w14:paraId="278A8006" w14:textId="77777777" w:rsidR="00720667" w:rsidRPr="005E4CAE" w:rsidRDefault="00720667" w:rsidP="006E21D7">
            <w:pPr>
              <w:pStyle w:val="Paragraphnonumbers"/>
              <w:spacing w:after="0"/>
              <w:rPr>
                <w:rFonts w:cs="Arial"/>
                <w:sz w:val="20"/>
                <w:szCs w:val="20"/>
              </w:rPr>
            </w:pPr>
          </w:p>
          <w:p w14:paraId="075E36CE" w14:textId="77777777" w:rsidR="00720667" w:rsidRPr="005E4CAE" w:rsidRDefault="00720667" w:rsidP="006E21D7">
            <w:pPr>
              <w:pStyle w:val="Paragraphnonumbers"/>
              <w:spacing w:after="0"/>
              <w:rPr>
                <w:rFonts w:cs="Arial"/>
                <w:sz w:val="20"/>
                <w:szCs w:val="20"/>
              </w:rPr>
            </w:pPr>
            <w:r w:rsidRPr="005E4CAE">
              <w:rPr>
                <w:rFonts w:cs="Arial"/>
                <w:sz w:val="20"/>
                <w:szCs w:val="20"/>
              </w:rPr>
              <w:t>Measurement</w:t>
            </w:r>
          </w:p>
          <w:p w14:paraId="44694165" w14:textId="77777777" w:rsidR="00720667" w:rsidRPr="005E4CAE" w:rsidRDefault="00720667" w:rsidP="006E21D7">
            <w:pPr>
              <w:pStyle w:val="Paragraphnonumbers"/>
              <w:spacing w:after="0"/>
              <w:rPr>
                <w:rFonts w:cs="Arial"/>
                <w:sz w:val="20"/>
                <w:szCs w:val="20"/>
              </w:rPr>
            </w:pPr>
            <w:bookmarkStart w:id="25" w:name="_Hlk173138022"/>
            <w:r w:rsidRPr="005E4CAE">
              <w:rPr>
                <w:rFonts w:cs="Arial"/>
                <w:sz w:val="20"/>
                <w:szCs w:val="20"/>
              </w:rPr>
              <w:t xml:space="preserve">Should this be confirmed and suspected bacterial meningitis ? </w:t>
            </w:r>
          </w:p>
          <w:p w14:paraId="14FEA140" w14:textId="77777777" w:rsidR="00720667" w:rsidRPr="005E4CAE" w:rsidRDefault="00720667" w:rsidP="006E21D7">
            <w:pPr>
              <w:rPr>
                <w:rFonts w:ascii="Arial" w:hAnsi="Arial" w:cs="Arial"/>
                <w:sz w:val="20"/>
                <w:szCs w:val="20"/>
              </w:rPr>
            </w:pPr>
            <w:r w:rsidRPr="005E4CAE">
              <w:rPr>
                <w:rFonts w:ascii="Arial" w:hAnsi="Arial" w:cs="Arial"/>
                <w:sz w:val="20"/>
                <w:szCs w:val="20"/>
              </w:rPr>
              <w:t>Suspected bacterial meningitis is part of the ECDS dataset, as are ‘suspected viral meningitis’ and ‘suspected encephalitis’.  All three conditions have overlapping symptoms and at the point of selecting a diagnosis in the emergency department, when not all test results are back, there may be a certain randomness to which of these diagnoses is chosen. This will lead to concerns about data quality.</w:t>
            </w:r>
            <w:bookmarkEnd w:id="25"/>
          </w:p>
        </w:tc>
      </w:tr>
      <w:tr w:rsidR="00720667" w:rsidRPr="005E4CAE" w14:paraId="3E6FD670" w14:textId="77777777" w:rsidTr="006E21D7">
        <w:tc>
          <w:tcPr>
            <w:tcW w:w="267" w:type="pct"/>
            <w:shd w:val="clear" w:color="auto" w:fill="auto"/>
          </w:tcPr>
          <w:p w14:paraId="5BE11B64" w14:textId="7B8B93E3" w:rsidR="00720667" w:rsidRPr="005E4CAE" w:rsidRDefault="00720667" w:rsidP="006E21D7">
            <w:pPr>
              <w:rPr>
                <w:rFonts w:ascii="Arial" w:hAnsi="Arial" w:cs="Arial"/>
                <w:sz w:val="20"/>
                <w:szCs w:val="20"/>
              </w:rPr>
            </w:pPr>
            <w:r w:rsidRPr="005E4CAE">
              <w:rPr>
                <w:rFonts w:ascii="Arial" w:hAnsi="Arial" w:cs="Arial"/>
                <w:sz w:val="20"/>
                <w:szCs w:val="20"/>
              </w:rPr>
              <w:t>3</w:t>
            </w:r>
            <w:r w:rsidR="003C6E44">
              <w:rPr>
                <w:rFonts w:ascii="Arial" w:hAnsi="Arial" w:cs="Arial"/>
                <w:sz w:val="20"/>
                <w:szCs w:val="20"/>
              </w:rPr>
              <w:t>3</w:t>
            </w:r>
          </w:p>
        </w:tc>
        <w:tc>
          <w:tcPr>
            <w:tcW w:w="650" w:type="pct"/>
            <w:shd w:val="clear" w:color="auto" w:fill="auto"/>
          </w:tcPr>
          <w:p w14:paraId="65E4C024" w14:textId="77777777" w:rsidR="00720667" w:rsidRPr="005E4CAE" w:rsidRDefault="00720667" w:rsidP="006E21D7">
            <w:pPr>
              <w:rPr>
                <w:rFonts w:ascii="Arial" w:hAnsi="Arial" w:cs="Arial"/>
                <w:bCs/>
                <w:iCs/>
                <w:sz w:val="20"/>
                <w:szCs w:val="20"/>
              </w:rPr>
            </w:pPr>
            <w:r w:rsidRPr="005E4CAE">
              <w:rPr>
                <w:rFonts w:ascii="Arial" w:hAnsi="Arial" w:cs="Arial"/>
                <w:sz w:val="20"/>
                <w:szCs w:val="20"/>
              </w:rPr>
              <w:t>UK Health Security Agency</w:t>
            </w:r>
          </w:p>
        </w:tc>
        <w:tc>
          <w:tcPr>
            <w:tcW w:w="535" w:type="pct"/>
            <w:shd w:val="clear" w:color="auto" w:fill="auto"/>
          </w:tcPr>
          <w:p w14:paraId="13AC05BD" w14:textId="77777777" w:rsidR="00720667" w:rsidRPr="005E4CAE" w:rsidRDefault="00720667" w:rsidP="006E21D7">
            <w:pPr>
              <w:rPr>
                <w:rFonts w:ascii="Arial" w:hAnsi="Arial" w:cs="Arial"/>
                <w:sz w:val="20"/>
                <w:szCs w:val="20"/>
              </w:rPr>
            </w:pPr>
            <w:r w:rsidRPr="005E4CAE">
              <w:rPr>
                <w:rFonts w:ascii="Arial" w:hAnsi="Arial" w:cs="Arial"/>
                <w:sz w:val="20"/>
                <w:szCs w:val="20"/>
              </w:rPr>
              <w:t>Statement 2</w:t>
            </w:r>
          </w:p>
        </w:tc>
        <w:tc>
          <w:tcPr>
            <w:tcW w:w="3548" w:type="pct"/>
            <w:shd w:val="clear" w:color="auto" w:fill="auto"/>
          </w:tcPr>
          <w:p w14:paraId="4964E346" w14:textId="77777777" w:rsidR="00720667" w:rsidRPr="005E4CAE" w:rsidRDefault="00720667" w:rsidP="006E21D7">
            <w:pPr>
              <w:rPr>
                <w:rFonts w:ascii="Arial" w:hAnsi="Arial" w:cs="Arial"/>
                <w:sz w:val="20"/>
                <w:szCs w:val="20"/>
              </w:rPr>
            </w:pPr>
            <w:r w:rsidRPr="005E4CAE">
              <w:rPr>
                <w:rFonts w:ascii="Arial" w:hAnsi="Arial" w:cs="Arial"/>
                <w:sz w:val="20"/>
                <w:szCs w:val="20"/>
              </w:rPr>
              <w:t xml:space="preserve">Page 9 under Data source </w:t>
            </w:r>
            <w:bookmarkStart w:id="26" w:name="_Hlk173138153"/>
            <w:r w:rsidRPr="005E4CAE">
              <w:rPr>
                <w:rFonts w:ascii="Arial" w:hAnsi="Arial" w:cs="Arial"/>
                <w:sz w:val="20"/>
                <w:szCs w:val="20"/>
              </w:rPr>
              <w:t>part b) - should it be ‘valid’ clinical indication?</w:t>
            </w:r>
            <w:bookmarkEnd w:id="26"/>
          </w:p>
        </w:tc>
      </w:tr>
      <w:tr w:rsidR="00720667" w:rsidRPr="005E4CAE" w14:paraId="195C8822" w14:textId="77777777" w:rsidTr="00720667">
        <w:tc>
          <w:tcPr>
            <w:tcW w:w="5000" w:type="pct"/>
            <w:gridSpan w:val="4"/>
            <w:shd w:val="clear" w:color="auto" w:fill="auto"/>
          </w:tcPr>
          <w:p w14:paraId="638250A4" w14:textId="77777777" w:rsidR="00720667" w:rsidRPr="005E4CAE" w:rsidRDefault="00720667" w:rsidP="006E21D7">
            <w:pPr>
              <w:pStyle w:val="Paragraphnonumbers"/>
              <w:spacing w:after="0"/>
              <w:rPr>
                <w:rFonts w:cs="Arial"/>
                <w:sz w:val="20"/>
                <w:szCs w:val="20"/>
              </w:rPr>
            </w:pPr>
            <w:r w:rsidRPr="005E4CAE">
              <w:rPr>
                <w:rFonts w:cs="Arial"/>
                <w:sz w:val="20"/>
                <w:szCs w:val="20"/>
              </w:rPr>
              <w:lastRenderedPageBreak/>
              <w:t>Statement 3</w:t>
            </w:r>
          </w:p>
        </w:tc>
      </w:tr>
      <w:tr w:rsidR="00720667" w:rsidRPr="005E4CAE" w14:paraId="1EF004B0" w14:textId="77777777" w:rsidTr="006E21D7">
        <w:tc>
          <w:tcPr>
            <w:tcW w:w="267" w:type="pct"/>
            <w:shd w:val="clear" w:color="auto" w:fill="auto"/>
          </w:tcPr>
          <w:p w14:paraId="0DDF510D" w14:textId="301B436B" w:rsidR="00720667" w:rsidRPr="005E4CAE" w:rsidRDefault="00720667" w:rsidP="006E21D7">
            <w:pPr>
              <w:rPr>
                <w:rFonts w:ascii="Arial" w:hAnsi="Arial" w:cs="Arial"/>
                <w:sz w:val="20"/>
                <w:szCs w:val="20"/>
              </w:rPr>
            </w:pPr>
            <w:r w:rsidRPr="005E4CAE">
              <w:rPr>
                <w:rFonts w:ascii="Arial" w:hAnsi="Arial" w:cs="Arial"/>
                <w:sz w:val="20"/>
                <w:szCs w:val="20"/>
              </w:rPr>
              <w:t>3</w:t>
            </w:r>
            <w:r w:rsidR="003C6E44">
              <w:rPr>
                <w:rFonts w:ascii="Arial" w:hAnsi="Arial" w:cs="Arial"/>
                <w:sz w:val="20"/>
                <w:szCs w:val="20"/>
              </w:rPr>
              <w:t>4</w:t>
            </w:r>
          </w:p>
        </w:tc>
        <w:tc>
          <w:tcPr>
            <w:tcW w:w="650" w:type="pct"/>
            <w:shd w:val="clear" w:color="auto" w:fill="auto"/>
          </w:tcPr>
          <w:p w14:paraId="4B352B40" w14:textId="77777777" w:rsidR="00720667" w:rsidRPr="005E4CAE" w:rsidRDefault="00720667" w:rsidP="006E21D7">
            <w:pPr>
              <w:rPr>
                <w:rFonts w:ascii="Arial" w:hAnsi="Arial" w:cs="Arial"/>
                <w:bCs/>
                <w:sz w:val="20"/>
                <w:szCs w:val="20"/>
              </w:rPr>
            </w:pPr>
            <w:r w:rsidRPr="005E4CAE">
              <w:rPr>
                <w:rFonts w:ascii="Arial" w:hAnsi="Arial" w:cs="Arial"/>
                <w:bCs/>
                <w:sz w:val="20"/>
                <w:szCs w:val="20"/>
              </w:rPr>
              <w:t>Association of Paediatric Emergency Medicine (APEM)</w:t>
            </w:r>
          </w:p>
        </w:tc>
        <w:tc>
          <w:tcPr>
            <w:tcW w:w="535" w:type="pct"/>
            <w:shd w:val="clear" w:color="auto" w:fill="auto"/>
          </w:tcPr>
          <w:p w14:paraId="51C913AF" w14:textId="77777777" w:rsidR="00720667" w:rsidRPr="005E4CAE" w:rsidRDefault="00720667" w:rsidP="006E21D7">
            <w:pPr>
              <w:rPr>
                <w:rFonts w:ascii="Arial" w:hAnsi="Arial" w:cs="Arial"/>
                <w:sz w:val="20"/>
                <w:szCs w:val="20"/>
              </w:rPr>
            </w:pPr>
            <w:r w:rsidRPr="005E4CAE">
              <w:rPr>
                <w:rFonts w:ascii="Arial" w:hAnsi="Arial" w:cs="Arial"/>
                <w:sz w:val="20"/>
                <w:szCs w:val="20"/>
              </w:rPr>
              <w:t>Statement 3</w:t>
            </w:r>
          </w:p>
        </w:tc>
        <w:tc>
          <w:tcPr>
            <w:tcW w:w="3548" w:type="pct"/>
            <w:shd w:val="clear" w:color="auto" w:fill="auto"/>
          </w:tcPr>
          <w:p w14:paraId="2A050DD2" w14:textId="77777777" w:rsidR="00720667" w:rsidRPr="005E4CAE" w:rsidRDefault="00720667" w:rsidP="006E21D7">
            <w:pPr>
              <w:rPr>
                <w:rFonts w:ascii="Arial" w:hAnsi="Arial" w:cs="Arial"/>
                <w:sz w:val="20"/>
                <w:szCs w:val="20"/>
              </w:rPr>
            </w:pPr>
            <w:bookmarkStart w:id="27" w:name="_Hlk173139739"/>
            <w:r w:rsidRPr="005E4CAE">
              <w:rPr>
                <w:rFonts w:ascii="Arial" w:hAnsi="Arial" w:cs="Arial"/>
                <w:sz w:val="20"/>
                <w:szCs w:val="20"/>
              </w:rPr>
              <w:t>We feel that this may difficult to achieve in the more well group of children in whom meningitis may be suspected and who require lumbar puncture prior to antibiotics. Obviously in children with septic shock or features of raised intracranial pressure there will be no challenge. We also wondered where this sits with the current move towards targeting antibiotics in people who aren’t in septic shock and aiming to give antibiotics between 1 and 3 hours?</w:t>
            </w:r>
            <w:bookmarkEnd w:id="27"/>
          </w:p>
        </w:tc>
      </w:tr>
      <w:tr w:rsidR="00720667" w:rsidRPr="005E4CAE" w14:paraId="630FAC8B" w14:textId="77777777" w:rsidTr="006E21D7">
        <w:tc>
          <w:tcPr>
            <w:tcW w:w="267" w:type="pct"/>
            <w:shd w:val="clear" w:color="auto" w:fill="auto"/>
          </w:tcPr>
          <w:p w14:paraId="78F08DC7" w14:textId="210DECEC" w:rsidR="00720667" w:rsidRPr="005E4CAE" w:rsidRDefault="00720667" w:rsidP="006E21D7">
            <w:pPr>
              <w:rPr>
                <w:rFonts w:ascii="Arial" w:hAnsi="Arial" w:cs="Arial"/>
                <w:sz w:val="20"/>
                <w:szCs w:val="20"/>
              </w:rPr>
            </w:pPr>
            <w:r w:rsidRPr="005E4CAE">
              <w:rPr>
                <w:rFonts w:ascii="Arial" w:hAnsi="Arial" w:cs="Arial"/>
                <w:sz w:val="20"/>
                <w:szCs w:val="20"/>
              </w:rPr>
              <w:t>3</w:t>
            </w:r>
            <w:r w:rsidR="003C6E44">
              <w:rPr>
                <w:rFonts w:ascii="Arial" w:hAnsi="Arial" w:cs="Arial"/>
                <w:sz w:val="20"/>
                <w:szCs w:val="20"/>
              </w:rPr>
              <w:t>5</w:t>
            </w:r>
          </w:p>
        </w:tc>
        <w:tc>
          <w:tcPr>
            <w:tcW w:w="650" w:type="pct"/>
            <w:shd w:val="clear" w:color="auto" w:fill="auto"/>
          </w:tcPr>
          <w:p w14:paraId="3F7C1430" w14:textId="77777777" w:rsidR="00720667" w:rsidRPr="005E4CAE" w:rsidRDefault="00720667" w:rsidP="006E21D7">
            <w:pPr>
              <w:rPr>
                <w:rFonts w:ascii="Arial" w:hAnsi="Arial" w:cs="Arial"/>
                <w:bCs/>
                <w:sz w:val="20"/>
                <w:szCs w:val="20"/>
              </w:rPr>
            </w:pPr>
            <w:r w:rsidRPr="005E4CAE">
              <w:rPr>
                <w:rFonts w:ascii="Arial" w:hAnsi="Arial" w:cs="Arial"/>
                <w:bCs/>
                <w:sz w:val="20"/>
                <w:szCs w:val="20"/>
              </w:rPr>
              <w:t>Faculty of Intensive Care Medicine</w:t>
            </w:r>
          </w:p>
        </w:tc>
        <w:tc>
          <w:tcPr>
            <w:tcW w:w="535" w:type="pct"/>
            <w:shd w:val="clear" w:color="auto" w:fill="auto"/>
          </w:tcPr>
          <w:p w14:paraId="161F49E2" w14:textId="77777777" w:rsidR="00720667" w:rsidRPr="005E4CAE" w:rsidRDefault="00720667" w:rsidP="006E21D7">
            <w:pPr>
              <w:rPr>
                <w:rFonts w:ascii="Arial" w:hAnsi="Arial" w:cs="Arial"/>
                <w:sz w:val="20"/>
                <w:szCs w:val="20"/>
              </w:rPr>
            </w:pPr>
            <w:r w:rsidRPr="005E4CAE">
              <w:rPr>
                <w:rFonts w:ascii="Arial" w:hAnsi="Arial" w:cs="Arial"/>
                <w:sz w:val="20"/>
                <w:szCs w:val="20"/>
              </w:rPr>
              <w:t>Statement 3</w:t>
            </w:r>
          </w:p>
        </w:tc>
        <w:tc>
          <w:tcPr>
            <w:tcW w:w="3548" w:type="pct"/>
            <w:shd w:val="clear" w:color="auto" w:fill="auto"/>
            <w:vAlign w:val="center"/>
          </w:tcPr>
          <w:p w14:paraId="496231C7" w14:textId="77777777" w:rsidR="00720667" w:rsidRPr="005E4CAE" w:rsidRDefault="00720667" w:rsidP="006E21D7">
            <w:pPr>
              <w:pStyle w:val="Paragraphnonumbers"/>
              <w:spacing w:line="240" w:lineRule="auto"/>
              <w:rPr>
                <w:rFonts w:cs="Arial"/>
                <w:b/>
                <w:bCs/>
                <w:sz w:val="20"/>
                <w:szCs w:val="20"/>
              </w:rPr>
            </w:pPr>
            <w:r w:rsidRPr="005E4CAE">
              <w:rPr>
                <w:rFonts w:cs="Arial"/>
                <w:b/>
                <w:bCs/>
                <w:sz w:val="20"/>
                <w:szCs w:val="20"/>
              </w:rPr>
              <w:t>Quality Statement 3</w:t>
            </w:r>
          </w:p>
          <w:p w14:paraId="571C6E7E" w14:textId="77777777" w:rsidR="00720667" w:rsidRPr="005E4CAE" w:rsidRDefault="00720667" w:rsidP="006E21D7">
            <w:pPr>
              <w:spacing w:after="160" w:line="259" w:lineRule="auto"/>
              <w:rPr>
                <w:rFonts w:ascii="Arial" w:hAnsi="Arial" w:cs="Arial"/>
                <w:sz w:val="20"/>
                <w:szCs w:val="20"/>
              </w:rPr>
            </w:pPr>
            <w:r w:rsidRPr="005E4CAE">
              <w:rPr>
                <w:rFonts w:ascii="Arial" w:hAnsi="Arial" w:cs="Arial"/>
                <w:sz w:val="20"/>
                <w:szCs w:val="20"/>
              </w:rPr>
              <w:t xml:space="preserve">We do not disagree with the timing of antibiotics, and its auditing, but would highlight that the approach seems different to recent antibiotics sepsis guidance by NICE and the </w:t>
            </w:r>
            <w:proofErr w:type="spellStart"/>
            <w:r w:rsidRPr="005E4CAE">
              <w:rPr>
                <w:rFonts w:ascii="Arial" w:hAnsi="Arial" w:cs="Arial"/>
                <w:sz w:val="20"/>
                <w:szCs w:val="20"/>
              </w:rPr>
              <w:t>AoMRC</w:t>
            </w:r>
            <w:proofErr w:type="spellEnd"/>
            <w:r w:rsidRPr="005E4CAE">
              <w:rPr>
                <w:rFonts w:ascii="Arial" w:hAnsi="Arial" w:cs="Arial"/>
                <w:sz w:val="20"/>
                <w:szCs w:val="20"/>
              </w:rPr>
              <w:t>. This guidance emphasised the use of NEWS2, and highlighted that the evidence base for one hour administration of antibiotics was less than has been previously advocated.  </w:t>
            </w:r>
          </w:p>
          <w:p w14:paraId="1FED0619" w14:textId="262A4834" w:rsidR="00720667" w:rsidRPr="005E4CAE" w:rsidRDefault="00720667" w:rsidP="00720667">
            <w:pPr>
              <w:spacing w:line="259" w:lineRule="auto"/>
              <w:rPr>
                <w:rFonts w:ascii="Arial" w:hAnsi="Arial" w:cs="Arial"/>
                <w:sz w:val="20"/>
                <w:szCs w:val="20"/>
              </w:rPr>
            </w:pPr>
            <w:r w:rsidRPr="005E4CAE">
              <w:rPr>
                <w:rFonts w:ascii="Arial" w:hAnsi="Arial" w:cs="Arial"/>
                <w:sz w:val="20"/>
                <w:szCs w:val="20"/>
              </w:rPr>
              <w:t>There is a high risk of confusion or perceived contradiction here.</w:t>
            </w:r>
          </w:p>
        </w:tc>
      </w:tr>
      <w:tr w:rsidR="00720667" w:rsidRPr="005E4CAE" w14:paraId="3FE46D94" w14:textId="77777777" w:rsidTr="006E21D7">
        <w:tc>
          <w:tcPr>
            <w:tcW w:w="267" w:type="pct"/>
            <w:shd w:val="clear" w:color="auto" w:fill="auto"/>
          </w:tcPr>
          <w:p w14:paraId="6B5B4AED" w14:textId="6DC83BF3" w:rsidR="00720667" w:rsidRPr="005E4CAE" w:rsidRDefault="00720667" w:rsidP="006E21D7">
            <w:pPr>
              <w:rPr>
                <w:rFonts w:ascii="Arial" w:hAnsi="Arial" w:cs="Arial"/>
                <w:sz w:val="20"/>
                <w:szCs w:val="20"/>
              </w:rPr>
            </w:pPr>
            <w:r w:rsidRPr="005E4CAE">
              <w:rPr>
                <w:rFonts w:ascii="Arial" w:hAnsi="Arial" w:cs="Arial"/>
                <w:sz w:val="20"/>
                <w:szCs w:val="20"/>
              </w:rPr>
              <w:t>3</w:t>
            </w:r>
            <w:r w:rsidR="003C6E44">
              <w:rPr>
                <w:rFonts w:ascii="Arial" w:hAnsi="Arial" w:cs="Arial"/>
                <w:sz w:val="20"/>
                <w:szCs w:val="20"/>
              </w:rPr>
              <w:t>6</w:t>
            </w:r>
          </w:p>
        </w:tc>
        <w:tc>
          <w:tcPr>
            <w:tcW w:w="650" w:type="pct"/>
            <w:shd w:val="clear" w:color="auto" w:fill="auto"/>
          </w:tcPr>
          <w:p w14:paraId="28565EA9" w14:textId="77777777" w:rsidR="00720667" w:rsidRPr="005E4CAE" w:rsidRDefault="00720667" w:rsidP="006E21D7">
            <w:pPr>
              <w:rPr>
                <w:rFonts w:ascii="Arial" w:hAnsi="Arial" w:cs="Arial"/>
                <w:sz w:val="20"/>
                <w:szCs w:val="20"/>
              </w:rPr>
            </w:pPr>
            <w:r w:rsidRPr="005E4CAE">
              <w:rPr>
                <w:rFonts w:ascii="Arial" w:hAnsi="Arial" w:cs="Arial"/>
                <w:bCs/>
                <w:sz w:val="20"/>
                <w:szCs w:val="20"/>
              </w:rPr>
              <w:t>NHS England -Antimicrobial Prescribing and Medicines Optimisation Team</w:t>
            </w:r>
          </w:p>
        </w:tc>
        <w:tc>
          <w:tcPr>
            <w:tcW w:w="535" w:type="pct"/>
            <w:shd w:val="clear" w:color="auto" w:fill="auto"/>
          </w:tcPr>
          <w:p w14:paraId="147A36EA" w14:textId="77777777" w:rsidR="00720667" w:rsidRPr="005E4CAE" w:rsidRDefault="00720667" w:rsidP="006E21D7">
            <w:pPr>
              <w:rPr>
                <w:rFonts w:ascii="Arial" w:hAnsi="Arial" w:cs="Arial"/>
                <w:sz w:val="20"/>
                <w:szCs w:val="20"/>
              </w:rPr>
            </w:pPr>
            <w:r w:rsidRPr="005E4CAE">
              <w:rPr>
                <w:rFonts w:ascii="Arial" w:hAnsi="Arial" w:cs="Arial"/>
                <w:sz w:val="20"/>
                <w:szCs w:val="20"/>
              </w:rPr>
              <w:t>Statement 3</w:t>
            </w:r>
          </w:p>
        </w:tc>
        <w:tc>
          <w:tcPr>
            <w:tcW w:w="3548" w:type="pct"/>
            <w:shd w:val="clear" w:color="auto" w:fill="auto"/>
          </w:tcPr>
          <w:p w14:paraId="2F99675B" w14:textId="77777777" w:rsidR="00720667" w:rsidRPr="005E4CAE" w:rsidRDefault="00720667" w:rsidP="006E21D7">
            <w:pPr>
              <w:pStyle w:val="Paragraphnonumbers"/>
              <w:spacing w:after="0"/>
              <w:rPr>
                <w:rFonts w:cs="Arial"/>
                <w:sz w:val="20"/>
                <w:szCs w:val="20"/>
              </w:rPr>
            </w:pPr>
            <w:bookmarkStart w:id="28" w:name="_Hlk173139538"/>
            <w:r w:rsidRPr="005E4CAE">
              <w:rPr>
                <w:rFonts w:cs="Arial"/>
                <w:sz w:val="20"/>
                <w:szCs w:val="20"/>
              </w:rPr>
              <w:t xml:space="preserve">This standard </w:t>
            </w:r>
            <w:r w:rsidRPr="005E4CAE">
              <w:rPr>
                <w:rStyle w:val="cf01"/>
                <w:rFonts w:ascii="Arial" w:hAnsi="Arial" w:cs="Arial"/>
                <w:sz w:val="20"/>
                <w:szCs w:val="20"/>
              </w:rPr>
              <w:t>contradicts the NICE guidance on sepsis, which is advocating a more nuanced approach to immediate antibiotics based on the NEWS2 score.</w:t>
            </w:r>
          </w:p>
          <w:bookmarkEnd w:id="28"/>
          <w:p w14:paraId="2B1ED850" w14:textId="77777777" w:rsidR="00720667" w:rsidRPr="005E4CAE" w:rsidRDefault="00720667" w:rsidP="006E21D7">
            <w:pPr>
              <w:pStyle w:val="Paragraphnonumbers"/>
              <w:spacing w:after="0"/>
              <w:rPr>
                <w:rFonts w:cs="Arial"/>
                <w:sz w:val="20"/>
                <w:szCs w:val="20"/>
              </w:rPr>
            </w:pPr>
          </w:p>
          <w:p w14:paraId="595D4F20" w14:textId="77777777" w:rsidR="00720667" w:rsidRPr="005E4CAE" w:rsidRDefault="00720667" w:rsidP="006E21D7">
            <w:pPr>
              <w:pStyle w:val="Paragraphnonumbers"/>
              <w:spacing w:after="0"/>
              <w:rPr>
                <w:rFonts w:cs="Arial"/>
                <w:sz w:val="20"/>
                <w:szCs w:val="20"/>
              </w:rPr>
            </w:pPr>
            <w:r w:rsidRPr="005E4CAE">
              <w:rPr>
                <w:rFonts w:cs="Arial"/>
                <w:sz w:val="20"/>
                <w:szCs w:val="20"/>
              </w:rPr>
              <w:t xml:space="preserve">It also appears that the guidance (and therefore this quality standard statement) is extrapolating the evidence on outcome data on timing of antibiotics for patients with bacterial meningitis and / or meningococcal sepsis to a wider group of patients with “suspected” bacterial meningitis and / or meningococcal sepsis and assuming that there will be the same risk/benefit ratio in both groups – this wouldn’t be expected to be true and is challenging to monitor as there is no clear definition of  “suspicion of meningitis” within the standards. </w:t>
            </w:r>
          </w:p>
          <w:p w14:paraId="6BB16533" w14:textId="77777777" w:rsidR="00720667" w:rsidRPr="005E4CAE" w:rsidRDefault="00720667" w:rsidP="006E21D7">
            <w:pPr>
              <w:pStyle w:val="Paragraphnonumbers"/>
              <w:spacing w:after="0"/>
              <w:rPr>
                <w:rFonts w:cs="Arial"/>
                <w:sz w:val="20"/>
                <w:szCs w:val="20"/>
              </w:rPr>
            </w:pPr>
          </w:p>
          <w:p w14:paraId="0F8448EC" w14:textId="77777777" w:rsidR="00720667" w:rsidRPr="005E4CAE" w:rsidRDefault="00720667" w:rsidP="006E21D7">
            <w:pPr>
              <w:pStyle w:val="Paragraphnonumbers"/>
              <w:spacing w:after="0"/>
              <w:rPr>
                <w:rFonts w:cs="Arial"/>
                <w:sz w:val="20"/>
                <w:szCs w:val="20"/>
              </w:rPr>
            </w:pPr>
            <w:bookmarkStart w:id="29" w:name="_Hlk173139635"/>
            <w:r w:rsidRPr="005E4CAE">
              <w:rPr>
                <w:rFonts w:cs="Arial"/>
                <w:sz w:val="20"/>
                <w:szCs w:val="20"/>
              </w:rPr>
              <w:t>There will be patients who are relatively well in whom there is a low level of suspicion of meningitis, which would not necessitate antibiotics within an hour, but some thought / investigation. How is this accounted for in the quality standards to support targeting quick antibiotic administration to those most likely to benefit whilst avoiding the harms associated with overtreatment in those unlikely to benefit?</w:t>
            </w:r>
          </w:p>
          <w:bookmarkEnd w:id="29"/>
          <w:p w14:paraId="60EE2EB8" w14:textId="77777777" w:rsidR="00720667" w:rsidRPr="005E4CAE" w:rsidRDefault="00720667" w:rsidP="006E21D7">
            <w:pPr>
              <w:pStyle w:val="Paragraphnonumbers"/>
              <w:spacing w:after="0"/>
              <w:rPr>
                <w:rFonts w:cs="Arial"/>
                <w:sz w:val="20"/>
                <w:szCs w:val="20"/>
              </w:rPr>
            </w:pPr>
          </w:p>
          <w:p w14:paraId="2C833065" w14:textId="77777777" w:rsidR="00720667" w:rsidRPr="005E4CAE" w:rsidRDefault="00720667" w:rsidP="006E21D7">
            <w:pPr>
              <w:rPr>
                <w:rFonts w:ascii="Arial" w:hAnsi="Arial" w:cs="Arial"/>
                <w:sz w:val="20"/>
                <w:szCs w:val="20"/>
              </w:rPr>
            </w:pPr>
            <w:bookmarkStart w:id="30" w:name="_Hlk173139660"/>
            <w:r w:rsidRPr="005E4CAE">
              <w:rPr>
                <w:rFonts w:ascii="Arial" w:hAnsi="Arial" w:cs="Arial"/>
                <w:sz w:val="20"/>
                <w:szCs w:val="20"/>
              </w:rPr>
              <w:t>Does this statement still hold true if the patient has received antibiotic treatment in community prior to transfer to hospital (e.g. IM benzylpenicillin)?</w:t>
            </w:r>
            <w:bookmarkEnd w:id="30"/>
          </w:p>
        </w:tc>
      </w:tr>
      <w:tr w:rsidR="00720667" w:rsidRPr="005E4CAE" w14:paraId="3C06817C" w14:textId="77777777" w:rsidTr="006E21D7">
        <w:tc>
          <w:tcPr>
            <w:tcW w:w="267" w:type="pct"/>
            <w:shd w:val="clear" w:color="auto" w:fill="auto"/>
          </w:tcPr>
          <w:p w14:paraId="394CAD45" w14:textId="5AFEC7BD" w:rsidR="00720667" w:rsidRPr="005E4CAE" w:rsidRDefault="00720667" w:rsidP="006E21D7">
            <w:pPr>
              <w:rPr>
                <w:rFonts w:ascii="Arial" w:hAnsi="Arial" w:cs="Arial"/>
                <w:sz w:val="20"/>
                <w:szCs w:val="20"/>
              </w:rPr>
            </w:pPr>
            <w:r w:rsidRPr="005E4CAE">
              <w:rPr>
                <w:rFonts w:ascii="Arial" w:hAnsi="Arial" w:cs="Arial"/>
                <w:sz w:val="20"/>
                <w:szCs w:val="20"/>
              </w:rPr>
              <w:lastRenderedPageBreak/>
              <w:t>3</w:t>
            </w:r>
            <w:r w:rsidR="003C6E44">
              <w:rPr>
                <w:rFonts w:ascii="Arial" w:hAnsi="Arial" w:cs="Arial"/>
                <w:sz w:val="20"/>
                <w:szCs w:val="20"/>
              </w:rPr>
              <w:t>7</w:t>
            </w:r>
          </w:p>
        </w:tc>
        <w:tc>
          <w:tcPr>
            <w:tcW w:w="650" w:type="pct"/>
            <w:shd w:val="clear" w:color="auto" w:fill="auto"/>
          </w:tcPr>
          <w:p w14:paraId="4D9FF620" w14:textId="77777777" w:rsidR="00720667" w:rsidRPr="005E4CAE" w:rsidRDefault="00720667" w:rsidP="006E21D7">
            <w:pPr>
              <w:rPr>
                <w:rFonts w:ascii="Arial" w:hAnsi="Arial" w:cs="Arial"/>
                <w:sz w:val="20"/>
                <w:szCs w:val="20"/>
              </w:rPr>
            </w:pPr>
            <w:r w:rsidRPr="005E4CAE">
              <w:rPr>
                <w:rFonts w:ascii="Arial" w:hAnsi="Arial" w:cs="Arial"/>
                <w:bCs/>
                <w:sz w:val="20"/>
                <w:szCs w:val="20"/>
              </w:rPr>
              <w:t>NHS England – Clinical Programme Team</w:t>
            </w:r>
          </w:p>
        </w:tc>
        <w:tc>
          <w:tcPr>
            <w:tcW w:w="535" w:type="pct"/>
            <w:shd w:val="clear" w:color="auto" w:fill="auto"/>
          </w:tcPr>
          <w:p w14:paraId="0CB1FD19" w14:textId="77777777" w:rsidR="00720667" w:rsidRPr="005E4CAE" w:rsidRDefault="00720667" w:rsidP="006E21D7">
            <w:pPr>
              <w:rPr>
                <w:rFonts w:ascii="Arial" w:hAnsi="Arial" w:cs="Arial"/>
                <w:sz w:val="20"/>
                <w:szCs w:val="20"/>
              </w:rPr>
            </w:pPr>
            <w:r w:rsidRPr="005E4CAE">
              <w:rPr>
                <w:rFonts w:ascii="Arial" w:hAnsi="Arial" w:cs="Arial"/>
                <w:sz w:val="20"/>
                <w:szCs w:val="20"/>
              </w:rPr>
              <w:t>Statement 3</w:t>
            </w:r>
          </w:p>
        </w:tc>
        <w:tc>
          <w:tcPr>
            <w:tcW w:w="3548" w:type="pct"/>
            <w:shd w:val="clear" w:color="auto" w:fill="auto"/>
          </w:tcPr>
          <w:p w14:paraId="234768E6" w14:textId="77777777" w:rsidR="00720667" w:rsidRPr="005E4CAE" w:rsidRDefault="00720667" w:rsidP="006E21D7">
            <w:pPr>
              <w:pStyle w:val="Paragraphnonumbers"/>
              <w:spacing w:after="0"/>
              <w:rPr>
                <w:rFonts w:cs="Arial"/>
                <w:sz w:val="20"/>
                <w:szCs w:val="20"/>
                <w:lang w:eastAsia="en-US"/>
              </w:rPr>
            </w:pPr>
            <w:bookmarkStart w:id="31" w:name="_Hlk173139812"/>
            <w:r w:rsidRPr="005E4CAE">
              <w:rPr>
                <w:rFonts w:cs="Arial"/>
                <w:sz w:val="20"/>
                <w:szCs w:val="20"/>
                <w:lang w:eastAsia="en-US"/>
              </w:rPr>
              <w:t>What if the triage does not work or the ambulance waits mean children and adults cannot get the antibiotics within an hour? Is this covered in another standard to reduce the risk?</w:t>
            </w:r>
          </w:p>
          <w:bookmarkEnd w:id="31"/>
          <w:p w14:paraId="058FF79B" w14:textId="77777777" w:rsidR="00720667" w:rsidRPr="005E4CAE" w:rsidRDefault="00720667" w:rsidP="006E21D7">
            <w:pPr>
              <w:pStyle w:val="Paragraphnonumbers"/>
              <w:spacing w:after="0"/>
              <w:rPr>
                <w:rFonts w:cs="Arial"/>
                <w:sz w:val="20"/>
                <w:szCs w:val="20"/>
                <w:lang w:eastAsia="en-US"/>
              </w:rPr>
            </w:pPr>
          </w:p>
          <w:p w14:paraId="7F1AA3B0" w14:textId="77777777" w:rsidR="00720667" w:rsidRPr="005E4CAE" w:rsidRDefault="00720667" w:rsidP="006E21D7">
            <w:pPr>
              <w:rPr>
                <w:rFonts w:ascii="Arial" w:hAnsi="Arial" w:cs="Arial"/>
                <w:sz w:val="20"/>
                <w:szCs w:val="20"/>
              </w:rPr>
            </w:pPr>
            <w:bookmarkStart w:id="32" w:name="_Hlk173139888"/>
            <w:r w:rsidRPr="005E4CAE">
              <w:rPr>
                <w:rFonts w:ascii="Arial" w:hAnsi="Arial" w:cs="Arial"/>
                <w:color w:val="000000"/>
                <w:sz w:val="20"/>
                <w:szCs w:val="20"/>
              </w:rPr>
              <w:t>Noted statement on reasonable adjustments and language and communication – they should be actively part of the standard to ensure that people can access the support they need – too often people are not given access to tests because they are perceived to present as challenging or not giving consent when actually no adjustments have been made.  </w:t>
            </w:r>
            <w:r w:rsidRPr="005E4CAE">
              <w:rPr>
                <w:rFonts w:ascii="Arial" w:hAnsi="Arial" w:cs="Arial"/>
                <w:sz w:val="20"/>
                <w:szCs w:val="20"/>
              </w:rPr>
              <w:t xml:space="preserve"> </w:t>
            </w:r>
            <w:bookmarkEnd w:id="32"/>
          </w:p>
        </w:tc>
      </w:tr>
      <w:tr w:rsidR="00720667" w:rsidRPr="005E4CAE" w14:paraId="76BC781B" w14:textId="77777777" w:rsidTr="006E21D7">
        <w:tc>
          <w:tcPr>
            <w:tcW w:w="267" w:type="pct"/>
            <w:shd w:val="clear" w:color="auto" w:fill="auto"/>
          </w:tcPr>
          <w:p w14:paraId="60A25746" w14:textId="2B5754AE" w:rsidR="00720667" w:rsidRPr="005E4CAE" w:rsidRDefault="003C6E44" w:rsidP="006E21D7">
            <w:pPr>
              <w:rPr>
                <w:rFonts w:ascii="Arial" w:hAnsi="Arial" w:cs="Arial"/>
                <w:sz w:val="20"/>
                <w:szCs w:val="20"/>
              </w:rPr>
            </w:pPr>
            <w:r>
              <w:rPr>
                <w:rFonts w:ascii="Arial" w:hAnsi="Arial" w:cs="Arial"/>
                <w:sz w:val="20"/>
                <w:szCs w:val="20"/>
              </w:rPr>
              <w:t>38</w:t>
            </w:r>
          </w:p>
        </w:tc>
        <w:tc>
          <w:tcPr>
            <w:tcW w:w="650" w:type="pct"/>
            <w:shd w:val="clear" w:color="auto" w:fill="auto"/>
          </w:tcPr>
          <w:p w14:paraId="4EFB017B" w14:textId="77777777" w:rsidR="00720667" w:rsidRPr="005E4CAE" w:rsidRDefault="00720667" w:rsidP="006E21D7">
            <w:pPr>
              <w:rPr>
                <w:rFonts w:ascii="Arial" w:hAnsi="Arial" w:cs="Arial"/>
                <w:bCs/>
                <w:sz w:val="20"/>
                <w:szCs w:val="20"/>
              </w:rPr>
            </w:pPr>
            <w:r w:rsidRPr="005E4CAE">
              <w:rPr>
                <w:rFonts w:ascii="Arial" w:hAnsi="Arial" w:cs="Arial"/>
                <w:bCs/>
                <w:sz w:val="20"/>
                <w:szCs w:val="20"/>
              </w:rPr>
              <w:t>Meningitis Research Foundation</w:t>
            </w:r>
          </w:p>
        </w:tc>
        <w:tc>
          <w:tcPr>
            <w:tcW w:w="535" w:type="pct"/>
            <w:shd w:val="clear" w:color="auto" w:fill="auto"/>
          </w:tcPr>
          <w:p w14:paraId="0E74987D" w14:textId="77777777" w:rsidR="00720667" w:rsidRPr="005E4CAE" w:rsidRDefault="00720667" w:rsidP="006E21D7">
            <w:pPr>
              <w:rPr>
                <w:rFonts w:ascii="Arial" w:hAnsi="Arial" w:cs="Arial"/>
                <w:sz w:val="20"/>
                <w:szCs w:val="20"/>
              </w:rPr>
            </w:pPr>
            <w:r w:rsidRPr="005E4CAE">
              <w:rPr>
                <w:rFonts w:ascii="Arial" w:hAnsi="Arial" w:cs="Arial"/>
                <w:sz w:val="20"/>
                <w:szCs w:val="20"/>
              </w:rPr>
              <w:t>Statement 3</w:t>
            </w:r>
          </w:p>
        </w:tc>
        <w:tc>
          <w:tcPr>
            <w:tcW w:w="3548" w:type="pct"/>
            <w:shd w:val="clear" w:color="auto" w:fill="auto"/>
          </w:tcPr>
          <w:p w14:paraId="2A0AADDB" w14:textId="77777777" w:rsidR="00720667" w:rsidRPr="005E4CAE" w:rsidRDefault="00720667" w:rsidP="006E21D7">
            <w:pPr>
              <w:rPr>
                <w:rFonts w:ascii="Arial" w:hAnsi="Arial" w:cs="Arial"/>
                <w:sz w:val="20"/>
                <w:szCs w:val="20"/>
              </w:rPr>
            </w:pPr>
            <w:bookmarkStart w:id="33" w:name="_Hlk173140454"/>
            <w:r w:rsidRPr="005E4CAE">
              <w:rPr>
                <w:rFonts w:ascii="Arial" w:hAnsi="Arial" w:cs="Arial"/>
                <w:sz w:val="20"/>
                <w:szCs w:val="20"/>
              </w:rPr>
              <w:t>We agree that this is a very important quality statement for inclusion</w:t>
            </w:r>
            <w:bookmarkEnd w:id="33"/>
          </w:p>
        </w:tc>
      </w:tr>
      <w:tr w:rsidR="00720667" w:rsidRPr="005E4CAE" w14:paraId="34C36B9D" w14:textId="77777777" w:rsidTr="006E21D7">
        <w:tc>
          <w:tcPr>
            <w:tcW w:w="267" w:type="pct"/>
            <w:shd w:val="clear" w:color="auto" w:fill="auto"/>
          </w:tcPr>
          <w:p w14:paraId="3758A3F0" w14:textId="7732FD33" w:rsidR="00720667" w:rsidRPr="005E4CAE" w:rsidRDefault="003C6E44" w:rsidP="006E21D7">
            <w:pPr>
              <w:rPr>
                <w:rFonts w:ascii="Arial" w:hAnsi="Arial" w:cs="Arial"/>
                <w:sz w:val="20"/>
                <w:szCs w:val="20"/>
              </w:rPr>
            </w:pPr>
            <w:r>
              <w:rPr>
                <w:rFonts w:ascii="Arial" w:hAnsi="Arial" w:cs="Arial"/>
                <w:sz w:val="20"/>
                <w:szCs w:val="20"/>
              </w:rPr>
              <w:t>39</w:t>
            </w:r>
          </w:p>
        </w:tc>
        <w:tc>
          <w:tcPr>
            <w:tcW w:w="650" w:type="pct"/>
            <w:shd w:val="clear" w:color="auto" w:fill="auto"/>
          </w:tcPr>
          <w:p w14:paraId="5E95F90A" w14:textId="77777777" w:rsidR="00720667" w:rsidRPr="005E4CAE" w:rsidRDefault="00720667" w:rsidP="006E21D7">
            <w:pPr>
              <w:rPr>
                <w:rFonts w:ascii="Arial" w:hAnsi="Arial" w:cs="Arial"/>
                <w:bCs/>
                <w:sz w:val="20"/>
                <w:szCs w:val="20"/>
              </w:rPr>
            </w:pPr>
            <w:r w:rsidRPr="005E4CAE">
              <w:rPr>
                <w:rFonts w:ascii="Arial" w:hAnsi="Arial" w:cs="Arial"/>
                <w:sz w:val="20"/>
                <w:szCs w:val="20"/>
              </w:rPr>
              <w:t>Royal College of General Practitioners</w:t>
            </w:r>
          </w:p>
        </w:tc>
        <w:tc>
          <w:tcPr>
            <w:tcW w:w="535" w:type="pct"/>
            <w:shd w:val="clear" w:color="auto" w:fill="auto"/>
          </w:tcPr>
          <w:p w14:paraId="3A7FE015" w14:textId="77777777" w:rsidR="00720667" w:rsidRPr="005E4CAE" w:rsidRDefault="00720667" w:rsidP="006E21D7">
            <w:pPr>
              <w:rPr>
                <w:rFonts w:ascii="Arial" w:hAnsi="Arial" w:cs="Arial"/>
                <w:sz w:val="20"/>
                <w:szCs w:val="20"/>
              </w:rPr>
            </w:pPr>
            <w:r w:rsidRPr="005E4CAE">
              <w:rPr>
                <w:rFonts w:ascii="Arial" w:hAnsi="Arial" w:cs="Arial"/>
                <w:sz w:val="20"/>
                <w:szCs w:val="20"/>
              </w:rPr>
              <w:t>Statement 3</w:t>
            </w:r>
          </w:p>
        </w:tc>
        <w:tc>
          <w:tcPr>
            <w:tcW w:w="3548" w:type="pct"/>
            <w:shd w:val="clear" w:color="auto" w:fill="auto"/>
            <w:vAlign w:val="center"/>
          </w:tcPr>
          <w:p w14:paraId="4387332F" w14:textId="496B5C2E" w:rsidR="00720667" w:rsidRPr="005E4CAE" w:rsidRDefault="00720667" w:rsidP="006E21D7">
            <w:pPr>
              <w:rPr>
                <w:rFonts w:ascii="Arial" w:hAnsi="Arial" w:cs="Arial"/>
                <w:color w:val="000000"/>
                <w:sz w:val="20"/>
                <w:szCs w:val="20"/>
              </w:rPr>
            </w:pPr>
            <w:bookmarkStart w:id="34" w:name="_Hlk173140474"/>
            <w:r w:rsidRPr="005E4CAE">
              <w:rPr>
                <w:rFonts w:ascii="Arial" w:hAnsi="Arial" w:cs="Arial"/>
                <w:color w:val="000000"/>
                <w:sz w:val="20"/>
                <w:szCs w:val="20"/>
              </w:rPr>
              <w:t xml:space="preserve">There has been a change from giving antibiotics through IM as opposed to now using IV routes. We do not feel that GP is set up to give IV antibiotics and that delays may be caused by attempts to vaccinate when the patient could be transferred to a more appropriate setting. We question the evidence around this and are concerned about the impact of delivering this in general practice. The estimated time of reaching the hospital within an hour is further complicated by rurality and ambulance response times. </w:t>
            </w:r>
            <w:bookmarkEnd w:id="34"/>
          </w:p>
        </w:tc>
      </w:tr>
      <w:tr w:rsidR="00720667" w:rsidRPr="005E4CAE" w14:paraId="3C5C47F0" w14:textId="77777777" w:rsidTr="006E21D7">
        <w:tc>
          <w:tcPr>
            <w:tcW w:w="267" w:type="pct"/>
            <w:shd w:val="clear" w:color="auto" w:fill="auto"/>
          </w:tcPr>
          <w:p w14:paraId="48044232" w14:textId="018A0868" w:rsidR="00720667" w:rsidRPr="005E4CAE" w:rsidRDefault="00720667" w:rsidP="006E21D7">
            <w:pPr>
              <w:rPr>
                <w:rFonts w:ascii="Arial" w:hAnsi="Arial" w:cs="Arial"/>
                <w:sz w:val="20"/>
                <w:szCs w:val="20"/>
              </w:rPr>
            </w:pPr>
            <w:r w:rsidRPr="005E4CAE">
              <w:rPr>
                <w:rFonts w:ascii="Arial" w:hAnsi="Arial" w:cs="Arial"/>
                <w:sz w:val="20"/>
                <w:szCs w:val="20"/>
              </w:rPr>
              <w:t>4</w:t>
            </w:r>
            <w:r w:rsidR="003C6E44">
              <w:rPr>
                <w:rFonts w:ascii="Arial" w:hAnsi="Arial" w:cs="Arial"/>
                <w:sz w:val="20"/>
                <w:szCs w:val="20"/>
              </w:rPr>
              <w:t>0</w:t>
            </w:r>
          </w:p>
        </w:tc>
        <w:tc>
          <w:tcPr>
            <w:tcW w:w="650" w:type="pct"/>
            <w:shd w:val="clear" w:color="auto" w:fill="auto"/>
          </w:tcPr>
          <w:p w14:paraId="666C6209" w14:textId="77777777" w:rsidR="00720667" w:rsidRPr="005E4CAE" w:rsidRDefault="00720667" w:rsidP="006E21D7">
            <w:pPr>
              <w:rPr>
                <w:rFonts w:ascii="Arial" w:hAnsi="Arial" w:cs="Arial"/>
                <w:bCs/>
                <w:iCs/>
                <w:sz w:val="20"/>
                <w:szCs w:val="20"/>
              </w:rPr>
            </w:pPr>
            <w:r w:rsidRPr="005E4CAE">
              <w:rPr>
                <w:rFonts w:ascii="Arial" w:hAnsi="Arial" w:cs="Arial"/>
                <w:bCs/>
                <w:sz w:val="20"/>
                <w:szCs w:val="20"/>
              </w:rPr>
              <w:t>Royal College Emergency Medicine</w:t>
            </w:r>
          </w:p>
        </w:tc>
        <w:tc>
          <w:tcPr>
            <w:tcW w:w="535" w:type="pct"/>
            <w:shd w:val="clear" w:color="auto" w:fill="auto"/>
          </w:tcPr>
          <w:p w14:paraId="66F9E65B" w14:textId="77777777" w:rsidR="00720667" w:rsidRPr="005E4CAE" w:rsidRDefault="00720667" w:rsidP="006E21D7">
            <w:pPr>
              <w:rPr>
                <w:rFonts w:ascii="Arial" w:hAnsi="Arial" w:cs="Arial"/>
                <w:sz w:val="20"/>
                <w:szCs w:val="20"/>
              </w:rPr>
            </w:pPr>
            <w:r w:rsidRPr="005E4CAE">
              <w:rPr>
                <w:rFonts w:ascii="Arial" w:hAnsi="Arial" w:cs="Arial"/>
                <w:sz w:val="20"/>
                <w:szCs w:val="20"/>
              </w:rPr>
              <w:t>Statement 3</w:t>
            </w:r>
          </w:p>
        </w:tc>
        <w:tc>
          <w:tcPr>
            <w:tcW w:w="3548" w:type="pct"/>
            <w:shd w:val="clear" w:color="auto" w:fill="auto"/>
          </w:tcPr>
          <w:p w14:paraId="1C073143" w14:textId="77777777" w:rsidR="00720667" w:rsidRPr="005E4CAE" w:rsidRDefault="00720667" w:rsidP="006E21D7">
            <w:pPr>
              <w:pStyle w:val="Paragraphnonumbers"/>
              <w:spacing w:after="0"/>
              <w:rPr>
                <w:rFonts w:cs="Arial"/>
                <w:sz w:val="20"/>
                <w:szCs w:val="20"/>
              </w:rPr>
            </w:pPr>
            <w:r w:rsidRPr="005E4CAE">
              <w:rPr>
                <w:rFonts w:cs="Arial"/>
                <w:sz w:val="20"/>
                <w:szCs w:val="20"/>
              </w:rPr>
              <w:t>Quality statement 3: Antibiotic treatment</w:t>
            </w:r>
          </w:p>
          <w:p w14:paraId="5AF9A903" w14:textId="77777777" w:rsidR="00720667" w:rsidRPr="005E4CAE" w:rsidRDefault="00720667" w:rsidP="006E21D7">
            <w:pPr>
              <w:pStyle w:val="Paragraphnonumbers"/>
              <w:spacing w:after="0"/>
              <w:rPr>
                <w:rFonts w:cs="Arial"/>
                <w:sz w:val="20"/>
                <w:szCs w:val="20"/>
              </w:rPr>
            </w:pPr>
            <w:r w:rsidRPr="005E4CAE">
              <w:rPr>
                <w:rFonts w:cs="Arial"/>
                <w:sz w:val="20"/>
                <w:szCs w:val="20"/>
              </w:rPr>
              <w:t xml:space="preserve">Agree.  </w:t>
            </w:r>
            <w:bookmarkStart w:id="35" w:name="_Hlk173138961"/>
            <w:r w:rsidRPr="005E4CAE">
              <w:rPr>
                <w:rFonts w:cs="Arial"/>
                <w:sz w:val="20"/>
                <w:szCs w:val="20"/>
              </w:rPr>
              <w:t>There is no reference to in the standard regarding patients who have had pre-hospital antibiotics.</w:t>
            </w:r>
            <w:bookmarkEnd w:id="35"/>
          </w:p>
          <w:p w14:paraId="3F0689E9" w14:textId="77777777" w:rsidR="00720667" w:rsidRPr="005E4CAE" w:rsidRDefault="00720667" w:rsidP="006E21D7">
            <w:pPr>
              <w:pStyle w:val="Paragraphnonumbers"/>
              <w:spacing w:after="0"/>
              <w:rPr>
                <w:rFonts w:cs="Arial"/>
                <w:sz w:val="20"/>
                <w:szCs w:val="20"/>
              </w:rPr>
            </w:pPr>
            <w:r w:rsidRPr="005E4CAE">
              <w:rPr>
                <w:rFonts w:cs="Arial"/>
                <w:sz w:val="20"/>
                <w:szCs w:val="20"/>
              </w:rPr>
              <w:t>Measurement</w:t>
            </w:r>
          </w:p>
          <w:p w14:paraId="78E57B65" w14:textId="77777777" w:rsidR="00720667" w:rsidRPr="005E4CAE" w:rsidRDefault="00720667" w:rsidP="006E21D7">
            <w:pPr>
              <w:pStyle w:val="Paragraphnonumbers"/>
              <w:spacing w:after="0"/>
              <w:rPr>
                <w:rFonts w:cs="Arial"/>
                <w:sz w:val="20"/>
                <w:szCs w:val="20"/>
              </w:rPr>
            </w:pPr>
            <w:bookmarkStart w:id="36" w:name="_Hlk173139008"/>
            <w:r w:rsidRPr="005E4CAE">
              <w:rPr>
                <w:rFonts w:cs="Arial"/>
                <w:sz w:val="20"/>
                <w:szCs w:val="20"/>
              </w:rPr>
              <w:t xml:space="preserve">Should this be confirmed and suspected bacterial meningitis, meningococcal disease ? </w:t>
            </w:r>
          </w:p>
          <w:p w14:paraId="16BBC409" w14:textId="77777777" w:rsidR="00720667" w:rsidRPr="005E4CAE" w:rsidRDefault="00720667" w:rsidP="006E21D7">
            <w:pPr>
              <w:rPr>
                <w:rFonts w:ascii="Arial" w:hAnsi="Arial" w:cs="Arial"/>
                <w:sz w:val="20"/>
                <w:szCs w:val="20"/>
              </w:rPr>
            </w:pPr>
            <w:r w:rsidRPr="005E4CAE">
              <w:rPr>
                <w:rFonts w:ascii="Arial" w:hAnsi="Arial" w:cs="Arial"/>
                <w:sz w:val="20"/>
                <w:szCs w:val="20"/>
              </w:rPr>
              <w:t xml:space="preserve">Suspected bacterial meningitis and suspected </w:t>
            </w:r>
            <w:proofErr w:type="spellStart"/>
            <w:r w:rsidRPr="005E4CAE">
              <w:rPr>
                <w:rFonts w:ascii="Arial" w:hAnsi="Arial" w:cs="Arial"/>
                <w:sz w:val="20"/>
                <w:szCs w:val="20"/>
              </w:rPr>
              <w:t>meningoccocal</w:t>
            </w:r>
            <w:proofErr w:type="spellEnd"/>
            <w:r w:rsidRPr="005E4CAE">
              <w:rPr>
                <w:rFonts w:ascii="Arial" w:hAnsi="Arial" w:cs="Arial"/>
                <w:sz w:val="20"/>
                <w:szCs w:val="20"/>
              </w:rPr>
              <w:t xml:space="preserve"> disease are part of the ECDS dataset, as are ‘suspected viral meningitis’ and ‘suspected encephalitis’.  All three conditions have overlapping symptoms and at the point of selecting a diagnosis in the emergency department, when not all test results are back, there may be a certain randomness to which of these diagnoses is chosen. This will lead to concerns about data quality.</w:t>
            </w:r>
            <w:bookmarkEnd w:id="36"/>
          </w:p>
        </w:tc>
      </w:tr>
      <w:tr w:rsidR="00720667" w:rsidRPr="005E4CAE" w14:paraId="257B40D9" w14:textId="77777777" w:rsidTr="006E21D7">
        <w:tc>
          <w:tcPr>
            <w:tcW w:w="267" w:type="pct"/>
            <w:shd w:val="clear" w:color="auto" w:fill="auto"/>
          </w:tcPr>
          <w:p w14:paraId="3B40A4A5" w14:textId="3E306EFE" w:rsidR="00720667" w:rsidRPr="005E4CAE" w:rsidRDefault="00720667" w:rsidP="006E21D7">
            <w:pPr>
              <w:rPr>
                <w:rFonts w:ascii="Arial" w:hAnsi="Arial" w:cs="Arial"/>
                <w:sz w:val="20"/>
                <w:szCs w:val="20"/>
              </w:rPr>
            </w:pPr>
            <w:r w:rsidRPr="005E4CAE">
              <w:rPr>
                <w:rFonts w:ascii="Arial" w:hAnsi="Arial" w:cs="Arial"/>
                <w:sz w:val="20"/>
                <w:szCs w:val="20"/>
              </w:rPr>
              <w:t>4</w:t>
            </w:r>
            <w:r w:rsidR="003C6E44">
              <w:rPr>
                <w:rFonts w:ascii="Arial" w:hAnsi="Arial" w:cs="Arial"/>
                <w:sz w:val="20"/>
                <w:szCs w:val="20"/>
              </w:rPr>
              <w:t>1</w:t>
            </w:r>
          </w:p>
        </w:tc>
        <w:tc>
          <w:tcPr>
            <w:tcW w:w="650" w:type="pct"/>
            <w:shd w:val="clear" w:color="auto" w:fill="auto"/>
          </w:tcPr>
          <w:p w14:paraId="39F91B58" w14:textId="77777777" w:rsidR="00720667" w:rsidRPr="005E4CAE" w:rsidRDefault="00720667" w:rsidP="006E21D7">
            <w:pPr>
              <w:rPr>
                <w:rFonts w:ascii="Arial" w:hAnsi="Arial" w:cs="Arial"/>
                <w:bCs/>
                <w:iCs/>
                <w:sz w:val="20"/>
                <w:szCs w:val="20"/>
              </w:rPr>
            </w:pPr>
            <w:r w:rsidRPr="005E4CAE">
              <w:rPr>
                <w:rFonts w:ascii="Arial" w:hAnsi="Arial" w:cs="Arial"/>
                <w:bCs/>
                <w:sz w:val="20"/>
                <w:szCs w:val="20"/>
              </w:rPr>
              <w:t>Royal Pharmaceutical Society</w:t>
            </w:r>
          </w:p>
        </w:tc>
        <w:tc>
          <w:tcPr>
            <w:tcW w:w="535" w:type="pct"/>
            <w:shd w:val="clear" w:color="auto" w:fill="auto"/>
          </w:tcPr>
          <w:p w14:paraId="249ACACC" w14:textId="77777777" w:rsidR="00720667" w:rsidRPr="005E4CAE" w:rsidRDefault="00720667" w:rsidP="006E21D7">
            <w:pPr>
              <w:rPr>
                <w:rFonts w:ascii="Arial" w:hAnsi="Arial" w:cs="Arial"/>
                <w:sz w:val="20"/>
                <w:szCs w:val="20"/>
              </w:rPr>
            </w:pPr>
            <w:r w:rsidRPr="005E4CAE">
              <w:rPr>
                <w:rFonts w:ascii="Arial" w:hAnsi="Arial" w:cs="Arial"/>
                <w:sz w:val="20"/>
                <w:szCs w:val="20"/>
              </w:rPr>
              <w:t xml:space="preserve">Statement 3 </w:t>
            </w:r>
          </w:p>
        </w:tc>
        <w:tc>
          <w:tcPr>
            <w:tcW w:w="3548" w:type="pct"/>
            <w:shd w:val="clear" w:color="auto" w:fill="auto"/>
          </w:tcPr>
          <w:p w14:paraId="6162C70E" w14:textId="77777777" w:rsidR="00720667" w:rsidRPr="005E4CAE" w:rsidRDefault="00720667" w:rsidP="006E21D7">
            <w:pPr>
              <w:rPr>
                <w:rFonts w:ascii="Arial" w:hAnsi="Arial" w:cs="Arial"/>
                <w:sz w:val="20"/>
                <w:szCs w:val="20"/>
              </w:rPr>
            </w:pPr>
            <w:r w:rsidRPr="005E4CAE">
              <w:rPr>
                <w:rFonts w:ascii="Arial" w:hAnsi="Arial" w:cs="Arial"/>
                <w:sz w:val="20"/>
                <w:szCs w:val="20"/>
              </w:rPr>
              <w:t xml:space="preserve">The statement of receiving IV antibiotics 1hr after arrival at hospital is a little loose. </w:t>
            </w:r>
            <w:bookmarkStart w:id="37" w:name="_Hlk173139945"/>
            <w:r w:rsidRPr="005E4CAE">
              <w:rPr>
                <w:rFonts w:ascii="Arial" w:hAnsi="Arial" w:cs="Arial"/>
                <w:sz w:val="20"/>
                <w:szCs w:val="20"/>
              </w:rPr>
              <w:t>When a patient thinks they arrive and when different members of the multidisciplinary team think they have arrived is always varied. Considering this is a disease of reasonably high mortality and morbidity it may be best to be more directed e.g. 1 hr of registering at the hospital.</w:t>
            </w:r>
            <w:bookmarkEnd w:id="37"/>
          </w:p>
        </w:tc>
      </w:tr>
      <w:tr w:rsidR="00720667" w:rsidRPr="005E4CAE" w14:paraId="5D9886C4" w14:textId="77777777" w:rsidTr="006E21D7">
        <w:tc>
          <w:tcPr>
            <w:tcW w:w="267" w:type="pct"/>
            <w:shd w:val="clear" w:color="auto" w:fill="auto"/>
          </w:tcPr>
          <w:p w14:paraId="047399BB" w14:textId="324D9CE6" w:rsidR="00720667" w:rsidRPr="005E4CAE" w:rsidRDefault="00720667" w:rsidP="006E21D7">
            <w:pPr>
              <w:rPr>
                <w:rFonts w:ascii="Arial" w:hAnsi="Arial" w:cs="Arial"/>
                <w:sz w:val="20"/>
                <w:szCs w:val="20"/>
              </w:rPr>
            </w:pPr>
            <w:r w:rsidRPr="005E4CAE">
              <w:rPr>
                <w:rFonts w:ascii="Arial" w:hAnsi="Arial" w:cs="Arial"/>
                <w:sz w:val="20"/>
                <w:szCs w:val="20"/>
              </w:rPr>
              <w:t>4</w:t>
            </w:r>
            <w:r w:rsidR="003C6E44">
              <w:rPr>
                <w:rFonts w:ascii="Arial" w:hAnsi="Arial" w:cs="Arial"/>
                <w:sz w:val="20"/>
                <w:szCs w:val="20"/>
              </w:rPr>
              <w:t>2</w:t>
            </w:r>
          </w:p>
        </w:tc>
        <w:tc>
          <w:tcPr>
            <w:tcW w:w="650" w:type="pct"/>
            <w:shd w:val="clear" w:color="auto" w:fill="auto"/>
          </w:tcPr>
          <w:p w14:paraId="61DD46B1" w14:textId="77777777" w:rsidR="00720667" w:rsidRPr="005E4CAE" w:rsidRDefault="00720667" w:rsidP="006E21D7">
            <w:pPr>
              <w:rPr>
                <w:rFonts w:ascii="Arial" w:hAnsi="Arial" w:cs="Arial"/>
                <w:bCs/>
                <w:iCs/>
                <w:sz w:val="20"/>
                <w:szCs w:val="20"/>
              </w:rPr>
            </w:pPr>
            <w:r w:rsidRPr="005E4CAE">
              <w:rPr>
                <w:rFonts w:ascii="Arial" w:hAnsi="Arial" w:cs="Arial"/>
                <w:bCs/>
                <w:sz w:val="20"/>
                <w:szCs w:val="20"/>
              </w:rPr>
              <w:t>Royal Pharmaceutical Society</w:t>
            </w:r>
          </w:p>
        </w:tc>
        <w:tc>
          <w:tcPr>
            <w:tcW w:w="535" w:type="pct"/>
            <w:shd w:val="clear" w:color="auto" w:fill="auto"/>
          </w:tcPr>
          <w:p w14:paraId="00EDD124" w14:textId="77777777" w:rsidR="00720667" w:rsidRPr="005E4CAE" w:rsidRDefault="00720667" w:rsidP="006E21D7">
            <w:pPr>
              <w:rPr>
                <w:rFonts w:ascii="Arial" w:hAnsi="Arial" w:cs="Arial"/>
                <w:sz w:val="20"/>
                <w:szCs w:val="20"/>
              </w:rPr>
            </w:pPr>
            <w:r w:rsidRPr="005E4CAE">
              <w:rPr>
                <w:rFonts w:ascii="Arial" w:hAnsi="Arial" w:cs="Arial"/>
                <w:sz w:val="20"/>
                <w:szCs w:val="20"/>
              </w:rPr>
              <w:t xml:space="preserve">Statement 3 </w:t>
            </w:r>
          </w:p>
        </w:tc>
        <w:tc>
          <w:tcPr>
            <w:tcW w:w="3548" w:type="pct"/>
            <w:shd w:val="clear" w:color="auto" w:fill="auto"/>
          </w:tcPr>
          <w:p w14:paraId="3E7D0794" w14:textId="77777777" w:rsidR="00720667" w:rsidRPr="005E4CAE" w:rsidRDefault="00720667" w:rsidP="006E21D7">
            <w:pPr>
              <w:rPr>
                <w:rFonts w:ascii="Arial" w:hAnsi="Arial" w:cs="Arial"/>
                <w:sz w:val="20"/>
                <w:szCs w:val="20"/>
              </w:rPr>
            </w:pPr>
            <w:bookmarkStart w:id="38" w:name="_Hlk173140430"/>
            <w:r w:rsidRPr="005E4CAE">
              <w:rPr>
                <w:rFonts w:ascii="Arial" w:hAnsi="Arial" w:cs="Arial"/>
                <w:sz w:val="20"/>
                <w:szCs w:val="20"/>
              </w:rPr>
              <w:t>This statement currently just say ‘receive antibiotics’. There are different antibiotics depending on the circumstances (allergy, neonates, listeria etc) and thus as a minimum it should be “all appropriate antibiotics” unless all are happy that it is the major antibiotic that must be within 1hr.</w:t>
            </w:r>
            <w:bookmarkEnd w:id="38"/>
          </w:p>
        </w:tc>
      </w:tr>
      <w:tr w:rsidR="00720667" w:rsidRPr="005E4CAE" w14:paraId="51C38910" w14:textId="77777777" w:rsidTr="00720667">
        <w:tc>
          <w:tcPr>
            <w:tcW w:w="5000" w:type="pct"/>
            <w:gridSpan w:val="4"/>
            <w:shd w:val="clear" w:color="auto" w:fill="auto"/>
          </w:tcPr>
          <w:p w14:paraId="3F76F5E1" w14:textId="77777777" w:rsidR="00720667" w:rsidRPr="005E4CAE" w:rsidRDefault="00720667" w:rsidP="006E21D7">
            <w:pPr>
              <w:rPr>
                <w:rFonts w:ascii="Arial" w:hAnsi="Arial" w:cs="Arial"/>
                <w:sz w:val="20"/>
                <w:szCs w:val="20"/>
              </w:rPr>
            </w:pPr>
            <w:r w:rsidRPr="005E4CAE">
              <w:rPr>
                <w:rFonts w:ascii="Arial" w:hAnsi="Arial" w:cs="Arial"/>
                <w:sz w:val="20"/>
                <w:szCs w:val="20"/>
              </w:rPr>
              <w:t>Statement 4</w:t>
            </w:r>
          </w:p>
        </w:tc>
      </w:tr>
      <w:tr w:rsidR="00720667" w:rsidRPr="005E4CAE" w14:paraId="78EF06C5" w14:textId="77777777" w:rsidTr="006E21D7">
        <w:tc>
          <w:tcPr>
            <w:tcW w:w="267" w:type="pct"/>
          </w:tcPr>
          <w:p w14:paraId="556DF9DC" w14:textId="2C4C0CF5" w:rsidR="00720667" w:rsidRPr="005E4CAE" w:rsidRDefault="00720667" w:rsidP="006E21D7">
            <w:pPr>
              <w:rPr>
                <w:rFonts w:ascii="Arial" w:hAnsi="Arial" w:cs="Arial"/>
                <w:sz w:val="20"/>
                <w:szCs w:val="20"/>
              </w:rPr>
            </w:pPr>
            <w:r w:rsidRPr="005E4CAE">
              <w:rPr>
                <w:rFonts w:ascii="Arial" w:hAnsi="Arial" w:cs="Arial"/>
                <w:sz w:val="20"/>
                <w:szCs w:val="20"/>
              </w:rPr>
              <w:lastRenderedPageBreak/>
              <w:t>4</w:t>
            </w:r>
            <w:r w:rsidR="003C6E44">
              <w:rPr>
                <w:rFonts w:ascii="Arial" w:hAnsi="Arial" w:cs="Arial"/>
                <w:sz w:val="20"/>
                <w:szCs w:val="20"/>
              </w:rPr>
              <w:t>3</w:t>
            </w:r>
          </w:p>
        </w:tc>
        <w:tc>
          <w:tcPr>
            <w:tcW w:w="650" w:type="pct"/>
          </w:tcPr>
          <w:p w14:paraId="77175EF6" w14:textId="33D75B9F" w:rsidR="00720667" w:rsidRPr="005E4CAE" w:rsidRDefault="00720667" w:rsidP="006E21D7">
            <w:pPr>
              <w:rPr>
                <w:rFonts w:ascii="Arial" w:hAnsi="Arial" w:cs="Arial"/>
                <w:bCs/>
                <w:sz w:val="20"/>
                <w:szCs w:val="20"/>
              </w:rPr>
            </w:pPr>
            <w:r w:rsidRPr="005E4CAE">
              <w:rPr>
                <w:rFonts w:ascii="Arial" w:hAnsi="Arial" w:cs="Arial"/>
                <w:bCs/>
                <w:sz w:val="20"/>
                <w:szCs w:val="20"/>
              </w:rPr>
              <w:t>Association of Paediatric Emergency Medicine (APEM)</w:t>
            </w:r>
          </w:p>
        </w:tc>
        <w:tc>
          <w:tcPr>
            <w:tcW w:w="535" w:type="pct"/>
          </w:tcPr>
          <w:p w14:paraId="56A2EEBD" w14:textId="77777777" w:rsidR="00720667" w:rsidRPr="005E4CAE" w:rsidRDefault="00720667" w:rsidP="006E21D7">
            <w:pPr>
              <w:rPr>
                <w:rFonts w:ascii="Arial" w:hAnsi="Arial" w:cs="Arial"/>
                <w:sz w:val="20"/>
                <w:szCs w:val="20"/>
              </w:rPr>
            </w:pPr>
            <w:r w:rsidRPr="005E4CAE">
              <w:rPr>
                <w:rFonts w:ascii="Arial" w:hAnsi="Arial" w:cs="Arial"/>
                <w:sz w:val="20"/>
                <w:szCs w:val="20"/>
              </w:rPr>
              <w:t>Statement 4</w:t>
            </w:r>
          </w:p>
        </w:tc>
        <w:tc>
          <w:tcPr>
            <w:tcW w:w="3548" w:type="pct"/>
          </w:tcPr>
          <w:p w14:paraId="43ADADBD" w14:textId="77777777" w:rsidR="00720667" w:rsidRPr="005E4CAE" w:rsidRDefault="00720667" w:rsidP="006E21D7">
            <w:pPr>
              <w:rPr>
                <w:rFonts w:ascii="Arial" w:hAnsi="Arial" w:cs="Arial"/>
                <w:sz w:val="20"/>
                <w:szCs w:val="20"/>
              </w:rPr>
            </w:pPr>
            <w:r w:rsidRPr="005E4CAE">
              <w:rPr>
                <w:rFonts w:ascii="Arial" w:hAnsi="Arial" w:cs="Arial"/>
                <w:sz w:val="20"/>
                <w:szCs w:val="20"/>
              </w:rPr>
              <w:t>No comments</w:t>
            </w:r>
          </w:p>
        </w:tc>
      </w:tr>
      <w:tr w:rsidR="00720667" w:rsidRPr="005E4CAE" w14:paraId="69C4CE1D" w14:textId="77777777" w:rsidTr="006E21D7">
        <w:tc>
          <w:tcPr>
            <w:tcW w:w="267" w:type="pct"/>
          </w:tcPr>
          <w:p w14:paraId="04E3AEFA" w14:textId="355CCBF5" w:rsidR="00720667" w:rsidRPr="005E4CAE" w:rsidRDefault="00720667" w:rsidP="006E21D7">
            <w:pPr>
              <w:rPr>
                <w:rFonts w:ascii="Arial" w:hAnsi="Arial" w:cs="Arial"/>
                <w:sz w:val="20"/>
                <w:szCs w:val="20"/>
              </w:rPr>
            </w:pPr>
            <w:r w:rsidRPr="005E4CAE">
              <w:rPr>
                <w:rFonts w:ascii="Arial" w:hAnsi="Arial" w:cs="Arial"/>
                <w:sz w:val="20"/>
                <w:szCs w:val="20"/>
              </w:rPr>
              <w:t>4</w:t>
            </w:r>
            <w:r w:rsidR="003C6E44">
              <w:rPr>
                <w:rFonts w:ascii="Arial" w:hAnsi="Arial" w:cs="Arial"/>
                <w:sz w:val="20"/>
                <w:szCs w:val="20"/>
              </w:rPr>
              <w:t>4</w:t>
            </w:r>
          </w:p>
        </w:tc>
        <w:tc>
          <w:tcPr>
            <w:tcW w:w="650" w:type="pct"/>
          </w:tcPr>
          <w:p w14:paraId="2DBC6697" w14:textId="77777777" w:rsidR="00720667" w:rsidRPr="005E4CAE" w:rsidRDefault="00720667" w:rsidP="006E21D7">
            <w:pPr>
              <w:rPr>
                <w:rFonts w:ascii="Arial" w:hAnsi="Arial" w:cs="Arial"/>
                <w:bCs/>
                <w:sz w:val="20"/>
                <w:szCs w:val="20"/>
              </w:rPr>
            </w:pPr>
            <w:r w:rsidRPr="005E4CAE">
              <w:rPr>
                <w:rFonts w:ascii="Arial" w:hAnsi="Arial" w:cs="Arial"/>
                <w:bCs/>
                <w:sz w:val="20"/>
                <w:szCs w:val="20"/>
              </w:rPr>
              <w:t>Meningitis Now</w:t>
            </w:r>
          </w:p>
        </w:tc>
        <w:tc>
          <w:tcPr>
            <w:tcW w:w="535" w:type="pct"/>
          </w:tcPr>
          <w:p w14:paraId="2FB88A6B" w14:textId="77777777" w:rsidR="00720667" w:rsidRPr="005E4CAE" w:rsidRDefault="00720667" w:rsidP="006E21D7">
            <w:pPr>
              <w:rPr>
                <w:rFonts w:ascii="Arial" w:hAnsi="Arial" w:cs="Arial"/>
                <w:sz w:val="20"/>
                <w:szCs w:val="20"/>
              </w:rPr>
            </w:pPr>
            <w:r w:rsidRPr="005E4CAE">
              <w:rPr>
                <w:rFonts w:ascii="Arial" w:hAnsi="Arial" w:cs="Arial"/>
                <w:sz w:val="20"/>
                <w:szCs w:val="20"/>
              </w:rPr>
              <w:t>Statement 4</w:t>
            </w:r>
          </w:p>
        </w:tc>
        <w:tc>
          <w:tcPr>
            <w:tcW w:w="3548" w:type="pct"/>
          </w:tcPr>
          <w:p w14:paraId="55A3035C" w14:textId="74EAD492" w:rsidR="00720667" w:rsidRPr="005E4CAE" w:rsidRDefault="00720667" w:rsidP="006E21D7">
            <w:pPr>
              <w:rPr>
                <w:rFonts w:ascii="Arial" w:hAnsi="Arial" w:cs="Arial"/>
                <w:sz w:val="20"/>
                <w:szCs w:val="20"/>
              </w:rPr>
            </w:pPr>
            <w:bookmarkStart w:id="39" w:name="_Hlk173140783"/>
            <w:r w:rsidRPr="005E4CAE">
              <w:rPr>
                <w:rFonts w:ascii="Arial" w:hAnsi="Arial" w:cs="Arial"/>
                <w:sz w:val="20"/>
                <w:szCs w:val="20"/>
              </w:rPr>
              <w:t>We are aware of people waiting for longer than 4 weeks (of being well enough for testing</w:t>
            </w:r>
            <w:r w:rsidR="005E4CAE" w:rsidRPr="005E4CAE">
              <w:rPr>
                <w:rFonts w:ascii="Arial" w:hAnsi="Arial" w:cs="Arial"/>
                <w:sz w:val="20"/>
                <w:szCs w:val="20"/>
              </w:rPr>
              <w:t>).</w:t>
            </w:r>
            <w:r w:rsidRPr="005E4CAE">
              <w:rPr>
                <w:rFonts w:ascii="Arial" w:hAnsi="Arial" w:cs="Arial"/>
                <w:sz w:val="20"/>
                <w:szCs w:val="20"/>
              </w:rPr>
              <w:t xml:space="preserve"> Will availability of appointments for audiology assessment be an issue in some areas thereby preventing timely assessment?</w:t>
            </w:r>
            <w:bookmarkEnd w:id="39"/>
          </w:p>
        </w:tc>
      </w:tr>
      <w:tr w:rsidR="00720667" w:rsidRPr="005E4CAE" w14:paraId="4FAADB3D" w14:textId="77777777" w:rsidTr="006E21D7">
        <w:tc>
          <w:tcPr>
            <w:tcW w:w="267" w:type="pct"/>
            <w:shd w:val="clear" w:color="auto" w:fill="auto"/>
          </w:tcPr>
          <w:p w14:paraId="3E242BBE" w14:textId="30EA89F1" w:rsidR="00720667" w:rsidRPr="005E4CAE" w:rsidRDefault="00720667" w:rsidP="006E21D7">
            <w:pPr>
              <w:rPr>
                <w:rFonts w:ascii="Arial" w:hAnsi="Arial" w:cs="Arial"/>
                <w:sz w:val="20"/>
                <w:szCs w:val="20"/>
              </w:rPr>
            </w:pPr>
            <w:r w:rsidRPr="005E4CAE">
              <w:rPr>
                <w:rFonts w:ascii="Arial" w:hAnsi="Arial" w:cs="Arial"/>
                <w:sz w:val="20"/>
                <w:szCs w:val="20"/>
              </w:rPr>
              <w:t>4</w:t>
            </w:r>
            <w:r w:rsidR="003C6E44">
              <w:rPr>
                <w:rFonts w:ascii="Arial" w:hAnsi="Arial" w:cs="Arial"/>
                <w:sz w:val="20"/>
                <w:szCs w:val="20"/>
              </w:rPr>
              <w:t>5</w:t>
            </w:r>
          </w:p>
        </w:tc>
        <w:tc>
          <w:tcPr>
            <w:tcW w:w="650" w:type="pct"/>
            <w:shd w:val="clear" w:color="auto" w:fill="auto"/>
          </w:tcPr>
          <w:p w14:paraId="0CAEDF82" w14:textId="77777777" w:rsidR="00720667" w:rsidRPr="005E4CAE" w:rsidRDefault="00720667" w:rsidP="006E21D7">
            <w:pPr>
              <w:rPr>
                <w:rFonts w:ascii="Arial" w:hAnsi="Arial" w:cs="Arial"/>
                <w:bCs/>
                <w:iCs/>
                <w:sz w:val="20"/>
                <w:szCs w:val="20"/>
              </w:rPr>
            </w:pPr>
            <w:r w:rsidRPr="005E4CAE">
              <w:rPr>
                <w:rFonts w:ascii="Arial" w:hAnsi="Arial" w:cs="Arial"/>
                <w:bCs/>
                <w:sz w:val="20"/>
                <w:szCs w:val="20"/>
              </w:rPr>
              <w:t>Meningitis Research Foundation</w:t>
            </w:r>
          </w:p>
        </w:tc>
        <w:tc>
          <w:tcPr>
            <w:tcW w:w="535" w:type="pct"/>
            <w:shd w:val="clear" w:color="auto" w:fill="auto"/>
          </w:tcPr>
          <w:p w14:paraId="2BC13CA5" w14:textId="77777777" w:rsidR="00720667" w:rsidRPr="005E4CAE" w:rsidRDefault="00720667" w:rsidP="006E21D7">
            <w:pPr>
              <w:rPr>
                <w:rFonts w:ascii="Arial" w:hAnsi="Arial" w:cs="Arial"/>
                <w:sz w:val="20"/>
                <w:szCs w:val="20"/>
              </w:rPr>
            </w:pPr>
            <w:r w:rsidRPr="005E4CAE">
              <w:rPr>
                <w:rFonts w:ascii="Arial" w:hAnsi="Arial" w:cs="Arial"/>
                <w:sz w:val="20"/>
                <w:szCs w:val="20"/>
              </w:rPr>
              <w:t>Statement 4</w:t>
            </w:r>
          </w:p>
        </w:tc>
        <w:tc>
          <w:tcPr>
            <w:tcW w:w="3548" w:type="pct"/>
            <w:shd w:val="clear" w:color="auto" w:fill="auto"/>
          </w:tcPr>
          <w:p w14:paraId="2F40452F" w14:textId="77777777" w:rsidR="00720667" w:rsidRPr="005E4CAE" w:rsidRDefault="00720667" w:rsidP="006E21D7">
            <w:pPr>
              <w:rPr>
                <w:rFonts w:ascii="Arial" w:hAnsi="Arial" w:cs="Arial"/>
                <w:sz w:val="20"/>
                <w:szCs w:val="20"/>
              </w:rPr>
            </w:pPr>
            <w:r w:rsidRPr="005E4CAE">
              <w:rPr>
                <w:rFonts w:ascii="Arial" w:hAnsi="Arial" w:cs="Arial"/>
                <w:sz w:val="20"/>
                <w:szCs w:val="20"/>
              </w:rPr>
              <w:t xml:space="preserve">We agree that this is an important statement, but think that it would be possible for this to be covered by statement 5 by including additional wording to that QS.  This would free up space for an additional QS that covers the importance of performing timely LP and blood samples and </w:t>
            </w:r>
            <w:bookmarkStart w:id="40" w:name="_Hlk174373244"/>
            <w:r w:rsidRPr="005E4CAE">
              <w:rPr>
                <w:rFonts w:ascii="Arial" w:hAnsi="Arial" w:cs="Arial"/>
                <w:sz w:val="20"/>
                <w:szCs w:val="20"/>
              </w:rPr>
              <w:t>ensuring a clinical assessment for raised intracranial pressure</w:t>
            </w:r>
            <w:bookmarkEnd w:id="40"/>
          </w:p>
        </w:tc>
      </w:tr>
      <w:tr w:rsidR="00720667" w:rsidRPr="005E4CAE" w14:paraId="0C106BF3" w14:textId="77777777" w:rsidTr="006E21D7">
        <w:tc>
          <w:tcPr>
            <w:tcW w:w="267" w:type="pct"/>
            <w:shd w:val="clear" w:color="auto" w:fill="auto"/>
          </w:tcPr>
          <w:p w14:paraId="68A991B8" w14:textId="02568DFE" w:rsidR="00720667" w:rsidRPr="005E4CAE" w:rsidRDefault="00720667" w:rsidP="006E21D7">
            <w:pPr>
              <w:rPr>
                <w:rFonts w:ascii="Arial" w:hAnsi="Arial" w:cs="Arial"/>
                <w:sz w:val="20"/>
                <w:szCs w:val="20"/>
              </w:rPr>
            </w:pPr>
            <w:r w:rsidRPr="005E4CAE">
              <w:rPr>
                <w:rFonts w:ascii="Arial" w:hAnsi="Arial" w:cs="Arial"/>
                <w:sz w:val="20"/>
                <w:szCs w:val="20"/>
              </w:rPr>
              <w:t>4</w:t>
            </w:r>
            <w:r w:rsidR="003C6E44">
              <w:rPr>
                <w:rFonts w:ascii="Arial" w:hAnsi="Arial" w:cs="Arial"/>
                <w:sz w:val="20"/>
                <w:szCs w:val="20"/>
              </w:rPr>
              <w:t>6</w:t>
            </w:r>
          </w:p>
        </w:tc>
        <w:tc>
          <w:tcPr>
            <w:tcW w:w="650" w:type="pct"/>
            <w:shd w:val="clear" w:color="auto" w:fill="auto"/>
          </w:tcPr>
          <w:p w14:paraId="4C482286" w14:textId="77777777" w:rsidR="00720667" w:rsidRPr="005E4CAE" w:rsidRDefault="00720667" w:rsidP="006E21D7">
            <w:pPr>
              <w:rPr>
                <w:rFonts w:ascii="Arial" w:hAnsi="Arial" w:cs="Arial"/>
                <w:bCs/>
                <w:iCs/>
                <w:sz w:val="20"/>
                <w:szCs w:val="20"/>
              </w:rPr>
            </w:pPr>
            <w:r w:rsidRPr="005E4CAE">
              <w:rPr>
                <w:rFonts w:ascii="Arial" w:hAnsi="Arial" w:cs="Arial"/>
                <w:bCs/>
                <w:sz w:val="20"/>
                <w:szCs w:val="20"/>
              </w:rPr>
              <w:t>Royal College Emergency Medicine</w:t>
            </w:r>
          </w:p>
        </w:tc>
        <w:tc>
          <w:tcPr>
            <w:tcW w:w="535" w:type="pct"/>
            <w:shd w:val="clear" w:color="auto" w:fill="auto"/>
          </w:tcPr>
          <w:p w14:paraId="066150FD" w14:textId="77777777" w:rsidR="00720667" w:rsidRPr="005E4CAE" w:rsidRDefault="00720667" w:rsidP="006E21D7">
            <w:pPr>
              <w:rPr>
                <w:rFonts w:ascii="Arial" w:hAnsi="Arial" w:cs="Arial"/>
                <w:sz w:val="20"/>
                <w:szCs w:val="20"/>
              </w:rPr>
            </w:pPr>
            <w:r w:rsidRPr="005E4CAE">
              <w:rPr>
                <w:rFonts w:ascii="Arial" w:hAnsi="Arial" w:cs="Arial"/>
                <w:sz w:val="20"/>
                <w:szCs w:val="20"/>
              </w:rPr>
              <w:t>Statement 4</w:t>
            </w:r>
          </w:p>
        </w:tc>
        <w:tc>
          <w:tcPr>
            <w:tcW w:w="3548" w:type="pct"/>
            <w:shd w:val="clear" w:color="auto" w:fill="auto"/>
          </w:tcPr>
          <w:p w14:paraId="5E6CB95F" w14:textId="77777777" w:rsidR="00720667" w:rsidRPr="005E4CAE" w:rsidRDefault="00720667" w:rsidP="006E21D7">
            <w:pPr>
              <w:rPr>
                <w:rFonts w:ascii="Arial" w:hAnsi="Arial" w:cs="Arial"/>
                <w:sz w:val="20"/>
                <w:szCs w:val="20"/>
              </w:rPr>
            </w:pPr>
            <w:r w:rsidRPr="005E4CAE">
              <w:rPr>
                <w:rFonts w:ascii="Arial" w:hAnsi="Arial" w:cs="Arial"/>
                <w:sz w:val="20"/>
                <w:szCs w:val="20"/>
              </w:rPr>
              <w:t>No comments</w:t>
            </w:r>
          </w:p>
        </w:tc>
      </w:tr>
      <w:tr w:rsidR="00720667" w:rsidRPr="005E4CAE" w14:paraId="16B77FA1" w14:textId="77777777" w:rsidTr="006E21D7">
        <w:tc>
          <w:tcPr>
            <w:tcW w:w="267" w:type="pct"/>
            <w:shd w:val="clear" w:color="auto" w:fill="auto"/>
          </w:tcPr>
          <w:p w14:paraId="6D09F51C" w14:textId="7597180A" w:rsidR="00720667" w:rsidRPr="005E4CAE" w:rsidRDefault="00720667" w:rsidP="006E21D7">
            <w:pPr>
              <w:rPr>
                <w:rFonts w:ascii="Arial" w:hAnsi="Arial" w:cs="Arial"/>
                <w:sz w:val="20"/>
                <w:szCs w:val="20"/>
              </w:rPr>
            </w:pPr>
            <w:r w:rsidRPr="005E4CAE">
              <w:rPr>
                <w:rFonts w:ascii="Arial" w:hAnsi="Arial" w:cs="Arial"/>
                <w:sz w:val="20"/>
                <w:szCs w:val="20"/>
              </w:rPr>
              <w:t>4</w:t>
            </w:r>
            <w:r w:rsidR="003C6E44">
              <w:rPr>
                <w:rFonts w:ascii="Arial" w:hAnsi="Arial" w:cs="Arial"/>
                <w:sz w:val="20"/>
                <w:szCs w:val="20"/>
              </w:rPr>
              <w:t>7</w:t>
            </w:r>
          </w:p>
        </w:tc>
        <w:tc>
          <w:tcPr>
            <w:tcW w:w="650" w:type="pct"/>
            <w:shd w:val="clear" w:color="auto" w:fill="auto"/>
          </w:tcPr>
          <w:p w14:paraId="320D16FA" w14:textId="77777777" w:rsidR="00720667" w:rsidRPr="005E4CAE" w:rsidRDefault="00720667" w:rsidP="006E21D7">
            <w:pPr>
              <w:rPr>
                <w:rFonts w:ascii="Arial" w:hAnsi="Arial" w:cs="Arial"/>
                <w:bCs/>
                <w:sz w:val="20"/>
                <w:szCs w:val="20"/>
              </w:rPr>
            </w:pPr>
            <w:r w:rsidRPr="005E4CAE">
              <w:rPr>
                <w:rFonts w:ascii="Arial" w:hAnsi="Arial" w:cs="Arial"/>
                <w:sz w:val="20"/>
                <w:szCs w:val="20"/>
              </w:rPr>
              <w:t>Royal College of General Practitioners</w:t>
            </w:r>
          </w:p>
        </w:tc>
        <w:tc>
          <w:tcPr>
            <w:tcW w:w="535" w:type="pct"/>
            <w:shd w:val="clear" w:color="auto" w:fill="auto"/>
          </w:tcPr>
          <w:p w14:paraId="3B374C90" w14:textId="77777777" w:rsidR="00720667" w:rsidRPr="005E4CAE" w:rsidRDefault="00720667" w:rsidP="006E21D7">
            <w:pPr>
              <w:rPr>
                <w:rFonts w:ascii="Arial" w:hAnsi="Arial" w:cs="Arial"/>
                <w:sz w:val="20"/>
                <w:szCs w:val="20"/>
              </w:rPr>
            </w:pPr>
            <w:r w:rsidRPr="005E4CAE">
              <w:rPr>
                <w:rFonts w:ascii="Arial" w:hAnsi="Arial" w:cs="Arial"/>
                <w:sz w:val="20"/>
                <w:szCs w:val="20"/>
              </w:rPr>
              <w:t xml:space="preserve">Statement 4 </w:t>
            </w:r>
          </w:p>
        </w:tc>
        <w:tc>
          <w:tcPr>
            <w:tcW w:w="3548" w:type="pct"/>
            <w:shd w:val="clear" w:color="auto" w:fill="auto"/>
            <w:vAlign w:val="center"/>
          </w:tcPr>
          <w:p w14:paraId="5380FEB0" w14:textId="77777777" w:rsidR="00720667" w:rsidRPr="005E4CAE" w:rsidRDefault="00720667" w:rsidP="006E21D7">
            <w:pPr>
              <w:rPr>
                <w:rFonts w:ascii="Arial" w:hAnsi="Arial" w:cs="Arial"/>
                <w:sz w:val="20"/>
                <w:szCs w:val="20"/>
              </w:rPr>
            </w:pPr>
            <w:bookmarkStart w:id="41" w:name="_Hlk173141036"/>
            <w:r w:rsidRPr="005E4CAE">
              <w:rPr>
                <w:rFonts w:ascii="Arial" w:hAnsi="Arial" w:cs="Arial"/>
                <w:sz w:val="20"/>
                <w:szCs w:val="20"/>
              </w:rPr>
              <w:t>We are concerned that many audiology services may be delivered by community trusts and hospital follow-ups, when not organised well, could cause the transfer of work to primary care. This will result in an unacceptable workload for primary care and delays to the process.</w:t>
            </w:r>
            <w:bookmarkEnd w:id="41"/>
          </w:p>
        </w:tc>
      </w:tr>
      <w:tr w:rsidR="00720667" w:rsidRPr="005E4CAE" w14:paraId="0129F758" w14:textId="77777777" w:rsidTr="006E21D7">
        <w:tc>
          <w:tcPr>
            <w:tcW w:w="5000" w:type="pct"/>
            <w:gridSpan w:val="4"/>
          </w:tcPr>
          <w:p w14:paraId="18A8073A" w14:textId="7CC48D2B" w:rsidR="00720667" w:rsidRPr="005E4CAE" w:rsidRDefault="00720667" w:rsidP="006E21D7">
            <w:pPr>
              <w:rPr>
                <w:rFonts w:ascii="Arial" w:hAnsi="Arial" w:cs="Arial"/>
                <w:color w:val="000000"/>
                <w:sz w:val="20"/>
                <w:szCs w:val="20"/>
              </w:rPr>
            </w:pPr>
            <w:r w:rsidRPr="005E4CAE">
              <w:rPr>
                <w:rFonts w:ascii="Arial" w:hAnsi="Arial" w:cs="Arial"/>
                <w:color w:val="000000"/>
                <w:sz w:val="20"/>
                <w:szCs w:val="20"/>
              </w:rPr>
              <w:t xml:space="preserve">Question </w:t>
            </w:r>
            <w:r w:rsidR="001F1BBA" w:rsidRPr="005E4CAE">
              <w:rPr>
                <w:rFonts w:ascii="Arial" w:hAnsi="Arial" w:cs="Arial"/>
                <w:color w:val="000000"/>
                <w:sz w:val="20"/>
                <w:szCs w:val="20"/>
              </w:rPr>
              <w:t>5</w:t>
            </w:r>
            <w:r w:rsidRPr="005E4CAE">
              <w:rPr>
                <w:rFonts w:ascii="Arial" w:hAnsi="Arial" w:cs="Arial"/>
                <w:color w:val="000000"/>
                <w:sz w:val="20"/>
                <w:szCs w:val="20"/>
              </w:rPr>
              <w:t xml:space="preserve"> (on statement 4) </w:t>
            </w:r>
          </w:p>
        </w:tc>
      </w:tr>
      <w:tr w:rsidR="00720667" w:rsidRPr="005E4CAE" w14:paraId="6BE4E119" w14:textId="77777777" w:rsidTr="006E21D7">
        <w:tc>
          <w:tcPr>
            <w:tcW w:w="267" w:type="pct"/>
            <w:shd w:val="clear" w:color="auto" w:fill="auto"/>
          </w:tcPr>
          <w:p w14:paraId="42029215" w14:textId="454B20C5" w:rsidR="00720667" w:rsidRPr="005E4CAE" w:rsidRDefault="003C6E44" w:rsidP="006E21D7">
            <w:pPr>
              <w:rPr>
                <w:rFonts w:ascii="Arial" w:hAnsi="Arial" w:cs="Arial"/>
                <w:sz w:val="20"/>
                <w:szCs w:val="20"/>
              </w:rPr>
            </w:pPr>
            <w:r>
              <w:rPr>
                <w:rFonts w:ascii="Arial" w:hAnsi="Arial" w:cs="Arial"/>
                <w:sz w:val="20"/>
                <w:szCs w:val="20"/>
              </w:rPr>
              <w:t>48</w:t>
            </w:r>
          </w:p>
        </w:tc>
        <w:tc>
          <w:tcPr>
            <w:tcW w:w="650" w:type="pct"/>
            <w:shd w:val="clear" w:color="auto" w:fill="auto"/>
          </w:tcPr>
          <w:p w14:paraId="77AB026C" w14:textId="77777777" w:rsidR="00720667" w:rsidRPr="005E4CAE" w:rsidRDefault="00720667" w:rsidP="006E21D7">
            <w:pPr>
              <w:rPr>
                <w:rFonts w:ascii="Arial" w:hAnsi="Arial" w:cs="Arial"/>
                <w:bCs/>
                <w:iCs/>
                <w:sz w:val="20"/>
                <w:szCs w:val="20"/>
              </w:rPr>
            </w:pPr>
            <w:r w:rsidRPr="005E4CAE">
              <w:rPr>
                <w:rFonts w:ascii="Arial" w:hAnsi="Arial" w:cs="Arial"/>
                <w:bCs/>
                <w:sz w:val="20"/>
                <w:szCs w:val="20"/>
              </w:rPr>
              <w:t>Royal College Emergency Medicine</w:t>
            </w:r>
          </w:p>
        </w:tc>
        <w:tc>
          <w:tcPr>
            <w:tcW w:w="535" w:type="pct"/>
            <w:shd w:val="clear" w:color="auto" w:fill="auto"/>
          </w:tcPr>
          <w:p w14:paraId="7688E9E2" w14:textId="78ED91CF" w:rsidR="00720667" w:rsidRPr="005E4CAE" w:rsidRDefault="00720667" w:rsidP="006E21D7">
            <w:pPr>
              <w:rPr>
                <w:rFonts w:ascii="Arial" w:hAnsi="Arial" w:cs="Arial"/>
                <w:sz w:val="20"/>
                <w:szCs w:val="20"/>
              </w:rPr>
            </w:pPr>
            <w:r w:rsidRPr="005E4CAE">
              <w:rPr>
                <w:rFonts w:ascii="Arial" w:hAnsi="Arial" w:cs="Arial"/>
                <w:sz w:val="20"/>
                <w:szCs w:val="20"/>
              </w:rPr>
              <w:t xml:space="preserve">Question </w:t>
            </w:r>
            <w:r w:rsidR="00BA3798" w:rsidRPr="005E4CAE">
              <w:rPr>
                <w:rFonts w:ascii="Arial" w:hAnsi="Arial" w:cs="Arial"/>
                <w:sz w:val="20"/>
                <w:szCs w:val="20"/>
              </w:rPr>
              <w:t>5</w:t>
            </w:r>
          </w:p>
        </w:tc>
        <w:tc>
          <w:tcPr>
            <w:tcW w:w="3548" w:type="pct"/>
            <w:shd w:val="clear" w:color="auto" w:fill="auto"/>
          </w:tcPr>
          <w:p w14:paraId="7D817EA8" w14:textId="77777777" w:rsidR="00720667" w:rsidRPr="005E4CAE" w:rsidRDefault="00720667" w:rsidP="006E21D7">
            <w:pPr>
              <w:rPr>
                <w:rFonts w:ascii="Arial" w:hAnsi="Arial" w:cs="Arial"/>
                <w:sz w:val="20"/>
                <w:szCs w:val="20"/>
              </w:rPr>
            </w:pPr>
            <w:r w:rsidRPr="005E4CAE">
              <w:rPr>
                <w:rFonts w:ascii="Arial" w:hAnsi="Arial" w:cs="Arial"/>
                <w:sz w:val="20"/>
                <w:szCs w:val="20"/>
              </w:rPr>
              <w:t>No comments</w:t>
            </w:r>
          </w:p>
        </w:tc>
      </w:tr>
      <w:tr w:rsidR="00720667" w:rsidRPr="005E4CAE" w14:paraId="5E64FE00" w14:textId="77777777" w:rsidTr="006E21D7">
        <w:tc>
          <w:tcPr>
            <w:tcW w:w="267" w:type="pct"/>
            <w:shd w:val="clear" w:color="auto" w:fill="auto"/>
          </w:tcPr>
          <w:p w14:paraId="469C75D7" w14:textId="40164787" w:rsidR="00720667" w:rsidRPr="005E4CAE" w:rsidRDefault="003C6E44" w:rsidP="006E21D7">
            <w:pPr>
              <w:rPr>
                <w:rFonts w:ascii="Arial" w:hAnsi="Arial" w:cs="Arial"/>
                <w:sz w:val="20"/>
                <w:szCs w:val="20"/>
              </w:rPr>
            </w:pPr>
            <w:r>
              <w:rPr>
                <w:rFonts w:ascii="Arial" w:hAnsi="Arial" w:cs="Arial"/>
                <w:sz w:val="20"/>
                <w:szCs w:val="20"/>
              </w:rPr>
              <w:t>49</w:t>
            </w:r>
          </w:p>
        </w:tc>
        <w:tc>
          <w:tcPr>
            <w:tcW w:w="650" w:type="pct"/>
            <w:shd w:val="clear" w:color="auto" w:fill="auto"/>
          </w:tcPr>
          <w:p w14:paraId="7B619963" w14:textId="77777777" w:rsidR="00720667" w:rsidRPr="005E4CAE" w:rsidRDefault="00720667" w:rsidP="006E21D7">
            <w:pPr>
              <w:rPr>
                <w:rFonts w:ascii="Arial" w:hAnsi="Arial" w:cs="Arial"/>
                <w:bCs/>
                <w:iCs/>
                <w:sz w:val="20"/>
                <w:szCs w:val="20"/>
              </w:rPr>
            </w:pPr>
            <w:r w:rsidRPr="005E4CAE">
              <w:rPr>
                <w:rFonts w:ascii="Arial" w:hAnsi="Arial" w:cs="Arial"/>
                <w:bCs/>
                <w:sz w:val="20"/>
                <w:szCs w:val="20"/>
              </w:rPr>
              <w:t>Royal College of Nursing - Emergency Care Forum Committee</w:t>
            </w:r>
          </w:p>
        </w:tc>
        <w:tc>
          <w:tcPr>
            <w:tcW w:w="535" w:type="pct"/>
            <w:shd w:val="clear" w:color="auto" w:fill="auto"/>
          </w:tcPr>
          <w:p w14:paraId="6A465476" w14:textId="0635A4B9" w:rsidR="00720667" w:rsidRPr="005E4CAE" w:rsidRDefault="00720667" w:rsidP="006E21D7">
            <w:pPr>
              <w:rPr>
                <w:rFonts w:ascii="Arial" w:hAnsi="Arial" w:cs="Arial"/>
                <w:sz w:val="20"/>
                <w:szCs w:val="20"/>
              </w:rPr>
            </w:pPr>
            <w:r w:rsidRPr="005E4CAE">
              <w:rPr>
                <w:rFonts w:ascii="Arial" w:hAnsi="Arial" w:cs="Arial"/>
                <w:sz w:val="20"/>
                <w:szCs w:val="20"/>
              </w:rPr>
              <w:t xml:space="preserve">Question </w:t>
            </w:r>
            <w:r w:rsidR="00BA3798" w:rsidRPr="005E4CAE">
              <w:rPr>
                <w:rFonts w:ascii="Arial" w:hAnsi="Arial" w:cs="Arial"/>
                <w:sz w:val="20"/>
                <w:szCs w:val="20"/>
              </w:rPr>
              <w:t>5</w:t>
            </w:r>
          </w:p>
        </w:tc>
        <w:tc>
          <w:tcPr>
            <w:tcW w:w="3548" w:type="pct"/>
            <w:shd w:val="clear" w:color="auto" w:fill="auto"/>
          </w:tcPr>
          <w:p w14:paraId="2723297B" w14:textId="77777777" w:rsidR="00720667" w:rsidRPr="005E4CAE" w:rsidRDefault="00720667" w:rsidP="006E21D7">
            <w:pPr>
              <w:pStyle w:val="Paragraphnonumbers"/>
              <w:spacing w:after="0"/>
              <w:rPr>
                <w:rFonts w:cs="Arial"/>
                <w:sz w:val="20"/>
                <w:szCs w:val="20"/>
              </w:rPr>
            </w:pPr>
            <w:bookmarkStart w:id="42" w:name="_Hlk173141206"/>
            <w:r w:rsidRPr="005E4CAE">
              <w:rPr>
                <w:rFonts w:cs="Arial"/>
                <w:sz w:val="20"/>
                <w:szCs w:val="20"/>
              </w:rPr>
              <w:t xml:space="preserve">Nothing has been omitted. </w:t>
            </w:r>
          </w:p>
          <w:bookmarkEnd w:id="42"/>
          <w:p w14:paraId="0AFB1BC5" w14:textId="77777777" w:rsidR="00720667" w:rsidRPr="005E4CAE" w:rsidRDefault="00720667" w:rsidP="006E21D7">
            <w:pPr>
              <w:rPr>
                <w:rFonts w:ascii="Arial" w:hAnsi="Arial" w:cs="Arial"/>
                <w:sz w:val="20"/>
                <w:szCs w:val="20"/>
              </w:rPr>
            </w:pPr>
          </w:p>
        </w:tc>
      </w:tr>
      <w:tr w:rsidR="00720667" w:rsidRPr="005E4CAE" w14:paraId="6A90D295" w14:textId="77777777" w:rsidTr="006E21D7">
        <w:tc>
          <w:tcPr>
            <w:tcW w:w="267" w:type="pct"/>
            <w:shd w:val="clear" w:color="auto" w:fill="auto"/>
          </w:tcPr>
          <w:p w14:paraId="637130FF" w14:textId="191CD4EB" w:rsidR="00720667" w:rsidRPr="005E4CAE" w:rsidRDefault="00720667" w:rsidP="006E21D7">
            <w:pPr>
              <w:rPr>
                <w:rFonts w:ascii="Arial" w:hAnsi="Arial" w:cs="Arial"/>
                <w:sz w:val="20"/>
                <w:szCs w:val="20"/>
              </w:rPr>
            </w:pPr>
            <w:r w:rsidRPr="005E4CAE">
              <w:rPr>
                <w:rFonts w:ascii="Arial" w:hAnsi="Arial" w:cs="Arial"/>
                <w:sz w:val="20"/>
                <w:szCs w:val="20"/>
              </w:rPr>
              <w:t>5</w:t>
            </w:r>
            <w:r w:rsidR="003C6E44">
              <w:rPr>
                <w:rFonts w:ascii="Arial" w:hAnsi="Arial" w:cs="Arial"/>
                <w:sz w:val="20"/>
                <w:szCs w:val="20"/>
              </w:rPr>
              <w:t>0</w:t>
            </w:r>
          </w:p>
        </w:tc>
        <w:tc>
          <w:tcPr>
            <w:tcW w:w="650" w:type="pct"/>
            <w:shd w:val="clear" w:color="auto" w:fill="auto"/>
          </w:tcPr>
          <w:p w14:paraId="08718F2A" w14:textId="77777777" w:rsidR="00720667" w:rsidRPr="005E4CAE" w:rsidRDefault="00720667" w:rsidP="006E21D7">
            <w:pPr>
              <w:rPr>
                <w:rFonts w:ascii="Arial" w:hAnsi="Arial" w:cs="Arial"/>
                <w:bCs/>
                <w:sz w:val="20"/>
                <w:szCs w:val="20"/>
              </w:rPr>
            </w:pPr>
            <w:r w:rsidRPr="005E4CAE">
              <w:rPr>
                <w:rFonts w:ascii="Arial" w:hAnsi="Arial" w:cs="Arial"/>
                <w:sz w:val="20"/>
                <w:szCs w:val="20"/>
              </w:rPr>
              <w:t>UK Health Security Agency</w:t>
            </w:r>
          </w:p>
        </w:tc>
        <w:tc>
          <w:tcPr>
            <w:tcW w:w="535" w:type="pct"/>
            <w:shd w:val="clear" w:color="auto" w:fill="auto"/>
          </w:tcPr>
          <w:p w14:paraId="078E00A6" w14:textId="4C444B73" w:rsidR="00720667" w:rsidRPr="005E4CAE" w:rsidRDefault="00720667" w:rsidP="006E21D7">
            <w:pPr>
              <w:rPr>
                <w:rFonts w:ascii="Arial" w:hAnsi="Arial" w:cs="Arial"/>
                <w:sz w:val="20"/>
                <w:szCs w:val="20"/>
              </w:rPr>
            </w:pPr>
            <w:r w:rsidRPr="005E4CAE">
              <w:rPr>
                <w:rFonts w:ascii="Arial" w:hAnsi="Arial" w:cs="Arial"/>
                <w:sz w:val="20"/>
                <w:szCs w:val="20"/>
              </w:rPr>
              <w:t xml:space="preserve">Question </w:t>
            </w:r>
            <w:r w:rsidR="00BA3798" w:rsidRPr="005E4CAE">
              <w:rPr>
                <w:rFonts w:ascii="Arial" w:hAnsi="Arial" w:cs="Arial"/>
                <w:sz w:val="20"/>
                <w:szCs w:val="20"/>
              </w:rPr>
              <w:t>5</w:t>
            </w:r>
          </w:p>
        </w:tc>
        <w:tc>
          <w:tcPr>
            <w:tcW w:w="3548" w:type="pct"/>
            <w:shd w:val="clear" w:color="auto" w:fill="auto"/>
          </w:tcPr>
          <w:p w14:paraId="6DBB913B" w14:textId="77777777" w:rsidR="00720667" w:rsidRPr="005E4CAE" w:rsidRDefault="00720667" w:rsidP="006E21D7">
            <w:pPr>
              <w:pStyle w:val="Paragraphnonumbers"/>
              <w:spacing w:after="0"/>
              <w:rPr>
                <w:rFonts w:cs="Arial"/>
                <w:sz w:val="20"/>
                <w:szCs w:val="20"/>
              </w:rPr>
            </w:pPr>
            <w:r w:rsidRPr="005E4CAE">
              <w:rPr>
                <w:rFonts w:cs="Arial"/>
                <w:sz w:val="20"/>
                <w:szCs w:val="20"/>
              </w:rPr>
              <w:t xml:space="preserve">Page 14 under Process part a) - please define ‘uncomplicated’. </w:t>
            </w:r>
          </w:p>
          <w:p w14:paraId="4FBF75B9" w14:textId="77777777" w:rsidR="00720667" w:rsidRPr="005E4CAE" w:rsidRDefault="00720667" w:rsidP="006E21D7">
            <w:pPr>
              <w:pStyle w:val="Paragraphnonumbers"/>
              <w:spacing w:after="0"/>
              <w:rPr>
                <w:rFonts w:cs="Arial"/>
                <w:sz w:val="20"/>
                <w:szCs w:val="20"/>
              </w:rPr>
            </w:pPr>
            <w:r w:rsidRPr="005E4CAE">
              <w:rPr>
                <w:rFonts w:cs="Arial"/>
                <w:sz w:val="20"/>
                <w:szCs w:val="20"/>
              </w:rPr>
              <w:t>Where it states ‘within 4 weeks of discharge from hospital’ - NICE states '.12.7</w:t>
            </w:r>
          </w:p>
          <w:p w14:paraId="4400B79D" w14:textId="014E3E3E" w:rsidR="00720667" w:rsidRPr="005E4CAE" w:rsidRDefault="00720667" w:rsidP="00720667">
            <w:pPr>
              <w:pStyle w:val="Paragraphnonumbers"/>
              <w:spacing w:after="0"/>
              <w:rPr>
                <w:rFonts w:cs="Arial"/>
                <w:sz w:val="20"/>
                <w:szCs w:val="20"/>
              </w:rPr>
            </w:pPr>
            <w:r w:rsidRPr="005E4CAE">
              <w:rPr>
                <w:rFonts w:cs="Arial"/>
                <w:sz w:val="20"/>
                <w:szCs w:val="20"/>
              </w:rPr>
              <w:t>Offer an audiological assessment within 4 weeks of the person being well enough for testing (and preferably before discharge).' Are we saying that being fit for discharge is the only way of defining as patient as being 'well enough'. Also, this measurement would miss those that had an earlier appointment (accept numbers may be small given that such services are not widely available)</w:t>
            </w:r>
          </w:p>
        </w:tc>
      </w:tr>
      <w:tr w:rsidR="00720667" w:rsidRPr="005E4CAE" w14:paraId="75EA454E" w14:textId="77777777" w:rsidTr="006E21D7">
        <w:tc>
          <w:tcPr>
            <w:tcW w:w="5000" w:type="pct"/>
            <w:gridSpan w:val="4"/>
            <w:shd w:val="clear" w:color="auto" w:fill="auto"/>
          </w:tcPr>
          <w:p w14:paraId="50EB8215" w14:textId="77777777" w:rsidR="00720667" w:rsidRPr="005E4CAE" w:rsidRDefault="00720667" w:rsidP="006E21D7">
            <w:pPr>
              <w:rPr>
                <w:rFonts w:ascii="Arial" w:hAnsi="Arial" w:cs="Arial"/>
                <w:sz w:val="20"/>
                <w:szCs w:val="20"/>
              </w:rPr>
            </w:pPr>
            <w:r w:rsidRPr="005E4CAE">
              <w:rPr>
                <w:rFonts w:ascii="Arial" w:hAnsi="Arial" w:cs="Arial"/>
                <w:sz w:val="20"/>
                <w:szCs w:val="20"/>
              </w:rPr>
              <w:t>Statement 5</w:t>
            </w:r>
          </w:p>
        </w:tc>
      </w:tr>
      <w:tr w:rsidR="00720667" w:rsidRPr="005E4CAE" w14:paraId="40149451" w14:textId="77777777" w:rsidTr="006E21D7">
        <w:tc>
          <w:tcPr>
            <w:tcW w:w="267" w:type="pct"/>
            <w:shd w:val="clear" w:color="auto" w:fill="auto"/>
          </w:tcPr>
          <w:p w14:paraId="3771ADD5" w14:textId="4677757C" w:rsidR="00720667" w:rsidRPr="005E4CAE" w:rsidRDefault="00720667" w:rsidP="006E21D7">
            <w:pPr>
              <w:rPr>
                <w:rFonts w:ascii="Arial" w:hAnsi="Arial" w:cs="Arial"/>
                <w:sz w:val="20"/>
                <w:szCs w:val="20"/>
              </w:rPr>
            </w:pPr>
            <w:r w:rsidRPr="005E4CAE">
              <w:rPr>
                <w:rFonts w:ascii="Arial" w:hAnsi="Arial" w:cs="Arial"/>
                <w:sz w:val="20"/>
                <w:szCs w:val="20"/>
              </w:rPr>
              <w:lastRenderedPageBreak/>
              <w:t>5</w:t>
            </w:r>
            <w:r w:rsidR="003C6E44">
              <w:rPr>
                <w:rFonts w:ascii="Arial" w:hAnsi="Arial" w:cs="Arial"/>
                <w:sz w:val="20"/>
                <w:szCs w:val="20"/>
              </w:rPr>
              <w:t>1</w:t>
            </w:r>
          </w:p>
        </w:tc>
        <w:tc>
          <w:tcPr>
            <w:tcW w:w="650" w:type="pct"/>
            <w:shd w:val="clear" w:color="auto" w:fill="auto"/>
          </w:tcPr>
          <w:p w14:paraId="1F269ED2" w14:textId="77777777" w:rsidR="00720667" w:rsidRPr="005E4CAE" w:rsidRDefault="00720667" w:rsidP="006E21D7">
            <w:pPr>
              <w:rPr>
                <w:rFonts w:ascii="Arial" w:hAnsi="Arial" w:cs="Arial"/>
                <w:bCs/>
                <w:sz w:val="20"/>
                <w:szCs w:val="20"/>
              </w:rPr>
            </w:pPr>
            <w:r w:rsidRPr="005E4CAE">
              <w:rPr>
                <w:rFonts w:ascii="Arial" w:hAnsi="Arial" w:cs="Arial"/>
                <w:bCs/>
                <w:sz w:val="20"/>
                <w:szCs w:val="20"/>
              </w:rPr>
              <w:t>Association of Clinical Psychologists</w:t>
            </w:r>
          </w:p>
        </w:tc>
        <w:tc>
          <w:tcPr>
            <w:tcW w:w="535" w:type="pct"/>
            <w:shd w:val="clear" w:color="auto" w:fill="auto"/>
          </w:tcPr>
          <w:p w14:paraId="27A79AFC" w14:textId="77777777" w:rsidR="00720667" w:rsidRPr="005E4CAE" w:rsidRDefault="00720667" w:rsidP="006E21D7">
            <w:pPr>
              <w:rPr>
                <w:rFonts w:ascii="Arial" w:hAnsi="Arial" w:cs="Arial"/>
                <w:sz w:val="20"/>
                <w:szCs w:val="20"/>
              </w:rPr>
            </w:pPr>
            <w:r w:rsidRPr="005E4CAE">
              <w:rPr>
                <w:rFonts w:ascii="Arial" w:hAnsi="Arial" w:cs="Arial"/>
                <w:sz w:val="20"/>
                <w:szCs w:val="20"/>
              </w:rPr>
              <w:t>Statement 5</w:t>
            </w:r>
          </w:p>
        </w:tc>
        <w:tc>
          <w:tcPr>
            <w:tcW w:w="3548" w:type="pct"/>
            <w:shd w:val="clear" w:color="auto" w:fill="auto"/>
          </w:tcPr>
          <w:p w14:paraId="63F16DF7" w14:textId="6FE9EA1C" w:rsidR="00720667" w:rsidRPr="005E4CAE" w:rsidRDefault="00720667" w:rsidP="006E21D7">
            <w:pPr>
              <w:rPr>
                <w:rFonts w:ascii="Arial" w:hAnsi="Arial" w:cs="Arial"/>
                <w:sz w:val="20"/>
                <w:szCs w:val="20"/>
              </w:rPr>
            </w:pPr>
            <w:r w:rsidRPr="005E4CAE">
              <w:rPr>
                <w:rFonts w:ascii="Arial" w:hAnsi="Arial" w:cs="Arial"/>
                <w:sz w:val="20"/>
                <w:szCs w:val="20"/>
              </w:rPr>
              <w:t xml:space="preserve">ACP-UK is pleased to see that there is now reference that there must be a follow up and an assessment, which would look to identify psycho-social, neurological, neurodevelopmental aspects, and that would be used to make onward referrals.  </w:t>
            </w:r>
          </w:p>
        </w:tc>
      </w:tr>
      <w:tr w:rsidR="00720667" w:rsidRPr="005E4CAE" w14:paraId="03BF87D0" w14:textId="77777777" w:rsidTr="006E21D7">
        <w:tc>
          <w:tcPr>
            <w:tcW w:w="267" w:type="pct"/>
            <w:shd w:val="clear" w:color="auto" w:fill="auto"/>
          </w:tcPr>
          <w:p w14:paraId="708ABD5E" w14:textId="6F5648EE" w:rsidR="00720667" w:rsidRPr="005E4CAE" w:rsidRDefault="00720667" w:rsidP="006E21D7">
            <w:pPr>
              <w:rPr>
                <w:rFonts w:ascii="Arial" w:hAnsi="Arial" w:cs="Arial"/>
                <w:sz w:val="20"/>
                <w:szCs w:val="20"/>
              </w:rPr>
            </w:pPr>
            <w:r w:rsidRPr="005E4CAE">
              <w:rPr>
                <w:rFonts w:ascii="Arial" w:hAnsi="Arial" w:cs="Arial"/>
                <w:sz w:val="20"/>
                <w:szCs w:val="20"/>
              </w:rPr>
              <w:t>5</w:t>
            </w:r>
            <w:r w:rsidR="003C6E44">
              <w:rPr>
                <w:rFonts w:ascii="Arial" w:hAnsi="Arial" w:cs="Arial"/>
                <w:sz w:val="20"/>
                <w:szCs w:val="20"/>
              </w:rPr>
              <w:t>2</w:t>
            </w:r>
          </w:p>
        </w:tc>
        <w:tc>
          <w:tcPr>
            <w:tcW w:w="650" w:type="pct"/>
            <w:shd w:val="clear" w:color="auto" w:fill="auto"/>
          </w:tcPr>
          <w:p w14:paraId="158FA61A" w14:textId="77777777" w:rsidR="00720667" w:rsidRPr="005E4CAE" w:rsidRDefault="00720667" w:rsidP="006E21D7">
            <w:pPr>
              <w:rPr>
                <w:rFonts w:ascii="Arial" w:hAnsi="Arial" w:cs="Arial"/>
                <w:bCs/>
                <w:sz w:val="20"/>
                <w:szCs w:val="20"/>
              </w:rPr>
            </w:pPr>
            <w:r w:rsidRPr="005E4CAE">
              <w:rPr>
                <w:rFonts w:ascii="Arial" w:hAnsi="Arial" w:cs="Arial"/>
                <w:bCs/>
                <w:sz w:val="20"/>
                <w:szCs w:val="20"/>
              </w:rPr>
              <w:t>Association of Clinical Psychologists</w:t>
            </w:r>
          </w:p>
        </w:tc>
        <w:tc>
          <w:tcPr>
            <w:tcW w:w="535" w:type="pct"/>
            <w:shd w:val="clear" w:color="auto" w:fill="auto"/>
          </w:tcPr>
          <w:p w14:paraId="42E3FD1A" w14:textId="77777777" w:rsidR="00720667" w:rsidRPr="005E4CAE" w:rsidRDefault="00720667" w:rsidP="006E21D7">
            <w:pPr>
              <w:rPr>
                <w:rFonts w:ascii="Arial" w:hAnsi="Arial" w:cs="Arial"/>
                <w:sz w:val="20"/>
                <w:szCs w:val="20"/>
              </w:rPr>
            </w:pPr>
            <w:r w:rsidRPr="005E4CAE">
              <w:rPr>
                <w:rFonts w:ascii="Arial" w:hAnsi="Arial" w:cs="Arial"/>
                <w:sz w:val="20"/>
                <w:szCs w:val="20"/>
              </w:rPr>
              <w:t>Statement 5</w:t>
            </w:r>
          </w:p>
        </w:tc>
        <w:tc>
          <w:tcPr>
            <w:tcW w:w="3548" w:type="pct"/>
            <w:shd w:val="clear" w:color="auto" w:fill="auto"/>
          </w:tcPr>
          <w:p w14:paraId="3F719720" w14:textId="77777777" w:rsidR="00720667" w:rsidRPr="005E4CAE" w:rsidRDefault="00720667" w:rsidP="006E21D7">
            <w:pPr>
              <w:rPr>
                <w:rFonts w:ascii="Arial" w:hAnsi="Arial" w:cs="Arial"/>
                <w:sz w:val="20"/>
                <w:szCs w:val="20"/>
              </w:rPr>
            </w:pPr>
            <w:r w:rsidRPr="005E4CAE">
              <w:rPr>
                <w:rFonts w:ascii="Arial" w:hAnsi="Arial" w:cs="Arial"/>
                <w:sz w:val="20"/>
                <w:szCs w:val="20"/>
              </w:rPr>
              <w:t xml:space="preserve">ACP-UK is </w:t>
            </w:r>
            <w:bookmarkStart w:id="43" w:name="_Hlk173141847"/>
            <w:r w:rsidRPr="005E4CAE">
              <w:rPr>
                <w:rFonts w:ascii="Arial" w:hAnsi="Arial" w:cs="Arial"/>
                <w:sz w:val="20"/>
                <w:szCs w:val="20"/>
              </w:rPr>
              <w:t>also pleased that there is acknowledgment of post-infection review and care. However, we feel it should be more specific and robust in terms of a review of mood/cognition and adjustment to hearing changes (if appropriate), and around post-severe illness adjustment for the individual and family, which is particularly significant in children and young people</w:t>
            </w:r>
            <w:bookmarkEnd w:id="43"/>
            <w:r w:rsidRPr="005E4CAE">
              <w:rPr>
                <w:rFonts w:ascii="Arial" w:hAnsi="Arial" w:cs="Arial"/>
                <w:sz w:val="20"/>
                <w:szCs w:val="20"/>
              </w:rPr>
              <w:t>.</w:t>
            </w:r>
          </w:p>
        </w:tc>
      </w:tr>
      <w:tr w:rsidR="00720667" w:rsidRPr="005E4CAE" w14:paraId="3704E401" w14:textId="77777777" w:rsidTr="006E21D7">
        <w:tc>
          <w:tcPr>
            <w:tcW w:w="267" w:type="pct"/>
            <w:shd w:val="clear" w:color="auto" w:fill="auto"/>
          </w:tcPr>
          <w:p w14:paraId="65C9DA3A" w14:textId="0B4CD1A1" w:rsidR="00720667" w:rsidRPr="005E4CAE" w:rsidRDefault="00720667" w:rsidP="006E21D7">
            <w:pPr>
              <w:rPr>
                <w:rFonts w:ascii="Arial" w:hAnsi="Arial" w:cs="Arial"/>
                <w:sz w:val="20"/>
                <w:szCs w:val="20"/>
              </w:rPr>
            </w:pPr>
            <w:r w:rsidRPr="005E4CAE">
              <w:rPr>
                <w:rFonts w:ascii="Arial" w:hAnsi="Arial" w:cs="Arial"/>
                <w:sz w:val="20"/>
                <w:szCs w:val="20"/>
              </w:rPr>
              <w:t>5</w:t>
            </w:r>
            <w:r w:rsidR="003C6E44">
              <w:rPr>
                <w:rFonts w:ascii="Arial" w:hAnsi="Arial" w:cs="Arial"/>
                <w:sz w:val="20"/>
                <w:szCs w:val="20"/>
              </w:rPr>
              <w:t>3</w:t>
            </w:r>
          </w:p>
        </w:tc>
        <w:tc>
          <w:tcPr>
            <w:tcW w:w="650" w:type="pct"/>
            <w:shd w:val="clear" w:color="auto" w:fill="auto"/>
          </w:tcPr>
          <w:p w14:paraId="0BC5CE99" w14:textId="77777777" w:rsidR="00720667" w:rsidRPr="005E4CAE" w:rsidRDefault="00720667" w:rsidP="006E21D7">
            <w:pPr>
              <w:rPr>
                <w:rFonts w:ascii="Arial" w:hAnsi="Arial" w:cs="Arial"/>
                <w:bCs/>
                <w:sz w:val="20"/>
                <w:szCs w:val="20"/>
              </w:rPr>
            </w:pPr>
            <w:r w:rsidRPr="005E4CAE">
              <w:rPr>
                <w:rFonts w:ascii="Arial" w:hAnsi="Arial" w:cs="Arial"/>
                <w:bCs/>
                <w:sz w:val="20"/>
                <w:szCs w:val="20"/>
              </w:rPr>
              <w:t>Association of Paediatric Emergency Medicine (APEM)</w:t>
            </w:r>
          </w:p>
        </w:tc>
        <w:tc>
          <w:tcPr>
            <w:tcW w:w="535" w:type="pct"/>
            <w:shd w:val="clear" w:color="auto" w:fill="auto"/>
          </w:tcPr>
          <w:p w14:paraId="3E9369CC" w14:textId="77777777" w:rsidR="00720667" w:rsidRPr="005E4CAE" w:rsidRDefault="00720667" w:rsidP="006E21D7">
            <w:pPr>
              <w:rPr>
                <w:rFonts w:ascii="Arial" w:hAnsi="Arial" w:cs="Arial"/>
                <w:sz w:val="20"/>
                <w:szCs w:val="20"/>
              </w:rPr>
            </w:pPr>
            <w:r w:rsidRPr="005E4CAE">
              <w:rPr>
                <w:rFonts w:ascii="Arial" w:hAnsi="Arial" w:cs="Arial"/>
                <w:sz w:val="20"/>
                <w:szCs w:val="20"/>
              </w:rPr>
              <w:t>Statement 5</w:t>
            </w:r>
          </w:p>
        </w:tc>
        <w:tc>
          <w:tcPr>
            <w:tcW w:w="3548" w:type="pct"/>
            <w:shd w:val="clear" w:color="auto" w:fill="auto"/>
          </w:tcPr>
          <w:p w14:paraId="384E8303" w14:textId="77777777" w:rsidR="00720667" w:rsidRPr="005E4CAE" w:rsidRDefault="00720667" w:rsidP="006E21D7">
            <w:pPr>
              <w:rPr>
                <w:rFonts w:ascii="Arial" w:hAnsi="Arial" w:cs="Arial"/>
                <w:sz w:val="20"/>
                <w:szCs w:val="20"/>
              </w:rPr>
            </w:pPr>
            <w:r w:rsidRPr="005E4CAE">
              <w:rPr>
                <w:rFonts w:ascii="Arial" w:hAnsi="Arial" w:cs="Arial"/>
                <w:sz w:val="20"/>
                <w:szCs w:val="20"/>
              </w:rPr>
              <w:t>No comments</w:t>
            </w:r>
          </w:p>
        </w:tc>
      </w:tr>
      <w:tr w:rsidR="00720667" w:rsidRPr="005E4CAE" w14:paraId="06700340" w14:textId="77777777" w:rsidTr="006E21D7">
        <w:tc>
          <w:tcPr>
            <w:tcW w:w="267" w:type="pct"/>
            <w:shd w:val="clear" w:color="auto" w:fill="auto"/>
          </w:tcPr>
          <w:p w14:paraId="51ABD301" w14:textId="7333F8E4" w:rsidR="00720667" w:rsidRPr="005E4CAE" w:rsidRDefault="00720667" w:rsidP="006E21D7">
            <w:pPr>
              <w:rPr>
                <w:rFonts w:ascii="Arial" w:hAnsi="Arial" w:cs="Arial"/>
                <w:sz w:val="20"/>
                <w:szCs w:val="20"/>
              </w:rPr>
            </w:pPr>
            <w:r w:rsidRPr="005E4CAE">
              <w:rPr>
                <w:rFonts w:ascii="Arial" w:hAnsi="Arial" w:cs="Arial"/>
                <w:sz w:val="20"/>
                <w:szCs w:val="20"/>
              </w:rPr>
              <w:t>5</w:t>
            </w:r>
            <w:r w:rsidR="003C6E44">
              <w:rPr>
                <w:rFonts w:ascii="Arial" w:hAnsi="Arial" w:cs="Arial"/>
                <w:sz w:val="20"/>
                <w:szCs w:val="20"/>
              </w:rPr>
              <w:t>4</w:t>
            </w:r>
          </w:p>
        </w:tc>
        <w:tc>
          <w:tcPr>
            <w:tcW w:w="650" w:type="pct"/>
            <w:shd w:val="clear" w:color="auto" w:fill="auto"/>
          </w:tcPr>
          <w:p w14:paraId="47CAA2A2" w14:textId="77777777" w:rsidR="00720667" w:rsidRPr="005E4CAE" w:rsidRDefault="00720667" w:rsidP="006E21D7">
            <w:pPr>
              <w:rPr>
                <w:rFonts w:ascii="Arial" w:hAnsi="Arial" w:cs="Arial"/>
                <w:bCs/>
                <w:sz w:val="20"/>
                <w:szCs w:val="20"/>
              </w:rPr>
            </w:pPr>
            <w:r w:rsidRPr="005E4CAE">
              <w:rPr>
                <w:rFonts w:ascii="Arial" w:hAnsi="Arial" w:cs="Arial"/>
                <w:bCs/>
                <w:sz w:val="20"/>
                <w:szCs w:val="20"/>
              </w:rPr>
              <w:t>Association of Paediatric Emergency Medicine (APEM)</w:t>
            </w:r>
          </w:p>
        </w:tc>
        <w:tc>
          <w:tcPr>
            <w:tcW w:w="535" w:type="pct"/>
            <w:shd w:val="clear" w:color="auto" w:fill="auto"/>
          </w:tcPr>
          <w:p w14:paraId="43CDEF74" w14:textId="77777777" w:rsidR="00720667" w:rsidRPr="005E4CAE" w:rsidRDefault="00720667" w:rsidP="006E21D7">
            <w:pPr>
              <w:rPr>
                <w:rFonts w:ascii="Arial" w:hAnsi="Arial" w:cs="Arial"/>
                <w:sz w:val="20"/>
                <w:szCs w:val="20"/>
              </w:rPr>
            </w:pPr>
            <w:r w:rsidRPr="005E4CAE">
              <w:rPr>
                <w:rFonts w:ascii="Arial" w:hAnsi="Arial" w:cs="Arial"/>
                <w:sz w:val="20"/>
                <w:szCs w:val="20"/>
              </w:rPr>
              <w:t>Statement 5</w:t>
            </w:r>
          </w:p>
        </w:tc>
        <w:tc>
          <w:tcPr>
            <w:tcW w:w="3548" w:type="pct"/>
            <w:shd w:val="clear" w:color="auto" w:fill="auto"/>
          </w:tcPr>
          <w:p w14:paraId="4E67FD5F" w14:textId="77777777" w:rsidR="00720667" w:rsidRPr="005E4CAE" w:rsidRDefault="00720667" w:rsidP="006E21D7">
            <w:pPr>
              <w:rPr>
                <w:rFonts w:ascii="Arial" w:hAnsi="Arial" w:cs="Arial"/>
                <w:sz w:val="20"/>
                <w:szCs w:val="20"/>
              </w:rPr>
            </w:pPr>
            <w:bookmarkStart w:id="44" w:name="_Hlk173141685"/>
            <w:r w:rsidRPr="005E4CAE">
              <w:rPr>
                <w:rFonts w:ascii="Arial" w:hAnsi="Arial" w:cs="Arial"/>
                <w:sz w:val="20"/>
                <w:szCs w:val="20"/>
              </w:rPr>
              <w:t xml:space="preserve">Follow up in secondary care within 6 weeks as per statement 5 may be difficult to achieve due to current waiting time pressures in the paediatric population. Additional resources may need to be put in place to achieve this. </w:t>
            </w:r>
            <w:bookmarkEnd w:id="44"/>
          </w:p>
        </w:tc>
      </w:tr>
      <w:tr w:rsidR="00720667" w:rsidRPr="005E4CAE" w14:paraId="30830A76" w14:textId="77777777" w:rsidTr="006E21D7">
        <w:tc>
          <w:tcPr>
            <w:tcW w:w="267" w:type="pct"/>
            <w:shd w:val="clear" w:color="auto" w:fill="auto"/>
          </w:tcPr>
          <w:p w14:paraId="12396AA5" w14:textId="54D48319" w:rsidR="00720667" w:rsidRPr="005E4CAE" w:rsidRDefault="00720667" w:rsidP="006E21D7">
            <w:pPr>
              <w:rPr>
                <w:rFonts w:ascii="Arial" w:hAnsi="Arial" w:cs="Arial"/>
                <w:sz w:val="20"/>
                <w:szCs w:val="20"/>
              </w:rPr>
            </w:pPr>
            <w:r w:rsidRPr="005E4CAE">
              <w:rPr>
                <w:rFonts w:ascii="Arial" w:hAnsi="Arial" w:cs="Arial"/>
                <w:sz w:val="20"/>
                <w:szCs w:val="20"/>
              </w:rPr>
              <w:t>5</w:t>
            </w:r>
            <w:r w:rsidR="003C6E44">
              <w:rPr>
                <w:rFonts w:ascii="Arial" w:hAnsi="Arial" w:cs="Arial"/>
                <w:sz w:val="20"/>
                <w:szCs w:val="20"/>
              </w:rPr>
              <w:t>5</w:t>
            </w:r>
          </w:p>
        </w:tc>
        <w:tc>
          <w:tcPr>
            <w:tcW w:w="650" w:type="pct"/>
            <w:shd w:val="clear" w:color="auto" w:fill="auto"/>
          </w:tcPr>
          <w:p w14:paraId="3FBCFEDA" w14:textId="77777777" w:rsidR="00720667" w:rsidRPr="005E4CAE" w:rsidRDefault="00720667" w:rsidP="006E21D7">
            <w:pPr>
              <w:rPr>
                <w:rFonts w:ascii="Arial" w:hAnsi="Arial" w:cs="Arial"/>
                <w:bCs/>
                <w:sz w:val="20"/>
                <w:szCs w:val="20"/>
              </w:rPr>
            </w:pPr>
            <w:r w:rsidRPr="005E4CAE">
              <w:rPr>
                <w:rFonts w:ascii="Arial" w:hAnsi="Arial" w:cs="Arial"/>
                <w:bCs/>
                <w:sz w:val="20"/>
                <w:szCs w:val="20"/>
              </w:rPr>
              <w:t>British Society of Physical and Rehabilitation Medicine</w:t>
            </w:r>
          </w:p>
        </w:tc>
        <w:tc>
          <w:tcPr>
            <w:tcW w:w="535" w:type="pct"/>
            <w:shd w:val="clear" w:color="auto" w:fill="auto"/>
          </w:tcPr>
          <w:p w14:paraId="5089D2E7" w14:textId="77777777" w:rsidR="00720667" w:rsidRPr="005E4CAE" w:rsidRDefault="00720667" w:rsidP="006E21D7">
            <w:pPr>
              <w:rPr>
                <w:rFonts w:ascii="Arial" w:hAnsi="Arial" w:cs="Arial"/>
                <w:sz w:val="20"/>
                <w:szCs w:val="20"/>
              </w:rPr>
            </w:pPr>
            <w:r w:rsidRPr="005E4CAE">
              <w:rPr>
                <w:rFonts w:ascii="Arial" w:hAnsi="Arial" w:cs="Arial"/>
                <w:sz w:val="20"/>
                <w:szCs w:val="20"/>
              </w:rPr>
              <w:t>Statement 5</w:t>
            </w:r>
          </w:p>
        </w:tc>
        <w:tc>
          <w:tcPr>
            <w:tcW w:w="3548" w:type="pct"/>
            <w:shd w:val="clear" w:color="auto" w:fill="auto"/>
          </w:tcPr>
          <w:p w14:paraId="526CBC5D" w14:textId="77777777" w:rsidR="00720667" w:rsidRPr="005E4CAE" w:rsidRDefault="00720667" w:rsidP="006E21D7">
            <w:pPr>
              <w:rPr>
                <w:rFonts w:ascii="Arial" w:hAnsi="Arial" w:cs="Arial"/>
                <w:sz w:val="20"/>
                <w:szCs w:val="20"/>
              </w:rPr>
            </w:pPr>
            <w:bookmarkStart w:id="45" w:name="_Hlk173141479"/>
            <w:r w:rsidRPr="005E4CAE">
              <w:rPr>
                <w:rFonts w:ascii="Arial" w:hAnsi="Arial" w:cs="Arial"/>
                <w:sz w:val="20"/>
                <w:szCs w:val="20"/>
              </w:rPr>
              <w:t>Assessment during follow up should include assessment mobility, activities of daily living, communication, cognition and control of bladder and bowel. If the patient has any such issues, they need referral to a specialized rehabilitation medicine team.</w:t>
            </w:r>
            <w:bookmarkEnd w:id="45"/>
          </w:p>
        </w:tc>
      </w:tr>
      <w:tr w:rsidR="00720667" w:rsidRPr="005E4CAE" w14:paraId="39D38912" w14:textId="77777777" w:rsidTr="006E21D7">
        <w:trPr>
          <w:trHeight w:val="867"/>
        </w:trPr>
        <w:tc>
          <w:tcPr>
            <w:tcW w:w="267" w:type="pct"/>
            <w:shd w:val="clear" w:color="auto" w:fill="auto"/>
          </w:tcPr>
          <w:p w14:paraId="2E352011" w14:textId="2613C2FB" w:rsidR="00720667" w:rsidRPr="005E4CAE" w:rsidRDefault="00720667" w:rsidP="006E21D7">
            <w:pPr>
              <w:rPr>
                <w:rFonts w:ascii="Arial" w:hAnsi="Arial" w:cs="Arial"/>
                <w:sz w:val="20"/>
                <w:szCs w:val="20"/>
              </w:rPr>
            </w:pPr>
            <w:r w:rsidRPr="005E4CAE">
              <w:rPr>
                <w:rFonts w:ascii="Arial" w:hAnsi="Arial" w:cs="Arial"/>
                <w:sz w:val="20"/>
                <w:szCs w:val="20"/>
              </w:rPr>
              <w:t>5</w:t>
            </w:r>
            <w:r w:rsidR="003C6E44">
              <w:rPr>
                <w:rFonts w:ascii="Arial" w:hAnsi="Arial" w:cs="Arial"/>
                <w:sz w:val="20"/>
                <w:szCs w:val="20"/>
              </w:rPr>
              <w:t>6</w:t>
            </w:r>
          </w:p>
        </w:tc>
        <w:tc>
          <w:tcPr>
            <w:tcW w:w="650" w:type="pct"/>
            <w:shd w:val="clear" w:color="auto" w:fill="auto"/>
          </w:tcPr>
          <w:p w14:paraId="471C05CA" w14:textId="77777777" w:rsidR="00720667" w:rsidRPr="005E4CAE" w:rsidRDefault="00720667" w:rsidP="006E21D7">
            <w:pPr>
              <w:rPr>
                <w:rFonts w:ascii="Arial" w:hAnsi="Arial" w:cs="Arial"/>
                <w:bCs/>
                <w:sz w:val="20"/>
                <w:szCs w:val="20"/>
              </w:rPr>
            </w:pPr>
            <w:r w:rsidRPr="005E4CAE">
              <w:rPr>
                <w:rFonts w:ascii="Arial" w:hAnsi="Arial" w:cs="Arial"/>
                <w:bCs/>
                <w:sz w:val="20"/>
                <w:szCs w:val="20"/>
              </w:rPr>
              <w:t>British Society of Physical and Rehabilitation Medicine</w:t>
            </w:r>
          </w:p>
        </w:tc>
        <w:tc>
          <w:tcPr>
            <w:tcW w:w="535" w:type="pct"/>
            <w:shd w:val="clear" w:color="auto" w:fill="auto"/>
          </w:tcPr>
          <w:p w14:paraId="1916F984" w14:textId="77777777" w:rsidR="00720667" w:rsidRPr="005E4CAE" w:rsidRDefault="00720667" w:rsidP="006E21D7">
            <w:pPr>
              <w:rPr>
                <w:rFonts w:ascii="Arial" w:hAnsi="Arial" w:cs="Arial"/>
                <w:sz w:val="20"/>
                <w:szCs w:val="20"/>
              </w:rPr>
            </w:pPr>
            <w:r w:rsidRPr="005E4CAE">
              <w:rPr>
                <w:rFonts w:ascii="Arial" w:hAnsi="Arial" w:cs="Arial"/>
                <w:sz w:val="20"/>
                <w:szCs w:val="20"/>
              </w:rPr>
              <w:t>Statement 5</w:t>
            </w:r>
          </w:p>
        </w:tc>
        <w:tc>
          <w:tcPr>
            <w:tcW w:w="3548" w:type="pct"/>
            <w:shd w:val="clear" w:color="auto" w:fill="auto"/>
          </w:tcPr>
          <w:p w14:paraId="216EFC58" w14:textId="5E76D76C" w:rsidR="00720667" w:rsidRPr="005E4CAE" w:rsidRDefault="00720667" w:rsidP="006E21D7">
            <w:pPr>
              <w:rPr>
                <w:rFonts w:ascii="Arial" w:hAnsi="Arial" w:cs="Arial"/>
                <w:sz w:val="20"/>
                <w:szCs w:val="20"/>
              </w:rPr>
            </w:pPr>
            <w:bookmarkStart w:id="46" w:name="_Hlk173141502"/>
            <w:r w:rsidRPr="005E4CAE">
              <w:rPr>
                <w:rFonts w:ascii="Arial" w:hAnsi="Arial" w:cs="Arial"/>
                <w:sz w:val="20"/>
                <w:szCs w:val="20"/>
              </w:rPr>
              <w:t>People with meningitis develop longer term complications such as weakness, spasticity, seizures and cognitive impairment in addition to audiological issues. Please include guidance for all patients to be assessed for mobility, activities of daily living and cognition prior to discharge. If the patient was found to have anu of these issues please refer to a specialist rehabilitation medicine team. They may need transfer to a specialist rehabilitation facility or ongoing community rehabilitation.</w:t>
            </w:r>
            <w:bookmarkEnd w:id="46"/>
          </w:p>
        </w:tc>
      </w:tr>
      <w:tr w:rsidR="00720667" w:rsidRPr="005E4CAE" w14:paraId="197D57D6" w14:textId="77777777" w:rsidTr="006E21D7">
        <w:tc>
          <w:tcPr>
            <w:tcW w:w="267" w:type="pct"/>
            <w:shd w:val="clear" w:color="auto" w:fill="auto"/>
          </w:tcPr>
          <w:p w14:paraId="033E4DDC" w14:textId="33238C5B" w:rsidR="00720667" w:rsidRPr="005E4CAE" w:rsidRDefault="00720667" w:rsidP="006E21D7">
            <w:pPr>
              <w:rPr>
                <w:rFonts w:ascii="Arial" w:hAnsi="Arial" w:cs="Arial"/>
                <w:sz w:val="20"/>
                <w:szCs w:val="20"/>
              </w:rPr>
            </w:pPr>
            <w:r w:rsidRPr="005E4CAE">
              <w:rPr>
                <w:rFonts w:ascii="Arial" w:hAnsi="Arial" w:cs="Arial"/>
                <w:sz w:val="20"/>
                <w:szCs w:val="20"/>
              </w:rPr>
              <w:t>5</w:t>
            </w:r>
            <w:r w:rsidR="003C6E44">
              <w:rPr>
                <w:rFonts w:ascii="Arial" w:hAnsi="Arial" w:cs="Arial"/>
                <w:sz w:val="20"/>
                <w:szCs w:val="20"/>
              </w:rPr>
              <w:t>7</w:t>
            </w:r>
          </w:p>
        </w:tc>
        <w:tc>
          <w:tcPr>
            <w:tcW w:w="650" w:type="pct"/>
            <w:shd w:val="clear" w:color="auto" w:fill="auto"/>
          </w:tcPr>
          <w:p w14:paraId="083DADFE" w14:textId="77777777" w:rsidR="00720667" w:rsidRPr="005E4CAE" w:rsidRDefault="00720667" w:rsidP="006E21D7">
            <w:pPr>
              <w:rPr>
                <w:rFonts w:ascii="Arial" w:hAnsi="Arial" w:cs="Arial"/>
                <w:bCs/>
                <w:iCs/>
                <w:sz w:val="20"/>
                <w:szCs w:val="20"/>
              </w:rPr>
            </w:pPr>
            <w:r w:rsidRPr="005E4CAE">
              <w:rPr>
                <w:rFonts w:ascii="Arial" w:hAnsi="Arial" w:cs="Arial"/>
                <w:bCs/>
                <w:sz w:val="20"/>
                <w:szCs w:val="20"/>
              </w:rPr>
              <w:t>Meningitis Now</w:t>
            </w:r>
          </w:p>
        </w:tc>
        <w:tc>
          <w:tcPr>
            <w:tcW w:w="535" w:type="pct"/>
            <w:shd w:val="clear" w:color="auto" w:fill="auto"/>
          </w:tcPr>
          <w:p w14:paraId="41489E2D" w14:textId="77777777" w:rsidR="00720667" w:rsidRPr="005E4CAE" w:rsidRDefault="00720667" w:rsidP="006E21D7">
            <w:pPr>
              <w:rPr>
                <w:rFonts w:ascii="Arial" w:hAnsi="Arial" w:cs="Arial"/>
                <w:sz w:val="20"/>
                <w:szCs w:val="20"/>
              </w:rPr>
            </w:pPr>
            <w:r w:rsidRPr="005E4CAE">
              <w:rPr>
                <w:rFonts w:ascii="Arial" w:hAnsi="Arial" w:cs="Arial"/>
                <w:sz w:val="20"/>
                <w:szCs w:val="20"/>
              </w:rPr>
              <w:t>Statement 5</w:t>
            </w:r>
          </w:p>
        </w:tc>
        <w:tc>
          <w:tcPr>
            <w:tcW w:w="3548" w:type="pct"/>
            <w:shd w:val="clear" w:color="auto" w:fill="auto"/>
          </w:tcPr>
          <w:p w14:paraId="19E8F7F6" w14:textId="77777777" w:rsidR="00720667" w:rsidRPr="005E4CAE" w:rsidRDefault="00720667" w:rsidP="006E21D7">
            <w:pPr>
              <w:pStyle w:val="Paragraphnonumbers"/>
              <w:spacing w:after="0"/>
              <w:rPr>
                <w:rFonts w:cs="Arial"/>
                <w:sz w:val="20"/>
                <w:szCs w:val="20"/>
              </w:rPr>
            </w:pPr>
            <w:bookmarkStart w:id="47" w:name="_Hlk173141535"/>
            <w:r w:rsidRPr="005E4CAE">
              <w:rPr>
                <w:rFonts w:cs="Arial"/>
                <w:sz w:val="20"/>
                <w:szCs w:val="20"/>
              </w:rPr>
              <w:t>We are pleased to see a quality standard relating to follow-up. This is an area which has been problematic, particularly for adults who have had bacterial meningitis or meningococcal disease, who often report no follow-up after discharged from hospital. However, how will the requirement for follow-up be communicated to the relevant health professionals, given that adult patients can potentially be treated in a variety of ward settings, and that many health professionals will have little experience in treating a patient with meningitis?</w:t>
            </w:r>
            <w:bookmarkEnd w:id="47"/>
          </w:p>
        </w:tc>
      </w:tr>
      <w:tr w:rsidR="00720667" w:rsidRPr="005E4CAE" w14:paraId="0D0E06E6" w14:textId="77777777" w:rsidTr="006E21D7">
        <w:tc>
          <w:tcPr>
            <w:tcW w:w="267" w:type="pct"/>
            <w:shd w:val="clear" w:color="auto" w:fill="auto"/>
          </w:tcPr>
          <w:p w14:paraId="789F5A72" w14:textId="2EF916BA" w:rsidR="00720667" w:rsidRPr="005E4CAE" w:rsidRDefault="003C6E44" w:rsidP="006E21D7">
            <w:pPr>
              <w:rPr>
                <w:rFonts w:ascii="Arial" w:hAnsi="Arial" w:cs="Arial"/>
                <w:sz w:val="20"/>
                <w:szCs w:val="20"/>
              </w:rPr>
            </w:pPr>
            <w:r>
              <w:rPr>
                <w:rFonts w:ascii="Arial" w:hAnsi="Arial" w:cs="Arial"/>
                <w:sz w:val="20"/>
                <w:szCs w:val="20"/>
              </w:rPr>
              <w:t>58</w:t>
            </w:r>
          </w:p>
        </w:tc>
        <w:tc>
          <w:tcPr>
            <w:tcW w:w="650" w:type="pct"/>
            <w:shd w:val="clear" w:color="auto" w:fill="auto"/>
          </w:tcPr>
          <w:p w14:paraId="145DBFFA" w14:textId="77777777" w:rsidR="00720667" w:rsidRPr="005E4CAE" w:rsidRDefault="00720667" w:rsidP="006E21D7">
            <w:pPr>
              <w:rPr>
                <w:rFonts w:ascii="Arial" w:hAnsi="Arial" w:cs="Arial"/>
                <w:bCs/>
                <w:sz w:val="20"/>
                <w:szCs w:val="20"/>
              </w:rPr>
            </w:pPr>
            <w:r w:rsidRPr="005E4CAE">
              <w:rPr>
                <w:rFonts w:ascii="Arial" w:hAnsi="Arial" w:cs="Arial"/>
                <w:bCs/>
                <w:sz w:val="20"/>
                <w:szCs w:val="20"/>
              </w:rPr>
              <w:t>Meningitis Research Foundation</w:t>
            </w:r>
          </w:p>
        </w:tc>
        <w:tc>
          <w:tcPr>
            <w:tcW w:w="535" w:type="pct"/>
            <w:shd w:val="clear" w:color="auto" w:fill="auto"/>
          </w:tcPr>
          <w:p w14:paraId="6B9A9756" w14:textId="77777777" w:rsidR="00720667" w:rsidRPr="005E4CAE" w:rsidRDefault="00720667" w:rsidP="006E21D7">
            <w:pPr>
              <w:rPr>
                <w:rFonts w:ascii="Arial" w:hAnsi="Arial" w:cs="Arial"/>
                <w:sz w:val="20"/>
                <w:szCs w:val="20"/>
              </w:rPr>
            </w:pPr>
            <w:r w:rsidRPr="005E4CAE">
              <w:rPr>
                <w:rFonts w:ascii="Arial" w:hAnsi="Arial" w:cs="Arial"/>
                <w:sz w:val="20"/>
                <w:szCs w:val="20"/>
              </w:rPr>
              <w:t>Statement 5</w:t>
            </w:r>
          </w:p>
        </w:tc>
        <w:tc>
          <w:tcPr>
            <w:tcW w:w="3548" w:type="pct"/>
            <w:shd w:val="clear" w:color="auto" w:fill="auto"/>
            <w:vAlign w:val="center"/>
          </w:tcPr>
          <w:p w14:paraId="24AC9CF4" w14:textId="10332EA4" w:rsidR="00720667" w:rsidRPr="005E4CAE" w:rsidRDefault="00720667" w:rsidP="006E21D7">
            <w:pPr>
              <w:rPr>
                <w:rFonts w:ascii="Arial" w:hAnsi="Arial" w:cs="Arial"/>
                <w:sz w:val="20"/>
                <w:szCs w:val="20"/>
              </w:rPr>
            </w:pPr>
            <w:r w:rsidRPr="005E4CAE">
              <w:rPr>
                <w:rFonts w:ascii="Arial" w:hAnsi="Arial" w:cs="Arial"/>
                <w:sz w:val="20"/>
                <w:szCs w:val="20"/>
              </w:rPr>
              <w:t xml:space="preserve">We are pleased to see inclusion of this quality statement on follow-up care, but think this could be amended so that hearing tests are also covered     </w:t>
            </w:r>
            <w:proofErr w:type="spellStart"/>
            <w:r w:rsidRPr="005E4CAE">
              <w:rPr>
                <w:rFonts w:ascii="Arial" w:hAnsi="Arial" w:cs="Arial"/>
                <w:sz w:val="20"/>
                <w:szCs w:val="20"/>
              </w:rPr>
              <w:t>E.g</w:t>
            </w:r>
            <w:proofErr w:type="spellEnd"/>
            <w:r w:rsidRPr="005E4CAE">
              <w:rPr>
                <w:rFonts w:ascii="Arial" w:hAnsi="Arial" w:cs="Arial"/>
                <w:sz w:val="20"/>
                <w:szCs w:val="20"/>
              </w:rPr>
              <w:t xml:space="preserve"> People who have had bacterial meningitis or meningococcal disease </w:t>
            </w:r>
            <w:r w:rsidRPr="005E4CAE">
              <w:rPr>
                <w:rFonts w:ascii="Arial" w:hAnsi="Arial" w:cs="Arial"/>
                <w:sz w:val="20"/>
                <w:szCs w:val="20"/>
              </w:rPr>
              <w:lastRenderedPageBreak/>
              <w:t xml:space="preserve">have a follow-up appointment in secondary care within 6 weeks of discharge from hospital which includes a discussion about results from hearing tests. </w:t>
            </w:r>
          </w:p>
        </w:tc>
      </w:tr>
      <w:tr w:rsidR="00720667" w:rsidRPr="005E4CAE" w14:paraId="69B32639" w14:textId="77777777" w:rsidTr="006E21D7">
        <w:tc>
          <w:tcPr>
            <w:tcW w:w="267" w:type="pct"/>
            <w:shd w:val="clear" w:color="auto" w:fill="auto"/>
          </w:tcPr>
          <w:p w14:paraId="6E2B5941" w14:textId="2470C6D9" w:rsidR="00720667" w:rsidRPr="005E4CAE" w:rsidRDefault="003C6E44" w:rsidP="006E21D7">
            <w:pPr>
              <w:rPr>
                <w:rFonts w:ascii="Arial" w:hAnsi="Arial" w:cs="Arial"/>
                <w:sz w:val="20"/>
                <w:szCs w:val="20"/>
              </w:rPr>
            </w:pPr>
            <w:r>
              <w:rPr>
                <w:rFonts w:ascii="Arial" w:hAnsi="Arial" w:cs="Arial"/>
                <w:sz w:val="20"/>
                <w:szCs w:val="20"/>
              </w:rPr>
              <w:lastRenderedPageBreak/>
              <w:t>59</w:t>
            </w:r>
          </w:p>
        </w:tc>
        <w:tc>
          <w:tcPr>
            <w:tcW w:w="650" w:type="pct"/>
            <w:shd w:val="clear" w:color="auto" w:fill="auto"/>
          </w:tcPr>
          <w:p w14:paraId="100BF932" w14:textId="77777777" w:rsidR="00720667" w:rsidRPr="005E4CAE" w:rsidRDefault="00720667" w:rsidP="006E21D7">
            <w:pPr>
              <w:rPr>
                <w:rFonts w:ascii="Arial" w:hAnsi="Arial" w:cs="Arial"/>
                <w:bCs/>
                <w:sz w:val="20"/>
                <w:szCs w:val="20"/>
              </w:rPr>
            </w:pPr>
            <w:r w:rsidRPr="005E4CAE">
              <w:rPr>
                <w:rFonts w:ascii="Arial" w:hAnsi="Arial" w:cs="Arial"/>
                <w:bCs/>
                <w:sz w:val="20"/>
                <w:szCs w:val="20"/>
              </w:rPr>
              <w:t>NHS England -Antimicrobial Prescribing and Medicines Optimisation Team</w:t>
            </w:r>
          </w:p>
        </w:tc>
        <w:tc>
          <w:tcPr>
            <w:tcW w:w="535" w:type="pct"/>
            <w:shd w:val="clear" w:color="auto" w:fill="auto"/>
          </w:tcPr>
          <w:p w14:paraId="366399E7" w14:textId="77777777" w:rsidR="00720667" w:rsidRPr="005E4CAE" w:rsidRDefault="00720667" w:rsidP="006E21D7">
            <w:pPr>
              <w:rPr>
                <w:rFonts w:ascii="Arial" w:hAnsi="Arial" w:cs="Arial"/>
                <w:sz w:val="20"/>
                <w:szCs w:val="20"/>
              </w:rPr>
            </w:pPr>
            <w:r w:rsidRPr="005E4CAE">
              <w:rPr>
                <w:rFonts w:ascii="Arial" w:hAnsi="Arial" w:cs="Arial"/>
                <w:sz w:val="20"/>
                <w:szCs w:val="20"/>
              </w:rPr>
              <w:t>Statement 5</w:t>
            </w:r>
          </w:p>
        </w:tc>
        <w:tc>
          <w:tcPr>
            <w:tcW w:w="3548" w:type="pct"/>
            <w:shd w:val="clear" w:color="auto" w:fill="auto"/>
          </w:tcPr>
          <w:p w14:paraId="2614093D" w14:textId="77777777" w:rsidR="00720667" w:rsidRPr="005E4CAE" w:rsidRDefault="00720667" w:rsidP="006E21D7">
            <w:pPr>
              <w:rPr>
                <w:rFonts w:ascii="Arial" w:hAnsi="Arial" w:cs="Arial"/>
                <w:sz w:val="20"/>
                <w:szCs w:val="20"/>
              </w:rPr>
            </w:pPr>
            <w:bookmarkStart w:id="48" w:name="_Hlk173141568"/>
            <w:r w:rsidRPr="005E4CAE">
              <w:rPr>
                <w:rFonts w:ascii="Arial" w:hAnsi="Arial" w:cs="Arial"/>
                <w:sz w:val="20"/>
                <w:szCs w:val="20"/>
              </w:rPr>
              <w:t>Who should this follow up appointment be with? The discharging team, the neurology team, someone else? Given the variety of the issues to be considered in the review (bones &amp; joint damage, neurological problems, psychosocial problems etc.), who is best placed to conduct the review?</w:t>
            </w:r>
            <w:bookmarkEnd w:id="48"/>
          </w:p>
        </w:tc>
      </w:tr>
      <w:tr w:rsidR="00720667" w:rsidRPr="005E4CAE" w14:paraId="4E209FEE" w14:textId="77777777" w:rsidTr="006E21D7">
        <w:tc>
          <w:tcPr>
            <w:tcW w:w="267" w:type="pct"/>
            <w:shd w:val="clear" w:color="auto" w:fill="auto"/>
          </w:tcPr>
          <w:p w14:paraId="18CE5A56" w14:textId="4AC028AA" w:rsidR="00720667" w:rsidRPr="005E4CAE" w:rsidRDefault="00720667" w:rsidP="006E21D7">
            <w:pPr>
              <w:rPr>
                <w:rFonts w:ascii="Arial" w:hAnsi="Arial" w:cs="Arial"/>
                <w:sz w:val="20"/>
                <w:szCs w:val="20"/>
              </w:rPr>
            </w:pPr>
            <w:r w:rsidRPr="005E4CAE">
              <w:rPr>
                <w:rFonts w:ascii="Arial" w:hAnsi="Arial" w:cs="Arial"/>
                <w:sz w:val="20"/>
                <w:szCs w:val="20"/>
              </w:rPr>
              <w:t>6</w:t>
            </w:r>
            <w:r w:rsidR="003C6E44">
              <w:rPr>
                <w:rFonts w:ascii="Arial" w:hAnsi="Arial" w:cs="Arial"/>
                <w:sz w:val="20"/>
                <w:szCs w:val="20"/>
              </w:rPr>
              <w:t>0</w:t>
            </w:r>
          </w:p>
        </w:tc>
        <w:tc>
          <w:tcPr>
            <w:tcW w:w="650" w:type="pct"/>
            <w:shd w:val="clear" w:color="auto" w:fill="auto"/>
          </w:tcPr>
          <w:p w14:paraId="3F6C51DC" w14:textId="77777777" w:rsidR="00720667" w:rsidRPr="005E4CAE" w:rsidRDefault="00720667" w:rsidP="006E21D7">
            <w:pPr>
              <w:rPr>
                <w:rFonts w:ascii="Arial" w:hAnsi="Arial" w:cs="Arial"/>
                <w:bCs/>
                <w:sz w:val="20"/>
                <w:szCs w:val="20"/>
              </w:rPr>
            </w:pPr>
            <w:r w:rsidRPr="005E4CAE">
              <w:rPr>
                <w:rFonts w:ascii="Arial" w:hAnsi="Arial" w:cs="Arial"/>
                <w:bCs/>
                <w:sz w:val="20"/>
                <w:szCs w:val="20"/>
              </w:rPr>
              <w:t>NHS England – Clinical Programme Team</w:t>
            </w:r>
          </w:p>
        </w:tc>
        <w:tc>
          <w:tcPr>
            <w:tcW w:w="535" w:type="pct"/>
            <w:shd w:val="clear" w:color="auto" w:fill="auto"/>
          </w:tcPr>
          <w:p w14:paraId="398D3CBD" w14:textId="77777777" w:rsidR="00720667" w:rsidRPr="005E4CAE" w:rsidRDefault="00720667" w:rsidP="006E21D7">
            <w:pPr>
              <w:rPr>
                <w:rFonts w:ascii="Arial" w:hAnsi="Arial" w:cs="Arial"/>
                <w:sz w:val="20"/>
                <w:szCs w:val="20"/>
              </w:rPr>
            </w:pPr>
            <w:r w:rsidRPr="005E4CAE">
              <w:rPr>
                <w:rFonts w:ascii="Arial" w:hAnsi="Arial" w:cs="Arial"/>
                <w:sz w:val="20"/>
                <w:szCs w:val="20"/>
              </w:rPr>
              <w:t>Statement 5</w:t>
            </w:r>
          </w:p>
        </w:tc>
        <w:tc>
          <w:tcPr>
            <w:tcW w:w="3548" w:type="pct"/>
            <w:shd w:val="clear" w:color="auto" w:fill="auto"/>
          </w:tcPr>
          <w:p w14:paraId="7A5FF400" w14:textId="77777777" w:rsidR="00720667" w:rsidRPr="005E4CAE" w:rsidRDefault="00720667" w:rsidP="006E21D7">
            <w:pPr>
              <w:rPr>
                <w:rFonts w:ascii="Arial" w:hAnsi="Arial" w:cs="Arial"/>
                <w:sz w:val="20"/>
                <w:szCs w:val="20"/>
              </w:rPr>
            </w:pPr>
            <w:bookmarkStart w:id="49" w:name="_Hlk173141224"/>
            <w:r w:rsidRPr="005E4CAE">
              <w:rPr>
                <w:rFonts w:ascii="Arial" w:hAnsi="Arial" w:cs="Arial"/>
                <w:color w:val="000000"/>
                <w:sz w:val="20"/>
                <w:szCs w:val="20"/>
              </w:rPr>
              <w:t>Re discharge – everyone to be invited for a follow up – risk of significant issues for people with a learning disability “21% of people with bacterial meningitis arranged a follow up appointment themselves and 26% did not have follow up but stated they would have liked this.” When they are known to have significant issues accessing healthcare – with many relying on others and for those from ethnic communities these issues are compounded. At the very least, everyone who is either a) on GP learning disability register or b) has a reasonable adjustment digital flag on their health record. </w:t>
            </w:r>
            <w:bookmarkEnd w:id="49"/>
          </w:p>
        </w:tc>
      </w:tr>
      <w:tr w:rsidR="00720667" w:rsidRPr="005E4CAE" w14:paraId="67FEF237" w14:textId="77777777" w:rsidTr="006E21D7">
        <w:tc>
          <w:tcPr>
            <w:tcW w:w="267" w:type="pct"/>
            <w:shd w:val="clear" w:color="auto" w:fill="auto"/>
          </w:tcPr>
          <w:p w14:paraId="54A45815" w14:textId="0C7EE8A4" w:rsidR="00720667" w:rsidRPr="005E4CAE" w:rsidRDefault="00720667" w:rsidP="006E21D7">
            <w:pPr>
              <w:rPr>
                <w:rFonts w:ascii="Arial" w:hAnsi="Arial" w:cs="Arial"/>
                <w:sz w:val="20"/>
                <w:szCs w:val="20"/>
              </w:rPr>
            </w:pPr>
            <w:bookmarkStart w:id="50" w:name="_Hlk173141713"/>
            <w:r w:rsidRPr="005E4CAE">
              <w:rPr>
                <w:rFonts w:ascii="Arial" w:hAnsi="Arial" w:cs="Arial"/>
                <w:sz w:val="20"/>
                <w:szCs w:val="20"/>
              </w:rPr>
              <w:t>6</w:t>
            </w:r>
            <w:r w:rsidR="003C6E44">
              <w:rPr>
                <w:rFonts w:ascii="Arial" w:hAnsi="Arial" w:cs="Arial"/>
                <w:sz w:val="20"/>
                <w:szCs w:val="20"/>
              </w:rPr>
              <w:t>1</w:t>
            </w:r>
          </w:p>
        </w:tc>
        <w:tc>
          <w:tcPr>
            <w:tcW w:w="650" w:type="pct"/>
            <w:shd w:val="clear" w:color="auto" w:fill="auto"/>
          </w:tcPr>
          <w:p w14:paraId="3FD409AD" w14:textId="77777777" w:rsidR="00720667" w:rsidRPr="005E4CAE" w:rsidRDefault="00720667" w:rsidP="006E21D7">
            <w:pPr>
              <w:rPr>
                <w:rFonts w:ascii="Arial" w:hAnsi="Arial" w:cs="Arial"/>
                <w:bCs/>
                <w:sz w:val="20"/>
                <w:szCs w:val="20"/>
              </w:rPr>
            </w:pPr>
            <w:r w:rsidRPr="005E4CAE">
              <w:rPr>
                <w:rFonts w:ascii="Arial" w:hAnsi="Arial" w:cs="Arial"/>
                <w:bCs/>
                <w:sz w:val="20"/>
                <w:szCs w:val="20"/>
              </w:rPr>
              <w:t>NHS England – Clinical Programme Team</w:t>
            </w:r>
          </w:p>
        </w:tc>
        <w:tc>
          <w:tcPr>
            <w:tcW w:w="535" w:type="pct"/>
            <w:shd w:val="clear" w:color="auto" w:fill="auto"/>
          </w:tcPr>
          <w:p w14:paraId="448408D7" w14:textId="77777777" w:rsidR="00720667" w:rsidRPr="005E4CAE" w:rsidRDefault="00720667" w:rsidP="006E21D7">
            <w:pPr>
              <w:rPr>
                <w:rFonts w:ascii="Arial" w:hAnsi="Arial" w:cs="Arial"/>
                <w:b/>
                <w:bCs/>
                <w:sz w:val="20"/>
                <w:szCs w:val="20"/>
              </w:rPr>
            </w:pPr>
            <w:r w:rsidRPr="005E4CAE">
              <w:rPr>
                <w:rFonts w:ascii="Arial" w:hAnsi="Arial" w:cs="Arial"/>
                <w:sz w:val="20"/>
                <w:szCs w:val="20"/>
              </w:rPr>
              <w:t>Statement 5</w:t>
            </w:r>
          </w:p>
        </w:tc>
        <w:tc>
          <w:tcPr>
            <w:tcW w:w="3548" w:type="pct"/>
            <w:shd w:val="clear" w:color="auto" w:fill="auto"/>
          </w:tcPr>
          <w:p w14:paraId="1853F587" w14:textId="77777777" w:rsidR="00720667" w:rsidRPr="005E4CAE" w:rsidRDefault="00720667" w:rsidP="006E21D7">
            <w:pPr>
              <w:rPr>
                <w:rFonts w:ascii="Arial" w:hAnsi="Arial" w:cs="Arial"/>
                <w:sz w:val="20"/>
                <w:szCs w:val="20"/>
              </w:rPr>
            </w:pPr>
            <w:r w:rsidRPr="005E4CAE">
              <w:rPr>
                <w:rFonts w:ascii="Arial" w:hAnsi="Arial" w:cs="Arial"/>
                <w:color w:val="000000"/>
                <w:sz w:val="20"/>
                <w:szCs w:val="20"/>
              </w:rPr>
              <w:t>Care after hospital discharge – will this include reference to reasonable adjustments – people may need reasonable adjustments as a result of the impact of the illness or they may have changed. </w:t>
            </w:r>
          </w:p>
        </w:tc>
      </w:tr>
      <w:bookmarkEnd w:id="50"/>
      <w:tr w:rsidR="00720667" w:rsidRPr="005E4CAE" w14:paraId="1C0CDEC5" w14:textId="77777777" w:rsidTr="006E21D7">
        <w:tc>
          <w:tcPr>
            <w:tcW w:w="267" w:type="pct"/>
            <w:shd w:val="clear" w:color="auto" w:fill="auto"/>
          </w:tcPr>
          <w:p w14:paraId="3A9F0E55" w14:textId="1880243A" w:rsidR="00720667" w:rsidRPr="005E4CAE" w:rsidRDefault="00720667" w:rsidP="006E21D7">
            <w:pPr>
              <w:rPr>
                <w:rFonts w:ascii="Arial" w:hAnsi="Arial" w:cs="Arial"/>
                <w:sz w:val="20"/>
                <w:szCs w:val="20"/>
              </w:rPr>
            </w:pPr>
            <w:r w:rsidRPr="005E4CAE">
              <w:rPr>
                <w:rFonts w:ascii="Arial" w:hAnsi="Arial" w:cs="Arial"/>
                <w:sz w:val="20"/>
                <w:szCs w:val="20"/>
              </w:rPr>
              <w:t>6</w:t>
            </w:r>
            <w:r w:rsidR="003C6E44">
              <w:rPr>
                <w:rFonts w:ascii="Arial" w:hAnsi="Arial" w:cs="Arial"/>
                <w:sz w:val="20"/>
                <w:szCs w:val="20"/>
              </w:rPr>
              <w:t>2</w:t>
            </w:r>
          </w:p>
        </w:tc>
        <w:tc>
          <w:tcPr>
            <w:tcW w:w="650" w:type="pct"/>
            <w:shd w:val="clear" w:color="auto" w:fill="auto"/>
          </w:tcPr>
          <w:p w14:paraId="02F5B15E" w14:textId="77777777" w:rsidR="00720667" w:rsidRPr="005E4CAE" w:rsidRDefault="00720667" w:rsidP="006E21D7">
            <w:pPr>
              <w:rPr>
                <w:rFonts w:ascii="Arial" w:hAnsi="Arial" w:cs="Arial"/>
                <w:bCs/>
                <w:sz w:val="20"/>
                <w:szCs w:val="20"/>
              </w:rPr>
            </w:pPr>
            <w:r w:rsidRPr="005E4CAE">
              <w:rPr>
                <w:rFonts w:ascii="Arial" w:hAnsi="Arial" w:cs="Arial"/>
                <w:bCs/>
                <w:sz w:val="20"/>
                <w:szCs w:val="20"/>
              </w:rPr>
              <w:t>Royal College Emergency Medicine</w:t>
            </w:r>
          </w:p>
        </w:tc>
        <w:tc>
          <w:tcPr>
            <w:tcW w:w="535" w:type="pct"/>
            <w:shd w:val="clear" w:color="auto" w:fill="auto"/>
          </w:tcPr>
          <w:p w14:paraId="26A21880" w14:textId="77777777" w:rsidR="00720667" w:rsidRPr="005E4CAE" w:rsidRDefault="00720667" w:rsidP="006E21D7">
            <w:pPr>
              <w:rPr>
                <w:rFonts w:ascii="Arial" w:hAnsi="Arial" w:cs="Arial"/>
                <w:sz w:val="20"/>
                <w:szCs w:val="20"/>
              </w:rPr>
            </w:pPr>
            <w:r w:rsidRPr="005E4CAE">
              <w:rPr>
                <w:rFonts w:ascii="Arial" w:hAnsi="Arial" w:cs="Arial"/>
                <w:sz w:val="20"/>
                <w:szCs w:val="20"/>
              </w:rPr>
              <w:t>Statement 5</w:t>
            </w:r>
          </w:p>
        </w:tc>
        <w:tc>
          <w:tcPr>
            <w:tcW w:w="3548" w:type="pct"/>
            <w:shd w:val="clear" w:color="auto" w:fill="auto"/>
          </w:tcPr>
          <w:p w14:paraId="3392A691" w14:textId="77777777" w:rsidR="00720667" w:rsidRPr="005E4CAE" w:rsidRDefault="00720667" w:rsidP="006E21D7">
            <w:pPr>
              <w:rPr>
                <w:rFonts w:ascii="Arial" w:hAnsi="Arial" w:cs="Arial"/>
                <w:sz w:val="20"/>
                <w:szCs w:val="20"/>
              </w:rPr>
            </w:pPr>
            <w:r w:rsidRPr="005E4CAE">
              <w:rPr>
                <w:rFonts w:ascii="Arial" w:hAnsi="Arial" w:cs="Arial"/>
                <w:sz w:val="20"/>
                <w:szCs w:val="20"/>
              </w:rPr>
              <w:t>No comments</w:t>
            </w:r>
          </w:p>
        </w:tc>
      </w:tr>
      <w:tr w:rsidR="00720667" w:rsidRPr="005E4CAE" w14:paraId="69E92BFB" w14:textId="77777777" w:rsidTr="006E21D7">
        <w:tc>
          <w:tcPr>
            <w:tcW w:w="5000" w:type="pct"/>
            <w:gridSpan w:val="4"/>
          </w:tcPr>
          <w:p w14:paraId="34CAFA18" w14:textId="77777777" w:rsidR="00720667" w:rsidRPr="005E4CAE" w:rsidRDefault="00720667" w:rsidP="006E21D7">
            <w:pPr>
              <w:rPr>
                <w:rFonts w:ascii="Arial" w:hAnsi="Arial" w:cs="Arial"/>
                <w:sz w:val="20"/>
                <w:szCs w:val="20"/>
              </w:rPr>
            </w:pPr>
            <w:r w:rsidRPr="005E4CAE">
              <w:rPr>
                <w:rFonts w:ascii="Arial" w:hAnsi="Arial" w:cs="Arial"/>
                <w:sz w:val="20"/>
                <w:szCs w:val="20"/>
              </w:rPr>
              <w:t>Additional areas</w:t>
            </w:r>
          </w:p>
        </w:tc>
      </w:tr>
      <w:tr w:rsidR="00720667" w:rsidRPr="005E4CAE" w14:paraId="5DD5B814" w14:textId="77777777" w:rsidTr="006E21D7">
        <w:tc>
          <w:tcPr>
            <w:tcW w:w="267" w:type="pct"/>
          </w:tcPr>
          <w:p w14:paraId="31491E0B" w14:textId="54004CBC" w:rsidR="00720667" w:rsidRPr="005E4CAE" w:rsidRDefault="00720667" w:rsidP="006E21D7">
            <w:pPr>
              <w:rPr>
                <w:rFonts w:ascii="Arial" w:hAnsi="Arial" w:cs="Arial"/>
                <w:bCs/>
                <w:iCs/>
                <w:sz w:val="20"/>
                <w:szCs w:val="20"/>
              </w:rPr>
            </w:pPr>
            <w:r w:rsidRPr="005E4CAE">
              <w:rPr>
                <w:rFonts w:ascii="Arial" w:hAnsi="Arial" w:cs="Arial"/>
                <w:bCs/>
                <w:iCs/>
                <w:sz w:val="20"/>
                <w:szCs w:val="20"/>
              </w:rPr>
              <w:t>6</w:t>
            </w:r>
            <w:r w:rsidR="003C6E44">
              <w:rPr>
                <w:rFonts w:ascii="Arial" w:hAnsi="Arial" w:cs="Arial"/>
                <w:bCs/>
                <w:iCs/>
                <w:sz w:val="20"/>
                <w:szCs w:val="20"/>
              </w:rPr>
              <w:t>3</w:t>
            </w:r>
          </w:p>
        </w:tc>
        <w:tc>
          <w:tcPr>
            <w:tcW w:w="650" w:type="pct"/>
          </w:tcPr>
          <w:p w14:paraId="5D124803" w14:textId="77777777" w:rsidR="00720667" w:rsidRPr="005E4CAE" w:rsidRDefault="00720667" w:rsidP="006E21D7">
            <w:pPr>
              <w:rPr>
                <w:rFonts w:ascii="Arial" w:hAnsi="Arial" w:cs="Arial"/>
                <w:bCs/>
                <w:iCs/>
                <w:sz w:val="20"/>
                <w:szCs w:val="20"/>
              </w:rPr>
            </w:pPr>
            <w:r w:rsidRPr="005E4CAE">
              <w:rPr>
                <w:rFonts w:ascii="Arial" w:hAnsi="Arial" w:cs="Arial"/>
                <w:bCs/>
                <w:sz w:val="20"/>
                <w:szCs w:val="20"/>
              </w:rPr>
              <w:t>British Society of Physical and Rehabilitation Medicine</w:t>
            </w:r>
          </w:p>
        </w:tc>
        <w:tc>
          <w:tcPr>
            <w:tcW w:w="535" w:type="pct"/>
          </w:tcPr>
          <w:p w14:paraId="216187E3" w14:textId="77777777" w:rsidR="00720667" w:rsidRPr="005E4CAE" w:rsidRDefault="00720667" w:rsidP="006E21D7">
            <w:pPr>
              <w:rPr>
                <w:rFonts w:ascii="Arial" w:hAnsi="Arial" w:cs="Arial"/>
                <w:sz w:val="20"/>
                <w:szCs w:val="20"/>
              </w:rPr>
            </w:pPr>
            <w:r w:rsidRPr="005E4CAE">
              <w:rPr>
                <w:rFonts w:ascii="Arial" w:hAnsi="Arial" w:cs="Arial"/>
                <w:sz w:val="20"/>
                <w:szCs w:val="20"/>
              </w:rPr>
              <w:t>Additional areas</w:t>
            </w:r>
          </w:p>
        </w:tc>
        <w:tc>
          <w:tcPr>
            <w:tcW w:w="3548" w:type="pct"/>
          </w:tcPr>
          <w:p w14:paraId="35A6DF6A" w14:textId="77777777" w:rsidR="00720667" w:rsidRPr="005E4CAE" w:rsidRDefault="00720667" w:rsidP="006E21D7">
            <w:pPr>
              <w:rPr>
                <w:rFonts w:ascii="Arial" w:hAnsi="Arial" w:cs="Arial"/>
                <w:sz w:val="20"/>
                <w:szCs w:val="20"/>
              </w:rPr>
            </w:pPr>
            <w:bookmarkStart w:id="51" w:name="_Hlk173145400"/>
            <w:r w:rsidRPr="005E4CAE">
              <w:rPr>
                <w:rFonts w:ascii="Arial" w:hAnsi="Arial" w:cs="Arial"/>
                <w:sz w:val="20"/>
                <w:szCs w:val="20"/>
              </w:rPr>
              <w:t xml:space="preserve">A key area for quality improvement is management of long term complications after meningitis. The patients with meningitis are </w:t>
            </w:r>
            <w:proofErr w:type="spellStart"/>
            <w:r w:rsidRPr="005E4CAE">
              <w:rPr>
                <w:rFonts w:ascii="Arial" w:hAnsi="Arial" w:cs="Arial"/>
                <w:sz w:val="20"/>
                <w:szCs w:val="20"/>
              </w:rPr>
              <w:t>oftem</w:t>
            </w:r>
            <w:proofErr w:type="spellEnd"/>
            <w:r w:rsidRPr="005E4CAE">
              <w:rPr>
                <w:rFonts w:ascii="Arial" w:hAnsi="Arial" w:cs="Arial"/>
                <w:sz w:val="20"/>
                <w:szCs w:val="20"/>
              </w:rPr>
              <w:t xml:space="preserve"> managed by the infectious disease teams or acute medical teams . The current practice is to complete the course of antibiotics and discharge. Unfortunately around 20% experience long term sequalae. The document has no mention about long term sequalae other than audiological damage. Around 20% suffer from long term complications such as weakness, cognitive decline, spasticity, seizures. Currently, there is no guideline for management of longer term complications. This draft do not address this key aspect which requires improvement. Reference: https://doi.org/10.1016/S1473-3099(10)70048-7.</w:t>
            </w:r>
            <w:bookmarkEnd w:id="51"/>
          </w:p>
        </w:tc>
      </w:tr>
      <w:tr w:rsidR="00720667" w:rsidRPr="005E4CAE" w14:paraId="338B38F5" w14:textId="77777777" w:rsidTr="006E21D7">
        <w:tc>
          <w:tcPr>
            <w:tcW w:w="267" w:type="pct"/>
          </w:tcPr>
          <w:p w14:paraId="6B03B78C" w14:textId="717C9BA4" w:rsidR="00720667" w:rsidRPr="005E4CAE" w:rsidRDefault="00720667" w:rsidP="006E21D7">
            <w:pPr>
              <w:rPr>
                <w:rFonts w:ascii="Arial" w:hAnsi="Arial" w:cs="Arial"/>
                <w:sz w:val="20"/>
                <w:szCs w:val="20"/>
              </w:rPr>
            </w:pPr>
            <w:r w:rsidRPr="005E4CAE">
              <w:rPr>
                <w:rFonts w:ascii="Arial" w:hAnsi="Arial" w:cs="Arial"/>
                <w:sz w:val="20"/>
                <w:szCs w:val="20"/>
              </w:rPr>
              <w:t>6</w:t>
            </w:r>
            <w:r w:rsidR="003C6E44">
              <w:rPr>
                <w:rFonts w:ascii="Arial" w:hAnsi="Arial" w:cs="Arial"/>
                <w:sz w:val="20"/>
                <w:szCs w:val="20"/>
              </w:rPr>
              <w:t>4</w:t>
            </w:r>
          </w:p>
        </w:tc>
        <w:tc>
          <w:tcPr>
            <w:tcW w:w="650" w:type="pct"/>
          </w:tcPr>
          <w:p w14:paraId="08A55F5D" w14:textId="77777777" w:rsidR="00720667" w:rsidRPr="005E4CAE" w:rsidRDefault="00720667" w:rsidP="006E21D7">
            <w:pPr>
              <w:rPr>
                <w:rFonts w:ascii="Arial" w:hAnsi="Arial" w:cs="Arial"/>
                <w:bCs/>
                <w:sz w:val="20"/>
                <w:szCs w:val="20"/>
              </w:rPr>
            </w:pPr>
            <w:r w:rsidRPr="005E4CAE">
              <w:rPr>
                <w:rFonts w:ascii="Arial" w:hAnsi="Arial" w:cs="Arial"/>
                <w:bCs/>
                <w:sz w:val="20"/>
                <w:szCs w:val="20"/>
              </w:rPr>
              <w:t>British Society of Physical and Rehabilitation Medicine</w:t>
            </w:r>
          </w:p>
        </w:tc>
        <w:tc>
          <w:tcPr>
            <w:tcW w:w="535" w:type="pct"/>
          </w:tcPr>
          <w:p w14:paraId="4B481CAB" w14:textId="77777777" w:rsidR="00720667" w:rsidRPr="005E4CAE" w:rsidRDefault="00720667" w:rsidP="006E21D7">
            <w:pPr>
              <w:rPr>
                <w:rFonts w:ascii="Arial" w:hAnsi="Arial" w:cs="Arial"/>
                <w:sz w:val="20"/>
                <w:szCs w:val="20"/>
              </w:rPr>
            </w:pPr>
            <w:r w:rsidRPr="005E4CAE">
              <w:rPr>
                <w:rFonts w:ascii="Arial" w:hAnsi="Arial" w:cs="Arial"/>
                <w:sz w:val="20"/>
                <w:szCs w:val="20"/>
              </w:rPr>
              <w:t>Additional areas</w:t>
            </w:r>
          </w:p>
        </w:tc>
        <w:tc>
          <w:tcPr>
            <w:tcW w:w="3548" w:type="pct"/>
          </w:tcPr>
          <w:p w14:paraId="2880BA91" w14:textId="77777777" w:rsidR="00720667" w:rsidRPr="005E4CAE" w:rsidRDefault="00720667" w:rsidP="006E21D7">
            <w:pPr>
              <w:pStyle w:val="ListParagraph"/>
              <w:ind w:left="0"/>
              <w:rPr>
                <w:rFonts w:ascii="Arial" w:eastAsia="Times New Roman" w:hAnsi="Arial" w:cs="Arial"/>
                <w:sz w:val="20"/>
                <w:szCs w:val="20"/>
              </w:rPr>
            </w:pPr>
            <w:bookmarkStart w:id="52" w:name="_Hlk173145904"/>
            <w:r w:rsidRPr="005E4CAE">
              <w:rPr>
                <w:rFonts w:ascii="Arial" w:eastAsia="Times New Roman" w:hAnsi="Arial" w:cs="Arial"/>
                <w:sz w:val="20"/>
                <w:szCs w:val="20"/>
              </w:rPr>
              <w:t>Specific guidelines about safety netting advice for people living with long term disabilities.</w:t>
            </w:r>
          </w:p>
          <w:bookmarkEnd w:id="52"/>
          <w:p w14:paraId="6D821C79" w14:textId="77777777" w:rsidR="00720667" w:rsidRPr="005E4CAE" w:rsidRDefault="00720667" w:rsidP="006E21D7">
            <w:pPr>
              <w:rPr>
                <w:rFonts w:ascii="Arial" w:hAnsi="Arial" w:cs="Arial"/>
                <w:sz w:val="20"/>
                <w:szCs w:val="20"/>
              </w:rPr>
            </w:pPr>
          </w:p>
        </w:tc>
      </w:tr>
      <w:tr w:rsidR="00720667" w:rsidRPr="005E4CAE" w14:paraId="3F184A38" w14:textId="77777777" w:rsidTr="006E21D7">
        <w:tc>
          <w:tcPr>
            <w:tcW w:w="267" w:type="pct"/>
          </w:tcPr>
          <w:p w14:paraId="7F14D129" w14:textId="486C7579" w:rsidR="00720667" w:rsidRPr="005E4CAE" w:rsidRDefault="00720667" w:rsidP="006E21D7">
            <w:pPr>
              <w:rPr>
                <w:rFonts w:ascii="Arial" w:hAnsi="Arial" w:cs="Arial"/>
                <w:sz w:val="20"/>
                <w:szCs w:val="20"/>
              </w:rPr>
            </w:pPr>
            <w:r w:rsidRPr="005E4CAE">
              <w:rPr>
                <w:rFonts w:ascii="Arial" w:hAnsi="Arial" w:cs="Arial"/>
                <w:sz w:val="20"/>
                <w:szCs w:val="20"/>
              </w:rPr>
              <w:lastRenderedPageBreak/>
              <w:t>6</w:t>
            </w:r>
            <w:r w:rsidR="003C6E44">
              <w:rPr>
                <w:rFonts w:ascii="Arial" w:hAnsi="Arial" w:cs="Arial"/>
                <w:sz w:val="20"/>
                <w:szCs w:val="20"/>
              </w:rPr>
              <w:t>5</w:t>
            </w:r>
          </w:p>
        </w:tc>
        <w:tc>
          <w:tcPr>
            <w:tcW w:w="650" w:type="pct"/>
          </w:tcPr>
          <w:p w14:paraId="5CA92102" w14:textId="77777777" w:rsidR="00720667" w:rsidRPr="005E4CAE" w:rsidRDefault="00720667" w:rsidP="006E21D7">
            <w:pPr>
              <w:rPr>
                <w:rFonts w:ascii="Arial" w:hAnsi="Arial" w:cs="Arial"/>
                <w:bCs/>
                <w:sz w:val="20"/>
                <w:szCs w:val="20"/>
              </w:rPr>
            </w:pPr>
            <w:r w:rsidRPr="005E4CAE">
              <w:rPr>
                <w:rFonts w:ascii="Arial" w:hAnsi="Arial" w:cs="Arial"/>
                <w:bCs/>
                <w:sz w:val="20"/>
                <w:szCs w:val="20"/>
              </w:rPr>
              <w:t>Royal College of Nursing - Emergency Care Forum Committee</w:t>
            </w:r>
          </w:p>
        </w:tc>
        <w:tc>
          <w:tcPr>
            <w:tcW w:w="535" w:type="pct"/>
          </w:tcPr>
          <w:p w14:paraId="5F64212B" w14:textId="77777777" w:rsidR="00720667" w:rsidRPr="005E4CAE" w:rsidRDefault="00720667" w:rsidP="006E21D7">
            <w:pPr>
              <w:rPr>
                <w:rFonts w:ascii="Arial" w:hAnsi="Arial" w:cs="Arial"/>
                <w:sz w:val="20"/>
                <w:szCs w:val="20"/>
              </w:rPr>
            </w:pPr>
            <w:r w:rsidRPr="005E4CAE">
              <w:rPr>
                <w:rFonts w:ascii="Arial" w:hAnsi="Arial" w:cs="Arial"/>
                <w:sz w:val="20"/>
                <w:szCs w:val="20"/>
              </w:rPr>
              <w:t>Additional areas</w:t>
            </w:r>
          </w:p>
        </w:tc>
        <w:tc>
          <w:tcPr>
            <w:tcW w:w="3548" w:type="pct"/>
          </w:tcPr>
          <w:p w14:paraId="1F59477D" w14:textId="7BA1166A" w:rsidR="00720667" w:rsidRPr="005E4CAE" w:rsidRDefault="00720667" w:rsidP="006E21D7">
            <w:pPr>
              <w:pStyle w:val="Paragraphnonumbers"/>
              <w:spacing w:after="0"/>
              <w:rPr>
                <w:rFonts w:cs="Arial"/>
                <w:sz w:val="20"/>
                <w:szCs w:val="20"/>
              </w:rPr>
            </w:pPr>
            <w:r w:rsidRPr="005E4CAE">
              <w:rPr>
                <w:rFonts w:cs="Arial"/>
                <w:sz w:val="20"/>
                <w:szCs w:val="20"/>
              </w:rPr>
              <w:t xml:space="preserve">There is mention of primary care (PC). </w:t>
            </w:r>
            <w:bookmarkStart w:id="53" w:name="_Hlk173134575"/>
            <w:r w:rsidRPr="005E4CAE">
              <w:rPr>
                <w:rFonts w:cs="Arial"/>
                <w:sz w:val="20"/>
                <w:szCs w:val="20"/>
              </w:rPr>
              <w:t xml:space="preserve">There is no mention of urgent primary care (UPC) (Out of Hours – (OOHs)) settings. There is no mention of Intravenous (IV) in the community or establishing IV access whilst awaiting emergency transfer. There is no mention of transfer delay action plans including Intramuscular Injections (IM) antibiotics or telephone consultation advice between PC or UPC OOHs with community staff experiencing delays of achieving golden hour antibiotics administration. </w:t>
            </w:r>
            <w:bookmarkEnd w:id="53"/>
          </w:p>
        </w:tc>
      </w:tr>
    </w:tbl>
    <w:p w14:paraId="30F87C26" w14:textId="77777777" w:rsidR="00AE5436" w:rsidRDefault="00AE5436" w:rsidP="00CE1BFA">
      <w:pPr>
        <w:pStyle w:val="TableText1"/>
        <w:rPr>
          <w:highlight w:val="cyan"/>
        </w:rPr>
      </w:pPr>
    </w:p>
    <w:p w14:paraId="3D0A3387" w14:textId="77777777" w:rsidR="00720667" w:rsidRDefault="00720667" w:rsidP="00CE1BFA">
      <w:pPr>
        <w:pStyle w:val="TableText1"/>
        <w:rPr>
          <w:highlight w:val="cyan"/>
        </w:rPr>
      </w:pPr>
    </w:p>
    <w:p w14:paraId="622CEF41" w14:textId="77777777" w:rsidR="00720667" w:rsidRDefault="00720667" w:rsidP="00CE1BFA">
      <w:pPr>
        <w:pStyle w:val="TableText1"/>
        <w:rPr>
          <w:highlight w:val="cyan"/>
        </w:rPr>
      </w:pPr>
    </w:p>
    <w:p w14:paraId="219821FB" w14:textId="77777777" w:rsidR="00003D97" w:rsidRDefault="00003D97" w:rsidP="004A1476">
      <w:pPr>
        <w:pStyle w:val="NICEnormalsinglespacing"/>
      </w:pPr>
      <w:r>
        <w:t xml:space="preserve">Note: </w:t>
      </w:r>
      <w:r w:rsidRPr="0089346D">
        <w:t xml:space="preserve">Comments received in the course of consultations carried out by NICE are published in the interests of openness and transparency, and to promote understanding of how quality standards are developed. The comments are published as a record of the submissions that </w:t>
      </w:r>
      <w:r>
        <w:t>NICE</w:t>
      </w:r>
      <w:r w:rsidRPr="0089346D">
        <w:t xml:space="preserve"> has received, and are not endorsed by NICE, its </w:t>
      </w:r>
      <w:r>
        <w:t>staff</w:t>
      </w:r>
      <w:r w:rsidRPr="0089346D">
        <w:t xml:space="preserve"> or </w:t>
      </w:r>
      <w:r>
        <w:t xml:space="preserve">its </w:t>
      </w:r>
      <w:r w:rsidRPr="0089346D">
        <w:t>advisory committees</w:t>
      </w:r>
      <w:r>
        <w:t>.</w:t>
      </w:r>
    </w:p>
    <w:p w14:paraId="645C6B1B" w14:textId="77777777" w:rsidR="006B4135" w:rsidRDefault="006B4135">
      <w:pPr>
        <w:rPr>
          <w:rFonts w:ascii="Arial" w:hAnsi="Arial" w:cs="Arial"/>
          <w:b/>
          <w:bCs/>
          <w:sz w:val="28"/>
          <w:szCs w:val="28"/>
        </w:rPr>
      </w:pPr>
      <w:r>
        <w:br w:type="page"/>
      </w:r>
    </w:p>
    <w:p w14:paraId="4885CB3E" w14:textId="77777777" w:rsidR="00DE2054" w:rsidRDefault="004563DF" w:rsidP="00DE2054">
      <w:pPr>
        <w:pStyle w:val="Heading2"/>
      </w:pPr>
      <w:r>
        <w:lastRenderedPageBreak/>
        <w:t>Registered s</w:t>
      </w:r>
      <w:r w:rsidR="00DE2054">
        <w:t>takeholders who submitted comments at consultation</w:t>
      </w:r>
    </w:p>
    <w:p w14:paraId="40BF160D" w14:textId="550E7F34" w:rsidR="006236EF" w:rsidRDefault="006236EF" w:rsidP="0089346D">
      <w:pPr>
        <w:pStyle w:val="Bulletleft1"/>
        <w:rPr>
          <w:lang w:eastAsia="en-GB"/>
        </w:rPr>
      </w:pPr>
      <w:r w:rsidRPr="006236EF">
        <w:t xml:space="preserve">Association of Clinical Psychologists </w:t>
      </w:r>
    </w:p>
    <w:p w14:paraId="3F1F62DD" w14:textId="02AF0587" w:rsidR="00CA5039" w:rsidRDefault="00CA5039" w:rsidP="0089346D">
      <w:pPr>
        <w:pStyle w:val="Bulletleft1"/>
        <w:rPr>
          <w:lang w:eastAsia="en-GB"/>
        </w:rPr>
      </w:pPr>
      <w:r w:rsidRPr="00CA5039">
        <w:rPr>
          <w:lang w:eastAsia="en-GB"/>
        </w:rPr>
        <w:t>Association of Paediatric Emergency Medicine</w:t>
      </w:r>
    </w:p>
    <w:p w14:paraId="1FF809A5" w14:textId="77777777" w:rsidR="006236EF" w:rsidRDefault="006236EF" w:rsidP="00EE685E">
      <w:pPr>
        <w:pStyle w:val="Bulletleft1"/>
      </w:pPr>
      <w:r w:rsidRPr="006236EF">
        <w:t>British Society of Physical and Rehabilitation Medicine</w:t>
      </w:r>
    </w:p>
    <w:p w14:paraId="2C0A84F8" w14:textId="5F879444" w:rsidR="006236EF" w:rsidRDefault="006236EF" w:rsidP="00EE685E">
      <w:pPr>
        <w:pStyle w:val="Bulletleft1"/>
      </w:pPr>
      <w:r w:rsidRPr="006236EF">
        <w:t>Faculty of Intensive Care Medicine</w:t>
      </w:r>
    </w:p>
    <w:p w14:paraId="35064A1B" w14:textId="76809082" w:rsidR="00CA5039" w:rsidRDefault="00CA5039" w:rsidP="00EE685E">
      <w:pPr>
        <w:pStyle w:val="Bulletleft1"/>
      </w:pPr>
      <w:r w:rsidRPr="00CA5039">
        <w:t>Meningitis Now</w:t>
      </w:r>
    </w:p>
    <w:p w14:paraId="5885C4F9" w14:textId="77777777" w:rsidR="006236EF" w:rsidRDefault="006236EF" w:rsidP="00EE685E">
      <w:pPr>
        <w:pStyle w:val="Bulletleft1"/>
      </w:pPr>
      <w:r w:rsidRPr="006236EF">
        <w:t xml:space="preserve">Meningitis Research Foundation </w:t>
      </w:r>
    </w:p>
    <w:p w14:paraId="21F6A912" w14:textId="0B649656" w:rsidR="00CA5039" w:rsidRPr="00EE685E" w:rsidRDefault="00CA5039" w:rsidP="00EE685E">
      <w:pPr>
        <w:pStyle w:val="Bulletleft1"/>
      </w:pPr>
      <w:r w:rsidRPr="00CA5039">
        <w:t>NHS England -</w:t>
      </w:r>
      <w:r>
        <w:t xml:space="preserve"> </w:t>
      </w:r>
      <w:r w:rsidRPr="00CA5039">
        <w:t>Antimicrobial Prescribing and Medicines Optimisation Team</w:t>
      </w:r>
    </w:p>
    <w:p w14:paraId="16B4EEC3" w14:textId="77777777" w:rsidR="006236EF" w:rsidRDefault="006236EF" w:rsidP="00EE685E">
      <w:pPr>
        <w:pStyle w:val="Bulletleft1"/>
      </w:pPr>
      <w:r w:rsidRPr="006236EF">
        <w:t xml:space="preserve">NHS England – Clinical Programme Team </w:t>
      </w:r>
    </w:p>
    <w:p w14:paraId="263C2571" w14:textId="7018FDE1" w:rsidR="00CA5039" w:rsidRDefault="00CA5039" w:rsidP="00EE685E">
      <w:pPr>
        <w:pStyle w:val="Bulletleft1"/>
      </w:pPr>
      <w:r w:rsidRPr="00CA5039">
        <w:t xml:space="preserve">Royal College </w:t>
      </w:r>
      <w:r>
        <w:t xml:space="preserve">of </w:t>
      </w:r>
      <w:r w:rsidRPr="00CA5039">
        <w:t>Emergency Medicine</w:t>
      </w:r>
    </w:p>
    <w:p w14:paraId="0044F6B3" w14:textId="1F9D4F20" w:rsidR="00CA5039" w:rsidRDefault="00CA5039" w:rsidP="00EE685E">
      <w:pPr>
        <w:pStyle w:val="Bulletleft1"/>
      </w:pPr>
      <w:r w:rsidRPr="00CA5039">
        <w:t xml:space="preserve">Royal College of General Practitioners  </w:t>
      </w:r>
    </w:p>
    <w:p w14:paraId="079EC80E" w14:textId="4450DBEF" w:rsidR="006236EF" w:rsidRDefault="006236EF" w:rsidP="006B0DFA">
      <w:pPr>
        <w:pStyle w:val="Bulletleft1"/>
      </w:pPr>
      <w:r w:rsidRPr="006236EF">
        <w:t>Royal College of Nursing - Emergency Care Forum Committee</w:t>
      </w:r>
    </w:p>
    <w:p w14:paraId="040A2A36" w14:textId="4DC77104" w:rsidR="00CA5039" w:rsidRDefault="00CA5039" w:rsidP="00EE685E">
      <w:pPr>
        <w:pStyle w:val="Bulletleft1"/>
      </w:pPr>
      <w:r w:rsidRPr="00CA5039">
        <w:t>Royal Pharmaceutical Society</w:t>
      </w:r>
    </w:p>
    <w:p w14:paraId="121EC549" w14:textId="77777777" w:rsidR="006236EF" w:rsidRPr="006236EF" w:rsidRDefault="006236EF" w:rsidP="006236EF">
      <w:pPr>
        <w:pStyle w:val="Bulletleft1"/>
      </w:pPr>
      <w:r w:rsidRPr="006236EF">
        <w:rPr>
          <w:rFonts w:cs="Arial"/>
        </w:rPr>
        <w:t xml:space="preserve">UK Health Security Agency </w:t>
      </w:r>
    </w:p>
    <w:p w14:paraId="4AFBFA55" w14:textId="52077CEE" w:rsidR="006236EF" w:rsidRPr="00FC11EC" w:rsidRDefault="006236EF" w:rsidP="006236EF">
      <w:pPr>
        <w:pStyle w:val="Heading1"/>
      </w:pPr>
    </w:p>
    <w:sectPr w:rsidR="006236EF" w:rsidRPr="00FC11EC" w:rsidSect="0037542E">
      <w:pgSz w:w="16838" w:h="11906" w:orient="landscape"/>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419B1" w14:textId="77777777" w:rsidR="000B14F0" w:rsidRDefault="000B14F0">
      <w:r>
        <w:separator/>
      </w:r>
    </w:p>
  </w:endnote>
  <w:endnote w:type="continuationSeparator" w:id="0">
    <w:p w14:paraId="5E625662" w14:textId="77777777" w:rsidR="000B14F0" w:rsidRDefault="000B1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03464" w14:textId="77777777" w:rsidR="00DE6F78" w:rsidRDefault="00DE6F78">
    <w:pPr>
      <w:pStyle w:val="Footer"/>
      <w:jc w:val="right"/>
    </w:pPr>
    <w:r>
      <w:t>P</w:t>
    </w:r>
    <w:r w:rsidRPr="00523D57">
      <w:t xml:space="preserve">age </w:t>
    </w:r>
    <w:r w:rsidRPr="00523D57">
      <w:rPr>
        <w:bCs/>
      </w:rPr>
      <w:fldChar w:fldCharType="begin"/>
    </w:r>
    <w:r w:rsidRPr="00523D57">
      <w:rPr>
        <w:bCs/>
      </w:rPr>
      <w:instrText xml:space="preserve"> PAGE </w:instrText>
    </w:r>
    <w:r w:rsidRPr="00523D57">
      <w:rPr>
        <w:bCs/>
      </w:rPr>
      <w:fldChar w:fldCharType="separate"/>
    </w:r>
    <w:r w:rsidR="002B2D34">
      <w:rPr>
        <w:bCs/>
        <w:noProof/>
      </w:rPr>
      <w:t>10</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sidR="002B2D34">
      <w:rPr>
        <w:bCs/>
        <w:noProof/>
      </w:rPr>
      <w:t>10</w:t>
    </w:r>
    <w:r w:rsidRPr="00523D57">
      <w:rPr>
        <w:bCs/>
      </w:rPr>
      <w:fldChar w:fldCharType="end"/>
    </w:r>
  </w:p>
  <w:p w14:paraId="3496CBED" w14:textId="77777777" w:rsidR="00DE6F78" w:rsidRDefault="00DE6F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3D3A4" w14:textId="77777777" w:rsidR="00DE6F78" w:rsidRPr="00523D57" w:rsidRDefault="00DE6F78">
    <w:pPr>
      <w:pStyle w:val="Footer"/>
      <w:jc w:val="right"/>
    </w:pPr>
    <w:r w:rsidRPr="00523D57">
      <w:t xml:space="preserve">Page </w:t>
    </w:r>
    <w:r w:rsidRPr="00523D57">
      <w:rPr>
        <w:bCs/>
      </w:rPr>
      <w:fldChar w:fldCharType="begin"/>
    </w:r>
    <w:r w:rsidRPr="00523D57">
      <w:rPr>
        <w:bCs/>
      </w:rPr>
      <w:instrText xml:space="preserve"> PAGE </w:instrText>
    </w:r>
    <w:r w:rsidRPr="00523D57">
      <w:rPr>
        <w:bCs/>
      </w:rPr>
      <w:fldChar w:fldCharType="separate"/>
    </w:r>
    <w:r w:rsidR="002B2D34">
      <w:rPr>
        <w:bCs/>
        <w:noProof/>
      </w:rPr>
      <w:t>1</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sidR="002B2D34">
      <w:rPr>
        <w:bCs/>
        <w:noProof/>
      </w:rPr>
      <w:t>10</w:t>
    </w:r>
    <w:r w:rsidRPr="00523D57">
      <w:rPr>
        <w:bCs/>
      </w:rPr>
      <w:fldChar w:fldCharType="end"/>
    </w:r>
  </w:p>
  <w:p w14:paraId="345B0B0D" w14:textId="77777777" w:rsidR="00DE6F78" w:rsidRDefault="00DE6F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37C72" w14:textId="77777777" w:rsidR="000B14F0" w:rsidRDefault="000B14F0">
      <w:r>
        <w:separator/>
      </w:r>
    </w:p>
  </w:footnote>
  <w:footnote w:type="continuationSeparator" w:id="0">
    <w:p w14:paraId="564F7288" w14:textId="77777777" w:rsidR="000B14F0" w:rsidRDefault="000B1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A799D" w14:textId="77777777" w:rsidR="00DE6F78" w:rsidRDefault="00DE6F78" w:rsidP="0037542E">
    <w:pPr>
      <w:pStyle w:val="Header"/>
      <w:tabs>
        <w:tab w:val="center" w:pos="3402"/>
        <w:tab w:val="right" w:pos="9214"/>
      </w:tabs>
    </w:pPr>
    <w:r>
      <w:t>CONFIDENTIAL</w:t>
    </w:r>
  </w:p>
  <w:p w14:paraId="0ED87A71" w14:textId="77777777" w:rsidR="00DE6F78" w:rsidRDefault="00DE6F78" w:rsidP="0037542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37FB9" w14:textId="77777777" w:rsidR="00DE6F78" w:rsidRDefault="00DE6F78" w:rsidP="0037542E">
    <w:pPr>
      <w:pStyle w:val="Header"/>
      <w:tabs>
        <w:tab w:val="center" w:pos="3402"/>
        <w:tab w:val="right" w:pos="9214"/>
      </w:tabs>
    </w:pPr>
    <w:r>
      <w:t>CONFIDENTIAL</w:t>
    </w:r>
    <w:r w:rsidR="002B2D34">
      <w:t xml:space="preserve"> UNTIL PUBLISHED</w:t>
    </w:r>
    <w:r>
      <w:tab/>
    </w:r>
  </w:p>
  <w:p w14:paraId="21A7B67F" w14:textId="77777777" w:rsidR="00DE6F78" w:rsidRDefault="00DE6F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D53D1B"/>
    <w:multiLevelType w:val="hybridMultilevel"/>
    <w:tmpl w:val="D2C42B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7CA046E"/>
    <w:multiLevelType w:val="multilevel"/>
    <w:tmpl w:val="2312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5017405"/>
    <w:multiLevelType w:val="multilevel"/>
    <w:tmpl w:val="B0A899F0"/>
    <w:lvl w:ilvl="0">
      <w:start w:val="1"/>
      <w:numFmt w:val="bullet"/>
      <w:pStyle w:val="Bulletleft1"/>
      <w:lvlText w:val=""/>
      <w:lvlJc w:val="left"/>
      <w:pPr>
        <w:tabs>
          <w:tab w:val="num" w:pos="2127"/>
        </w:tabs>
        <w:ind w:left="2127"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B8D3711"/>
    <w:multiLevelType w:val="hybridMultilevel"/>
    <w:tmpl w:val="12EE7D60"/>
    <w:lvl w:ilvl="0" w:tplc="C6A8CC88">
      <w:start w:val="4"/>
      <w:numFmt w:val="bullet"/>
      <w:pStyle w:val="Bulletleft1last"/>
      <w:lvlText w:val=""/>
      <w:lvlJc w:val="left"/>
      <w:pPr>
        <w:tabs>
          <w:tab w:val="num" w:pos="568"/>
        </w:tabs>
        <w:ind w:left="568"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9CC3584"/>
    <w:multiLevelType w:val="multilevel"/>
    <w:tmpl w:val="98404216"/>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4"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8F00D3F"/>
    <w:multiLevelType w:val="hybridMultilevel"/>
    <w:tmpl w:val="27E4A36A"/>
    <w:lvl w:ilvl="0" w:tplc="BBB0CF08">
      <w:start w:val="1"/>
      <w:numFmt w:val="bullet"/>
      <w:pStyle w:val="Bullet"/>
      <w:lvlText w:val=""/>
      <w:lvlJc w:val="left"/>
      <w:pPr>
        <w:ind w:left="2026" w:hanging="360"/>
      </w:pPr>
      <w:rPr>
        <w:rFonts w:ascii="Symbol" w:hAnsi="Symbol" w:hint="default"/>
      </w:rPr>
    </w:lvl>
    <w:lvl w:ilvl="1" w:tplc="08090003" w:tentative="1">
      <w:start w:val="1"/>
      <w:numFmt w:val="bullet"/>
      <w:lvlText w:val="o"/>
      <w:lvlJc w:val="left"/>
      <w:pPr>
        <w:ind w:left="2746" w:hanging="360"/>
      </w:pPr>
      <w:rPr>
        <w:rFonts w:ascii="Courier New" w:hAnsi="Courier New" w:cs="Courier New" w:hint="default"/>
      </w:rPr>
    </w:lvl>
    <w:lvl w:ilvl="2" w:tplc="08090005" w:tentative="1">
      <w:start w:val="1"/>
      <w:numFmt w:val="bullet"/>
      <w:lvlText w:val=""/>
      <w:lvlJc w:val="left"/>
      <w:pPr>
        <w:ind w:left="3466" w:hanging="360"/>
      </w:pPr>
      <w:rPr>
        <w:rFonts w:ascii="Wingdings" w:hAnsi="Wingdings" w:hint="default"/>
      </w:rPr>
    </w:lvl>
    <w:lvl w:ilvl="3" w:tplc="08090001" w:tentative="1">
      <w:start w:val="1"/>
      <w:numFmt w:val="bullet"/>
      <w:lvlText w:val=""/>
      <w:lvlJc w:val="left"/>
      <w:pPr>
        <w:ind w:left="4186" w:hanging="360"/>
      </w:pPr>
      <w:rPr>
        <w:rFonts w:ascii="Symbol" w:hAnsi="Symbol" w:hint="default"/>
      </w:rPr>
    </w:lvl>
    <w:lvl w:ilvl="4" w:tplc="08090003" w:tentative="1">
      <w:start w:val="1"/>
      <w:numFmt w:val="bullet"/>
      <w:lvlText w:val="o"/>
      <w:lvlJc w:val="left"/>
      <w:pPr>
        <w:ind w:left="4906" w:hanging="360"/>
      </w:pPr>
      <w:rPr>
        <w:rFonts w:ascii="Courier New" w:hAnsi="Courier New" w:cs="Courier New" w:hint="default"/>
      </w:rPr>
    </w:lvl>
    <w:lvl w:ilvl="5" w:tplc="08090005" w:tentative="1">
      <w:start w:val="1"/>
      <w:numFmt w:val="bullet"/>
      <w:lvlText w:val=""/>
      <w:lvlJc w:val="left"/>
      <w:pPr>
        <w:ind w:left="5626" w:hanging="360"/>
      </w:pPr>
      <w:rPr>
        <w:rFonts w:ascii="Wingdings" w:hAnsi="Wingdings" w:hint="default"/>
      </w:rPr>
    </w:lvl>
    <w:lvl w:ilvl="6" w:tplc="08090001" w:tentative="1">
      <w:start w:val="1"/>
      <w:numFmt w:val="bullet"/>
      <w:lvlText w:val=""/>
      <w:lvlJc w:val="left"/>
      <w:pPr>
        <w:ind w:left="6346" w:hanging="360"/>
      </w:pPr>
      <w:rPr>
        <w:rFonts w:ascii="Symbol" w:hAnsi="Symbol" w:hint="default"/>
      </w:rPr>
    </w:lvl>
    <w:lvl w:ilvl="7" w:tplc="08090003" w:tentative="1">
      <w:start w:val="1"/>
      <w:numFmt w:val="bullet"/>
      <w:lvlText w:val="o"/>
      <w:lvlJc w:val="left"/>
      <w:pPr>
        <w:ind w:left="7066" w:hanging="360"/>
      </w:pPr>
      <w:rPr>
        <w:rFonts w:ascii="Courier New" w:hAnsi="Courier New" w:cs="Courier New" w:hint="default"/>
      </w:rPr>
    </w:lvl>
    <w:lvl w:ilvl="8" w:tplc="08090005" w:tentative="1">
      <w:start w:val="1"/>
      <w:numFmt w:val="bullet"/>
      <w:lvlText w:val=""/>
      <w:lvlJc w:val="left"/>
      <w:pPr>
        <w:ind w:left="7786" w:hanging="360"/>
      </w:pPr>
      <w:rPr>
        <w:rFonts w:ascii="Wingdings" w:hAnsi="Wingdings" w:hint="default"/>
      </w:rPr>
    </w:lvl>
  </w:abstractNum>
  <w:abstractNum w:abstractNumId="18" w15:restartNumberingAfterBreak="0">
    <w:nsid w:val="42464A88"/>
    <w:multiLevelType w:val="hybridMultilevel"/>
    <w:tmpl w:val="26B67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0"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1" w15:restartNumberingAfterBreak="0">
    <w:nsid w:val="47E43874"/>
    <w:multiLevelType w:val="hybridMultilevel"/>
    <w:tmpl w:val="6D46AA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C855517"/>
    <w:multiLevelType w:val="hybridMultilevel"/>
    <w:tmpl w:val="82D6B4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4416D3"/>
    <w:multiLevelType w:val="hybridMultilevel"/>
    <w:tmpl w:val="637CFBD6"/>
    <w:lvl w:ilvl="0" w:tplc="8FECB9DA">
      <w:numFmt w:val="bullet"/>
      <w:lvlText w:val="-"/>
      <w:lvlJc w:val="left"/>
      <w:pPr>
        <w:ind w:left="644" w:hanging="360"/>
      </w:pPr>
      <w:rPr>
        <w:rFonts w:ascii="Arial" w:eastAsia="Times New Roman"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95C5C"/>
    <w:multiLevelType w:val="multilevel"/>
    <w:tmpl w:val="EB9C8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2" w15:restartNumberingAfterBreak="0">
    <w:nsid w:val="70177D28"/>
    <w:multiLevelType w:val="hybridMultilevel"/>
    <w:tmpl w:val="85FEE1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A3B6AF0"/>
    <w:multiLevelType w:val="hybridMultilevel"/>
    <w:tmpl w:val="A5D2E9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63447586">
    <w:abstractNumId w:val="13"/>
  </w:num>
  <w:num w:numId="2" w16cid:durableId="765421151">
    <w:abstractNumId w:val="4"/>
  </w:num>
  <w:num w:numId="3" w16cid:durableId="290791179">
    <w:abstractNumId w:val="31"/>
  </w:num>
  <w:num w:numId="4" w16cid:durableId="557057518">
    <w:abstractNumId w:val="19"/>
  </w:num>
  <w:num w:numId="5" w16cid:durableId="1952087033">
    <w:abstractNumId w:val="20"/>
  </w:num>
  <w:num w:numId="6" w16cid:durableId="417797251">
    <w:abstractNumId w:val="6"/>
  </w:num>
  <w:num w:numId="7" w16cid:durableId="342707176">
    <w:abstractNumId w:val="9"/>
  </w:num>
  <w:num w:numId="8" w16cid:durableId="1836994233">
    <w:abstractNumId w:val="14"/>
  </w:num>
  <w:num w:numId="9" w16cid:durableId="763648232">
    <w:abstractNumId w:val="16"/>
  </w:num>
  <w:num w:numId="10" w16cid:durableId="607665152">
    <w:abstractNumId w:val="25"/>
  </w:num>
  <w:num w:numId="11" w16cid:durableId="1798599169">
    <w:abstractNumId w:val="8"/>
  </w:num>
  <w:num w:numId="12" w16cid:durableId="2047022696">
    <w:abstractNumId w:val="30"/>
  </w:num>
  <w:num w:numId="13" w16cid:durableId="146559641">
    <w:abstractNumId w:val="12"/>
  </w:num>
  <w:num w:numId="14" w16cid:durableId="933903212">
    <w:abstractNumId w:val="22"/>
  </w:num>
  <w:num w:numId="15" w16cid:durableId="1851219790">
    <w:abstractNumId w:val="27"/>
  </w:num>
  <w:num w:numId="16" w16cid:durableId="1092118550">
    <w:abstractNumId w:val="10"/>
  </w:num>
  <w:num w:numId="17" w16cid:durableId="1867056002">
    <w:abstractNumId w:val="13"/>
  </w:num>
  <w:num w:numId="18" w16cid:durableId="1955943040">
    <w:abstractNumId w:val="0"/>
  </w:num>
  <w:num w:numId="19" w16cid:durableId="177280180">
    <w:abstractNumId w:val="2"/>
  </w:num>
  <w:num w:numId="20" w16cid:durableId="634412311">
    <w:abstractNumId w:val="11"/>
  </w:num>
  <w:num w:numId="21" w16cid:durableId="1186944105">
    <w:abstractNumId w:val="15"/>
  </w:num>
  <w:num w:numId="22" w16cid:durableId="1500122473">
    <w:abstractNumId w:val="7"/>
  </w:num>
  <w:num w:numId="23" w16cid:durableId="1823545580">
    <w:abstractNumId w:val="17"/>
  </w:num>
  <w:num w:numId="24" w16cid:durableId="1598640007">
    <w:abstractNumId w:val="32"/>
  </w:num>
  <w:num w:numId="25" w16cid:durableId="1064911153">
    <w:abstractNumId w:val="33"/>
  </w:num>
  <w:num w:numId="26" w16cid:durableId="920602857">
    <w:abstractNumId w:val="1"/>
  </w:num>
  <w:num w:numId="27" w16cid:durableId="2132937541">
    <w:abstractNumId w:val="21"/>
  </w:num>
  <w:num w:numId="28" w16cid:durableId="1893078295">
    <w:abstractNumId w:val="13"/>
  </w:num>
  <w:num w:numId="29" w16cid:durableId="1922719248">
    <w:abstractNumId w:val="18"/>
  </w:num>
  <w:num w:numId="30" w16cid:durableId="1459763100">
    <w:abstractNumId w:val="23"/>
  </w:num>
  <w:num w:numId="31" w16cid:durableId="209608233">
    <w:abstractNumId w:val="29"/>
  </w:num>
  <w:num w:numId="32" w16cid:durableId="505441850">
    <w:abstractNumId w:val="28"/>
  </w:num>
  <w:num w:numId="33" w16cid:durableId="1422533652">
    <w:abstractNumId w:val="3"/>
  </w:num>
  <w:num w:numId="34" w16cid:durableId="2069836167">
    <w:abstractNumId w:val="5"/>
  </w:num>
  <w:num w:numId="35" w16cid:durableId="1278097800">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4F0"/>
    <w:rsid w:val="000002FE"/>
    <w:rsid w:val="00003D97"/>
    <w:rsid w:val="00004709"/>
    <w:rsid w:val="0000494E"/>
    <w:rsid w:val="000119FB"/>
    <w:rsid w:val="00017920"/>
    <w:rsid w:val="000229A9"/>
    <w:rsid w:val="00033909"/>
    <w:rsid w:val="00043EB2"/>
    <w:rsid w:val="000604B6"/>
    <w:rsid w:val="00071982"/>
    <w:rsid w:val="00073937"/>
    <w:rsid w:val="00090405"/>
    <w:rsid w:val="0009123A"/>
    <w:rsid w:val="00097828"/>
    <w:rsid w:val="000A1EC0"/>
    <w:rsid w:val="000B14F0"/>
    <w:rsid w:val="000E08D2"/>
    <w:rsid w:val="000F17FD"/>
    <w:rsid w:val="00101F34"/>
    <w:rsid w:val="00122A84"/>
    <w:rsid w:val="001361CB"/>
    <w:rsid w:val="00155524"/>
    <w:rsid w:val="00156577"/>
    <w:rsid w:val="0016156A"/>
    <w:rsid w:val="00161AA0"/>
    <w:rsid w:val="00173A35"/>
    <w:rsid w:val="001774F4"/>
    <w:rsid w:val="0018641F"/>
    <w:rsid w:val="001B0506"/>
    <w:rsid w:val="001B3477"/>
    <w:rsid w:val="001C0270"/>
    <w:rsid w:val="001D2582"/>
    <w:rsid w:val="001E122F"/>
    <w:rsid w:val="001E5769"/>
    <w:rsid w:val="001F1BBA"/>
    <w:rsid w:val="001F1CF8"/>
    <w:rsid w:val="002002D6"/>
    <w:rsid w:val="002158C7"/>
    <w:rsid w:val="00222C15"/>
    <w:rsid w:val="00225F82"/>
    <w:rsid w:val="00235CAB"/>
    <w:rsid w:val="00252249"/>
    <w:rsid w:val="0027765E"/>
    <w:rsid w:val="002B2B10"/>
    <w:rsid w:val="002B2D34"/>
    <w:rsid w:val="002B3160"/>
    <w:rsid w:val="002C4449"/>
    <w:rsid w:val="002D6017"/>
    <w:rsid w:val="002E6287"/>
    <w:rsid w:val="002F0C18"/>
    <w:rsid w:val="003033B1"/>
    <w:rsid w:val="003075C5"/>
    <w:rsid w:val="0031664C"/>
    <w:rsid w:val="00316680"/>
    <w:rsid w:val="00317314"/>
    <w:rsid w:val="003238A2"/>
    <w:rsid w:val="003330E6"/>
    <w:rsid w:val="00362226"/>
    <w:rsid w:val="0036309F"/>
    <w:rsid w:val="003715E0"/>
    <w:rsid w:val="00372BCF"/>
    <w:rsid w:val="00373B5E"/>
    <w:rsid w:val="0037542E"/>
    <w:rsid w:val="003806DE"/>
    <w:rsid w:val="003B50E4"/>
    <w:rsid w:val="003B55FE"/>
    <w:rsid w:val="003C36AC"/>
    <w:rsid w:val="003C514C"/>
    <w:rsid w:val="003C6E44"/>
    <w:rsid w:val="003E560D"/>
    <w:rsid w:val="003F36EE"/>
    <w:rsid w:val="003F58B7"/>
    <w:rsid w:val="00404DCD"/>
    <w:rsid w:val="0040689E"/>
    <w:rsid w:val="00411A07"/>
    <w:rsid w:val="00440D1E"/>
    <w:rsid w:val="00447CAF"/>
    <w:rsid w:val="004519B2"/>
    <w:rsid w:val="004563DF"/>
    <w:rsid w:val="00461997"/>
    <w:rsid w:val="004820E9"/>
    <w:rsid w:val="0048361F"/>
    <w:rsid w:val="004A1476"/>
    <w:rsid w:val="004A638E"/>
    <w:rsid w:val="004A654B"/>
    <w:rsid w:val="004B514C"/>
    <w:rsid w:val="004D3841"/>
    <w:rsid w:val="004E3893"/>
    <w:rsid w:val="004F0733"/>
    <w:rsid w:val="004F2537"/>
    <w:rsid w:val="004F27B3"/>
    <w:rsid w:val="004F494F"/>
    <w:rsid w:val="00500BA1"/>
    <w:rsid w:val="00502AC0"/>
    <w:rsid w:val="00512FAF"/>
    <w:rsid w:val="0051471E"/>
    <w:rsid w:val="00521B4D"/>
    <w:rsid w:val="00526C07"/>
    <w:rsid w:val="0053387C"/>
    <w:rsid w:val="00537FDB"/>
    <w:rsid w:val="00546066"/>
    <w:rsid w:val="00557A0B"/>
    <w:rsid w:val="00567AC6"/>
    <w:rsid w:val="005860F4"/>
    <w:rsid w:val="00596FA7"/>
    <w:rsid w:val="005B7567"/>
    <w:rsid w:val="005C051F"/>
    <w:rsid w:val="005C762E"/>
    <w:rsid w:val="005C7BC0"/>
    <w:rsid w:val="005D098C"/>
    <w:rsid w:val="005D442B"/>
    <w:rsid w:val="005D7E50"/>
    <w:rsid w:val="005E4562"/>
    <w:rsid w:val="005E4CAE"/>
    <w:rsid w:val="005E6525"/>
    <w:rsid w:val="005F2305"/>
    <w:rsid w:val="005F4D0D"/>
    <w:rsid w:val="00603E56"/>
    <w:rsid w:val="0060613C"/>
    <w:rsid w:val="0060662A"/>
    <w:rsid w:val="006120E4"/>
    <w:rsid w:val="00613AAE"/>
    <w:rsid w:val="00614BDA"/>
    <w:rsid w:val="006236EF"/>
    <w:rsid w:val="00630FA4"/>
    <w:rsid w:val="00631281"/>
    <w:rsid w:val="00631E37"/>
    <w:rsid w:val="006331B4"/>
    <w:rsid w:val="006343F3"/>
    <w:rsid w:val="00642906"/>
    <w:rsid w:val="00642B5F"/>
    <w:rsid w:val="006435A7"/>
    <w:rsid w:val="006477DF"/>
    <w:rsid w:val="00653E73"/>
    <w:rsid w:val="00660941"/>
    <w:rsid w:val="00663DE3"/>
    <w:rsid w:val="0067037F"/>
    <w:rsid w:val="00674028"/>
    <w:rsid w:val="0068226D"/>
    <w:rsid w:val="006843E3"/>
    <w:rsid w:val="00691EE3"/>
    <w:rsid w:val="0069567B"/>
    <w:rsid w:val="006A2F1E"/>
    <w:rsid w:val="006A54F9"/>
    <w:rsid w:val="006A721F"/>
    <w:rsid w:val="006A7CC2"/>
    <w:rsid w:val="006B0DFA"/>
    <w:rsid w:val="006B4135"/>
    <w:rsid w:val="006D73F1"/>
    <w:rsid w:val="006E3C22"/>
    <w:rsid w:val="00720667"/>
    <w:rsid w:val="00720790"/>
    <w:rsid w:val="007324D7"/>
    <w:rsid w:val="00732519"/>
    <w:rsid w:val="00750FA8"/>
    <w:rsid w:val="00754F84"/>
    <w:rsid w:val="00764A0F"/>
    <w:rsid w:val="00766CDE"/>
    <w:rsid w:val="00776183"/>
    <w:rsid w:val="00782288"/>
    <w:rsid w:val="0078571B"/>
    <w:rsid w:val="00787A83"/>
    <w:rsid w:val="00790173"/>
    <w:rsid w:val="00791B5C"/>
    <w:rsid w:val="007A174B"/>
    <w:rsid w:val="007A1B5B"/>
    <w:rsid w:val="007A2836"/>
    <w:rsid w:val="007A4EEE"/>
    <w:rsid w:val="007C063E"/>
    <w:rsid w:val="007D014F"/>
    <w:rsid w:val="007E6039"/>
    <w:rsid w:val="007F073D"/>
    <w:rsid w:val="007F24A0"/>
    <w:rsid w:val="00810004"/>
    <w:rsid w:val="00810324"/>
    <w:rsid w:val="008237F0"/>
    <w:rsid w:val="00827C57"/>
    <w:rsid w:val="00845AC2"/>
    <w:rsid w:val="0084608E"/>
    <w:rsid w:val="008505C3"/>
    <w:rsid w:val="008534B7"/>
    <w:rsid w:val="00862C0C"/>
    <w:rsid w:val="00865586"/>
    <w:rsid w:val="008708F7"/>
    <w:rsid w:val="00883D79"/>
    <w:rsid w:val="0089346D"/>
    <w:rsid w:val="00896D0F"/>
    <w:rsid w:val="008B517D"/>
    <w:rsid w:val="008B5802"/>
    <w:rsid w:val="008C06DF"/>
    <w:rsid w:val="008C4AF4"/>
    <w:rsid w:val="008D2975"/>
    <w:rsid w:val="008D2E3C"/>
    <w:rsid w:val="008D6069"/>
    <w:rsid w:val="008E7585"/>
    <w:rsid w:val="008E76D4"/>
    <w:rsid w:val="008F63C6"/>
    <w:rsid w:val="00920396"/>
    <w:rsid w:val="00922A39"/>
    <w:rsid w:val="00932CD6"/>
    <w:rsid w:val="009357C6"/>
    <w:rsid w:val="0094018E"/>
    <w:rsid w:val="0094366C"/>
    <w:rsid w:val="00953ADF"/>
    <w:rsid w:val="0097026E"/>
    <w:rsid w:val="00986702"/>
    <w:rsid w:val="009968F9"/>
    <w:rsid w:val="009B621A"/>
    <w:rsid w:val="009C45D9"/>
    <w:rsid w:val="009D2C1B"/>
    <w:rsid w:val="009E0714"/>
    <w:rsid w:val="009E4B96"/>
    <w:rsid w:val="009F4BDF"/>
    <w:rsid w:val="00A0387E"/>
    <w:rsid w:val="00A06657"/>
    <w:rsid w:val="00A07F72"/>
    <w:rsid w:val="00A116D2"/>
    <w:rsid w:val="00A13980"/>
    <w:rsid w:val="00A23712"/>
    <w:rsid w:val="00A25D42"/>
    <w:rsid w:val="00A320F3"/>
    <w:rsid w:val="00A3776E"/>
    <w:rsid w:val="00A52026"/>
    <w:rsid w:val="00A5536C"/>
    <w:rsid w:val="00A677FB"/>
    <w:rsid w:val="00A862E4"/>
    <w:rsid w:val="00A86D3D"/>
    <w:rsid w:val="00AA2425"/>
    <w:rsid w:val="00AA3F43"/>
    <w:rsid w:val="00AB2948"/>
    <w:rsid w:val="00AB39FA"/>
    <w:rsid w:val="00AC13A7"/>
    <w:rsid w:val="00AD01FC"/>
    <w:rsid w:val="00AD6933"/>
    <w:rsid w:val="00AD6B7B"/>
    <w:rsid w:val="00AE4165"/>
    <w:rsid w:val="00AE5436"/>
    <w:rsid w:val="00B014B3"/>
    <w:rsid w:val="00B238F5"/>
    <w:rsid w:val="00B36CA5"/>
    <w:rsid w:val="00B40DC9"/>
    <w:rsid w:val="00B41559"/>
    <w:rsid w:val="00B513C3"/>
    <w:rsid w:val="00B51892"/>
    <w:rsid w:val="00B60D70"/>
    <w:rsid w:val="00B63ECB"/>
    <w:rsid w:val="00B64E65"/>
    <w:rsid w:val="00B8344D"/>
    <w:rsid w:val="00B838F5"/>
    <w:rsid w:val="00BA3798"/>
    <w:rsid w:val="00BB047B"/>
    <w:rsid w:val="00BB43D9"/>
    <w:rsid w:val="00BB6398"/>
    <w:rsid w:val="00BC0D6C"/>
    <w:rsid w:val="00BC0E86"/>
    <w:rsid w:val="00BC4D2D"/>
    <w:rsid w:val="00BD0372"/>
    <w:rsid w:val="00BD3504"/>
    <w:rsid w:val="00BE011B"/>
    <w:rsid w:val="00BE094F"/>
    <w:rsid w:val="00BF4522"/>
    <w:rsid w:val="00BF791F"/>
    <w:rsid w:val="00C1323B"/>
    <w:rsid w:val="00C139CA"/>
    <w:rsid w:val="00C27EAB"/>
    <w:rsid w:val="00C31038"/>
    <w:rsid w:val="00C51429"/>
    <w:rsid w:val="00C52996"/>
    <w:rsid w:val="00C55A07"/>
    <w:rsid w:val="00C65A4C"/>
    <w:rsid w:val="00C67CEA"/>
    <w:rsid w:val="00CA0A97"/>
    <w:rsid w:val="00CA1E17"/>
    <w:rsid w:val="00CA3397"/>
    <w:rsid w:val="00CA3D27"/>
    <w:rsid w:val="00CA5039"/>
    <w:rsid w:val="00CC6B50"/>
    <w:rsid w:val="00CD2FFB"/>
    <w:rsid w:val="00CE1BFA"/>
    <w:rsid w:val="00CE31A4"/>
    <w:rsid w:val="00CE5869"/>
    <w:rsid w:val="00CF457D"/>
    <w:rsid w:val="00D17173"/>
    <w:rsid w:val="00D247DA"/>
    <w:rsid w:val="00D2793E"/>
    <w:rsid w:val="00D346E3"/>
    <w:rsid w:val="00D3612A"/>
    <w:rsid w:val="00D36D0D"/>
    <w:rsid w:val="00D37320"/>
    <w:rsid w:val="00D37703"/>
    <w:rsid w:val="00D37F25"/>
    <w:rsid w:val="00D56F9E"/>
    <w:rsid w:val="00D626E8"/>
    <w:rsid w:val="00D76420"/>
    <w:rsid w:val="00D870E4"/>
    <w:rsid w:val="00D96B54"/>
    <w:rsid w:val="00DB11C5"/>
    <w:rsid w:val="00DB4DDC"/>
    <w:rsid w:val="00DB59A9"/>
    <w:rsid w:val="00DC0120"/>
    <w:rsid w:val="00DC3DF1"/>
    <w:rsid w:val="00DD552B"/>
    <w:rsid w:val="00DD5706"/>
    <w:rsid w:val="00DE1010"/>
    <w:rsid w:val="00DE2054"/>
    <w:rsid w:val="00DE643F"/>
    <w:rsid w:val="00DE6F78"/>
    <w:rsid w:val="00DF5876"/>
    <w:rsid w:val="00E05BB5"/>
    <w:rsid w:val="00E11494"/>
    <w:rsid w:val="00E30B9F"/>
    <w:rsid w:val="00E356FB"/>
    <w:rsid w:val="00E375CF"/>
    <w:rsid w:val="00E4622C"/>
    <w:rsid w:val="00E46571"/>
    <w:rsid w:val="00E47CAC"/>
    <w:rsid w:val="00E51FFB"/>
    <w:rsid w:val="00E55DCC"/>
    <w:rsid w:val="00E62C7C"/>
    <w:rsid w:val="00E65C23"/>
    <w:rsid w:val="00E71F9C"/>
    <w:rsid w:val="00E85F0F"/>
    <w:rsid w:val="00E97ADE"/>
    <w:rsid w:val="00EB11E0"/>
    <w:rsid w:val="00EB1D58"/>
    <w:rsid w:val="00EB24A4"/>
    <w:rsid w:val="00EC0340"/>
    <w:rsid w:val="00EC1094"/>
    <w:rsid w:val="00EC35A2"/>
    <w:rsid w:val="00EE685E"/>
    <w:rsid w:val="00EE7DE2"/>
    <w:rsid w:val="00EF7B2A"/>
    <w:rsid w:val="00F122A6"/>
    <w:rsid w:val="00F2083A"/>
    <w:rsid w:val="00F21526"/>
    <w:rsid w:val="00F25D0D"/>
    <w:rsid w:val="00F26A9F"/>
    <w:rsid w:val="00F26E68"/>
    <w:rsid w:val="00F41688"/>
    <w:rsid w:val="00F4797D"/>
    <w:rsid w:val="00F649F2"/>
    <w:rsid w:val="00F7261F"/>
    <w:rsid w:val="00F76ADB"/>
    <w:rsid w:val="00F77D01"/>
    <w:rsid w:val="00F91718"/>
    <w:rsid w:val="00F975A0"/>
    <w:rsid w:val="00FA10BA"/>
    <w:rsid w:val="00FB4EB9"/>
    <w:rsid w:val="00FC2F2B"/>
    <w:rsid w:val="00FD241C"/>
    <w:rsid w:val="00FE7A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DDDEF"/>
  <w15:docId w15:val="{C4090F6C-0BD2-4BC4-9DAD-F7747507F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E6F78"/>
    <w:rPr>
      <w:sz w:val="24"/>
      <w:szCs w:val="24"/>
      <w:lang w:eastAsia="en-US"/>
    </w:rPr>
  </w:style>
  <w:style w:type="paragraph" w:styleId="Heading1">
    <w:name w:val="heading 1"/>
    <w:basedOn w:val="Normal"/>
    <w:next w:val="NICEnormal"/>
    <w:link w:val="Heading1Char"/>
    <w:qFormat/>
    <w:rsid w:val="007F24A0"/>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7F24A0"/>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7F24A0"/>
    <w:pPr>
      <w:keepNext/>
      <w:spacing w:before="240" w:after="60" w:line="360" w:lineRule="auto"/>
      <w:outlineLvl w:val="2"/>
    </w:pPr>
    <w:rPr>
      <w:rFonts w:ascii="Arial" w:hAnsi="Arial" w:cs="Arial"/>
      <w:b/>
      <w:bCs/>
      <w:sz w:val="26"/>
    </w:rPr>
  </w:style>
  <w:style w:type="paragraph" w:styleId="Heading4">
    <w:name w:val="heading 4"/>
    <w:basedOn w:val="Normal"/>
    <w:next w:val="NICEnormal"/>
    <w:qFormat/>
    <w:rsid w:val="007F24A0"/>
    <w:pPr>
      <w:keepNext/>
      <w:spacing w:before="240" w:after="60" w:line="360" w:lineRule="auto"/>
      <w:outlineLvl w:val="3"/>
    </w:pPr>
    <w:rPr>
      <w:rFonts w:ascii="Arial" w:hAnsi="Arial"/>
      <w:b/>
      <w:bCs/>
      <w:iCs/>
      <w:szCs w:val="28"/>
    </w:rPr>
  </w:style>
  <w:style w:type="paragraph" w:styleId="Heading6">
    <w:name w:val="heading 6"/>
    <w:basedOn w:val="Normal"/>
    <w:next w:val="Normal"/>
    <w:link w:val="Heading6Char"/>
    <w:semiHidden/>
    <w:unhideWhenUsed/>
    <w:qFormat/>
    <w:rsid w:val="004D3841"/>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paragraph" w:customStyle="1" w:styleId="Unnumberedboldheading">
    <w:name w:val="Unnumbered bold heading"/>
    <w:next w:val="NICEnormal"/>
    <w:rsid w:val="007A174B"/>
    <w:pPr>
      <w:keepNext/>
      <w:widowControl w:val="0"/>
      <w:spacing w:after="120"/>
    </w:pPr>
    <w:rPr>
      <w:rFonts w:ascii="Arial" w:hAnsi="Arial"/>
      <w:b/>
      <w:sz w:val="24"/>
      <w:szCs w:val="24"/>
      <w:lang w:eastAsia="en-US"/>
    </w:rPr>
  </w:style>
  <w:style w:type="paragraph" w:customStyle="1" w:styleId="Unnumbereditalicheading">
    <w:name w:val="Unnumbered italic heading"/>
    <w:next w:val="NICEnormal"/>
    <w:rsid w:val="007A174B"/>
    <w:pPr>
      <w:keepNext/>
      <w:widowControl w:val="0"/>
      <w:spacing w:after="120"/>
    </w:pPr>
    <w:rPr>
      <w:rFonts w:ascii="Arial" w:hAnsi="Arial"/>
      <w:i/>
      <w:sz w:val="24"/>
      <w:szCs w:val="24"/>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3C514C"/>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3C514C"/>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qFormat/>
    <w:rsid w:val="00F26E68"/>
    <w:pPr>
      <w:numPr>
        <w:numId w:val="28"/>
      </w:numPr>
    </w:pPr>
    <w:rPr>
      <w:szCs w:val="24"/>
    </w:rPr>
  </w:style>
  <w:style w:type="paragraph" w:customStyle="1" w:styleId="Numberedheading2">
    <w:name w:val="Numbered heading 2"/>
    <w:basedOn w:val="Heading2"/>
    <w:next w:val="NICEnormal"/>
    <w:link w:val="Numberedheading2Char"/>
    <w:rsid w:val="007D014F"/>
    <w:pPr>
      <w:numPr>
        <w:ilvl w:val="1"/>
        <w:numId w:val="28"/>
      </w:numPr>
    </w:pPr>
  </w:style>
  <w:style w:type="paragraph" w:customStyle="1" w:styleId="Numberedheading3">
    <w:name w:val="Numbered heading 3"/>
    <w:basedOn w:val="Heading3"/>
    <w:next w:val="NICEnormal"/>
    <w:qFormat/>
    <w:rsid w:val="00F26E68"/>
  </w:style>
  <w:style w:type="paragraph" w:customStyle="1" w:styleId="Numberedlevel4text">
    <w:name w:val="Numbered level 4 text"/>
    <w:basedOn w:val="NICEnormal"/>
    <w:next w:val="NICEnormal"/>
    <w:rsid w:val="00F26E68"/>
    <w:pPr>
      <w:numPr>
        <w:ilvl w:val="3"/>
        <w:numId w:val="28"/>
      </w:numPr>
    </w:pPr>
  </w:style>
  <w:style w:type="paragraph" w:customStyle="1" w:styleId="Numberedlevel3text">
    <w:name w:val="Numbered level 3 text"/>
    <w:basedOn w:val="Numberedheading3"/>
    <w:rsid w:val="00DE643F"/>
    <w:pPr>
      <w:numPr>
        <w:ilvl w:val="2"/>
        <w:numId w:val="28"/>
      </w:numPr>
      <w:spacing w:before="0" w:after="240"/>
    </w:pPr>
    <w:rPr>
      <w:b w:val="0"/>
      <w:sz w:val="24"/>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Title16ptleft">
    <w:name w:val="Title 16 pt left"/>
    <w:basedOn w:val="Title16pt"/>
    <w:rsid w:val="003C514C"/>
    <w:pPr>
      <w:jc w:val="left"/>
    </w:pPr>
  </w:style>
  <w:style w:type="paragraph" w:customStyle="1" w:styleId="Bulletleft1">
    <w:name w:val="Bullet left 1"/>
    <w:basedOn w:val="NICEnormal"/>
    <w:qFormat/>
    <w:rsid w:val="00D37F25"/>
    <w:pPr>
      <w:numPr>
        <w:numId w:val="6"/>
      </w:numPr>
      <w:tabs>
        <w:tab w:val="clear" w:pos="2127"/>
        <w:tab w:val="num" w:pos="284"/>
      </w:tabs>
      <w:spacing w:after="0"/>
      <w:ind w:left="284"/>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rsid w:val="00F26E68"/>
    <w:pPr>
      <w:numPr>
        <w:numId w:val="19"/>
      </w:numPr>
      <w:spacing w:after="0"/>
    </w:pPr>
  </w:style>
  <w:style w:type="character" w:customStyle="1" w:styleId="Heading1Char">
    <w:name w:val="Heading 1 Char"/>
    <w:link w:val="Heading1"/>
    <w:rsid w:val="007F24A0"/>
    <w:rPr>
      <w:rFonts w:ascii="Arial" w:hAnsi="Arial" w:cs="Arial"/>
      <w:b/>
      <w:bCs/>
      <w:kern w:val="32"/>
      <w:sz w:val="32"/>
      <w:szCs w:val="32"/>
      <w:lang w:eastAsia="en-US"/>
    </w:rPr>
  </w:style>
  <w:style w:type="character" w:customStyle="1" w:styleId="Numberedheading1CharChar">
    <w:name w:val="Numbered heading 1 Char Char"/>
    <w:link w:val="Numberedheading1"/>
    <w:rsid w:val="00C51429"/>
    <w:rPr>
      <w:rFonts w:ascii="Arial" w:hAnsi="Arial" w:cs="Arial"/>
      <w:b/>
      <w:bCs/>
      <w:kern w:val="32"/>
      <w:sz w:val="32"/>
      <w:szCs w:val="24"/>
      <w:lang w:val="en-US" w:eastAsia="en-US" w:bidi="ar-SA"/>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umberedheading2"/>
    <w:rsid w:val="00C51429"/>
    <w:pPr>
      <w:spacing w:before="0" w:after="240"/>
    </w:pPr>
    <w:rPr>
      <w:b w:val="0"/>
      <w:i/>
      <w:sz w:val="24"/>
    </w:rPr>
  </w:style>
  <w:style w:type="paragraph" w:customStyle="1" w:styleId="Bulletleft1last">
    <w:name w:val="Bullet left 1 last"/>
    <w:basedOn w:val="NICEnormal"/>
    <w:rsid w:val="00953ADF"/>
    <w:pPr>
      <w:numPr>
        <w:numId w:val="7"/>
      </w:numPr>
      <w:tabs>
        <w:tab w:val="clear" w:pos="568"/>
        <w:tab w:val="num" w:pos="284"/>
      </w:tabs>
      <w:ind w:left="284"/>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rsid w:val="0053387C"/>
    <w:pPr>
      <w:tabs>
        <w:tab w:val="center" w:pos="4153"/>
        <w:tab w:val="right" w:pos="8306"/>
      </w:tabs>
    </w:pPr>
  </w:style>
  <w:style w:type="paragraph" w:styleId="Footer">
    <w:name w:val="footer"/>
    <w:basedOn w:val="NICEnormalsinglespacing"/>
    <w:link w:val="FooterChar"/>
    <w:uiPriority w:val="99"/>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uiPriority w:val="99"/>
    <w:rsid w:val="00F26E68"/>
    <w:pPr>
      <w:numPr>
        <w:numId w:val="20"/>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rsid w:val="00BD0372"/>
    <w:pPr>
      <w:keepNext/>
      <w:spacing w:after="60"/>
    </w:pPr>
    <w:rPr>
      <w:sz w:val="22"/>
    </w:rPr>
  </w:style>
  <w:style w:type="paragraph" w:customStyle="1" w:styleId="TabletextIPoverviewevidence">
    <w:name w:val="Table text IP overview evidence"/>
    <w:basedOn w:val="Tabletext"/>
    <w:rsid w:val="00BD0372"/>
    <w:rPr>
      <w:sz w:val="18"/>
    </w:rPr>
  </w:style>
  <w:style w:type="paragraph" w:customStyle="1" w:styleId="Tabletext9pt">
    <w:name w:val="Table text 9 pt"/>
    <w:basedOn w:val="Tabletext"/>
    <w:rsid w:val="00F26E68"/>
    <w:rPr>
      <w:sz w:val="18"/>
    </w:rPr>
  </w:style>
  <w:style w:type="paragraph" w:customStyle="1" w:styleId="Section2paragraphs">
    <w:name w:val="Section 2 paragraphs"/>
    <w:basedOn w:val="NICEnormal"/>
    <w:rsid w:val="00603E56"/>
    <w:pPr>
      <w:numPr>
        <w:numId w:val="21"/>
      </w:numPr>
    </w:pPr>
  </w:style>
  <w:style w:type="paragraph" w:customStyle="1" w:styleId="Section3paragraphs">
    <w:name w:val="Section 3 paragraphs"/>
    <w:basedOn w:val="NICEnormal"/>
    <w:rsid w:val="00D37703"/>
    <w:pPr>
      <w:numPr>
        <w:numId w:val="8"/>
      </w:numPr>
    </w:pPr>
  </w:style>
  <w:style w:type="paragraph" w:customStyle="1" w:styleId="Section411paragraphs">
    <w:name w:val="Section 4.1.1 paragraphs"/>
    <w:basedOn w:val="NICEnormal"/>
    <w:rsid w:val="00D37703"/>
    <w:pPr>
      <w:numPr>
        <w:numId w:val="9"/>
      </w:numPr>
    </w:pPr>
  </w:style>
  <w:style w:type="character" w:customStyle="1" w:styleId="Heading2Char">
    <w:name w:val="Heading 2 Char"/>
    <w:link w:val="Heading2"/>
    <w:rsid w:val="007F24A0"/>
    <w:rPr>
      <w:rFonts w:ascii="Arial" w:hAnsi="Arial" w:cs="Arial"/>
      <w:b/>
      <w:bCs/>
      <w:sz w:val="28"/>
      <w:szCs w:val="28"/>
      <w:lang w:eastAsia="en-US"/>
    </w:rPr>
  </w:style>
  <w:style w:type="character" w:customStyle="1" w:styleId="Numberedheading2Char">
    <w:name w:val="Numbered heading 2 Char"/>
    <w:basedOn w:val="Heading2Char"/>
    <w:link w:val="Numberedheading2"/>
    <w:rsid w:val="007D014F"/>
    <w:rPr>
      <w:rFonts w:ascii="Arial" w:hAnsi="Arial" w:cs="Arial"/>
      <w:b/>
      <w:bCs/>
      <w:sz w:val="28"/>
      <w:szCs w:val="28"/>
      <w:lang w:eastAsia="en-US"/>
    </w:rPr>
  </w:style>
  <w:style w:type="paragraph" w:customStyle="1" w:styleId="Section412paragraphs">
    <w:name w:val="Section 4.1.2 paragraphs"/>
    <w:basedOn w:val="NICEnormal"/>
    <w:rsid w:val="00D37703"/>
    <w:pPr>
      <w:numPr>
        <w:numId w:val="10"/>
      </w:numPr>
    </w:pPr>
  </w:style>
  <w:style w:type="paragraph" w:customStyle="1" w:styleId="Section42paragraphs">
    <w:name w:val="Section 4.2 paragraphs"/>
    <w:basedOn w:val="NICEnormal"/>
    <w:rsid w:val="00D37703"/>
    <w:pPr>
      <w:numPr>
        <w:numId w:val="11"/>
      </w:numPr>
    </w:pPr>
  </w:style>
  <w:style w:type="paragraph" w:customStyle="1" w:styleId="Section43paragraphs">
    <w:name w:val="Section 4.3 paragraphs"/>
    <w:basedOn w:val="NICEnormal"/>
    <w:rsid w:val="00AB39FA"/>
    <w:pPr>
      <w:numPr>
        <w:numId w:val="12"/>
      </w:numPr>
    </w:pPr>
  </w:style>
  <w:style w:type="paragraph" w:customStyle="1" w:styleId="Appendixlevel1">
    <w:name w:val="Appendix level 1"/>
    <w:basedOn w:val="NICEnormal"/>
    <w:autoRedefine/>
    <w:rsid w:val="004B514C"/>
    <w:pPr>
      <w:numPr>
        <w:numId w:val="13"/>
      </w:numPr>
      <w:spacing w:before="240"/>
    </w:pPr>
  </w:style>
  <w:style w:type="paragraph" w:customStyle="1" w:styleId="Appendixlevel2">
    <w:name w:val="Appendix level 2"/>
    <w:basedOn w:val="NICEnormal"/>
    <w:rsid w:val="004B514C"/>
    <w:pPr>
      <w:numPr>
        <w:numId w:val="14"/>
      </w:numPr>
      <w:spacing w:before="240"/>
    </w:pPr>
  </w:style>
  <w:style w:type="paragraph" w:customStyle="1" w:styleId="Appendixbullet">
    <w:name w:val="Appendix bullet"/>
    <w:basedOn w:val="NICEnormal"/>
    <w:rsid w:val="004B514C"/>
    <w:pPr>
      <w:numPr>
        <w:numId w:val="15"/>
      </w:numPr>
      <w:spacing w:after="0" w:line="240" w:lineRule="auto"/>
    </w:pPr>
  </w:style>
  <w:style w:type="paragraph" w:customStyle="1" w:styleId="Appendixreferences">
    <w:name w:val="Appendix references"/>
    <w:basedOn w:val="NICEnormal"/>
    <w:rsid w:val="004B514C"/>
    <w:pPr>
      <w:tabs>
        <w:tab w:val="left" w:pos="567"/>
      </w:tabs>
      <w:spacing w:after="120" w:line="240" w:lineRule="auto"/>
      <w:ind w:left="567"/>
    </w:pPr>
  </w:style>
  <w:style w:type="paragraph" w:customStyle="1" w:styleId="References">
    <w:name w:val="References"/>
    <w:basedOn w:val="NICEnormalsinglespacing"/>
    <w:rsid w:val="00A06657"/>
    <w:pPr>
      <w:numPr>
        <w:numId w:val="16"/>
      </w:numPr>
      <w:spacing w:after="120"/>
    </w:pPr>
  </w:style>
  <w:style w:type="paragraph" w:customStyle="1" w:styleId="Tabletitle9pt">
    <w:name w:val="Table title 9 pt"/>
    <w:basedOn w:val="Tabletitle"/>
    <w:next w:val="Tabletext9pt"/>
    <w:qFormat/>
    <w:rsid w:val="00F26E68"/>
    <w:rPr>
      <w:sz w:val="18"/>
    </w:rPr>
  </w:style>
  <w:style w:type="paragraph" w:customStyle="1" w:styleId="Evidencestatement">
    <w:name w:val="Evidence statement"/>
    <w:basedOn w:val="Numberedlevel4text"/>
    <w:next w:val="NICEnormal"/>
    <w:qFormat/>
    <w:rsid w:val="00F26E68"/>
    <w:pPr>
      <w:numPr>
        <w:ilvl w:val="0"/>
        <w:numId w:val="0"/>
      </w:numPr>
    </w:pPr>
    <w:rPr>
      <w:i/>
    </w:rPr>
  </w:style>
  <w:style w:type="paragraph" w:styleId="TOC1">
    <w:name w:val="toc 1"/>
    <w:basedOn w:val="Normal"/>
    <w:next w:val="Normal"/>
    <w:rsid w:val="00F26E68"/>
    <w:rPr>
      <w:rFonts w:ascii="Arial" w:hAnsi="Arial"/>
    </w:rPr>
  </w:style>
  <w:style w:type="paragraph" w:styleId="TOC2">
    <w:name w:val="toc 2"/>
    <w:basedOn w:val="Normal"/>
    <w:next w:val="Normal"/>
    <w:rsid w:val="00F26E68"/>
    <w:pPr>
      <w:ind w:left="240"/>
    </w:pPr>
    <w:rPr>
      <w:rFonts w:ascii="Arial" w:hAnsi="Arial"/>
    </w:rPr>
  </w:style>
  <w:style w:type="paragraph" w:customStyle="1" w:styleId="AppendixBheading">
    <w:name w:val="Appendix B heading"/>
    <w:basedOn w:val="Heading1"/>
    <w:next w:val="NICEnormal"/>
    <w:qFormat/>
    <w:rsid w:val="00F26E68"/>
    <w:pPr>
      <w:numPr>
        <w:numId w:val="18"/>
      </w:numPr>
    </w:pPr>
  </w:style>
  <w:style w:type="paragraph" w:customStyle="1" w:styleId="Evidencebullet">
    <w:name w:val="Evidence bullet"/>
    <w:basedOn w:val="Bulletindent1"/>
    <w:qFormat/>
    <w:rsid w:val="00F26E68"/>
    <w:pPr>
      <w:numPr>
        <w:numId w:val="0"/>
      </w:numPr>
    </w:pPr>
    <w:rPr>
      <w:i/>
    </w:rPr>
  </w:style>
  <w:style w:type="paragraph" w:customStyle="1" w:styleId="Evidencebulletlast">
    <w:name w:val="Evidence bullet last"/>
    <w:basedOn w:val="Bulletindent1last"/>
    <w:qFormat/>
    <w:rsid w:val="00F26E68"/>
    <w:pPr>
      <w:numPr>
        <w:numId w:val="0"/>
      </w:numPr>
    </w:pPr>
    <w:rPr>
      <w:i/>
    </w:rPr>
  </w:style>
  <w:style w:type="paragraph" w:customStyle="1" w:styleId="Section21paragraphs">
    <w:name w:val="Section 2.1 paragraphs"/>
    <w:basedOn w:val="NICEnormal"/>
    <w:qFormat/>
    <w:rsid w:val="00603E56"/>
    <w:pPr>
      <w:numPr>
        <w:numId w:val="22"/>
      </w:numPr>
      <w:tabs>
        <w:tab w:val="left" w:pos="1134"/>
      </w:tabs>
    </w:pPr>
  </w:style>
  <w:style w:type="paragraph" w:customStyle="1" w:styleId="Section22paragraphs">
    <w:name w:val="Section 2.2 paragraphs"/>
    <w:basedOn w:val="Section21paragraphs"/>
    <w:qFormat/>
    <w:rsid w:val="00603E56"/>
    <w:pPr>
      <w:numPr>
        <w:numId w:val="0"/>
      </w:numPr>
    </w:pPr>
  </w:style>
  <w:style w:type="paragraph" w:customStyle="1" w:styleId="Paragraph">
    <w:name w:val="Paragraph"/>
    <w:basedOn w:val="Normal"/>
    <w:uiPriority w:val="4"/>
    <w:qFormat/>
    <w:rsid w:val="00DE6F78"/>
    <w:pPr>
      <w:spacing w:before="240" w:after="240" w:line="276" w:lineRule="auto"/>
    </w:pPr>
    <w:rPr>
      <w:rFonts w:ascii="Arial" w:hAnsi="Arial"/>
    </w:rPr>
  </w:style>
  <w:style w:type="character" w:customStyle="1" w:styleId="Heading3Char">
    <w:name w:val="Heading 3 Char"/>
    <w:link w:val="Heading3"/>
    <w:rsid w:val="00DE6F78"/>
    <w:rPr>
      <w:rFonts w:ascii="Arial" w:hAnsi="Arial" w:cs="Arial"/>
      <w:b/>
      <w:bCs/>
      <w:sz w:val="26"/>
      <w:szCs w:val="24"/>
      <w:lang w:eastAsia="en-US"/>
    </w:rPr>
  </w:style>
  <w:style w:type="character" w:customStyle="1" w:styleId="TitleChar">
    <w:name w:val="Title Char"/>
    <w:link w:val="Title"/>
    <w:rsid w:val="00DE6F78"/>
    <w:rPr>
      <w:rFonts w:ascii="Arial" w:hAnsi="Arial" w:cs="Arial"/>
      <w:b/>
      <w:bCs/>
      <w:kern w:val="28"/>
      <w:sz w:val="40"/>
      <w:szCs w:val="32"/>
      <w:lang w:eastAsia="en-US"/>
    </w:rPr>
  </w:style>
  <w:style w:type="character" w:customStyle="1" w:styleId="HeaderChar">
    <w:name w:val="Header Char"/>
    <w:link w:val="Header"/>
    <w:rsid w:val="00DE6F78"/>
    <w:rPr>
      <w:rFonts w:ascii="Arial" w:hAnsi="Arial"/>
      <w:sz w:val="24"/>
      <w:szCs w:val="24"/>
      <w:lang w:eastAsia="en-US"/>
    </w:rPr>
  </w:style>
  <w:style w:type="character" w:customStyle="1" w:styleId="FooterChar">
    <w:name w:val="Footer Char"/>
    <w:link w:val="Footer"/>
    <w:uiPriority w:val="99"/>
    <w:rsid w:val="00DE6F78"/>
    <w:rPr>
      <w:rFonts w:ascii="Arial" w:hAnsi="Arial"/>
      <w:sz w:val="24"/>
      <w:szCs w:val="24"/>
      <w:lang w:eastAsia="en-US"/>
    </w:rPr>
  </w:style>
  <w:style w:type="paragraph" w:customStyle="1" w:styleId="Bullet">
    <w:name w:val="Bullet"/>
    <w:basedOn w:val="NICEnormal"/>
    <w:link w:val="BulletChar"/>
    <w:uiPriority w:val="99"/>
    <w:qFormat/>
    <w:rsid w:val="00DE6F78"/>
    <w:pPr>
      <w:numPr>
        <w:numId w:val="23"/>
      </w:numPr>
      <w:tabs>
        <w:tab w:val="num" w:pos="284"/>
      </w:tabs>
      <w:ind w:left="284" w:hanging="284"/>
    </w:pPr>
    <w:rPr>
      <w:rFonts w:cs="Arial"/>
    </w:rPr>
  </w:style>
  <w:style w:type="character" w:customStyle="1" w:styleId="BulletChar">
    <w:name w:val="Bullet Char"/>
    <w:link w:val="Bullet"/>
    <w:uiPriority w:val="99"/>
    <w:rsid w:val="00DE6F78"/>
    <w:rPr>
      <w:rFonts w:ascii="Arial" w:hAnsi="Arial" w:cs="Arial"/>
      <w:sz w:val="24"/>
      <w:szCs w:val="24"/>
      <w:lang w:eastAsia="en-US"/>
    </w:rPr>
  </w:style>
  <w:style w:type="character" w:customStyle="1" w:styleId="NICEnormalChar">
    <w:name w:val="NICE normal Char"/>
    <w:link w:val="NICEnormal"/>
    <w:qFormat/>
    <w:locked/>
    <w:rsid w:val="00DE6F78"/>
    <w:rPr>
      <w:rFonts w:ascii="Arial" w:hAnsi="Arial"/>
      <w:sz w:val="24"/>
      <w:szCs w:val="24"/>
      <w:lang w:eastAsia="en-US"/>
    </w:rPr>
  </w:style>
  <w:style w:type="paragraph" w:customStyle="1" w:styleId="TableText1">
    <w:name w:val="Table Text 1"/>
    <w:basedOn w:val="NICEnormal"/>
    <w:qFormat/>
    <w:rsid w:val="00DE6F78"/>
    <w:pPr>
      <w:spacing w:after="0" w:line="240" w:lineRule="auto"/>
    </w:pPr>
    <w:rPr>
      <w:sz w:val="20"/>
      <w:lang w:val="en-US"/>
    </w:rPr>
  </w:style>
  <w:style w:type="character" w:styleId="CommentReference">
    <w:name w:val="annotation reference"/>
    <w:rsid w:val="00674028"/>
    <w:rPr>
      <w:sz w:val="16"/>
      <w:szCs w:val="16"/>
    </w:rPr>
  </w:style>
  <w:style w:type="paragraph" w:styleId="CommentText">
    <w:name w:val="annotation text"/>
    <w:basedOn w:val="Normal"/>
    <w:link w:val="CommentTextChar"/>
    <w:rsid w:val="00674028"/>
    <w:rPr>
      <w:sz w:val="20"/>
      <w:szCs w:val="20"/>
    </w:rPr>
  </w:style>
  <w:style w:type="character" w:customStyle="1" w:styleId="CommentTextChar">
    <w:name w:val="Comment Text Char"/>
    <w:link w:val="CommentText"/>
    <w:rsid w:val="00674028"/>
    <w:rPr>
      <w:lang w:eastAsia="en-US"/>
    </w:rPr>
  </w:style>
  <w:style w:type="paragraph" w:styleId="CommentSubject">
    <w:name w:val="annotation subject"/>
    <w:basedOn w:val="CommentText"/>
    <w:next w:val="CommentText"/>
    <w:link w:val="CommentSubjectChar"/>
    <w:rsid w:val="00674028"/>
    <w:rPr>
      <w:b/>
      <w:bCs/>
    </w:rPr>
  </w:style>
  <w:style w:type="character" w:customStyle="1" w:styleId="CommentSubjectChar">
    <w:name w:val="Comment Subject Char"/>
    <w:link w:val="CommentSubject"/>
    <w:rsid w:val="00674028"/>
    <w:rPr>
      <w:b/>
      <w:bCs/>
      <w:lang w:eastAsia="en-US"/>
    </w:rPr>
  </w:style>
  <w:style w:type="paragraph" w:styleId="BalloonText">
    <w:name w:val="Balloon Text"/>
    <w:basedOn w:val="Normal"/>
    <w:link w:val="BalloonTextChar"/>
    <w:rsid w:val="00674028"/>
    <w:rPr>
      <w:rFonts w:ascii="Tahoma" w:hAnsi="Tahoma" w:cs="Tahoma"/>
      <w:sz w:val="16"/>
      <w:szCs w:val="16"/>
    </w:rPr>
  </w:style>
  <w:style w:type="character" w:customStyle="1" w:styleId="BalloonTextChar">
    <w:name w:val="Balloon Text Char"/>
    <w:link w:val="BalloonText"/>
    <w:rsid w:val="00674028"/>
    <w:rPr>
      <w:rFonts w:ascii="Tahoma" w:hAnsi="Tahoma" w:cs="Tahoma"/>
      <w:sz w:val="16"/>
      <w:szCs w:val="16"/>
      <w:lang w:eastAsia="en-US"/>
    </w:rPr>
  </w:style>
  <w:style w:type="paragraph" w:styleId="FootnoteText">
    <w:name w:val="footnote text"/>
    <w:basedOn w:val="Normal"/>
    <w:link w:val="FootnoteTextChar"/>
    <w:rsid w:val="0089346D"/>
    <w:rPr>
      <w:sz w:val="20"/>
      <w:szCs w:val="20"/>
    </w:rPr>
  </w:style>
  <w:style w:type="character" w:customStyle="1" w:styleId="FootnoteTextChar">
    <w:name w:val="Footnote Text Char"/>
    <w:basedOn w:val="DefaultParagraphFont"/>
    <w:link w:val="FootnoteText"/>
    <w:rsid w:val="0089346D"/>
    <w:rPr>
      <w:lang w:eastAsia="en-US"/>
    </w:rPr>
  </w:style>
  <w:style w:type="character" w:styleId="FootnoteReference">
    <w:name w:val="footnote reference"/>
    <w:basedOn w:val="DefaultParagraphFont"/>
    <w:rsid w:val="0089346D"/>
    <w:rPr>
      <w:vertAlign w:val="superscript"/>
    </w:rPr>
  </w:style>
  <w:style w:type="character" w:styleId="Hyperlink">
    <w:name w:val="Hyperlink"/>
    <w:qFormat/>
    <w:rsid w:val="000229A9"/>
    <w:rPr>
      <w:color w:val="0000FF"/>
      <w:u w:val="single"/>
    </w:rPr>
  </w:style>
  <w:style w:type="character" w:styleId="FollowedHyperlink">
    <w:name w:val="FollowedHyperlink"/>
    <w:basedOn w:val="DefaultParagraphFont"/>
    <w:semiHidden/>
    <w:unhideWhenUsed/>
    <w:rsid w:val="00B63ECB"/>
    <w:rPr>
      <w:color w:val="800080" w:themeColor="followedHyperlink"/>
      <w:u w:val="single"/>
    </w:rPr>
  </w:style>
  <w:style w:type="table" w:styleId="TableGrid">
    <w:name w:val="Table Grid"/>
    <w:basedOn w:val="TableNormal"/>
    <w:rsid w:val="001774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nonumbers">
    <w:name w:val="Paragraph no numbers"/>
    <w:basedOn w:val="Normal"/>
    <w:uiPriority w:val="99"/>
    <w:qFormat/>
    <w:rsid w:val="001774F4"/>
    <w:pPr>
      <w:spacing w:after="240" w:line="276" w:lineRule="auto"/>
    </w:pPr>
    <w:rPr>
      <w:rFonts w:ascii="Arial" w:hAnsi="Arial"/>
      <w:lang w:eastAsia="en-GB"/>
    </w:rPr>
  </w:style>
  <w:style w:type="paragraph" w:styleId="Caption">
    <w:name w:val="caption"/>
    <w:basedOn w:val="NICEnormal"/>
    <w:next w:val="NICEnormal"/>
    <w:unhideWhenUsed/>
    <w:qFormat/>
    <w:rsid w:val="007D014F"/>
    <w:pPr>
      <w:keepNext/>
      <w:spacing w:after="200"/>
    </w:pPr>
    <w:rPr>
      <w:b/>
      <w:iCs/>
      <w:szCs w:val="18"/>
    </w:rPr>
  </w:style>
  <w:style w:type="character" w:customStyle="1" w:styleId="Addbold">
    <w:name w:val="Add bold"/>
    <w:basedOn w:val="DefaultParagraphFont"/>
    <w:uiPriority w:val="1"/>
    <w:rsid w:val="003C514C"/>
    <w:rPr>
      <w:b/>
      <w:bCs/>
    </w:rPr>
  </w:style>
  <w:style w:type="paragraph" w:customStyle="1" w:styleId="Title1">
    <w:name w:val="Title 1"/>
    <w:basedOn w:val="Title"/>
    <w:qFormat/>
    <w:rsid w:val="003C514C"/>
  </w:style>
  <w:style w:type="paragraph" w:customStyle="1" w:styleId="Title2">
    <w:name w:val="Title 2"/>
    <w:basedOn w:val="Title"/>
    <w:qFormat/>
    <w:rsid w:val="003C514C"/>
    <w:rPr>
      <w:bCs w:val="0"/>
      <w:sz w:val="32"/>
    </w:rPr>
  </w:style>
  <w:style w:type="paragraph" w:customStyle="1" w:styleId="Panelbullet1">
    <w:name w:val="Panel bullet 1"/>
    <w:basedOn w:val="Normal"/>
    <w:qFormat/>
    <w:rsid w:val="00DB11C5"/>
    <w:pPr>
      <w:numPr>
        <w:numId w:val="31"/>
      </w:numPr>
      <w:tabs>
        <w:tab w:val="num" w:pos="360"/>
        <w:tab w:val="num" w:pos="1134"/>
      </w:tabs>
      <w:contextualSpacing/>
    </w:pPr>
    <w:rPr>
      <w:rFonts w:ascii="Arial" w:hAnsi="Arial"/>
    </w:rPr>
  </w:style>
  <w:style w:type="character" w:customStyle="1" w:styleId="Heading6Char">
    <w:name w:val="Heading 6 Char"/>
    <w:basedOn w:val="DefaultParagraphFont"/>
    <w:link w:val="Heading6"/>
    <w:semiHidden/>
    <w:rsid w:val="004D3841"/>
    <w:rPr>
      <w:rFonts w:asciiTheme="majorHAnsi" w:eastAsiaTheme="majorEastAsia" w:hAnsiTheme="majorHAnsi" w:cstheme="majorBidi"/>
      <w:color w:val="243F60" w:themeColor="accent1" w:themeShade="7F"/>
      <w:sz w:val="24"/>
      <w:szCs w:val="24"/>
      <w:lang w:eastAsia="en-US"/>
    </w:rPr>
  </w:style>
  <w:style w:type="character" w:styleId="UnresolvedMention">
    <w:name w:val="Unresolved Mention"/>
    <w:basedOn w:val="DefaultParagraphFont"/>
    <w:uiPriority w:val="99"/>
    <w:semiHidden/>
    <w:unhideWhenUsed/>
    <w:rsid w:val="004D3841"/>
    <w:rPr>
      <w:color w:val="605E5C"/>
      <w:shd w:val="clear" w:color="auto" w:fill="E1DFDD"/>
    </w:rPr>
  </w:style>
  <w:style w:type="paragraph" w:customStyle="1" w:styleId="Default">
    <w:name w:val="Default"/>
    <w:rsid w:val="00720667"/>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720667"/>
    <w:pPr>
      <w:ind w:left="720"/>
    </w:pPr>
    <w:rPr>
      <w:rFonts w:eastAsia="Calibri"/>
      <w:lang w:eastAsia="en-GB"/>
    </w:rPr>
  </w:style>
  <w:style w:type="character" w:customStyle="1" w:styleId="cf01">
    <w:name w:val="cf01"/>
    <w:rsid w:val="00720667"/>
    <w:rPr>
      <w:rFonts w:ascii="Segoe UI" w:hAnsi="Segoe UI" w:cs="Segoe UI" w:hint="default"/>
      <w:sz w:val="18"/>
      <w:szCs w:val="18"/>
    </w:rPr>
  </w:style>
  <w:style w:type="character" w:customStyle="1" w:styleId="normaltextrun">
    <w:name w:val="normaltextrun"/>
    <w:basedOn w:val="DefaultParagraphFont"/>
    <w:rsid w:val="00720667"/>
  </w:style>
  <w:style w:type="character" w:customStyle="1" w:styleId="eop">
    <w:name w:val="eop"/>
    <w:basedOn w:val="DefaultParagraphFont"/>
    <w:rsid w:val="00720667"/>
  </w:style>
  <w:style w:type="paragraph" w:styleId="Revision">
    <w:name w:val="Revision"/>
    <w:hidden/>
    <w:uiPriority w:val="99"/>
    <w:semiHidden/>
    <w:rsid w:val="00750FA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928284">
      <w:bodyDiv w:val="1"/>
      <w:marLeft w:val="0"/>
      <w:marRight w:val="0"/>
      <w:marTop w:val="0"/>
      <w:marBottom w:val="0"/>
      <w:divBdr>
        <w:top w:val="none" w:sz="0" w:space="0" w:color="auto"/>
        <w:left w:val="none" w:sz="0" w:space="0" w:color="auto"/>
        <w:bottom w:val="none" w:sz="0" w:space="0" w:color="auto"/>
        <w:right w:val="none" w:sz="0" w:space="0" w:color="auto"/>
      </w:divBdr>
      <w:divsChild>
        <w:div w:id="1675765163">
          <w:marLeft w:val="0"/>
          <w:marRight w:val="0"/>
          <w:marTop w:val="0"/>
          <w:marBottom w:val="0"/>
          <w:divBdr>
            <w:top w:val="none" w:sz="0" w:space="0" w:color="auto"/>
            <w:left w:val="none" w:sz="0" w:space="0" w:color="auto"/>
            <w:bottom w:val="none" w:sz="0" w:space="0" w:color="auto"/>
            <w:right w:val="none" w:sz="0" w:space="0" w:color="auto"/>
          </w:divBdr>
        </w:div>
      </w:divsChild>
    </w:div>
    <w:div w:id="406919610">
      <w:bodyDiv w:val="1"/>
      <w:marLeft w:val="0"/>
      <w:marRight w:val="0"/>
      <w:marTop w:val="0"/>
      <w:marBottom w:val="0"/>
      <w:divBdr>
        <w:top w:val="none" w:sz="0" w:space="0" w:color="auto"/>
        <w:left w:val="none" w:sz="0" w:space="0" w:color="auto"/>
        <w:bottom w:val="none" w:sz="0" w:space="0" w:color="auto"/>
        <w:right w:val="none" w:sz="0" w:space="0" w:color="auto"/>
      </w:divBdr>
      <w:divsChild>
        <w:div w:id="1500778231">
          <w:marLeft w:val="0"/>
          <w:marRight w:val="0"/>
          <w:marTop w:val="0"/>
          <w:marBottom w:val="0"/>
          <w:divBdr>
            <w:top w:val="none" w:sz="0" w:space="0" w:color="auto"/>
            <w:left w:val="none" w:sz="0" w:space="0" w:color="auto"/>
            <w:bottom w:val="none" w:sz="0" w:space="0" w:color="auto"/>
            <w:right w:val="none" w:sz="0" w:space="0" w:color="auto"/>
          </w:divBdr>
        </w:div>
      </w:divsChild>
    </w:div>
    <w:div w:id="1022589244">
      <w:bodyDiv w:val="1"/>
      <w:marLeft w:val="0"/>
      <w:marRight w:val="0"/>
      <w:marTop w:val="0"/>
      <w:marBottom w:val="0"/>
      <w:divBdr>
        <w:top w:val="none" w:sz="0" w:space="0" w:color="auto"/>
        <w:left w:val="none" w:sz="0" w:space="0" w:color="auto"/>
        <w:bottom w:val="none" w:sz="0" w:space="0" w:color="auto"/>
        <w:right w:val="none" w:sz="0" w:space="0" w:color="auto"/>
      </w:divBdr>
      <w:divsChild>
        <w:div w:id="918828664">
          <w:marLeft w:val="0"/>
          <w:marRight w:val="0"/>
          <w:marTop w:val="0"/>
          <w:marBottom w:val="0"/>
          <w:divBdr>
            <w:top w:val="none" w:sz="0" w:space="0" w:color="auto"/>
            <w:left w:val="none" w:sz="0" w:space="0" w:color="auto"/>
            <w:bottom w:val="none" w:sz="0" w:space="0" w:color="auto"/>
            <w:right w:val="none" w:sz="0" w:space="0" w:color="auto"/>
          </w:divBdr>
        </w:div>
      </w:divsChild>
    </w:div>
    <w:div w:id="1422796533">
      <w:bodyDiv w:val="1"/>
      <w:marLeft w:val="0"/>
      <w:marRight w:val="0"/>
      <w:marTop w:val="0"/>
      <w:marBottom w:val="0"/>
      <w:divBdr>
        <w:top w:val="none" w:sz="0" w:space="0" w:color="auto"/>
        <w:left w:val="none" w:sz="0" w:space="0" w:color="auto"/>
        <w:bottom w:val="none" w:sz="0" w:space="0" w:color="auto"/>
        <w:right w:val="none" w:sz="0" w:space="0" w:color="auto"/>
      </w:divBdr>
      <w:divsChild>
        <w:div w:id="1383365823">
          <w:marLeft w:val="0"/>
          <w:marRight w:val="0"/>
          <w:marTop w:val="0"/>
          <w:marBottom w:val="0"/>
          <w:divBdr>
            <w:top w:val="none" w:sz="0" w:space="0" w:color="auto"/>
            <w:left w:val="none" w:sz="0" w:space="0" w:color="auto"/>
            <w:bottom w:val="none" w:sz="0" w:space="0" w:color="auto"/>
            <w:right w:val="none" w:sz="0" w:space="0" w:color="auto"/>
          </w:divBdr>
        </w:div>
      </w:divsChild>
    </w:div>
    <w:div w:id="2024088718">
      <w:bodyDiv w:val="1"/>
      <w:marLeft w:val="0"/>
      <w:marRight w:val="0"/>
      <w:marTop w:val="0"/>
      <w:marBottom w:val="0"/>
      <w:divBdr>
        <w:top w:val="none" w:sz="0" w:space="0" w:color="auto"/>
        <w:left w:val="none" w:sz="0" w:space="0" w:color="auto"/>
        <w:bottom w:val="none" w:sz="0" w:space="0" w:color="auto"/>
        <w:right w:val="none" w:sz="0" w:space="0" w:color="auto"/>
      </w:divBdr>
      <w:divsChild>
        <w:div w:id="1597857728">
          <w:marLeft w:val="0"/>
          <w:marRight w:val="0"/>
          <w:marTop w:val="0"/>
          <w:marBottom w:val="0"/>
          <w:divBdr>
            <w:top w:val="none" w:sz="0" w:space="0" w:color="auto"/>
            <w:left w:val="none" w:sz="0" w:space="0" w:color="auto"/>
            <w:bottom w:val="none" w:sz="0" w:space="0" w:color="auto"/>
            <w:right w:val="none" w:sz="0" w:space="0" w:color="auto"/>
          </w:divBdr>
        </w:div>
      </w:divsChild>
    </w:div>
    <w:div w:id="2045710576">
      <w:bodyDiv w:val="1"/>
      <w:marLeft w:val="0"/>
      <w:marRight w:val="0"/>
      <w:marTop w:val="0"/>
      <w:marBottom w:val="0"/>
      <w:divBdr>
        <w:top w:val="none" w:sz="0" w:space="0" w:color="auto"/>
        <w:left w:val="none" w:sz="0" w:space="0" w:color="auto"/>
        <w:bottom w:val="none" w:sz="0" w:space="0" w:color="auto"/>
        <w:right w:val="none" w:sz="0" w:space="0" w:color="auto"/>
      </w:divBdr>
    </w:div>
    <w:div w:id="2135556992">
      <w:bodyDiv w:val="1"/>
      <w:marLeft w:val="0"/>
      <w:marRight w:val="0"/>
      <w:marTop w:val="0"/>
      <w:marBottom w:val="0"/>
      <w:divBdr>
        <w:top w:val="none" w:sz="0" w:space="0" w:color="auto"/>
        <w:left w:val="none" w:sz="0" w:space="0" w:color="auto"/>
        <w:bottom w:val="none" w:sz="0" w:space="0" w:color="auto"/>
        <w:right w:val="none" w:sz="0" w:space="0" w:color="auto"/>
      </w:divBdr>
      <w:divsChild>
        <w:div w:id="1412385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ourwork/accessibleinf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ice.org.uk/guidance/ng240/chapter/Recommendations"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ice.org.uk/terms-and-conditions" TargetMode="External"/><Relationship Id="rId14" Type="http://schemas.openxmlformats.org/officeDocument/2006/relationships/hyperlink" Target="https://www.nbt.nhs.uk/sites/default/files/ICU%20Lumbar%20Puncture%20LocSSIP.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Quality%20standards%20(QS)\QS%20consultation%20summary%20report%20Apr%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9D2A5-E647-42AA-B586-8A80C75FF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QS consultation summary report Apr 23</Template>
  <TotalTime>111</TotalTime>
  <Pages>31</Pages>
  <Words>7909</Words>
  <Characters>44907</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52711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Eileen Taylor</dc:creator>
  <cp:lastModifiedBy>Eileen Taylor</cp:lastModifiedBy>
  <cp:revision>4</cp:revision>
  <cp:lastPrinted>1901-01-01T00:00:00Z</cp:lastPrinted>
  <dcterms:created xsi:type="dcterms:W3CDTF">2025-02-12T09:57:00Z</dcterms:created>
  <dcterms:modified xsi:type="dcterms:W3CDTF">2025-02-12T11:51:00Z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7c1caf1-e4f0-4b5d-9415-ebd897024cb8_Enabled">
    <vt:lpwstr>true</vt:lpwstr>
  </property>
  <property fmtid="{D5CDD505-2E9C-101B-9397-08002B2CF9AE}" pid="3" name="MSIP_Label_37c1caf1-e4f0-4b5d-9415-ebd897024cb8_SetDate">
    <vt:lpwstr>2023-04-28T09:30:01Z</vt:lpwstr>
  </property>
  <property fmtid="{D5CDD505-2E9C-101B-9397-08002B2CF9AE}" pid="4" name="MSIP_Label_37c1caf1-e4f0-4b5d-9415-ebd897024cb8_Method">
    <vt:lpwstr>Privileged</vt:lpwstr>
  </property>
  <property fmtid="{D5CDD505-2E9C-101B-9397-08002B2CF9AE}" pid="5" name="MSIP_Label_37c1caf1-e4f0-4b5d-9415-ebd897024cb8_Name">
    <vt:lpwstr>OFFICIAL-SENSITIVE PRE-PUBLICATION</vt:lpwstr>
  </property>
  <property fmtid="{D5CDD505-2E9C-101B-9397-08002B2CF9AE}" pid="6" name="MSIP_Label_37c1caf1-e4f0-4b5d-9415-ebd897024cb8_SiteId">
    <vt:lpwstr>6030f479-b342-472d-a5dd-740ff7538de9</vt:lpwstr>
  </property>
  <property fmtid="{D5CDD505-2E9C-101B-9397-08002B2CF9AE}" pid="7" name="MSIP_Label_37c1caf1-e4f0-4b5d-9415-ebd897024cb8_ActionId">
    <vt:lpwstr>f6170ab8-9b55-4916-b2d0-9e36160a8390</vt:lpwstr>
  </property>
  <property fmtid="{D5CDD505-2E9C-101B-9397-08002B2CF9AE}" pid="8" name="MSIP_Label_37c1caf1-e4f0-4b5d-9415-ebd897024cb8_ContentBits">
    <vt:lpwstr>0</vt:lpwstr>
  </property>
</Properties>
</file>