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20BACD88"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637F745" w:rsidR="00BE0234" w:rsidRPr="00BE0234" w:rsidRDefault="00600E11" w:rsidP="00556322">
      <w:pPr>
        <w:pStyle w:val="Title2"/>
      </w:pPr>
      <w:r>
        <w:t>Abortion care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4C15D5BA"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705C6F71" w:rsidR="00AC1A64" w:rsidRDefault="0053792A" w:rsidP="0053792A">
      <w:pPr>
        <w:pStyle w:val="Paragraphnonumbers"/>
      </w:pPr>
      <w:r>
        <w:t xml:space="preserve">The guideline </w:t>
      </w:r>
      <w:r w:rsidR="002B1AD9">
        <w:t xml:space="preserve">development </w:t>
      </w:r>
      <w:r>
        <w:t>committee highlighted the following groups that need specific consideration:</w:t>
      </w:r>
    </w:p>
    <w:p w14:paraId="7590A2B8" w14:textId="2B22A345" w:rsidR="0053792A" w:rsidRDefault="005A4E27" w:rsidP="0053792A">
      <w:pPr>
        <w:pStyle w:val="Bulletleft1"/>
      </w:pPr>
      <w:r>
        <w:t xml:space="preserve">Women </w:t>
      </w:r>
      <w:r w:rsidR="0053792A">
        <w:t>living in remote areas</w:t>
      </w:r>
    </w:p>
    <w:p w14:paraId="48BF67CD" w14:textId="5740AC9A" w:rsidR="0053792A" w:rsidRDefault="005A4E27" w:rsidP="0053792A">
      <w:pPr>
        <w:pStyle w:val="Bulletleft1"/>
      </w:pPr>
      <w:r>
        <w:t xml:space="preserve">Women with </w:t>
      </w:r>
      <w:r w:rsidR="0053792A">
        <w:t>complex pre-existing medical conditions</w:t>
      </w:r>
    </w:p>
    <w:p w14:paraId="71FE0028" w14:textId="74BD8343" w:rsidR="0053792A" w:rsidRDefault="005A4E27" w:rsidP="0053792A">
      <w:pPr>
        <w:pStyle w:val="Bulletleft1"/>
      </w:pPr>
      <w:r>
        <w:t xml:space="preserve">Women with </w:t>
      </w:r>
      <w:r w:rsidR="0053792A">
        <w:t>coexisting mental health problems</w:t>
      </w:r>
    </w:p>
    <w:p w14:paraId="3858F2D2" w14:textId="4FDAF7FD" w:rsidR="0053792A" w:rsidRDefault="005A4E27" w:rsidP="0053792A">
      <w:pPr>
        <w:pStyle w:val="Bulletleft1"/>
      </w:pPr>
      <w:r>
        <w:t xml:space="preserve">Women with </w:t>
      </w:r>
      <w:r w:rsidR="0053792A">
        <w:t>learning disabilities</w:t>
      </w:r>
    </w:p>
    <w:p w14:paraId="47683888" w14:textId="676F90D9" w:rsidR="0053792A" w:rsidRDefault="005A4E27" w:rsidP="0053792A">
      <w:pPr>
        <w:pStyle w:val="Bulletleft1"/>
      </w:pPr>
      <w:r>
        <w:t>V</w:t>
      </w:r>
      <w:r w:rsidR="0053792A">
        <w:t>ulnerable women (including sex workers and women who are homeless)</w:t>
      </w:r>
    </w:p>
    <w:p w14:paraId="044D95DF" w14:textId="33374D46" w:rsidR="0053792A" w:rsidRDefault="005A4E27" w:rsidP="0053792A">
      <w:pPr>
        <w:pStyle w:val="Bulletleft1"/>
      </w:pPr>
      <w:r>
        <w:t>Y</w:t>
      </w:r>
      <w:r w:rsidR="0053792A">
        <w:t>oung women</w:t>
      </w:r>
    </w:p>
    <w:p w14:paraId="4A79DDD7" w14:textId="3D01B130" w:rsidR="0053792A" w:rsidRDefault="005A4E27" w:rsidP="005A4E27">
      <w:pPr>
        <w:pStyle w:val="Bulletleft1"/>
      </w:pPr>
      <w:r>
        <w:t>W</w:t>
      </w:r>
      <w:r w:rsidR="0053792A">
        <w:t>omen who have communication difficulties, because of vision or hearing problems or because they have difficulty understanding English</w:t>
      </w:r>
    </w:p>
    <w:p w14:paraId="452FD2F3" w14:textId="77777777" w:rsidR="005A4E27" w:rsidRDefault="005A4E27" w:rsidP="005A4E27">
      <w:pPr>
        <w:pStyle w:val="Bulletleft1"/>
      </w:pPr>
      <w:r>
        <w:t>Women suffering domestic violence, abuse or coercion from their partner or family</w:t>
      </w:r>
    </w:p>
    <w:p w14:paraId="56BC9D40" w14:textId="599118A8" w:rsidR="005A4E27" w:rsidRDefault="005A4E27" w:rsidP="005A4E27">
      <w:pPr>
        <w:pStyle w:val="Bulletleft1"/>
      </w:pPr>
      <w:r>
        <w:t>Women who are socially disadvantaged.</w:t>
      </w:r>
    </w:p>
    <w:p w14:paraId="73FB3D5A" w14:textId="7DFECBB1" w:rsidR="005A4E27" w:rsidRDefault="005A4E27" w:rsidP="005A4E27">
      <w:pPr>
        <w:pStyle w:val="Bulletleft1last"/>
      </w:pPr>
      <w:r w:rsidRPr="005A4E27">
        <w:t>Women experiencing cultural barriers to accessing services</w:t>
      </w:r>
      <w:r w:rsidR="00EE6BDA">
        <w:t xml:space="preserve"> (including migrant women, </w:t>
      </w:r>
      <w:proofErr w:type="gramStart"/>
      <w:r w:rsidR="00EE6BDA">
        <w:t>refugees</w:t>
      </w:r>
      <w:proofErr w:type="gramEnd"/>
      <w:r w:rsidR="00EE6BDA">
        <w:t xml:space="preserve"> and asylum seekers)</w:t>
      </w:r>
      <w:r w:rsidRPr="005A4E27">
        <w:t>.</w:t>
      </w:r>
    </w:p>
    <w:p w14:paraId="104C5DAD" w14:textId="6BFA14C2" w:rsidR="0053792A" w:rsidRPr="00AC1A64" w:rsidRDefault="0053792A" w:rsidP="005A4E27">
      <w:pPr>
        <w:pStyle w:val="Paragraphnonumbers"/>
      </w:pPr>
      <w:r>
        <w:t>Any specific needs of these groups will be highlighted during development of the quality standard.</w:t>
      </w:r>
    </w:p>
    <w:p w14:paraId="52AA63AC" w14:textId="3E5FD98B" w:rsidR="00BE0234"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7E297C70" w14:textId="231A2BDD" w:rsidR="0053792A" w:rsidRDefault="0053792A" w:rsidP="0053792A">
      <w:pPr>
        <w:pStyle w:val="Paragraphnonumbers"/>
      </w:pPr>
      <w:r>
        <w:t>The quality standard for abortion care will not include:</w:t>
      </w:r>
    </w:p>
    <w:p w14:paraId="3378CCA6" w14:textId="7031E8AE" w:rsidR="0053792A" w:rsidRDefault="0053792A" w:rsidP="0053792A">
      <w:pPr>
        <w:pStyle w:val="Bulletleft1"/>
      </w:pPr>
      <w:r>
        <w:lastRenderedPageBreak/>
        <w:t>care between conception and requesting an abortion</w:t>
      </w:r>
    </w:p>
    <w:p w14:paraId="3E11915B" w14:textId="441B8574" w:rsidR="0053792A" w:rsidRDefault="0053792A" w:rsidP="005A4E27">
      <w:pPr>
        <w:pStyle w:val="Bulletleft1last"/>
      </w:pPr>
      <w:r>
        <w:t>the ongoing care of women who decide not to have an abortion</w:t>
      </w:r>
    </w:p>
    <w:p w14:paraId="6EDB942C" w14:textId="0351A423" w:rsidR="0053792A" w:rsidRPr="0053792A" w:rsidRDefault="005A4E27" w:rsidP="0053792A">
      <w:pPr>
        <w:pStyle w:val="Paragraphnonumbers"/>
      </w:pPr>
      <w:r>
        <w:t xml:space="preserve">Quality standards have already been published on </w:t>
      </w:r>
      <w:r w:rsidR="00D1685C">
        <w:t>antenatal care and antenatal and postnatal mental health.</w:t>
      </w:r>
      <w:r>
        <w:t xml:space="preserve"> The quality standard </w:t>
      </w:r>
      <w:r w:rsidR="00D1685C">
        <w:t xml:space="preserve">on abortion care </w:t>
      </w:r>
      <w:r>
        <w:t>will focus on the time from when an abortion has been requested to completion</w:t>
      </w:r>
      <w:r w:rsidR="00D1685C">
        <w:t xml:space="preserve"> of the abortion</w:t>
      </w:r>
      <w:r w:rsidR="006A370C">
        <w:t xml:space="preserve"> and support after the abortion</w:t>
      </w:r>
      <w:r>
        <w:t>.</w:t>
      </w:r>
    </w:p>
    <w:p w14:paraId="559D63E4" w14:textId="77777777" w:rsidR="00D1685C" w:rsidRDefault="00D1685C" w:rsidP="00EF758D">
      <w:pPr>
        <w:pStyle w:val="Paragraphnonumbers"/>
        <w:rPr>
          <w:rFonts w:cs="Arial"/>
        </w:rPr>
      </w:pPr>
    </w:p>
    <w:p w14:paraId="359A6DF6" w14:textId="438B648E"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600E11">
        <w:rPr>
          <w:rFonts w:cs="Arial"/>
        </w:rPr>
        <w:t>Melanie Carr</w:t>
      </w:r>
    </w:p>
    <w:p w14:paraId="45917AC2" w14:textId="5EA4B12D" w:rsidR="00BE0234" w:rsidRPr="002F6C0A" w:rsidRDefault="00BE0234" w:rsidP="00EF758D">
      <w:pPr>
        <w:pStyle w:val="Paragraphnonumbers"/>
        <w:rPr>
          <w:rFonts w:cs="Arial"/>
        </w:rPr>
      </w:pPr>
      <w:r w:rsidRPr="002F6C0A">
        <w:rPr>
          <w:rFonts w:cs="Arial"/>
        </w:rPr>
        <w:t>Date</w:t>
      </w:r>
      <w:r w:rsidR="00AC1A64">
        <w:rPr>
          <w:rFonts w:cs="Arial"/>
        </w:rPr>
        <w:t>:</w:t>
      </w:r>
      <w:r w:rsidR="00600E11">
        <w:rPr>
          <w:rFonts w:cs="Arial"/>
        </w:rPr>
        <w:t>19/09/2019</w:t>
      </w:r>
    </w:p>
    <w:p w14:paraId="791F4129" w14:textId="74281D04"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F64075">
        <w:rPr>
          <w:rFonts w:cs="Arial"/>
        </w:rPr>
        <w:t xml:space="preserve"> Nick Baillie</w:t>
      </w:r>
    </w:p>
    <w:p w14:paraId="3F13C1A6" w14:textId="0F83815E" w:rsidR="00BE0234" w:rsidRDefault="00BE0234" w:rsidP="00EF758D">
      <w:pPr>
        <w:pStyle w:val="Paragraphnonumbers"/>
        <w:rPr>
          <w:rFonts w:cs="Arial"/>
        </w:rPr>
      </w:pPr>
      <w:r w:rsidRPr="002F6C0A">
        <w:rPr>
          <w:rFonts w:cs="Arial"/>
        </w:rPr>
        <w:t>Date</w:t>
      </w:r>
      <w:r w:rsidR="00AC1A64">
        <w:rPr>
          <w:rFonts w:cs="Arial"/>
        </w:rPr>
        <w:t>:</w:t>
      </w:r>
      <w:r w:rsidR="00F64075">
        <w:rPr>
          <w:rFonts w:cs="Arial"/>
        </w:rPr>
        <w:t xml:space="preserve"> 1/10/2019</w:t>
      </w:r>
    </w:p>
    <w:p w14:paraId="4306A700" w14:textId="71417926" w:rsidR="00427A2B" w:rsidRDefault="00427A2B">
      <w:pPr>
        <w:rPr>
          <w:rFonts w:ascii="Arial" w:hAnsi="Arial" w:cs="Arial"/>
        </w:rPr>
      </w:pPr>
      <w:r>
        <w:rPr>
          <w:rFonts w:cs="Arial"/>
        </w:rPr>
        <w:br w:type="page"/>
      </w:r>
    </w:p>
    <w:p w14:paraId="499E352C" w14:textId="5EC39829" w:rsidR="00427A2B" w:rsidRDefault="00427A2B" w:rsidP="00427A2B">
      <w:pPr>
        <w:pStyle w:val="Heading3"/>
      </w:pPr>
      <w:r w:rsidRPr="0009386C">
        <w:lastRenderedPageBreak/>
        <w:t xml:space="preserve">2. </w:t>
      </w:r>
      <w:r>
        <w:t>PRE-</w:t>
      </w:r>
      <w:r w:rsidRPr="0009386C">
        <w:t>CONSULTATION STAGE</w:t>
      </w:r>
      <w:r>
        <w:t xml:space="preserve"> </w:t>
      </w:r>
    </w:p>
    <w:p w14:paraId="556AB692" w14:textId="77777777" w:rsidR="00427A2B" w:rsidRDefault="00427A2B" w:rsidP="00427A2B">
      <w:pPr>
        <w:pStyle w:val="Heading3"/>
      </w:pPr>
      <w:r w:rsidRPr="002F6C0A">
        <w:t>2.1 Have any potential equality issues been identified during the development of the quality standard (including those identified during the topic engagement process)? How have they been addressed?</w:t>
      </w:r>
    </w:p>
    <w:p w14:paraId="49C83BEF" w14:textId="4FE3F750" w:rsidR="00427A2B" w:rsidRDefault="009F20BD" w:rsidP="008C19C1">
      <w:pPr>
        <w:pStyle w:val="NICEnormal"/>
        <w:spacing w:line="276" w:lineRule="auto"/>
        <w:rPr>
          <w:lang w:eastAsia="en-GB"/>
        </w:rPr>
      </w:pPr>
      <w:r>
        <w:rPr>
          <w:lang w:eastAsia="en-GB"/>
        </w:rPr>
        <w:t xml:space="preserve">Stakeholders highlighted that </w:t>
      </w:r>
      <w:r w:rsidR="00D540AC">
        <w:rPr>
          <w:lang w:eastAsia="en-GB"/>
        </w:rPr>
        <w:t xml:space="preserve">it </w:t>
      </w:r>
      <w:r>
        <w:rPr>
          <w:lang w:eastAsia="en-GB"/>
        </w:rPr>
        <w:t xml:space="preserve">is important to </w:t>
      </w:r>
      <w:r w:rsidRPr="009F20BD">
        <w:rPr>
          <w:lang w:eastAsia="en-GB"/>
        </w:rPr>
        <w:t xml:space="preserve">ensure that information about how to access abortion services is </w:t>
      </w:r>
      <w:r w:rsidR="00EE6BDA">
        <w:rPr>
          <w:lang w:eastAsia="en-GB"/>
        </w:rPr>
        <w:t>available</w:t>
      </w:r>
      <w:r w:rsidRPr="009F20BD">
        <w:rPr>
          <w:lang w:eastAsia="en-GB"/>
        </w:rPr>
        <w:t xml:space="preserve"> to women in vulnerable groups</w:t>
      </w:r>
      <w:r>
        <w:rPr>
          <w:lang w:eastAsia="en-GB"/>
        </w:rPr>
        <w:t xml:space="preserve">. Statement 1 </w:t>
      </w:r>
      <w:r w:rsidR="00D540AC">
        <w:rPr>
          <w:lang w:eastAsia="en-GB"/>
        </w:rPr>
        <w:t xml:space="preserve">highlights </w:t>
      </w:r>
      <w:r>
        <w:rPr>
          <w:lang w:eastAsia="en-GB"/>
        </w:rPr>
        <w:t xml:space="preserve">that information about abortion services </w:t>
      </w:r>
      <w:r w:rsidR="00D540AC">
        <w:rPr>
          <w:lang w:eastAsia="en-GB"/>
        </w:rPr>
        <w:t>should be</w:t>
      </w:r>
      <w:r>
        <w:rPr>
          <w:lang w:eastAsia="en-GB"/>
        </w:rPr>
        <w:t xml:space="preserve"> </w:t>
      </w:r>
      <w:r w:rsidR="00EE6BDA">
        <w:rPr>
          <w:lang w:eastAsia="en-GB"/>
        </w:rPr>
        <w:t>available</w:t>
      </w:r>
      <w:r>
        <w:rPr>
          <w:lang w:eastAsia="en-GB"/>
        </w:rPr>
        <w:t xml:space="preserve"> to women in vulnerable groups </w:t>
      </w:r>
      <w:r w:rsidRPr="009F20BD">
        <w:rPr>
          <w:lang w:eastAsia="en-GB"/>
        </w:rPr>
        <w:t>including sex workers, those who are homeless, women in prison and those who may find it more difficult to access healthcare services because they are not registered with a GP.</w:t>
      </w:r>
    </w:p>
    <w:p w14:paraId="4FF6050F" w14:textId="1C292DE0" w:rsidR="00CA3570" w:rsidRDefault="00D540AC" w:rsidP="008C19C1">
      <w:pPr>
        <w:pStyle w:val="NICEnormal"/>
        <w:spacing w:line="276" w:lineRule="auto"/>
        <w:rPr>
          <w:lang w:eastAsia="en-GB"/>
        </w:rPr>
      </w:pPr>
      <w:r w:rsidRPr="00D540AC">
        <w:rPr>
          <w:lang w:eastAsia="en-GB"/>
        </w:rPr>
        <w:t xml:space="preserve">The committee highlighted that it is important to ensure that </w:t>
      </w:r>
      <w:r w:rsidR="004679E3">
        <w:rPr>
          <w:lang w:eastAsia="en-GB"/>
        </w:rPr>
        <w:t>women</w:t>
      </w:r>
      <w:r w:rsidRPr="00D540AC">
        <w:rPr>
          <w:lang w:eastAsia="en-GB"/>
        </w:rPr>
        <w:t xml:space="preserve"> with additional needs such as physical, sensory or learning disabilities, and </w:t>
      </w:r>
      <w:r w:rsidR="004679E3">
        <w:rPr>
          <w:lang w:eastAsia="en-GB"/>
        </w:rPr>
        <w:t>women</w:t>
      </w:r>
      <w:r w:rsidRPr="00D540AC">
        <w:rPr>
          <w:lang w:eastAsia="en-GB"/>
        </w:rPr>
        <w:t xml:space="preserve"> who do not speak or read English, or who have reduced literacy skills</w:t>
      </w:r>
      <w:r>
        <w:rPr>
          <w:lang w:eastAsia="en-GB"/>
        </w:rPr>
        <w:t xml:space="preserve"> can access information about abortion services and care. S</w:t>
      </w:r>
      <w:r w:rsidRPr="00D540AC">
        <w:rPr>
          <w:lang w:eastAsia="en-GB"/>
        </w:rPr>
        <w:t xml:space="preserve">tatements </w:t>
      </w:r>
      <w:r>
        <w:rPr>
          <w:lang w:eastAsia="en-GB"/>
        </w:rPr>
        <w:t xml:space="preserve">1, 2 </w:t>
      </w:r>
      <w:r w:rsidRPr="00D540AC">
        <w:rPr>
          <w:lang w:eastAsia="en-GB"/>
        </w:rPr>
        <w:t xml:space="preserve">and 5 highlight that </w:t>
      </w:r>
      <w:r>
        <w:rPr>
          <w:lang w:eastAsia="en-GB"/>
        </w:rPr>
        <w:t>abortion</w:t>
      </w:r>
      <w:r w:rsidRPr="00D540AC">
        <w:rPr>
          <w:lang w:eastAsia="en-GB"/>
        </w:rPr>
        <w:t xml:space="preserve"> services should make reasonable adjustments to ensure</w:t>
      </w:r>
      <w:r w:rsidR="00E37625" w:rsidRPr="00E37625">
        <w:t xml:space="preserve"> </w:t>
      </w:r>
      <w:r w:rsidR="00E37625" w:rsidRPr="00BC7C58">
        <w:t xml:space="preserve">information can </w:t>
      </w:r>
      <w:r w:rsidR="00E37625">
        <w:t xml:space="preserve">be </w:t>
      </w:r>
      <w:r w:rsidR="00E37625" w:rsidRPr="00BC7C58">
        <w:t xml:space="preserve">easily read and </w:t>
      </w:r>
      <w:r w:rsidR="00E37625">
        <w:t xml:space="preserve">understood, including video or written information, </w:t>
      </w:r>
      <w:r w:rsidRPr="00D540AC">
        <w:rPr>
          <w:lang w:eastAsia="en-GB"/>
        </w:rPr>
        <w:t xml:space="preserve">and </w:t>
      </w:r>
      <w:r w:rsidR="00E37625">
        <w:rPr>
          <w:lang w:eastAsia="en-GB"/>
        </w:rPr>
        <w:t>women</w:t>
      </w:r>
      <w:r w:rsidRPr="00D540AC">
        <w:rPr>
          <w:lang w:eastAsia="en-GB"/>
        </w:rPr>
        <w:t xml:space="preserve"> should have access to an interpreter or advocate if needed.</w:t>
      </w:r>
      <w:r w:rsidR="00E37625">
        <w:rPr>
          <w:lang w:eastAsia="en-GB"/>
        </w:rPr>
        <w:t xml:space="preserve"> These statements </w:t>
      </w:r>
      <w:r w:rsidR="00D353E8">
        <w:rPr>
          <w:lang w:eastAsia="en-GB"/>
        </w:rPr>
        <w:t xml:space="preserve">also </w:t>
      </w:r>
      <w:r w:rsidR="00E37625">
        <w:rPr>
          <w:lang w:eastAsia="en-GB"/>
        </w:rPr>
        <w:t xml:space="preserve">highlight that information should </w:t>
      </w:r>
      <w:r w:rsidR="00E37625" w:rsidRPr="00E37625">
        <w:rPr>
          <w:lang w:eastAsia="en-GB"/>
        </w:rPr>
        <w:t>be culturally and age appropriate</w:t>
      </w:r>
      <w:r w:rsidR="00E37625">
        <w:rPr>
          <w:lang w:eastAsia="en-GB"/>
        </w:rPr>
        <w:t>.</w:t>
      </w:r>
      <w:r w:rsidR="00010D62">
        <w:rPr>
          <w:lang w:eastAsia="en-GB"/>
        </w:rPr>
        <w:t xml:space="preserve"> In addition, </w:t>
      </w:r>
      <w:r w:rsidR="00010D62" w:rsidRPr="00010D62">
        <w:rPr>
          <w:lang w:eastAsia="en-GB"/>
        </w:rPr>
        <w:t>statement</w:t>
      </w:r>
      <w:r w:rsidR="00010D62">
        <w:rPr>
          <w:lang w:eastAsia="en-GB"/>
        </w:rPr>
        <w:t xml:space="preserve"> 6</w:t>
      </w:r>
      <w:r w:rsidR="00010D62" w:rsidRPr="00010D62">
        <w:rPr>
          <w:lang w:eastAsia="en-GB"/>
        </w:rPr>
        <w:t xml:space="preserve"> highlight</w:t>
      </w:r>
      <w:r w:rsidR="00010D62">
        <w:rPr>
          <w:lang w:eastAsia="en-GB"/>
        </w:rPr>
        <w:t>s</w:t>
      </w:r>
      <w:r w:rsidR="00010D62" w:rsidRPr="00010D62">
        <w:rPr>
          <w:lang w:eastAsia="en-GB"/>
        </w:rPr>
        <w:t xml:space="preserve"> that </w:t>
      </w:r>
      <w:r w:rsidR="00010D62">
        <w:rPr>
          <w:lang w:eastAsia="en-GB"/>
        </w:rPr>
        <w:t xml:space="preserve">services that provide support after an abortion </w:t>
      </w:r>
      <w:r w:rsidR="00010D62" w:rsidRPr="00010D62">
        <w:rPr>
          <w:lang w:eastAsia="en-GB"/>
        </w:rPr>
        <w:t xml:space="preserve">should make reasonable adjustments to ensure the service can be accessed by </w:t>
      </w:r>
      <w:r w:rsidR="004679E3">
        <w:rPr>
          <w:lang w:eastAsia="en-GB"/>
        </w:rPr>
        <w:t>women</w:t>
      </w:r>
      <w:r w:rsidR="00010D62" w:rsidRPr="00010D62">
        <w:rPr>
          <w:lang w:eastAsia="en-GB"/>
        </w:rPr>
        <w:t xml:space="preserve"> in these groups and they should have access to an interpreter (including British Sign Language) or advocate if needed</w:t>
      </w:r>
      <w:r w:rsidR="00010D62">
        <w:rPr>
          <w:lang w:eastAsia="en-GB"/>
        </w:rPr>
        <w:t>.</w:t>
      </w:r>
    </w:p>
    <w:p w14:paraId="0A7901C3" w14:textId="202A3203" w:rsidR="009F20BD" w:rsidRDefault="00D353E8" w:rsidP="008C19C1">
      <w:pPr>
        <w:pStyle w:val="NICEnormal"/>
        <w:spacing w:line="276" w:lineRule="auto"/>
        <w:rPr>
          <w:lang w:eastAsia="en-GB"/>
        </w:rPr>
      </w:pPr>
      <w:r>
        <w:rPr>
          <w:lang w:eastAsia="en-GB"/>
        </w:rPr>
        <w:t xml:space="preserve">During development of the guideline it was highlighted that </w:t>
      </w:r>
      <w:r w:rsidRPr="00D353E8">
        <w:rPr>
          <w:lang w:eastAsia="en-GB"/>
        </w:rPr>
        <w:t xml:space="preserve">women living in remote areas, those </w:t>
      </w:r>
      <w:r w:rsidR="00632EB9">
        <w:rPr>
          <w:lang w:eastAsia="en-GB"/>
        </w:rPr>
        <w:t>experiencing</w:t>
      </w:r>
      <w:r w:rsidRPr="00D353E8">
        <w:rPr>
          <w:lang w:eastAsia="en-GB"/>
        </w:rPr>
        <w:t xml:space="preserve"> domestic violence, abuse or coercion from their partner or family and those experiencing cultural barriers to accessing abortion services</w:t>
      </w:r>
      <w:r>
        <w:rPr>
          <w:lang w:eastAsia="en-GB"/>
        </w:rPr>
        <w:t xml:space="preserve"> may find it difficult to attend multiple appointments</w:t>
      </w:r>
      <w:r w:rsidRPr="00D353E8">
        <w:rPr>
          <w:lang w:eastAsia="en-GB"/>
        </w:rPr>
        <w:t>.</w:t>
      </w:r>
      <w:r>
        <w:rPr>
          <w:lang w:eastAsia="en-GB"/>
        </w:rPr>
        <w:t xml:space="preserve"> Statement 1 therefore indicates that p</w:t>
      </w:r>
      <w:r w:rsidRPr="00D353E8">
        <w:rPr>
          <w:lang w:eastAsia="en-GB"/>
        </w:rPr>
        <w:t>roviding assessments by phone or video call can be particularly beneficial</w:t>
      </w:r>
      <w:r>
        <w:rPr>
          <w:lang w:eastAsia="en-GB"/>
        </w:rPr>
        <w:t xml:space="preserve"> for these groups.</w:t>
      </w:r>
      <w:r w:rsidR="00ED69ED">
        <w:rPr>
          <w:lang w:eastAsia="en-GB"/>
        </w:rPr>
        <w:t xml:space="preserve"> </w:t>
      </w:r>
      <w:r w:rsidR="006450E5">
        <w:rPr>
          <w:lang w:eastAsia="en-GB"/>
        </w:rPr>
        <w:t>It indicates that p</w:t>
      </w:r>
      <w:r w:rsidR="006450E5" w:rsidRPr="006450E5">
        <w:rPr>
          <w:lang w:eastAsia="en-GB"/>
        </w:rPr>
        <w:t xml:space="preserve">roviders should, however, ensure safeguarding procedures are in place for all women, including those accessing the service remotely. </w:t>
      </w:r>
      <w:r w:rsidR="00ED69ED">
        <w:rPr>
          <w:lang w:eastAsia="en-GB"/>
        </w:rPr>
        <w:t>It highlights that p</w:t>
      </w:r>
      <w:r w:rsidR="00ED69ED" w:rsidRPr="00ED69ED">
        <w:rPr>
          <w:lang w:eastAsia="en-GB"/>
        </w:rPr>
        <w:t>roviding a choice of assessment by phone, video call or face-to-face ensures that women can access abortion services in the way that best suits their personal circumstances.</w:t>
      </w:r>
    </w:p>
    <w:p w14:paraId="1E93324F" w14:textId="54D7D8F9" w:rsidR="00EE6BDA" w:rsidRDefault="00EE6BDA" w:rsidP="008C19C1">
      <w:pPr>
        <w:pStyle w:val="NICEnormal"/>
        <w:spacing w:line="276" w:lineRule="auto"/>
        <w:rPr>
          <w:lang w:eastAsia="en-GB"/>
        </w:rPr>
      </w:pPr>
      <w:r>
        <w:rPr>
          <w:lang w:eastAsia="en-GB"/>
        </w:rPr>
        <w:t>The committee highlighted that s</w:t>
      </w:r>
      <w:r w:rsidRPr="00EE6BDA">
        <w:rPr>
          <w:lang w:eastAsia="en-GB"/>
        </w:rPr>
        <w:t>ome women in vulnerable groups may find it difficult to attend an appointment for an abortion at short notice for a variety of reasons</w:t>
      </w:r>
      <w:r>
        <w:rPr>
          <w:lang w:eastAsia="en-GB"/>
        </w:rPr>
        <w:t xml:space="preserve">, including </w:t>
      </w:r>
      <w:r w:rsidRPr="00EE6BDA">
        <w:rPr>
          <w:lang w:eastAsia="en-GB"/>
        </w:rPr>
        <w:t>caring responsibilities, difficulty in making travel arrangements, financial difficulties, mental health problems, domestic violence and stigma</w:t>
      </w:r>
      <w:r>
        <w:rPr>
          <w:lang w:eastAsia="en-GB"/>
        </w:rPr>
        <w:t>. Statement 3 therefore indicates that s</w:t>
      </w:r>
      <w:r w:rsidRPr="00EE6BDA">
        <w:rPr>
          <w:lang w:eastAsia="en-GB"/>
        </w:rPr>
        <w:t>ervice providers should have a flexible and supportive approach that helps women to choose a convenient time to have the abortion.</w:t>
      </w:r>
    </w:p>
    <w:p w14:paraId="77ABAF08" w14:textId="27922D01" w:rsidR="003E7FF3" w:rsidRDefault="003E7FF3" w:rsidP="008C19C1">
      <w:pPr>
        <w:pStyle w:val="NICEnormal"/>
        <w:spacing w:line="276" w:lineRule="auto"/>
        <w:rPr>
          <w:lang w:eastAsia="en-GB"/>
        </w:rPr>
      </w:pPr>
      <w:r w:rsidRPr="139362C8">
        <w:rPr>
          <w:lang w:eastAsia="en-GB"/>
        </w:rPr>
        <w:t xml:space="preserve">In line with the guideline, statement 3 also highlights that healthcare commissioning groups should consider providing upfront funding for travel and accommodation for </w:t>
      </w:r>
      <w:r w:rsidRPr="139362C8">
        <w:rPr>
          <w:lang w:eastAsia="en-GB"/>
        </w:rPr>
        <w:lastRenderedPageBreak/>
        <w:t xml:space="preserve">women on a low income who are eligible for the NHS Healthcare Travel Costs Scheme </w:t>
      </w:r>
      <w:r w:rsidR="00F57042">
        <w:t xml:space="preserve"> </w:t>
      </w:r>
      <w:r w:rsidRPr="139362C8">
        <w:rPr>
          <w:lang w:eastAsia="en-GB"/>
        </w:rPr>
        <w:t>and/or need to travel to a service that is not available locally. Healthcare commissioning groups should make information available about how to access any upfront funding.</w:t>
      </w:r>
      <w:r w:rsidR="00413DD5">
        <w:rPr>
          <w:lang w:eastAsia="en-GB"/>
        </w:rPr>
        <w:t xml:space="preserve"> </w:t>
      </w:r>
      <w:r w:rsidR="00413DD5" w:rsidRPr="00413DD5">
        <w:rPr>
          <w:lang w:eastAsia="en-GB"/>
        </w:rPr>
        <w:t>The committee identified that women who self-refer to an abortion provider are being excluded from the NHS Healthcare Travel Costs Scheme or locally available upfront funding for travel and accommodation because they do not have a GP referral. Statement</w:t>
      </w:r>
      <w:r w:rsidR="00413DD5">
        <w:rPr>
          <w:lang w:eastAsia="en-GB"/>
        </w:rPr>
        <w:t>s</w:t>
      </w:r>
      <w:r w:rsidR="00413DD5" w:rsidRPr="00413DD5">
        <w:rPr>
          <w:lang w:eastAsia="en-GB"/>
        </w:rPr>
        <w:t xml:space="preserve"> 1 </w:t>
      </w:r>
      <w:r w:rsidR="00413DD5">
        <w:rPr>
          <w:lang w:eastAsia="en-GB"/>
        </w:rPr>
        <w:t xml:space="preserve">and 3 </w:t>
      </w:r>
      <w:r w:rsidR="00413DD5" w:rsidRPr="00413DD5">
        <w:rPr>
          <w:lang w:eastAsia="en-GB"/>
        </w:rPr>
        <w:t>therefore highlight that healthcare commissioning groups and providers should ensure that pregnant women who self-refer to an abortion provider and are eligible for the NHS Healthcare Travel Costs Scheme or upfront funding for travel and accommodation do not require a GP referral to access the funding.</w:t>
      </w:r>
    </w:p>
    <w:p w14:paraId="034A7B81" w14:textId="1EF8F0F8" w:rsidR="000701F8" w:rsidRDefault="000701F8" w:rsidP="008C19C1">
      <w:pPr>
        <w:pStyle w:val="NICEnormal"/>
        <w:spacing w:line="276" w:lineRule="auto"/>
        <w:rPr>
          <w:lang w:eastAsia="en-GB"/>
        </w:rPr>
      </w:pPr>
      <w:r>
        <w:rPr>
          <w:lang w:eastAsia="en-GB"/>
        </w:rPr>
        <w:t xml:space="preserve">Age, religion, and culture may affect which contraceptive methods are considered suitable. Statement </w:t>
      </w:r>
      <w:r w:rsidR="00EE6BDA">
        <w:rPr>
          <w:lang w:eastAsia="en-GB"/>
        </w:rPr>
        <w:t>4</w:t>
      </w:r>
      <w:r>
        <w:rPr>
          <w:lang w:eastAsia="en-GB"/>
        </w:rPr>
        <w:t xml:space="preserve"> therefore identifies that healthcare professionals should give information about all methods and allow the woman to choose the one that suits her best. </w:t>
      </w:r>
    </w:p>
    <w:p w14:paraId="21B02248" w14:textId="77777777" w:rsidR="00427A2B" w:rsidRDefault="00427A2B" w:rsidP="00427A2B">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4D82C6C7" w14:textId="6797D9AD" w:rsidR="00427A2B" w:rsidRPr="00EF758D" w:rsidRDefault="00427A2B" w:rsidP="008C19C1">
      <w:pPr>
        <w:pStyle w:val="NICEnormal"/>
        <w:spacing w:line="276" w:lineRule="auto"/>
      </w:pPr>
      <w:r w:rsidRPr="00CA3570">
        <w:t>No changes have been made to the scope of the quality standard at this stage.</w:t>
      </w:r>
    </w:p>
    <w:p w14:paraId="2D10933D" w14:textId="77777777" w:rsidR="00427A2B" w:rsidRDefault="00427A2B" w:rsidP="00427A2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438407DF" w14:textId="77777777" w:rsidR="0013707D" w:rsidRDefault="0013707D" w:rsidP="008C19C1">
      <w:pPr>
        <w:pStyle w:val="NICEnormal"/>
        <w:spacing w:line="276" w:lineRule="auto"/>
      </w:pPr>
      <w:r w:rsidRPr="0013707D">
        <w:t>The draft quality statements do not make it more difficult in practice for a specific group to access services compared with other groups.</w:t>
      </w:r>
    </w:p>
    <w:p w14:paraId="01B89DA2" w14:textId="3B2EDD57" w:rsidR="00427A2B" w:rsidRDefault="00427A2B" w:rsidP="0013707D">
      <w:pPr>
        <w:pStyle w:val="Heading3"/>
      </w:pPr>
      <w:r w:rsidRPr="002F6C0A">
        <w:t>2.4 Is there potential for the draft quality statements to have an adverse impact on people with disabilities because of something that is a consequence of the disability?</w:t>
      </w:r>
    </w:p>
    <w:p w14:paraId="0FEE1897" w14:textId="18133D8C" w:rsidR="0013707D" w:rsidRPr="0013707D" w:rsidRDefault="0013707D" w:rsidP="008C19C1">
      <w:pPr>
        <w:pStyle w:val="NICEnormal"/>
        <w:spacing w:line="276" w:lineRule="auto"/>
        <w:rPr>
          <w:lang w:eastAsia="en-GB"/>
        </w:rPr>
      </w:pPr>
      <w:r w:rsidRPr="0013707D">
        <w:rPr>
          <w:lang w:eastAsia="en-GB"/>
        </w:rPr>
        <w:t xml:space="preserve">The draft quality statements do not have an adverse impact on </w:t>
      </w:r>
      <w:r w:rsidR="004679E3">
        <w:rPr>
          <w:lang w:eastAsia="en-GB"/>
        </w:rPr>
        <w:t>women</w:t>
      </w:r>
      <w:r w:rsidRPr="0013707D">
        <w:rPr>
          <w:lang w:eastAsia="en-GB"/>
        </w:rPr>
        <w:t xml:space="preserve"> with disabilities</w:t>
      </w:r>
      <w:r>
        <w:rPr>
          <w:lang w:eastAsia="en-GB"/>
        </w:rPr>
        <w:t>.</w:t>
      </w:r>
    </w:p>
    <w:p w14:paraId="3C5B4C62" w14:textId="77777777" w:rsidR="00427A2B" w:rsidRPr="00EF758D" w:rsidRDefault="00427A2B" w:rsidP="00427A2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158E13FC" w14:textId="6609250B" w:rsidR="00427A2B" w:rsidRDefault="0013707D" w:rsidP="008C19C1">
      <w:pPr>
        <w:pStyle w:val="NICEnormal"/>
        <w:spacing w:line="276" w:lineRule="auto"/>
      </w:pPr>
      <w:r w:rsidRPr="0013707D">
        <w:t>There are no additional explanations that the committee could make at this stage.</w:t>
      </w:r>
    </w:p>
    <w:p w14:paraId="06A16FDC" w14:textId="46FC2C29" w:rsidR="00427A2B" w:rsidRPr="002F6C0A" w:rsidRDefault="00427A2B" w:rsidP="00427A2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13707D">
        <w:rPr>
          <w:rFonts w:cs="Arial"/>
        </w:rPr>
        <w:t>Melanie Carr</w:t>
      </w:r>
    </w:p>
    <w:p w14:paraId="7A4CFF12" w14:textId="5DFA4313" w:rsidR="00427A2B" w:rsidRPr="002F6C0A" w:rsidRDefault="00427A2B" w:rsidP="00427A2B">
      <w:pPr>
        <w:pStyle w:val="Paragraphnonumbers"/>
        <w:rPr>
          <w:rFonts w:cs="Arial"/>
        </w:rPr>
      </w:pPr>
      <w:r w:rsidRPr="002F6C0A">
        <w:rPr>
          <w:rFonts w:cs="Arial"/>
        </w:rPr>
        <w:t>Date</w:t>
      </w:r>
      <w:r>
        <w:rPr>
          <w:rFonts w:cs="Arial"/>
        </w:rPr>
        <w:t>:</w:t>
      </w:r>
      <w:r w:rsidR="00C276EE">
        <w:rPr>
          <w:rFonts w:cs="Arial"/>
        </w:rPr>
        <w:t>10</w:t>
      </w:r>
      <w:r w:rsidR="0013707D">
        <w:rPr>
          <w:rFonts w:cs="Arial"/>
        </w:rPr>
        <w:t>/01/2020</w:t>
      </w:r>
    </w:p>
    <w:p w14:paraId="76E23F8F" w14:textId="0A17A87C" w:rsidR="00427A2B" w:rsidRPr="002F6C0A" w:rsidRDefault="00427A2B" w:rsidP="00427A2B">
      <w:pPr>
        <w:pStyle w:val="Paragraphnonumbers"/>
        <w:rPr>
          <w:rFonts w:cs="Arial"/>
        </w:rPr>
      </w:pPr>
      <w:r w:rsidRPr="002F6C0A">
        <w:rPr>
          <w:rFonts w:cs="Arial"/>
        </w:rPr>
        <w:t>Approved by NICE quality assurance lead</w:t>
      </w:r>
      <w:r>
        <w:rPr>
          <w:rFonts w:cs="Arial"/>
        </w:rPr>
        <w:t>:</w:t>
      </w:r>
      <w:r w:rsidR="008B621C">
        <w:rPr>
          <w:rFonts w:cs="Arial"/>
        </w:rPr>
        <w:t xml:space="preserve"> Mark Minchin</w:t>
      </w:r>
    </w:p>
    <w:p w14:paraId="60AD520D" w14:textId="05D0014C" w:rsidR="00427A2B" w:rsidRPr="002F6C0A" w:rsidRDefault="00427A2B" w:rsidP="00427A2B">
      <w:pPr>
        <w:pStyle w:val="Paragraphnonumbers"/>
        <w:rPr>
          <w:rFonts w:cs="Arial"/>
        </w:rPr>
      </w:pPr>
      <w:r w:rsidRPr="002F6C0A">
        <w:rPr>
          <w:rFonts w:cs="Arial"/>
        </w:rPr>
        <w:t>Date</w:t>
      </w:r>
      <w:r>
        <w:rPr>
          <w:rFonts w:cs="Arial"/>
        </w:rPr>
        <w:t>:</w:t>
      </w:r>
      <w:r w:rsidR="008B621C">
        <w:rPr>
          <w:rFonts w:cs="Arial"/>
        </w:rPr>
        <w:t xml:space="preserve"> 17/08/2020</w:t>
      </w:r>
    </w:p>
    <w:p w14:paraId="7D2CB1BF" w14:textId="27E2707D" w:rsidR="00697B5E" w:rsidRDefault="00697B5E" w:rsidP="00697B5E">
      <w:pPr>
        <w:pStyle w:val="Heading3"/>
      </w:pPr>
      <w:r>
        <w:lastRenderedPageBreak/>
        <w:t>3. POST CONSULTATION STAGE</w:t>
      </w:r>
      <w:r w:rsidRPr="0078563E">
        <w:t xml:space="preserve"> </w:t>
      </w:r>
    </w:p>
    <w:p w14:paraId="36ABE16D" w14:textId="77777777" w:rsidR="00697B5E" w:rsidRDefault="00697B5E" w:rsidP="00697B5E">
      <w:pPr>
        <w:pStyle w:val="Heading3"/>
      </w:pPr>
      <w:r w:rsidRPr="002F6C0A">
        <w:t>3.1 Have any additional potential equality issues been raised during the consultation stage, and, if so, how has the committee addressed them?</w:t>
      </w:r>
    </w:p>
    <w:p w14:paraId="792FE876" w14:textId="41D01C12" w:rsidR="00697B5E" w:rsidRDefault="00E47D38" w:rsidP="00984CB0">
      <w:pPr>
        <w:pStyle w:val="NICEnormal"/>
        <w:spacing w:line="276" w:lineRule="auto"/>
        <w:rPr>
          <w:lang w:eastAsia="en-GB"/>
        </w:rPr>
      </w:pPr>
      <w:r w:rsidRPr="139362C8">
        <w:rPr>
          <w:lang w:eastAsia="en-GB"/>
        </w:rPr>
        <w:t>Stakeholders suggested that the quality standard should use the non-gendered term ‘people rather than ‘women’ to be inclusive</w:t>
      </w:r>
      <w:r w:rsidR="001623A8" w:rsidRPr="139362C8">
        <w:rPr>
          <w:lang w:eastAsia="en-GB"/>
        </w:rPr>
        <w:t xml:space="preserve">. </w:t>
      </w:r>
      <w:r w:rsidR="00760DEA">
        <w:rPr>
          <w:lang w:eastAsia="en-GB"/>
        </w:rPr>
        <w:t>F</w:t>
      </w:r>
      <w:r w:rsidR="007E7C9B" w:rsidRPr="139362C8">
        <w:rPr>
          <w:lang w:eastAsia="en-GB"/>
        </w:rPr>
        <w:t>or consistency with the NHS website</w:t>
      </w:r>
      <w:r w:rsidR="00595C59" w:rsidRPr="139362C8">
        <w:rPr>
          <w:lang w:eastAsia="en-GB"/>
        </w:rPr>
        <w:t>,</w:t>
      </w:r>
      <w:r w:rsidR="007E7C9B" w:rsidRPr="139362C8">
        <w:rPr>
          <w:lang w:eastAsia="en-GB"/>
        </w:rPr>
        <w:t xml:space="preserve"> </w:t>
      </w:r>
      <w:r w:rsidR="00760DEA">
        <w:rPr>
          <w:lang w:eastAsia="en-GB"/>
        </w:rPr>
        <w:t xml:space="preserve">NICE uses </w:t>
      </w:r>
      <w:r w:rsidR="00EA0A36" w:rsidRPr="139362C8">
        <w:rPr>
          <w:lang w:eastAsia="en-GB"/>
        </w:rPr>
        <w:t xml:space="preserve">the </w:t>
      </w:r>
      <w:r w:rsidR="007E7C9B" w:rsidRPr="139362C8">
        <w:rPr>
          <w:lang w:eastAsia="en-GB"/>
        </w:rPr>
        <w:t xml:space="preserve">term </w:t>
      </w:r>
      <w:r w:rsidR="001623A8" w:rsidRPr="139362C8">
        <w:rPr>
          <w:lang w:eastAsia="en-GB"/>
        </w:rPr>
        <w:t xml:space="preserve">‘women’ </w:t>
      </w:r>
      <w:r w:rsidR="00294192" w:rsidRPr="139362C8">
        <w:rPr>
          <w:lang w:eastAsia="en-GB"/>
        </w:rPr>
        <w:t>in relation to pregnancy</w:t>
      </w:r>
      <w:r w:rsidR="00595C59" w:rsidRPr="139362C8">
        <w:rPr>
          <w:lang w:eastAsia="en-GB"/>
        </w:rPr>
        <w:t xml:space="preserve">. </w:t>
      </w:r>
      <w:r w:rsidR="00760DEA">
        <w:rPr>
          <w:lang w:eastAsia="en-GB"/>
        </w:rPr>
        <w:t>T</w:t>
      </w:r>
      <w:r w:rsidR="00595C59" w:rsidRPr="139362C8">
        <w:rPr>
          <w:lang w:eastAsia="en-GB"/>
        </w:rPr>
        <w:t>he committee</w:t>
      </w:r>
      <w:r w:rsidR="00760DEA">
        <w:rPr>
          <w:lang w:eastAsia="en-GB"/>
        </w:rPr>
        <w:t xml:space="preserve"> agreed with this approach and noted the information at the beginning of the quality standard which confirms that</w:t>
      </w:r>
      <w:r w:rsidR="00760DEA" w:rsidRPr="00760DEA">
        <w:t xml:space="preserve"> </w:t>
      </w:r>
      <w:r w:rsidR="00760DEA">
        <w:t>‘f</w:t>
      </w:r>
      <w:r w:rsidR="00760DEA" w:rsidRPr="00760DEA">
        <w:rPr>
          <w:lang w:eastAsia="en-GB"/>
        </w:rPr>
        <w:t>or simplicity of language the quality standard uses the term women throughout, but this should be taken to also include people who do not identify as women but who are pregnant</w:t>
      </w:r>
      <w:r w:rsidR="00760DEA">
        <w:rPr>
          <w:lang w:eastAsia="en-GB"/>
        </w:rPr>
        <w:t>.’</w:t>
      </w:r>
    </w:p>
    <w:p w14:paraId="48F90372" w14:textId="1B36696F" w:rsidR="00984CB0" w:rsidRDefault="00984CB0" w:rsidP="008C19C1">
      <w:pPr>
        <w:pStyle w:val="NICEnormal"/>
        <w:spacing w:line="276" w:lineRule="auto"/>
        <w:rPr>
          <w:lang w:eastAsia="en-GB"/>
        </w:rPr>
      </w:pPr>
      <w:r>
        <w:rPr>
          <w:lang w:eastAsia="en-GB"/>
        </w:rPr>
        <w:t xml:space="preserve">Stakeholders raised a concern that women </w:t>
      </w:r>
      <w:r w:rsidR="008C19C1">
        <w:rPr>
          <w:lang w:eastAsia="en-GB"/>
        </w:rPr>
        <w:t>who self-refer to abortion services are being excluded from the NHS Healthcare Travel Costs Scheme as they do not have a GP referral. The committee agreed to add a</w:t>
      </w:r>
      <w:r w:rsidR="00FB4084">
        <w:rPr>
          <w:lang w:eastAsia="en-GB"/>
        </w:rPr>
        <w:t xml:space="preserve"> consideration for statement 1 to confirm that h</w:t>
      </w:r>
      <w:r w:rsidR="00FB4084" w:rsidRPr="00FB4084">
        <w:rPr>
          <w:lang w:eastAsia="en-GB"/>
        </w:rPr>
        <w:t>ealthcare commissioning groups and providers should ensure that pregnant women who are eligible for the NHS Healthcare Travel Costs Scheme or upfront funding for travel and accommodation are not excluded if they choose to self-refer to an abortion provider.</w:t>
      </w:r>
    </w:p>
    <w:p w14:paraId="117782D2" w14:textId="5564C027" w:rsidR="00E25CD5" w:rsidRDefault="00E25CD5" w:rsidP="008C19C1">
      <w:pPr>
        <w:pStyle w:val="NICEnormal"/>
        <w:spacing w:line="276" w:lineRule="auto"/>
        <w:rPr>
          <w:lang w:eastAsia="en-GB"/>
        </w:rPr>
      </w:pPr>
      <w:r>
        <w:rPr>
          <w:lang w:eastAsia="en-GB"/>
        </w:rPr>
        <w:t xml:space="preserve">Stakeholders highlighted that abortion providers should </w:t>
      </w:r>
      <w:r w:rsidR="00EA0A36">
        <w:rPr>
          <w:lang w:eastAsia="en-GB"/>
        </w:rPr>
        <w:t>have</w:t>
      </w:r>
      <w:r>
        <w:rPr>
          <w:lang w:eastAsia="en-GB"/>
        </w:rPr>
        <w:t xml:space="preserve"> safeguarding procedures </w:t>
      </w:r>
      <w:r w:rsidR="00595C59">
        <w:rPr>
          <w:lang w:eastAsia="en-GB"/>
        </w:rPr>
        <w:t xml:space="preserve">for </w:t>
      </w:r>
      <w:r>
        <w:rPr>
          <w:lang w:eastAsia="en-GB"/>
        </w:rPr>
        <w:t xml:space="preserve">women accessing services remotely to prevent coercion. This should include the option to have a face to face assessment </w:t>
      </w:r>
      <w:r w:rsidR="00595C59">
        <w:rPr>
          <w:lang w:eastAsia="en-GB"/>
        </w:rPr>
        <w:t>i</w:t>
      </w:r>
      <w:r>
        <w:rPr>
          <w:lang w:eastAsia="en-GB"/>
        </w:rPr>
        <w:t xml:space="preserve">f needed. The committee agreed to add to the consideration </w:t>
      </w:r>
      <w:r w:rsidR="00595C59">
        <w:rPr>
          <w:lang w:eastAsia="en-GB"/>
        </w:rPr>
        <w:t xml:space="preserve">for </w:t>
      </w:r>
      <w:r>
        <w:rPr>
          <w:lang w:eastAsia="en-GB"/>
        </w:rPr>
        <w:t>statement 1 to confirm that p</w:t>
      </w:r>
      <w:r w:rsidRPr="00E25CD5">
        <w:rPr>
          <w:lang w:eastAsia="en-GB"/>
        </w:rPr>
        <w:t>roviders should ensure safeguarding procedures are in place for women accessing the service remotely</w:t>
      </w:r>
      <w:r>
        <w:rPr>
          <w:lang w:eastAsia="en-GB"/>
        </w:rPr>
        <w:t>.</w:t>
      </w:r>
    </w:p>
    <w:p w14:paraId="152C8318" w14:textId="13164ACD" w:rsidR="00C1320E" w:rsidRPr="009C4B6B" w:rsidRDefault="00C1320E" w:rsidP="008C19C1">
      <w:pPr>
        <w:pStyle w:val="NICEnormal"/>
        <w:spacing w:line="276" w:lineRule="auto"/>
        <w:rPr>
          <w:lang w:eastAsia="en-GB"/>
        </w:rPr>
      </w:pPr>
      <w:r>
        <w:rPr>
          <w:lang w:eastAsia="en-GB"/>
        </w:rPr>
        <w:t xml:space="preserve">The committee highlighted that some women may feel that it is not safe to have home expulsion following an early medical abortion. It </w:t>
      </w:r>
      <w:r w:rsidR="00016242">
        <w:rPr>
          <w:lang w:eastAsia="en-GB"/>
        </w:rPr>
        <w:t xml:space="preserve">was </w:t>
      </w:r>
      <w:r>
        <w:rPr>
          <w:lang w:eastAsia="en-GB"/>
        </w:rPr>
        <w:t xml:space="preserve">agreed </w:t>
      </w:r>
      <w:r w:rsidR="00016242">
        <w:rPr>
          <w:lang w:eastAsia="en-GB"/>
        </w:rPr>
        <w:t xml:space="preserve">that this is covered in </w:t>
      </w:r>
      <w:r>
        <w:rPr>
          <w:lang w:eastAsia="en-GB"/>
        </w:rPr>
        <w:t xml:space="preserve">the descriptor for healthcare professionals in statement 4 </w:t>
      </w:r>
      <w:r w:rsidR="00016242">
        <w:rPr>
          <w:lang w:eastAsia="en-GB"/>
        </w:rPr>
        <w:t xml:space="preserve">which confirms that they should </w:t>
      </w:r>
      <w:r w:rsidR="00016242" w:rsidRPr="00016242">
        <w:rPr>
          <w:lang w:eastAsia="en-GB"/>
        </w:rPr>
        <w:t xml:space="preserve">give </w:t>
      </w:r>
      <w:r w:rsidR="00016242">
        <w:rPr>
          <w:lang w:eastAsia="en-GB"/>
        </w:rPr>
        <w:t xml:space="preserve">women </w:t>
      </w:r>
      <w:r w:rsidR="00016242" w:rsidRPr="00016242">
        <w:rPr>
          <w:lang w:eastAsia="en-GB"/>
        </w:rPr>
        <w:t>information about the options available to help them make decisions about their care</w:t>
      </w:r>
      <w:r w:rsidR="00016242">
        <w:rPr>
          <w:lang w:eastAsia="en-GB"/>
        </w:rPr>
        <w:t>.</w:t>
      </w:r>
    </w:p>
    <w:p w14:paraId="3DF5F845" w14:textId="77777777" w:rsidR="00697B5E" w:rsidRDefault="00697B5E" w:rsidP="00697B5E">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0423D38" w14:textId="67BE999F" w:rsidR="00697B5E" w:rsidRPr="00EF758D" w:rsidRDefault="00962FE8" w:rsidP="00697B5E">
      <w:pPr>
        <w:pStyle w:val="Paragraphnonumbers"/>
      </w:pPr>
      <w:r>
        <w:t xml:space="preserve">Statement 5 (statement 4 at consultation) is now focussed on </w:t>
      </w:r>
      <w:r w:rsidR="00904FFD">
        <w:t xml:space="preserve">improving access for </w:t>
      </w:r>
      <w:r>
        <w:t xml:space="preserve">women having an abortion who want contraception. </w:t>
      </w:r>
      <w:r w:rsidRPr="00962FE8">
        <w:t xml:space="preserve">Only minor changes have been made to the </w:t>
      </w:r>
      <w:r>
        <w:t xml:space="preserve">other </w:t>
      </w:r>
      <w:r w:rsidRPr="00962FE8">
        <w:t xml:space="preserve">statements </w:t>
      </w:r>
      <w:r>
        <w:t>after consultation</w:t>
      </w:r>
      <w:r w:rsidR="00E36C61">
        <w:t>. None of the statements</w:t>
      </w:r>
      <w:r w:rsidRPr="00962FE8">
        <w:t xml:space="preserve"> make it more difficult for specific groups to access services.</w:t>
      </w:r>
    </w:p>
    <w:p w14:paraId="28335221" w14:textId="77777777" w:rsidR="00697B5E" w:rsidRDefault="00697B5E" w:rsidP="00697B5E">
      <w:pPr>
        <w:pStyle w:val="Heading3"/>
      </w:pPr>
      <w:r w:rsidRPr="002F6C0A">
        <w:lastRenderedPageBreak/>
        <w:t>3.3 If the quality statements have changed after consultation, is there potential for the recommendations to have an adverse impact on people with disabilities because of something that is a consequence of the disability?</w:t>
      </w:r>
    </w:p>
    <w:p w14:paraId="53E28C16" w14:textId="18265D95" w:rsidR="00697B5E" w:rsidRDefault="00962FE8" w:rsidP="00697B5E">
      <w:pPr>
        <w:pStyle w:val="Paragraphnonumbers"/>
        <w:rPr>
          <w:rFonts w:cs="Arial"/>
        </w:rPr>
      </w:pPr>
      <w:r w:rsidRPr="00962FE8">
        <w:rPr>
          <w:rFonts w:cs="Arial"/>
        </w:rPr>
        <w:t>The statements do not have an adverse impact on people with disabilities.</w:t>
      </w:r>
    </w:p>
    <w:p w14:paraId="35250880" w14:textId="77777777" w:rsidR="00697B5E" w:rsidRDefault="00697B5E" w:rsidP="00697B5E">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68C3EE8A" w14:textId="4071B887" w:rsidR="00697B5E" w:rsidRDefault="00962FE8" w:rsidP="00697B5E">
      <w:pPr>
        <w:pStyle w:val="Paragraphnonumbers"/>
      </w:pPr>
      <w:r w:rsidRPr="00962FE8">
        <w:t>The committee has not identified any additional explanations that could advance equality.</w:t>
      </w:r>
    </w:p>
    <w:p w14:paraId="3FA30E62" w14:textId="77777777" w:rsidR="00697B5E" w:rsidRPr="00CB65F0" w:rsidRDefault="00697B5E" w:rsidP="00697B5E">
      <w:pPr>
        <w:pStyle w:val="Paragraphnonumbers"/>
      </w:pPr>
    </w:p>
    <w:p w14:paraId="6D6B8ECE" w14:textId="7EDA397B" w:rsidR="00697B5E" w:rsidRPr="002F6C0A" w:rsidRDefault="00697B5E" w:rsidP="00697B5E">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962FE8">
        <w:rPr>
          <w:rFonts w:cs="Arial"/>
        </w:rPr>
        <w:t>Melanie Carr</w:t>
      </w:r>
    </w:p>
    <w:p w14:paraId="5252606F" w14:textId="1152BF24" w:rsidR="00697B5E" w:rsidRPr="002F6C0A" w:rsidRDefault="00697B5E" w:rsidP="00697B5E">
      <w:pPr>
        <w:pStyle w:val="Paragraphnonumbers"/>
        <w:rPr>
          <w:rFonts w:cs="Arial"/>
        </w:rPr>
      </w:pPr>
      <w:r w:rsidRPr="002F6C0A">
        <w:rPr>
          <w:rFonts w:cs="Arial"/>
        </w:rPr>
        <w:t>Date</w:t>
      </w:r>
      <w:r>
        <w:rPr>
          <w:rFonts w:cs="Arial"/>
        </w:rPr>
        <w:t>:</w:t>
      </w:r>
      <w:r w:rsidR="00962FE8">
        <w:rPr>
          <w:rFonts w:cs="Arial"/>
        </w:rPr>
        <w:t xml:space="preserve"> 26/10/2020</w:t>
      </w:r>
    </w:p>
    <w:p w14:paraId="3D4A55DF" w14:textId="277E23D8" w:rsidR="00697B5E" w:rsidRPr="002F6C0A" w:rsidRDefault="00697B5E" w:rsidP="00697B5E">
      <w:pPr>
        <w:pStyle w:val="Paragraphnonumbers"/>
        <w:rPr>
          <w:rFonts w:cs="Arial"/>
        </w:rPr>
      </w:pPr>
      <w:r w:rsidRPr="002F6C0A">
        <w:rPr>
          <w:rFonts w:cs="Arial"/>
        </w:rPr>
        <w:t>Approved by NICE quality assurance lead</w:t>
      </w:r>
      <w:r>
        <w:rPr>
          <w:rFonts w:cs="Arial"/>
        </w:rPr>
        <w:t>:</w:t>
      </w:r>
      <w:r w:rsidR="00760DEA">
        <w:rPr>
          <w:rFonts w:cs="Arial"/>
        </w:rPr>
        <w:t xml:space="preserve"> Mark Minchin</w:t>
      </w:r>
    </w:p>
    <w:p w14:paraId="67CD13CA" w14:textId="50290206" w:rsidR="00CD7133" w:rsidRDefault="00697B5E" w:rsidP="00697B5E">
      <w:pPr>
        <w:pStyle w:val="Paragraphnonumbers"/>
        <w:rPr>
          <w:rFonts w:cs="Arial"/>
        </w:rPr>
      </w:pPr>
      <w:r w:rsidRPr="002F6C0A">
        <w:rPr>
          <w:rFonts w:cs="Arial"/>
        </w:rPr>
        <w:t>Date</w:t>
      </w:r>
      <w:r>
        <w:rPr>
          <w:rFonts w:cs="Arial"/>
        </w:rPr>
        <w:t>:</w:t>
      </w:r>
      <w:r w:rsidR="00760DEA">
        <w:rPr>
          <w:rFonts w:cs="Arial"/>
        </w:rPr>
        <w:t>1/12/20</w:t>
      </w:r>
    </w:p>
    <w:p w14:paraId="503F72E6" w14:textId="77777777" w:rsidR="00CD7133" w:rsidRDefault="00CD7133">
      <w:pPr>
        <w:rPr>
          <w:rFonts w:ascii="Arial" w:hAnsi="Arial" w:cs="Arial"/>
        </w:rPr>
      </w:pPr>
      <w:r>
        <w:rPr>
          <w:rFonts w:cs="Arial"/>
        </w:rPr>
        <w:br w:type="page"/>
      </w:r>
    </w:p>
    <w:p w14:paraId="7FD76BFC" w14:textId="37561DF4" w:rsidR="00CD7133" w:rsidRDefault="00CD7133" w:rsidP="00CD7133">
      <w:pPr>
        <w:pStyle w:val="Heading3"/>
      </w:pPr>
      <w:r>
        <w:lastRenderedPageBreak/>
        <w:t xml:space="preserve">4. After NICE Guidance Executive amendments – if applicable </w:t>
      </w:r>
    </w:p>
    <w:p w14:paraId="06569D5C" w14:textId="77777777" w:rsidR="00CD7133" w:rsidRDefault="00CD7133" w:rsidP="00CD7133">
      <w:pPr>
        <w:pStyle w:val="Heading3"/>
      </w:pPr>
      <w:r>
        <w:t xml:space="preserve"> 4.1 Outline amendments agreed by Guidance Executive below, if applicable:</w:t>
      </w:r>
    </w:p>
    <w:p w14:paraId="43DF7ACF" w14:textId="57C85950" w:rsidR="00CD7133" w:rsidRPr="00CD7133" w:rsidRDefault="00CD7133" w:rsidP="00CD7133">
      <w:pPr>
        <w:pStyle w:val="Paragraphnonumbers"/>
      </w:pPr>
      <w:r w:rsidRPr="00CD7133">
        <w:t>No re</w:t>
      </w:r>
      <w:r>
        <w:t>levant amendments were made by Guidance Executive.</w:t>
      </w:r>
    </w:p>
    <w:p w14:paraId="6F772D5D" w14:textId="495EEF47" w:rsidR="00CD7133" w:rsidRPr="00CD7133" w:rsidRDefault="00CD7133" w:rsidP="00CD7133">
      <w:pPr>
        <w:pStyle w:val="Paragraphnonumbers"/>
      </w:pPr>
      <w:r w:rsidRPr="00CD7133">
        <w:t xml:space="preserve">Completed by lead technical analyst: </w:t>
      </w:r>
      <w:r>
        <w:t>Melanie Carr</w:t>
      </w:r>
    </w:p>
    <w:p w14:paraId="4A1444A4" w14:textId="5EF8E768" w:rsidR="00CD7133" w:rsidRPr="00CD7133" w:rsidRDefault="00CD7133" w:rsidP="00CD7133">
      <w:pPr>
        <w:pStyle w:val="Paragraphnonumbers"/>
      </w:pPr>
      <w:r w:rsidRPr="00CD7133">
        <w:t>Date:</w:t>
      </w:r>
      <w:r>
        <w:t xml:space="preserve"> 17/12/20</w:t>
      </w:r>
    </w:p>
    <w:p w14:paraId="069A2B29" w14:textId="00F4732C" w:rsidR="00CD7133" w:rsidRPr="00CD7133" w:rsidRDefault="00CD7133" w:rsidP="00CD7133">
      <w:pPr>
        <w:pStyle w:val="Paragraphnonumbers"/>
      </w:pPr>
      <w:r w:rsidRPr="00CD7133">
        <w:t>Approved by NICE quality assurance lead:</w:t>
      </w:r>
      <w:r>
        <w:t xml:space="preserve"> Mark Minchin</w:t>
      </w:r>
    </w:p>
    <w:p w14:paraId="7E66F96D" w14:textId="63070FD1" w:rsidR="00BE0234" w:rsidRPr="00CD7133" w:rsidRDefault="00CD7133" w:rsidP="00CD7133">
      <w:pPr>
        <w:pStyle w:val="Paragraphnonumbers"/>
      </w:pPr>
      <w:r w:rsidRPr="00CD7133">
        <w:t>Date:</w:t>
      </w:r>
      <w:r>
        <w:t xml:space="preserve"> 18/12/20</w:t>
      </w:r>
    </w:p>
    <w:p w14:paraId="138BC270" w14:textId="73AF03CC" w:rsidR="00CD7133" w:rsidRDefault="00CD7133" w:rsidP="00CD7133">
      <w:pPr>
        <w:pStyle w:val="NICEnormal"/>
        <w:rPr>
          <w:lang w:eastAsia="en-GB"/>
        </w:rPr>
      </w:pPr>
    </w:p>
    <w:p w14:paraId="0721A96E" w14:textId="1618624C" w:rsidR="00D62836" w:rsidRPr="005860F4" w:rsidRDefault="009B2C74" w:rsidP="00126D3A">
      <w:pPr>
        <w:pStyle w:val="Paragraphnonumbers"/>
      </w:pPr>
      <w:r w:rsidRPr="002F6C0A">
        <w:rPr>
          <w:rStyle w:val="NICEnormalChar"/>
          <w:rFonts w:cs="Arial"/>
        </w:rPr>
        <w:t xml:space="preserve">© NICE </w:t>
      </w:r>
      <w:r w:rsidR="00600E11">
        <w:rPr>
          <w:rStyle w:val="NICEnormalChar"/>
          <w:rFonts w:cs="Arial"/>
        </w:rPr>
        <w:t>20</w:t>
      </w:r>
      <w:r w:rsidR="00427A2B">
        <w:rPr>
          <w:rStyle w:val="NICEnormalChar"/>
          <w:rFonts w:cs="Arial"/>
        </w:rPr>
        <w:t>2</w:t>
      </w:r>
      <w:r w:rsidR="000F4420">
        <w:rPr>
          <w:rStyle w:val="NICEnormalChar"/>
          <w:rFonts w:cs="Arial"/>
        </w:rPr>
        <w:t>1</w:t>
      </w:r>
      <w:r w:rsidR="00600E11">
        <w:rPr>
          <w:rStyle w:val="NICEnormalChar"/>
          <w:rFonts w:cs="Arial"/>
        </w:rPr>
        <w:t>.</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p>
    <w:sectPr w:rsidR="00D62836" w:rsidRPr="005860F4" w:rsidSect="00126D3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01998" w:rsidRDefault="00BE0234">
    <w:pPr>
      <w:pStyle w:val="Header"/>
      <w:rPr>
        <w:rFonts w:ascii="Calibri" w:hAnsi="Calibri"/>
        <w:b/>
        <w:sz w:val="32"/>
        <w:szCs w:val="32"/>
      </w:rPr>
    </w:pPr>
    <w:r w:rsidRPr="00901998">
      <w:rPr>
        <w:rFonts w:ascii="Calibri" w:hAnsi="Calibri"/>
        <w:b/>
        <w:sz w:val="32"/>
        <w:szCs w:val="32"/>
      </w:rPr>
      <w:t>1</w:t>
    </w:r>
    <w:r>
      <w:rPr>
        <w:rFonts w:ascii="Calibri" w:hAnsi="Calibri"/>
        <w:b/>
        <w:sz w:val="32"/>
        <w:szCs w:val="32"/>
      </w:rPr>
      <w:t>.0.7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hybridMultilevel"/>
    <w:tmpl w:val="721069A2"/>
    <w:lvl w:ilvl="0" w:tplc="49B8A84E">
      <w:start w:val="1"/>
      <w:numFmt w:val="decimal"/>
      <w:pStyle w:val="Numberedheading1"/>
      <w:lvlText w:val="%1"/>
      <w:lvlJc w:val="left"/>
      <w:pPr>
        <w:tabs>
          <w:tab w:val="num" w:pos="1134"/>
        </w:tabs>
        <w:ind w:left="1134" w:hanging="1134"/>
      </w:pPr>
      <w:rPr>
        <w:rFonts w:hint="default"/>
      </w:rPr>
    </w:lvl>
    <w:lvl w:ilvl="1" w:tplc="6660E492">
      <w:start w:val="1"/>
      <w:numFmt w:val="decimal"/>
      <w:pStyle w:val="Numberedheading2"/>
      <w:lvlText w:val="%1.%2"/>
      <w:lvlJc w:val="left"/>
      <w:pPr>
        <w:tabs>
          <w:tab w:val="num" w:pos="1134"/>
        </w:tabs>
        <w:ind w:left="1134" w:hanging="1134"/>
      </w:pPr>
      <w:rPr>
        <w:rFonts w:hint="default"/>
      </w:rPr>
    </w:lvl>
    <w:lvl w:ilvl="2" w:tplc="413AA518">
      <w:start w:val="1"/>
      <w:numFmt w:val="decimal"/>
      <w:pStyle w:val="Numberedlevel3text"/>
      <w:lvlText w:val="%1.%2.%3"/>
      <w:lvlJc w:val="left"/>
      <w:pPr>
        <w:tabs>
          <w:tab w:val="num" w:pos="1134"/>
        </w:tabs>
        <w:ind w:left="1134" w:hanging="1134"/>
      </w:pPr>
      <w:rPr>
        <w:rFonts w:hint="default"/>
      </w:rPr>
    </w:lvl>
    <w:lvl w:ilvl="3" w:tplc="2020F646">
      <w:start w:val="1"/>
      <w:numFmt w:val="decimal"/>
      <w:pStyle w:val="Numberedlevel4text"/>
      <w:lvlText w:val="%1.%2.%3.%4"/>
      <w:lvlJc w:val="left"/>
      <w:pPr>
        <w:tabs>
          <w:tab w:val="num" w:pos="1134"/>
        </w:tabs>
        <w:ind w:left="1134" w:hanging="1134"/>
      </w:pPr>
      <w:rPr>
        <w:rFonts w:hint="default"/>
      </w:rPr>
    </w:lvl>
    <w:lvl w:ilvl="4" w:tplc="5D9A5A6A">
      <w:start w:val="1"/>
      <w:numFmt w:val="decimal"/>
      <w:lvlText w:val="%1.%2.%3.%4.%5."/>
      <w:lvlJc w:val="left"/>
      <w:pPr>
        <w:tabs>
          <w:tab w:val="num" w:pos="4320"/>
        </w:tabs>
        <w:ind w:left="2232" w:hanging="792"/>
      </w:pPr>
      <w:rPr>
        <w:rFonts w:hint="default"/>
      </w:rPr>
    </w:lvl>
    <w:lvl w:ilvl="5" w:tplc="E6AE4B78">
      <w:start w:val="1"/>
      <w:numFmt w:val="decimal"/>
      <w:lvlText w:val="%1.%2.%3.%4.%5.%6."/>
      <w:lvlJc w:val="left"/>
      <w:pPr>
        <w:tabs>
          <w:tab w:val="num" w:pos="5400"/>
        </w:tabs>
        <w:ind w:left="2736" w:hanging="936"/>
      </w:pPr>
      <w:rPr>
        <w:rFonts w:hint="default"/>
      </w:rPr>
    </w:lvl>
    <w:lvl w:ilvl="6" w:tplc="A08A390C">
      <w:start w:val="1"/>
      <w:numFmt w:val="decimal"/>
      <w:lvlText w:val="%1.%2.%3.%4.%5.%6.%7."/>
      <w:lvlJc w:val="left"/>
      <w:pPr>
        <w:tabs>
          <w:tab w:val="num" w:pos="6480"/>
        </w:tabs>
        <w:ind w:left="3240" w:hanging="1080"/>
      </w:pPr>
      <w:rPr>
        <w:rFonts w:hint="default"/>
      </w:rPr>
    </w:lvl>
    <w:lvl w:ilvl="7" w:tplc="11F2B832">
      <w:start w:val="1"/>
      <w:numFmt w:val="decimal"/>
      <w:lvlText w:val="%1.%2.%3.%4.%5.%6.%7.%8."/>
      <w:lvlJc w:val="left"/>
      <w:pPr>
        <w:tabs>
          <w:tab w:val="num" w:pos="7200"/>
        </w:tabs>
        <w:ind w:left="3744" w:hanging="1224"/>
      </w:pPr>
      <w:rPr>
        <w:rFonts w:hint="default"/>
      </w:rPr>
    </w:lvl>
    <w:lvl w:ilvl="8" w:tplc="EC0C145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hybridMultilevel"/>
    <w:tmpl w:val="DEA4C7F0"/>
    <w:lvl w:ilvl="0" w:tplc="16288534">
      <w:start w:val="2"/>
      <w:numFmt w:val="decimal"/>
      <w:lvlText w:val="%1"/>
      <w:lvlJc w:val="left"/>
      <w:pPr>
        <w:ind w:left="360" w:hanging="360"/>
      </w:pPr>
      <w:rPr>
        <w:rFonts w:hint="default"/>
      </w:rPr>
    </w:lvl>
    <w:lvl w:ilvl="1" w:tplc="B3B0D63C">
      <w:start w:val="2"/>
      <w:numFmt w:val="decimal"/>
      <w:lvlText w:val="%1.%2"/>
      <w:lvlJc w:val="left"/>
      <w:pPr>
        <w:ind w:left="360" w:hanging="360"/>
      </w:pPr>
      <w:rPr>
        <w:rFonts w:hint="default"/>
      </w:rPr>
    </w:lvl>
    <w:lvl w:ilvl="2" w:tplc="522829A6">
      <w:start w:val="1"/>
      <w:numFmt w:val="decimal"/>
      <w:lvlText w:val="%1.%2.%3"/>
      <w:lvlJc w:val="left"/>
      <w:pPr>
        <w:ind w:left="720" w:hanging="720"/>
      </w:pPr>
      <w:rPr>
        <w:rFonts w:hint="default"/>
      </w:rPr>
    </w:lvl>
    <w:lvl w:ilvl="3" w:tplc="4100F6EE">
      <w:start w:val="1"/>
      <w:numFmt w:val="decimal"/>
      <w:lvlText w:val="%1.%2.%3.%4"/>
      <w:lvlJc w:val="left"/>
      <w:pPr>
        <w:ind w:left="1080" w:hanging="1080"/>
      </w:pPr>
      <w:rPr>
        <w:rFonts w:hint="default"/>
      </w:rPr>
    </w:lvl>
    <w:lvl w:ilvl="4" w:tplc="8C785640">
      <w:start w:val="1"/>
      <w:numFmt w:val="decimal"/>
      <w:lvlText w:val="%1.%2.%3.%4.%5"/>
      <w:lvlJc w:val="left"/>
      <w:pPr>
        <w:ind w:left="1080" w:hanging="1080"/>
      </w:pPr>
      <w:rPr>
        <w:rFonts w:hint="default"/>
      </w:rPr>
    </w:lvl>
    <w:lvl w:ilvl="5" w:tplc="304060F8">
      <w:start w:val="1"/>
      <w:numFmt w:val="decimal"/>
      <w:lvlText w:val="%1.%2.%3.%4.%5.%6"/>
      <w:lvlJc w:val="left"/>
      <w:pPr>
        <w:ind w:left="1440" w:hanging="1440"/>
      </w:pPr>
      <w:rPr>
        <w:rFonts w:hint="default"/>
      </w:rPr>
    </w:lvl>
    <w:lvl w:ilvl="6" w:tplc="6B365968">
      <w:start w:val="1"/>
      <w:numFmt w:val="decimal"/>
      <w:lvlText w:val="%1.%2.%3.%4.%5.%6.%7"/>
      <w:lvlJc w:val="left"/>
      <w:pPr>
        <w:ind w:left="1440" w:hanging="1440"/>
      </w:pPr>
      <w:rPr>
        <w:rFonts w:hint="default"/>
      </w:rPr>
    </w:lvl>
    <w:lvl w:ilvl="7" w:tplc="52ECC118">
      <w:start w:val="1"/>
      <w:numFmt w:val="decimal"/>
      <w:lvlText w:val="%1.%2.%3.%4.%5.%6.%7.%8"/>
      <w:lvlJc w:val="left"/>
      <w:pPr>
        <w:ind w:left="1800" w:hanging="1800"/>
      </w:pPr>
      <w:rPr>
        <w:rFonts w:hint="default"/>
      </w:rPr>
    </w:lvl>
    <w:lvl w:ilvl="8" w:tplc="5F465C84">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hybridMultilevel"/>
    <w:tmpl w:val="0809001D"/>
    <w:name w:val="numberedheadings2"/>
    <w:lvl w:ilvl="0" w:tplc="113EB3EA">
      <w:start w:val="1"/>
      <w:numFmt w:val="decimal"/>
      <w:lvlText w:val="%1)"/>
      <w:lvlJc w:val="left"/>
      <w:pPr>
        <w:tabs>
          <w:tab w:val="num" w:pos="360"/>
        </w:tabs>
        <w:ind w:left="360" w:hanging="360"/>
      </w:pPr>
    </w:lvl>
    <w:lvl w:ilvl="1" w:tplc="CD8E3590">
      <w:start w:val="1"/>
      <w:numFmt w:val="lowerLetter"/>
      <w:lvlText w:val="%2)"/>
      <w:lvlJc w:val="left"/>
      <w:pPr>
        <w:tabs>
          <w:tab w:val="num" w:pos="720"/>
        </w:tabs>
        <w:ind w:left="720" w:hanging="360"/>
      </w:pPr>
    </w:lvl>
    <w:lvl w:ilvl="2" w:tplc="648A8898">
      <w:start w:val="1"/>
      <w:numFmt w:val="lowerRoman"/>
      <w:lvlText w:val="%3)"/>
      <w:lvlJc w:val="left"/>
      <w:pPr>
        <w:tabs>
          <w:tab w:val="num" w:pos="1080"/>
        </w:tabs>
        <w:ind w:left="1080" w:hanging="360"/>
      </w:pPr>
    </w:lvl>
    <w:lvl w:ilvl="3" w:tplc="DA5802E6">
      <w:start w:val="1"/>
      <w:numFmt w:val="decimal"/>
      <w:lvlText w:val="(%4)"/>
      <w:lvlJc w:val="left"/>
      <w:pPr>
        <w:tabs>
          <w:tab w:val="num" w:pos="1440"/>
        </w:tabs>
        <w:ind w:left="1440" w:hanging="360"/>
      </w:pPr>
    </w:lvl>
    <w:lvl w:ilvl="4" w:tplc="733AEED4">
      <w:start w:val="1"/>
      <w:numFmt w:val="lowerLetter"/>
      <w:lvlText w:val="(%5)"/>
      <w:lvlJc w:val="left"/>
      <w:pPr>
        <w:tabs>
          <w:tab w:val="num" w:pos="1800"/>
        </w:tabs>
        <w:ind w:left="1800" w:hanging="360"/>
      </w:pPr>
    </w:lvl>
    <w:lvl w:ilvl="5" w:tplc="CDE2E23E">
      <w:start w:val="1"/>
      <w:numFmt w:val="lowerRoman"/>
      <w:lvlText w:val="(%6)"/>
      <w:lvlJc w:val="left"/>
      <w:pPr>
        <w:tabs>
          <w:tab w:val="num" w:pos="2160"/>
        </w:tabs>
        <w:ind w:left="2160" w:hanging="360"/>
      </w:pPr>
    </w:lvl>
    <w:lvl w:ilvl="6" w:tplc="EF809712">
      <w:start w:val="1"/>
      <w:numFmt w:val="decimal"/>
      <w:lvlText w:val="%7."/>
      <w:lvlJc w:val="left"/>
      <w:pPr>
        <w:tabs>
          <w:tab w:val="num" w:pos="2520"/>
        </w:tabs>
        <w:ind w:left="2520" w:hanging="360"/>
      </w:pPr>
    </w:lvl>
    <w:lvl w:ilvl="7" w:tplc="06F8D5FA">
      <w:start w:val="1"/>
      <w:numFmt w:val="lowerLetter"/>
      <w:lvlText w:val="%8."/>
      <w:lvlJc w:val="left"/>
      <w:pPr>
        <w:tabs>
          <w:tab w:val="num" w:pos="2880"/>
        </w:tabs>
        <w:ind w:left="2880" w:hanging="360"/>
      </w:pPr>
    </w:lvl>
    <w:lvl w:ilvl="8" w:tplc="770CAB02">
      <w:start w:val="1"/>
      <w:numFmt w:val="lowerRoman"/>
      <w:lvlText w:val="%9."/>
      <w:lvlJc w:val="left"/>
      <w:pPr>
        <w:tabs>
          <w:tab w:val="num" w:pos="3240"/>
        </w:tabs>
        <w:ind w:left="3240" w:hanging="360"/>
      </w:pPr>
    </w:lvl>
  </w:abstractNum>
  <w:abstractNum w:abstractNumId="18" w15:restartNumberingAfterBreak="0">
    <w:nsid w:val="66C20063"/>
    <w:multiLevelType w:val="hybridMultilevel"/>
    <w:tmpl w:val="043E412C"/>
    <w:lvl w:ilvl="0" w:tplc="671C076E">
      <w:start w:val="1"/>
      <w:numFmt w:val="bullet"/>
      <w:lvlText w:val=""/>
      <w:lvlJc w:val="left"/>
      <w:pPr>
        <w:tabs>
          <w:tab w:val="num" w:pos="284"/>
        </w:tabs>
        <w:ind w:left="284" w:hanging="284"/>
      </w:pPr>
      <w:rPr>
        <w:rFonts w:ascii="Symbol" w:hAnsi="Symbol" w:hint="default"/>
        <w:color w:val="auto"/>
      </w:rPr>
    </w:lvl>
    <w:lvl w:ilvl="1" w:tplc="4E58EA6E">
      <w:start w:val="1"/>
      <w:numFmt w:val="bullet"/>
      <w:lvlText w:val=""/>
      <w:lvlJc w:val="left"/>
      <w:pPr>
        <w:tabs>
          <w:tab w:val="num" w:pos="567"/>
        </w:tabs>
        <w:ind w:left="567" w:hanging="283"/>
      </w:pPr>
      <w:rPr>
        <w:rFonts w:ascii="Symbol" w:hAnsi="Symbol" w:hint="default"/>
      </w:rPr>
    </w:lvl>
    <w:lvl w:ilvl="2" w:tplc="FA80C44C">
      <w:start w:val="1"/>
      <w:numFmt w:val="bullet"/>
      <w:pStyle w:val="Bulletleft3"/>
      <w:lvlText w:val=""/>
      <w:lvlJc w:val="left"/>
      <w:pPr>
        <w:tabs>
          <w:tab w:val="num" w:pos="851"/>
        </w:tabs>
        <w:ind w:left="851" w:hanging="284"/>
      </w:pPr>
      <w:rPr>
        <w:rFonts w:ascii="Symbol" w:hAnsi="Symbol" w:hint="default"/>
        <w:color w:val="auto"/>
      </w:rPr>
    </w:lvl>
    <w:lvl w:ilvl="3" w:tplc="0F102352">
      <w:start w:val="1"/>
      <w:numFmt w:val="decimal"/>
      <w:lvlText w:val="(%4)"/>
      <w:lvlJc w:val="left"/>
      <w:pPr>
        <w:tabs>
          <w:tab w:val="num" w:pos="1724"/>
        </w:tabs>
        <w:ind w:left="1724" w:hanging="360"/>
      </w:pPr>
      <w:rPr>
        <w:rFonts w:hint="default"/>
      </w:rPr>
    </w:lvl>
    <w:lvl w:ilvl="4" w:tplc="4676800E">
      <w:start w:val="1"/>
      <w:numFmt w:val="lowerLetter"/>
      <w:lvlText w:val="(%5)"/>
      <w:lvlJc w:val="left"/>
      <w:pPr>
        <w:tabs>
          <w:tab w:val="num" w:pos="2084"/>
        </w:tabs>
        <w:ind w:left="2084" w:hanging="360"/>
      </w:pPr>
      <w:rPr>
        <w:rFonts w:hint="default"/>
      </w:rPr>
    </w:lvl>
    <w:lvl w:ilvl="5" w:tplc="3DA67B8C">
      <w:start w:val="1"/>
      <w:numFmt w:val="lowerRoman"/>
      <w:lvlText w:val="(%6)"/>
      <w:lvlJc w:val="left"/>
      <w:pPr>
        <w:tabs>
          <w:tab w:val="num" w:pos="2444"/>
        </w:tabs>
        <w:ind w:left="2444" w:hanging="360"/>
      </w:pPr>
      <w:rPr>
        <w:rFonts w:hint="default"/>
      </w:rPr>
    </w:lvl>
    <w:lvl w:ilvl="6" w:tplc="25F0C0F0">
      <w:start w:val="1"/>
      <w:numFmt w:val="decimal"/>
      <w:lvlText w:val="%7."/>
      <w:lvlJc w:val="left"/>
      <w:pPr>
        <w:tabs>
          <w:tab w:val="num" w:pos="2804"/>
        </w:tabs>
        <w:ind w:left="2804" w:hanging="360"/>
      </w:pPr>
      <w:rPr>
        <w:rFonts w:hint="default"/>
      </w:rPr>
    </w:lvl>
    <w:lvl w:ilvl="7" w:tplc="54580740">
      <w:start w:val="1"/>
      <w:numFmt w:val="lowerLetter"/>
      <w:lvlText w:val="%8."/>
      <w:lvlJc w:val="left"/>
      <w:pPr>
        <w:tabs>
          <w:tab w:val="num" w:pos="3164"/>
        </w:tabs>
        <w:ind w:left="3164" w:hanging="360"/>
      </w:pPr>
      <w:rPr>
        <w:rFonts w:hint="default"/>
      </w:rPr>
    </w:lvl>
    <w:lvl w:ilvl="8" w:tplc="735E62D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hybridMultilevel"/>
    <w:tmpl w:val="0809001D"/>
    <w:name w:val="numberedheadings3"/>
    <w:lvl w:ilvl="0" w:tplc="4B3CB9A4">
      <w:start w:val="1"/>
      <w:numFmt w:val="decimal"/>
      <w:lvlText w:val="%1)"/>
      <w:lvlJc w:val="left"/>
      <w:pPr>
        <w:tabs>
          <w:tab w:val="num" w:pos="360"/>
        </w:tabs>
        <w:ind w:left="360" w:hanging="360"/>
      </w:pPr>
    </w:lvl>
    <w:lvl w:ilvl="1" w:tplc="466AB584">
      <w:start w:val="1"/>
      <w:numFmt w:val="lowerLetter"/>
      <w:lvlText w:val="%2)"/>
      <w:lvlJc w:val="left"/>
      <w:pPr>
        <w:tabs>
          <w:tab w:val="num" w:pos="720"/>
        </w:tabs>
        <w:ind w:left="720" w:hanging="360"/>
      </w:pPr>
    </w:lvl>
    <w:lvl w:ilvl="2" w:tplc="3950FA52">
      <w:start w:val="1"/>
      <w:numFmt w:val="lowerRoman"/>
      <w:lvlText w:val="%3)"/>
      <w:lvlJc w:val="left"/>
      <w:pPr>
        <w:tabs>
          <w:tab w:val="num" w:pos="1080"/>
        </w:tabs>
        <w:ind w:left="1080" w:hanging="360"/>
      </w:pPr>
    </w:lvl>
    <w:lvl w:ilvl="3" w:tplc="9CF842B8">
      <w:start w:val="1"/>
      <w:numFmt w:val="decimal"/>
      <w:lvlText w:val="(%4)"/>
      <w:lvlJc w:val="left"/>
      <w:pPr>
        <w:tabs>
          <w:tab w:val="num" w:pos="1440"/>
        </w:tabs>
        <w:ind w:left="1440" w:hanging="360"/>
      </w:pPr>
    </w:lvl>
    <w:lvl w:ilvl="4" w:tplc="1EC4944E">
      <w:start w:val="1"/>
      <w:numFmt w:val="lowerLetter"/>
      <w:lvlText w:val="(%5)"/>
      <w:lvlJc w:val="left"/>
      <w:pPr>
        <w:tabs>
          <w:tab w:val="num" w:pos="1800"/>
        </w:tabs>
        <w:ind w:left="1800" w:hanging="360"/>
      </w:pPr>
    </w:lvl>
    <w:lvl w:ilvl="5" w:tplc="2188E11E">
      <w:start w:val="1"/>
      <w:numFmt w:val="lowerRoman"/>
      <w:lvlText w:val="(%6)"/>
      <w:lvlJc w:val="left"/>
      <w:pPr>
        <w:tabs>
          <w:tab w:val="num" w:pos="2160"/>
        </w:tabs>
        <w:ind w:left="2160" w:hanging="360"/>
      </w:pPr>
    </w:lvl>
    <w:lvl w:ilvl="6" w:tplc="F3C8EF36">
      <w:start w:val="1"/>
      <w:numFmt w:val="decimal"/>
      <w:lvlText w:val="%7."/>
      <w:lvlJc w:val="left"/>
      <w:pPr>
        <w:tabs>
          <w:tab w:val="num" w:pos="2520"/>
        </w:tabs>
        <w:ind w:left="2520" w:hanging="360"/>
      </w:pPr>
    </w:lvl>
    <w:lvl w:ilvl="7" w:tplc="824E4E0E">
      <w:start w:val="1"/>
      <w:numFmt w:val="lowerLetter"/>
      <w:lvlText w:val="%8."/>
      <w:lvlJc w:val="left"/>
      <w:pPr>
        <w:tabs>
          <w:tab w:val="num" w:pos="2880"/>
        </w:tabs>
        <w:ind w:left="2880" w:hanging="360"/>
      </w:pPr>
    </w:lvl>
    <w:lvl w:ilvl="8" w:tplc="FFA89EDE">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0D62"/>
    <w:rsid w:val="000119FB"/>
    <w:rsid w:val="00016242"/>
    <w:rsid w:val="00016FE8"/>
    <w:rsid w:val="000701F8"/>
    <w:rsid w:val="00096943"/>
    <w:rsid w:val="000A1EC0"/>
    <w:rsid w:val="000C5F9C"/>
    <w:rsid w:val="000F4420"/>
    <w:rsid w:val="00101F34"/>
    <w:rsid w:val="00126D3A"/>
    <w:rsid w:val="0013707D"/>
    <w:rsid w:val="00161AA0"/>
    <w:rsid w:val="001623A8"/>
    <w:rsid w:val="00162A80"/>
    <w:rsid w:val="00166A68"/>
    <w:rsid w:val="001715EB"/>
    <w:rsid w:val="001B0506"/>
    <w:rsid w:val="001C0D84"/>
    <w:rsid w:val="002041D8"/>
    <w:rsid w:val="00235CAB"/>
    <w:rsid w:val="00242941"/>
    <w:rsid w:val="00262539"/>
    <w:rsid w:val="00294192"/>
    <w:rsid w:val="002B1AD9"/>
    <w:rsid w:val="002D2B90"/>
    <w:rsid w:val="002E675E"/>
    <w:rsid w:val="002F6C0A"/>
    <w:rsid w:val="0031664C"/>
    <w:rsid w:val="003330E6"/>
    <w:rsid w:val="00362226"/>
    <w:rsid w:val="00377414"/>
    <w:rsid w:val="003C36AC"/>
    <w:rsid w:val="003D02A7"/>
    <w:rsid w:val="003E7FF3"/>
    <w:rsid w:val="00410EE5"/>
    <w:rsid w:val="00413DD5"/>
    <w:rsid w:val="00421B0C"/>
    <w:rsid w:val="00427A2B"/>
    <w:rsid w:val="004331E2"/>
    <w:rsid w:val="0045049B"/>
    <w:rsid w:val="004519B2"/>
    <w:rsid w:val="00461997"/>
    <w:rsid w:val="004679E3"/>
    <w:rsid w:val="004820E9"/>
    <w:rsid w:val="0048361F"/>
    <w:rsid w:val="004B2657"/>
    <w:rsid w:val="004B514C"/>
    <w:rsid w:val="004C0D5E"/>
    <w:rsid w:val="004E2E97"/>
    <w:rsid w:val="00526C07"/>
    <w:rsid w:val="0053387C"/>
    <w:rsid w:val="00533DCF"/>
    <w:rsid w:val="0053730B"/>
    <w:rsid w:val="0053792A"/>
    <w:rsid w:val="00556322"/>
    <w:rsid w:val="005715F8"/>
    <w:rsid w:val="005860F4"/>
    <w:rsid w:val="00595C59"/>
    <w:rsid w:val="005A4E27"/>
    <w:rsid w:val="005C051F"/>
    <w:rsid w:val="005C762E"/>
    <w:rsid w:val="005D098C"/>
    <w:rsid w:val="00600E11"/>
    <w:rsid w:val="00603E56"/>
    <w:rsid w:val="0060662A"/>
    <w:rsid w:val="00614BDA"/>
    <w:rsid w:val="00632EB9"/>
    <w:rsid w:val="006331B4"/>
    <w:rsid w:val="006343F3"/>
    <w:rsid w:val="00642906"/>
    <w:rsid w:val="00644B28"/>
    <w:rsid w:val="006450E5"/>
    <w:rsid w:val="00677F60"/>
    <w:rsid w:val="00697B5E"/>
    <w:rsid w:val="006A370C"/>
    <w:rsid w:val="006A721F"/>
    <w:rsid w:val="006B5B04"/>
    <w:rsid w:val="006D583E"/>
    <w:rsid w:val="006D73F1"/>
    <w:rsid w:val="0070433D"/>
    <w:rsid w:val="00705A83"/>
    <w:rsid w:val="00732519"/>
    <w:rsid w:val="00744CE4"/>
    <w:rsid w:val="00760DEA"/>
    <w:rsid w:val="00797916"/>
    <w:rsid w:val="007A095B"/>
    <w:rsid w:val="007A174B"/>
    <w:rsid w:val="007A4EEE"/>
    <w:rsid w:val="007E7C9B"/>
    <w:rsid w:val="007F78A6"/>
    <w:rsid w:val="00837D68"/>
    <w:rsid w:val="008505C3"/>
    <w:rsid w:val="00862C0C"/>
    <w:rsid w:val="008B102F"/>
    <w:rsid w:val="008B621C"/>
    <w:rsid w:val="008C19C1"/>
    <w:rsid w:val="008D6069"/>
    <w:rsid w:val="008D7568"/>
    <w:rsid w:val="008E2363"/>
    <w:rsid w:val="008E7585"/>
    <w:rsid w:val="008F18FE"/>
    <w:rsid w:val="008F4DC4"/>
    <w:rsid w:val="00904FFD"/>
    <w:rsid w:val="00923068"/>
    <w:rsid w:val="00926450"/>
    <w:rsid w:val="0094366C"/>
    <w:rsid w:val="00953ADF"/>
    <w:rsid w:val="00962FE8"/>
    <w:rsid w:val="00984CB0"/>
    <w:rsid w:val="009A2353"/>
    <w:rsid w:val="009B2C74"/>
    <w:rsid w:val="009B621A"/>
    <w:rsid w:val="009C45D9"/>
    <w:rsid w:val="009C4B6B"/>
    <w:rsid w:val="009C7E0B"/>
    <w:rsid w:val="009F20BD"/>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C04271"/>
    <w:rsid w:val="00C1320E"/>
    <w:rsid w:val="00C139CA"/>
    <w:rsid w:val="00C14F91"/>
    <w:rsid w:val="00C15960"/>
    <w:rsid w:val="00C276EE"/>
    <w:rsid w:val="00C378E9"/>
    <w:rsid w:val="00C51429"/>
    <w:rsid w:val="00C569F4"/>
    <w:rsid w:val="00C875A0"/>
    <w:rsid w:val="00CA3397"/>
    <w:rsid w:val="00CA3570"/>
    <w:rsid w:val="00CB65F0"/>
    <w:rsid w:val="00CD7133"/>
    <w:rsid w:val="00D1685C"/>
    <w:rsid w:val="00D353E8"/>
    <w:rsid w:val="00D3612A"/>
    <w:rsid w:val="00D37703"/>
    <w:rsid w:val="00D37F25"/>
    <w:rsid w:val="00D41D3A"/>
    <w:rsid w:val="00D52923"/>
    <w:rsid w:val="00D540AC"/>
    <w:rsid w:val="00D62836"/>
    <w:rsid w:val="00D70F81"/>
    <w:rsid w:val="00D97B5E"/>
    <w:rsid w:val="00DB0A45"/>
    <w:rsid w:val="00DC0120"/>
    <w:rsid w:val="00DE643F"/>
    <w:rsid w:val="00E25CD5"/>
    <w:rsid w:val="00E36C61"/>
    <w:rsid w:val="00E37625"/>
    <w:rsid w:val="00E40B38"/>
    <w:rsid w:val="00E4622C"/>
    <w:rsid w:val="00E46571"/>
    <w:rsid w:val="00E47D38"/>
    <w:rsid w:val="00E51FFB"/>
    <w:rsid w:val="00E5693A"/>
    <w:rsid w:val="00E61E5A"/>
    <w:rsid w:val="00E92859"/>
    <w:rsid w:val="00EA0A36"/>
    <w:rsid w:val="00EA46FA"/>
    <w:rsid w:val="00EA660F"/>
    <w:rsid w:val="00EB14B8"/>
    <w:rsid w:val="00ED69ED"/>
    <w:rsid w:val="00EE6BDA"/>
    <w:rsid w:val="00EF758D"/>
    <w:rsid w:val="00F03671"/>
    <w:rsid w:val="00F26A9F"/>
    <w:rsid w:val="00F26E68"/>
    <w:rsid w:val="00F37BC1"/>
    <w:rsid w:val="00F57042"/>
    <w:rsid w:val="00F64075"/>
    <w:rsid w:val="00F81470"/>
    <w:rsid w:val="00FA5674"/>
    <w:rsid w:val="00FB4084"/>
    <w:rsid w:val="00FB5C06"/>
    <w:rsid w:val="00FD08F8"/>
    <w:rsid w:val="139362C8"/>
    <w:rsid w:val="2CEAF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D001-2B90-4DAE-A14C-57506C41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2021-01-06T17:14:00Z</dcterms:created>
  <dcterms:modified xsi:type="dcterms:W3CDTF">2021-01-06T17:14:00Z</dcterms:modified>
</cp:coreProperties>
</file>