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032C6" w14:textId="6E5ECE97" w:rsidR="002C296A" w:rsidRPr="0067455E" w:rsidRDefault="002C296A" w:rsidP="003E1E24">
      <w:pPr>
        <w:pStyle w:val="Title"/>
      </w:pPr>
      <w:bookmarkStart w:id="0" w:name="_Toc357694770"/>
      <w:bookmarkStart w:id="1" w:name="_Toc365024196"/>
      <w:bookmarkStart w:id="2" w:name="_Toc432164921"/>
      <w:bookmarkStart w:id="3" w:name="_Toc467141962"/>
      <w:bookmarkStart w:id="4" w:name="_Toc50469729"/>
      <w:r w:rsidRPr="0067455E">
        <w:t>NATIONAL INSTITUTE FOR HEALTH AND C</w:t>
      </w:r>
      <w:r w:rsidR="00B96A88" w:rsidRPr="0067455E">
        <w:t>ARE</w:t>
      </w:r>
      <w:r w:rsidRPr="0067455E">
        <w:t xml:space="preserve"> EXCELLENCE</w:t>
      </w:r>
      <w:bookmarkEnd w:id="0"/>
      <w:bookmarkEnd w:id="1"/>
      <w:bookmarkEnd w:id="2"/>
      <w:bookmarkEnd w:id="3"/>
      <w:bookmarkEnd w:id="4"/>
    </w:p>
    <w:p w14:paraId="5AF8C9B1" w14:textId="77777777" w:rsidR="002C296A" w:rsidRPr="0067455E" w:rsidRDefault="002C296A" w:rsidP="00CE4759">
      <w:pPr>
        <w:pStyle w:val="Title"/>
      </w:pPr>
      <w:bookmarkStart w:id="5" w:name="_Toc357694771"/>
      <w:bookmarkStart w:id="6" w:name="_Toc365024197"/>
      <w:bookmarkStart w:id="7" w:name="_Toc432164922"/>
      <w:bookmarkStart w:id="8" w:name="_Toc467141963"/>
      <w:bookmarkStart w:id="9" w:name="_Toc50469730"/>
      <w:r w:rsidRPr="0067455E">
        <w:t>Health and social care directorate</w:t>
      </w:r>
      <w:bookmarkEnd w:id="5"/>
      <w:bookmarkEnd w:id="6"/>
      <w:bookmarkEnd w:id="7"/>
      <w:bookmarkEnd w:id="8"/>
      <w:bookmarkEnd w:id="9"/>
    </w:p>
    <w:p w14:paraId="155E7D92" w14:textId="77777777" w:rsidR="002C296A" w:rsidRPr="0067455E" w:rsidRDefault="002C296A" w:rsidP="00CE4759">
      <w:pPr>
        <w:pStyle w:val="Title"/>
        <w:rPr>
          <w:rFonts w:cs="Arial"/>
        </w:rPr>
      </w:pPr>
      <w:bookmarkStart w:id="10" w:name="_Toc50469731"/>
      <w:bookmarkStart w:id="11" w:name="_Toc357694772"/>
      <w:bookmarkStart w:id="12" w:name="_Toc365024198"/>
      <w:bookmarkStart w:id="13" w:name="_Toc432164923"/>
      <w:bookmarkStart w:id="14" w:name="_Toc467141964"/>
      <w:r w:rsidRPr="0067455E">
        <w:rPr>
          <w:rFonts w:cs="Arial"/>
        </w:rPr>
        <w:t>Quality standards</w:t>
      </w:r>
      <w:bookmarkEnd w:id="10"/>
      <w:r w:rsidRPr="0067455E">
        <w:rPr>
          <w:rFonts w:cs="Arial"/>
        </w:rPr>
        <w:t xml:space="preserve"> </w:t>
      </w:r>
      <w:bookmarkEnd w:id="11"/>
      <w:bookmarkEnd w:id="12"/>
      <w:bookmarkEnd w:id="13"/>
      <w:bookmarkEnd w:id="14"/>
    </w:p>
    <w:p w14:paraId="6503FD96" w14:textId="77777777" w:rsidR="002C296A" w:rsidRPr="0067455E" w:rsidRDefault="002C296A" w:rsidP="00CE4759">
      <w:pPr>
        <w:pStyle w:val="Title"/>
        <w:rPr>
          <w:rFonts w:cs="Arial"/>
        </w:rPr>
      </w:pPr>
      <w:bookmarkStart w:id="15" w:name="_Toc357694773"/>
      <w:bookmarkStart w:id="16" w:name="_Toc365024199"/>
      <w:bookmarkStart w:id="17" w:name="_Toc432164924"/>
      <w:bookmarkStart w:id="18" w:name="_Toc467141965"/>
      <w:bookmarkStart w:id="19" w:name="_Toc50469732"/>
      <w:r w:rsidRPr="0067455E">
        <w:rPr>
          <w:rFonts w:cs="Arial"/>
        </w:rPr>
        <w:t>Briefing paper</w:t>
      </w:r>
      <w:bookmarkEnd w:id="15"/>
      <w:bookmarkEnd w:id="16"/>
      <w:bookmarkEnd w:id="17"/>
      <w:bookmarkEnd w:id="18"/>
      <w:bookmarkEnd w:id="19"/>
    </w:p>
    <w:tbl>
      <w:tblPr>
        <w:tblStyle w:val="TableGrid"/>
        <w:tblW w:w="0" w:type="auto"/>
        <w:tblLook w:val="04A0" w:firstRow="1" w:lastRow="0" w:firstColumn="1" w:lastColumn="0" w:noHBand="0" w:noVBand="1"/>
      </w:tblPr>
      <w:tblGrid>
        <w:gridCol w:w="9016"/>
      </w:tblGrid>
      <w:tr w:rsidR="00427135" w14:paraId="0CB73AD6" w14:textId="77777777" w:rsidTr="00427135">
        <w:tc>
          <w:tcPr>
            <w:tcW w:w="9016" w:type="dxa"/>
          </w:tcPr>
          <w:p w14:paraId="6524627E" w14:textId="25C8B247" w:rsidR="00427135" w:rsidRPr="005A61AD" w:rsidRDefault="00427135" w:rsidP="00A813F7">
            <w:pPr>
              <w:pStyle w:val="Paragraph"/>
            </w:pPr>
            <w:r w:rsidRPr="000D48CF">
              <w:rPr>
                <w:rStyle w:val="Addbold"/>
              </w:rPr>
              <w:t>Quality standard topic:</w:t>
            </w:r>
            <w:r w:rsidRPr="005A61AD">
              <w:t xml:space="preserve"> </w:t>
            </w:r>
            <w:r w:rsidR="009A6ABF">
              <w:t>Venous thromboembolic diseases (QS update)</w:t>
            </w:r>
          </w:p>
          <w:p w14:paraId="3FE37768" w14:textId="77777777" w:rsidR="00427135" w:rsidRPr="005A61AD" w:rsidRDefault="00427135" w:rsidP="00A813F7">
            <w:pPr>
              <w:pStyle w:val="Paragraph"/>
            </w:pPr>
            <w:r w:rsidRPr="000D48CF">
              <w:rPr>
                <w:rStyle w:val="Addbold"/>
              </w:rPr>
              <w:t>Output:</w:t>
            </w:r>
            <w:r w:rsidRPr="005A61AD">
              <w:t xml:space="preserve"> </w:t>
            </w:r>
            <w:r w:rsidRPr="000D48CF">
              <w:t>Prioritised</w:t>
            </w:r>
            <w:r w:rsidRPr="005A61AD">
              <w:t xml:space="preserve"> quality improvement areas for development. </w:t>
            </w:r>
          </w:p>
          <w:p w14:paraId="14689F62" w14:textId="0AD2B918" w:rsidR="00427135" w:rsidRDefault="00427135" w:rsidP="00A813F7">
            <w:pPr>
              <w:pStyle w:val="Paragraph"/>
            </w:pPr>
            <w:r w:rsidRPr="000D48CF">
              <w:rPr>
                <w:rStyle w:val="Addbold"/>
              </w:rPr>
              <w:t>Date of Quality Standards Advisory Committee meeting:</w:t>
            </w:r>
            <w:r w:rsidRPr="005A61AD">
              <w:t xml:space="preserve"> </w:t>
            </w:r>
            <w:r w:rsidR="009A6ABF">
              <w:t>16 September 2020</w:t>
            </w:r>
          </w:p>
        </w:tc>
      </w:tr>
    </w:tbl>
    <w:p w14:paraId="6C58DB1D" w14:textId="77777777" w:rsidR="002C296A" w:rsidRDefault="002C296A" w:rsidP="003D6F5F">
      <w:pPr>
        <w:pStyle w:val="Paragraph"/>
      </w:pPr>
    </w:p>
    <w:p w14:paraId="3F890F66" w14:textId="77777777" w:rsidR="00BE07A7" w:rsidRDefault="002C296A" w:rsidP="00F42F2E">
      <w:pPr>
        <w:pStyle w:val="Heading1"/>
        <w:rPr>
          <w:noProof/>
        </w:rPr>
      </w:pPr>
      <w:bookmarkStart w:id="20" w:name="_Toc365024200"/>
      <w:bookmarkStart w:id="21" w:name="_Toc432164925"/>
      <w:bookmarkStart w:id="22" w:name="_Toc467141966"/>
      <w:bookmarkStart w:id="23" w:name="_Toc50469733"/>
      <w:r w:rsidRPr="0067455E">
        <w:t>Contents</w:t>
      </w:r>
      <w:bookmarkEnd w:id="20"/>
      <w:bookmarkEnd w:id="21"/>
      <w:bookmarkEnd w:id="22"/>
      <w:bookmarkEnd w:id="23"/>
      <w:r w:rsidR="00893AF1">
        <w:fldChar w:fldCharType="begin"/>
      </w:r>
      <w:r>
        <w:instrText xml:space="preserve"> TOC \o "1-1" \h \z \u </w:instrText>
      </w:r>
      <w:r w:rsidR="00893AF1">
        <w:fldChar w:fldCharType="separate"/>
      </w:r>
    </w:p>
    <w:p w14:paraId="496045A1" w14:textId="44A75952" w:rsidR="00BE07A7" w:rsidRDefault="00473E39">
      <w:pPr>
        <w:pStyle w:val="TOC1"/>
        <w:rPr>
          <w:rFonts w:asciiTheme="minorHAnsi" w:eastAsiaTheme="minorEastAsia" w:hAnsiTheme="minorHAnsi" w:cstheme="minorBidi"/>
          <w:sz w:val="22"/>
          <w:szCs w:val="22"/>
          <w:lang w:eastAsia="en-GB"/>
        </w:rPr>
      </w:pPr>
      <w:hyperlink w:anchor="_Toc50469734" w:history="1">
        <w:r w:rsidR="00BE07A7" w:rsidRPr="00D06ABE">
          <w:rPr>
            <w:rStyle w:val="Hyperlink"/>
          </w:rPr>
          <w:t xml:space="preserve">1 </w:t>
        </w:r>
        <w:r w:rsidR="00BE07A7">
          <w:rPr>
            <w:rFonts w:asciiTheme="minorHAnsi" w:eastAsiaTheme="minorEastAsia" w:hAnsiTheme="minorHAnsi" w:cstheme="minorBidi"/>
            <w:sz w:val="22"/>
            <w:szCs w:val="22"/>
            <w:lang w:eastAsia="en-GB"/>
          </w:rPr>
          <w:tab/>
        </w:r>
        <w:r w:rsidR="00BE07A7" w:rsidRPr="00D06ABE">
          <w:rPr>
            <w:rStyle w:val="Hyperlink"/>
          </w:rPr>
          <w:t>Introduction</w:t>
        </w:r>
        <w:r w:rsidR="00BE07A7">
          <w:rPr>
            <w:webHidden/>
          </w:rPr>
          <w:tab/>
        </w:r>
        <w:r w:rsidR="00BE07A7">
          <w:rPr>
            <w:webHidden/>
          </w:rPr>
          <w:fldChar w:fldCharType="begin"/>
        </w:r>
        <w:r w:rsidR="00BE07A7">
          <w:rPr>
            <w:webHidden/>
          </w:rPr>
          <w:instrText xml:space="preserve"> PAGEREF _Toc50469734 \h </w:instrText>
        </w:r>
        <w:r w:rsidR="00BE07A7">
          <w:rPr>
            <w:webHidden/>
          </w:rPr>
        </w:r>
        <w:r w:rsidR="00BE07A7">
          <w:rPr>
            <w:webHidden/>
          </w:rPr>
          <w:fldChar w:fldCharType="separate"/>
        </w:r>
        <w:r w:rsidR="00B45641">
          <w:rPr>
            <w:webHidden/>
          </w:rPr>
          <w:t>2</w:t>
        </w:r>
        <w:r w:rsidR="00BE07A7">
          <w:rPr>
            <w:webHidden/>
          </w:rPr>
          <w:fldChar w:fldCharType="end"/>
        </w:r>
      </w:hyperlink>
    </w:p>
    <w:p w14:paraId="0D5C11B3" w14:textId="59B80584" w:rsidR="00BE07A7" w:rsidRDefault="00473E39">
      <w:pPr>
        <w:pStyle w:val="TOC1"/>
        <w:rPr>
          <w:rFonts w:asciiTheme="minorHAnsi" w:eastAsiaTheme="minorEastAsia" w:hAnsiTheme="minorHAnsi" w:cstheme="minorBidi"/>
          <w:sz w:val="22"/>
          <w:szCs w:val="22"/>
          <w:lang w:eastAsia="en-GB"/>
        </w:rPr>
      </w:pPr>
      <w:hyperlink w:anchor="_Toc50469735" w:history="1">
        <w:r w:rsidR="00BE07A7" w:rsidRPr="00D06ABE">
          <w:rPr>
            <w:rStyle w:val="Hyperlink"/>
          </w:rPr>
          <w:t>2</w:t>
        </w:r>
        <w:r w:rsidR="00BE07A7">
          <w:rPr>
            <w:rFonts w:asciiTheme="minorHAnsi" w:eastAsiaTheme="minorEastAsia" w:hAnsiTheme="minorHAnsi" w:cstheme="minorBidi"/>
            <w:sz w:val="22"/>
            <w:szCs w:val="22"/>
            <w:lang w:eastAsia="en-GB"/>
          </w:rPr>
          <w:tab/>
        </w:r>
        <w:r w:rsidR="00BE07A7" w:rsidRPr="00D06ABE">
          <w:rPr>
            <w:rStyle w:val="Hyperlink"/>
          </w:rPr>
          <w:t>Overview</w:t>
        </w:r>
        <w:r w:rsidR="00BE07A7">
          <w:rPr>
            <w:webHidden/>
          </w:rPr>
          <w:tab/>
        </w:r>
        <w:r w:rsidR="00BE07A7">
          <w:rPr>
            <w:webHidden/>
          </w:rPr>
          <w:fldChar w:fldCharType="begin"/>
        </w:r>
        <w:r w:rsidR="00BE07A7">
          <w:rPr>
            <w:webHidden/>
          </w:rPr>
          <w:instrText xml:space="preserve"> PAGEREF _Toc50469735 \h </w:instrText>
        </w:r>
        <w:r w:rsidR="00BE07A7">
          <w:rPr>
            <w:webHidden/>
          </w:rPr>
        </w:r>
        <w:r w:rsidR="00BE07A7">
          <w:rPr>
            <w:webHidden/>
          </w:rPr>
          <w:fldChar w:fldCharType="separate"/>
        </w:r>
        <w:r w:rsidR="00B45641">
          <w:rPr>
            <w:webHidden/>
          </w:rPr>
          <w:t>2</w:t>
        </w:r>
        <w:r w:rsidR="00BE07A7">
          <w:rPr>
            <w:webHidden/>
          </w:rPr>
          <w:fldChar w:fldCharType="end"/>
        </w:r>
      </w:hyperlink>
    </w:p>
    <w:p w14:paraId="201FBC32" w14:textId="66ADB266" w:rsidR="00BE07A7" w:rsidRDefault="00473E39">
      <w:pPr>
        <w:pStyle w:val="TOC1"/>
        <w:rPr>
          <w:rFonts w:asciiTheme="minorHAnsi" w:eastAsiaTheme="minorEastAsia" w:hAnsiTheme="minorHAnsi" w:cstheme="minorBidi"/>
          <w:sz w:val="22"/>
          <w:szCs w:val="22"/>
          <w:lang w:eastAsia="en-GB"/>
        </w:rPr>
      </w:pPr>
      <w:hyperlink w:anchor="_Toc50469736" w:history="1">
        <w:r w:rsidR="00BE07A7" w:rsidRPr="00D06ABE">
          <w:rPr>
            <w:rStyle w:val="Hyperlink"/>
          </w:rPr>
          <w:t>3</w:t>
        </w:r>
        <w:r w:rsidR="00BE07A7">
          <w:rPr>
            <w:rFonts w:asciiTheme="minorHAnsi" w:eastAsiaTheme="minorEastAsia" w:hAnsiTheme="minorHAnsi" w:cstheme="minorBidi"/>
            <w:sz w:val="22"/>
            <w:szCs w:val="22"/>
            <w:lang w:eastAsia="en-GB"/>
          </w:rPr>
          <w:tab/>
        </w:r>
        <w:r w:rsidR="00BE07A7" w:rsidRPr="00D06ABE">
          <w:rPr>
            <w:rStyle w:val="Hyperlink"/>
          </w:rPr>
          <w:t>Summary of suggestions</w:t>
        </w:r>
        <w:r w:rsidR="00BE07A7">
          <w:rPr>
            <w:webHidden/>
          </w:rPr>
          <w:tab/>
        </w:r>
        <w:r w:rsidR="00BE07A7">
          <w:rPr>
            <w:webHidden/>
          </w:rPr>
          <w:fldChar w:fldCharType="begin"/>
        </w:r>
        <w:r w:rsidR="00BE07A7">
          <w:rPr>
            <w:webHidden/>
          </w:rPr>
          <w:instrText xml:space="preserve"> PAGEREF _Toc50469736 \h </w:instrText>
        </w:r>
        <w:r w:rsidR="00BE07A7">
          <w:rPr>
            <w:webHidden/>
          </w:rPr>
        </w:r>
        <w:r w:rsidR="00BE07A7">
          <w:rPr>
            <w:webHidden/>
          </w:rPr>
          <w:fldChar w:fldCharType="separate"/>
        </w:r>
        <w:r w:rsidR="00B45641">
          <w:rPr>
            <w:webHidden/>
          </w:rPr>
          <w:t>6</w:t>
        </w:r>
        <w:r w:rsidR="00BE07A7">
          <w:rPr>
            <w:webHidden/>
          </w:rPr>
          <w:fldChar w:fldCharType="end"/>
        </w:r>
      </w:hyperlink>
    </w:p>
    <w:p w14:paraId="7C839E88" w14:textId="30FBC244" w:rsidR="00BE07A7" w:rsidRDefault="00473E39">
      <w:pPr>
        <w:pStyle w:val="TOC1"/>
        <w:rPr>
          <w:rFonts w:asciiTheme="minorHAnsi" w:eastAsiaTheme="minorEastAsia" w:hAnsiTheme="minorHAnsi" w:cstheme="minorBidi"/>
          <w:sz w:val="22"/>
          <w:szCs w:val="22"/>
          <w:lang w:eastAsia="en-GB"/>
        </w:rPr>
      </w:pPr>
      <w:hyperlink w:anchor="_Toc50469737" w:history="1">
        <w:r w:rsidR="00BE07A7" w:rsidRPr="00D06ABE">
          <w:rPr>
            <w:rStyle w:val="Hyperlink"/>
          </w:rPr>
          <w:t xml:space="preserve">4 </w:t>
        </w:r>
        <w:r w:rsidR="00BE07A7">
          <w:rPr>
            <w:rFonts w:asciiTheme="minorHAnsi" w:eastAsiaTheme="minorEastAsia" w:hAnsiTheme="minorHAnsi" w:cstheme="minorBidi"/>
            <w:sz w:val="22"/>
            <w:szCs w:val="22"/>
            <w:lang w:eastAsia="en-GB"/>
          </w:rPr>
          <w:tab/>
        </w:r>
        <w:r w:rsidR="00BE07A7" w:rsidRPr="00D06ABE">
          <w:rPr>
            <w:rStyle w:val="Hyperlink"/>
          </w:rPr>
          <w:t>Suggested improvement areas</w:t>
        </w:r>
        <w:r w:rsidR="00BE07A7">
          <w:rPr>
            <w:webHidden/>
          </w:rPr>
          <w:tab/>
        </w:r>
        <w:r w:rsidR="00BE07A7">
          <w:rPr>
            <w:webHidden/>
          </w:rPr>
          <w:fldChar w:fldCharType="begin"/>
        </w:r>
        <w:r w:rsidR="00BE07A7">
          <w:rPr>
            <w:webHidden/>
          </w:rPr>
          <w:instrText xml:space="preserve"> PAGEREF _Toc50469737 \h </w:instrText>
        </w:r>
        <w:r w:rsidR="00BE07A7">
          <w:rPr>
            <w:webHidden/>
          </w:rPr>
        </w:r>
        <w:r w:rsidR="00BE07A7">
          <w:rPr>
            <w:webHidden/>
          </w:rPr>
          <w:fldChar w:fldCharType="separate"/>
        </w:r>
        <w:r w:rsidR="00B45641">
          <w:rPr>
            <w:webHidden/>
          </w:rPr>
          <w:t>11</w:t>
        </w:r>
        <w:r w:rsidR="00BE07A7">
          <w:rPr>
            <w:webHidden/>
          </w:rPr>
          <w:fldChar w:fldCharType="end"/>
        </w:r>
      </w:hyperlink>
    </w:p>
    <w:p w14:paraId="6065B579" w14:textId="31B91ED8" w:rsidR="00BE07A7" w:rsidRDefault="00473E39">
      <w:pPr>
        <w:pStyle w:val="TOC1"/>
        <w:rPr>
          <w:rFonts w:asciiTheme="minorHAnsi" w:eastAsiaTheme="minorEastAsia" w:hAnsiTheme="minorHAnsi" w:cstheme="minorBidi"/>
          <w:sz w:val="22"/>
          <w:szCs w:val="22"/>
          <w:lang w:eastAsia="en-GB"/>
        </w:rPr>
      </w:pPr>
      <w:hyperlink w:anchor="_Toc50469738" w:history="1">
        <w:r w:rsidR="00BE07A7" w:rsidRPr="00D06ABE">
          <w:rPr>
            <w:rStyle w:val="Hyperlink"/>
          </w:rPr>
          <w:t>Appendix 1: Glossary</w:t>
        </w:r>
        <w:r w:rsidR="00BE07A7">
          <w:rPr>
            <w:webHidden/>
          </w:rPr>
          <w:tab/>
        </w:r>
        <w:r w:rsidR="00BE07A7">
          <w:rPr>
            <w:webHidden/>
          </w:rPr>
          <w:fldChar w:fldCharType="begin"/>
        </w:r>
        <w:r w:rsidR="00BE07A7">
          <w:rPr>
            <w:webHidden/>
          </w:rPr>
          <w:instrText xml:space="preserve"> PAGEREF _Toc50469738 \h </w:instrText>
        </w:r>
        <w:r w:rsidR="00BE07A7">
          <w:rPr>
            <w:webHidden/>
          </w:rPr>
        </w:r>
        <w:r w:rsidR="00BE07A7">
          <w:rPr>
            <w:webHidden/>
          </w:rPr>
          <w:fldChar w:fldCharType="separate"/>
        </w:r>
        <w:r w:rsidR="00B45641">
          <w:rPr>
            <w:webHidden/>
          </w:rPr>
          <w:t>34</w:t>
        </w:r>
        <w:r w:rsidR="00BE07A7">
          <w:rPr>
            <w:webHidden/>
          </w:rPr>
          <w:fldChar w:fldCharType="end"/>
        </w:r>
      </w:hyperlink>
    </w:p>
    <w:p w14:paraId="38EFDCB7" w14:textId="072EB9F4" w:rsidR="00BE07A7" w:rsidRDefault="00473E39">
      <w:pPr>
        <w:pStyle w:val="TOC1"/>
        <w:rPr>
          <w:rFonts w:asciiTheme="minorHAnsi" w:eastAsiaTheme="minorEastAsia" w:hAnsiTheme="minorHAnsi" w:cstheme="minorBidi"/>
          <w:sz w:val="22"/>
          <w:szCs w:val="22"/>
          <w:lang w:eastAsia="en-GB"/>
        </w:rPr>
      </w:pPr>
      <w:hyperlink w:anchor="_Toc50469739" w:history="1">
        <w:r w:rsidR="00BE07A7" w:rsidRPr="00D06ABE">
          <w:rPr>
            <w:rStyle w:val="Hyperlink"/>
          </w:rPr>
          <w:t>Appendix 2: Review flowchart</w:t>
        </w:r>
        <w:r w:rsidR="00BE07A7">
          <w:rPr>
            <w:webHidden/>
          </w:rPr>
          <w:tab/>
        </w:r>
        <w:r w:rsidR="00BE07A7">
          <w:rPr>
            <w:webHidden/>
          </w:rPr>
          <w:fldChar w:fldCharType="begin"/>
        </w:r>
        <w:r w:rsidR="00BE07A7">
          <w:rPr>
            <w:webHidden/>
          </w:rPr>
          <w:instrText xml:space="preserve"> PAGEREF _Toc50469739 \h </w:instrText>
        </w:r>
        <w:r w:rsidR="00BE07A7">
          <w:rPr>
            <w:webHidden/>
          </w:rPr>
        </w:r>
        <w:r w:rsidR="00BE07A7">
          <w:rPr>
            <w:webHidden/>
          </w:rPr>
          <w:fldChar w:fldCharType="separate"/>
        </w:r>
        <w:r w:rsidR="00B45641">
          <w:rPr>
            <w:webHidden/>
          </w:rPr>
          <w:t>36</w:t>
        </w:r>
        <w:r w:rsidR="00BE07A7">
          <w:rPr>
            <w:webHidden/>
          </w:rPr>
          <w:fldChar w:fldCharType="end"/>
        </w:r>
      </w:hyperlink>
    </w:p>
    <w:p w14:paraId="64F338B0" w14:textId="7EB614B2" w:rsidR="00BE07A7" w:rsidRDefault="00473E39">
      <w:pPr>
        <w:pStyle w:val="TOC1"/>
        <w:rPr>
          <w:rFonts w:asciiTheme="minorHAnsi" w:eastAsiaTheme="minorEastAsia" w:hAnsiTheme="minorHAnsi" w:cstheme="minorBidi"/>
          <w:sz w:val="22"/>
          <w:szCs w:val="22"/>
          <w:lang w:eastAsia="en-GB"/>
        </w:rPr>
      </w:pPr>
      <w:hyperlink w:anchor="_Toc50469740" w:history="1">
        <w:r w:rsidR="00BE07A7" w:rsidRPr="00D06ABE">
          <w:rPr>
            <w:rStyle w:val="Hyperlink"/>
          </w:rPr>
          <w:t>Appendix 3: Suggestions from stakeholder engagement exercise – registered stakeholders</w:t>
        </w:r>
        <w:r w:rsidR="00BE07A7">
          <w:rPr>
            <w:webHidden/>
          </w:rPr>
          <w:tab/>
        </w:r>
        <w:r w:rsidR="00BE07A7">
          <w:rPr>
            <w:webHidden/>
          </w:rPr>
          <w:fldChar w:fldCharType="begin"/>
        </w:r>
        <w:r w:rsidR="00BE07A7">
          <w:rPr>
            <w:webHidden/>
          </w:rPr>
          <w:instrText xml:space="preserve"> PAGEREF _Toc50469740 \h </w:instrText>
        </w:r>
        <w:r w:rsidR="00BE07A7">
          <w:rPr>
            <w:webHidden/>
          </w:rPr>
        </w:r>
        <w:r w:rsidR="00BE07A7">
          <w:rPr>
            <w:webHidden/>
          </w:rPr>
          <w:fldChar w:fldCharType="separate"/>
        </w:r>
        <w:r w:rsidR="00B45641">
          <w:rPr>
            <w:webHidden/>
          </w:rPr>
          <w:t>37</w:t>
        </w:r>
        <w:r w:rsidR="00BE07A7">
          <w:rPr>
            <w:webHidden/>
          </w:rPr>
          <w:fldChar w:fldCharType="end"/>
        </w:r>
      </w:hyperlink>
    </w:p>
    <w:p w14:paraId="61D29A77" w14:textId="0AEFCE1E" w:rsidR="00BE07A7" w:rsidRDefault="00473E39">
      <w:pPr>
        <w:pStyle w:val="TOC1"/>
        <w:rPr>
          <w:rFonts w:asciiTheme="minorHAnsi" w:eastAsiaTheme="minorEastAsia" w:hAnsiTheme="minorHAnsi" w:cstheme="minorBidi"/>
          <w:sz w:val="22"/>
          <w:szCs w:val="22"/>
          <w:lang w:eastAsia="en-GB"/>
        </w:rPr>
      </w:pPr>
      <w:hyperlink w:anchor="_Toc50469741" w:history="1">
        <w:r w:rsidR="00BE07A7" w:rsidRPr="00D06ABE">
          <w:rPr>
            <w:rStyle w:val="Hyperlink"/>
          </w:rPr>
          <w:t>Appendix 4: Suggestions from stakeholder engagement exercise – respondents with links to the tobacco industry</w:t>
        </w:r>
        <w:r w:rsidR="00BE07A7">
          <w:rPr>
            <w:webHidden/>
          </w:rPr>
          <w:tab/>
        </w:r>
        <w:r w:rsidR="00BE07A7">
          <w:rPr>
            <w:webHidden/>
          </w:rPr>
          <w:fldChar w:fldCharType="begin"/>
        </w:r>
        <w:r w:rsidR="00BE07A7">
          <w:rPr>
            <w:webHidden/>
          </w:rPr>
          <w:instrText xml:space="preserve"> PAGEREF _Toc50469741 \h </w:instrText>
        </w:r>
        <w:r w:rsidR="00BE07A7">
          <w:rPr>
            <w:webHidden/>
          </w:rPr>
        </w:r>
        <w:r w:rsidR="00BE07A7">
          <w:rPr>
            <w:webHidden/>
          </w:rPr>
          <w:fldChar w:fldCharType="separate"/>
        </w:r>
        <w:r w:rsidR="00B45641">
          <w:rPr>
            <w:webHidden/>
          </w:rPr>
          <w:t>101</w:t>
        </w:r>
        <w:r w:rsidR="00BE07A7">
          <w:rPr>
            <w:webHidden/>
          </w:rPr>
          <w:fldChar w:fldCharType="end"/>
        </w:r>
      </w:hyperlink>
    </w:p>
    <w:p w14:paraId="677CC1F6" w14:textId="0388F48C" w:rsidR="00BE07A7" w:rsidRDefault="00473E39">
      <w:pPr>
        <w:pStyle w:val="TOC1"/>
        <w:rPr>
          <w:rFonts w:asciiTheme="minorHAnsi" w:eastAsiaTheme="minorEastAsia" w:hAnsiTheme="minorHAnsi" w:cstheme="minorBidi"/>
          <w:sz w:val="22"/>
          <w:szCs w:val="22"/>
          <w:lang w:eastAsia="en-GB"/>
        </w:rPr>
      </w:pPr>
      <w:hyperlink w:anchor="_Toc50469742" w:history="1">
        <w:r w:rsidR="00BE07A7" w:rsidRPr="00D06ABE">
          <w:rPr>
            <w:rStyle w:val="Hyperlink"/>
          </w:rPr>
          <w:t>Appendix 5: Suggestions from NHS England &amp; Improvement Patient Safety</w:t>
        </w:r>
        <w:r w:rsidR="00BE07A7">
          <w:rPr>
            <w:webHidden/>
          </w:rPr>
          <w:tab/>
        </w:r>
        <w:r w:rsidR="00BE07A7">
          <w:rPr>
            <w:webHidden/>
          </w:rPr>
          <w:fldChar w:fldCharType="begin"/>
        </w:r>
        <w:r w:rsidR="00BE07A7">
          <w:rPr>
            <w:webHidden/>
          </w:rPr>
          <w:instrText xml:space="preserve"> PAGEREF _Toc50469742 \h </w:instrText>
        </w:r>
        <w:r w:rsidR="00BE07A7">
          <w:rPr>
            <w:webHidden/>
          </w:rPr>
        </w:r>
        <w:r w:rsidR="00BE07A7">
          <w:rPr>
            <w:webHidden/>
          </w:rPr>
          <w:fldChar w:fldCharType="separate"/>
        </w:r>
        <w:r w:rsidR="00B45641">
          <w:rPr>
            <w:webHidden/>
          </w:rPr>
          <w:t>106</w:t>
        </w:r>
        <w:r w:rsidR="00BE07A7">
          <w:rPr>
            <w:webHidden/>
          </w:rPr>
          <w:fldChar w:fldCharType="end"/>
        </w:r>
      </w:hyperlink>
    </w:p>
    <w:p w14:paraId="5319544C" w14:textId="77777777" w:rsidR="006F7D33" w:rsidRDefault="00893AF1" w:rsidP="00BB728C">
      <w:r>
        <w:fldChar w:fldCharType="end"/>
      </w:r>
    </w:p>
    <w:p w14:paraId="0DC3D3BC" w14:textId="1686D3ED" w:rsidR="002C296A" w:rsidRDefault="002C296A" w:rsidP="00697C6A">
      <w:pPr>
        <w:pStyle w:val="Numberedheading1"/>
        <w:tabs>
          <w:tab w:val="num" w:pos="1418"/>
        </w:tabs>
        <w:ind w:left="1418" w:hanging="1134"/>
      </w:pPr>
      <w:r>
        <w:br w:type="page"/>
      </w:r>
      <w:bookmarkStart w:id="24" w:name="_Toc50469734"/>
      <w:r w:rsidR="00697C6A">
        <w:lastRenderedPageBreak/>
        <w:t xml:space="preserve">1 </w:t>
      </w:r>
      <w:r w:rsidR="00697C6A">
        <w:tab/>
      </w:r>
      <w:r w:rsidRPr="009E470D">
        <w:t>Introduction</w:t>
      </w:r>
      <w:bookmarkEnd w:id="24"/>
    </w:p>
    <w:p w14:paraId="2C9E8AE5" w14:textId="62EACA22" w:rsidR="002C296A" w:rsidRPr="00E10156" w:rsidRDefault="002C296A" w:rsidP="002C296A">
      <w:pPr>
        <w:pStyle w:val="Paragraph"/>
      </w:pPr>
      <w:r w:rsidRPr="00623619">
        <w:t xml:space="preserve">This briefing paper presents a structured </w:t>
      </w:r>
      <w:r>
        <w:t>overview of potential quality improvement areas for</w:t>
      </w:r>
      <w:r w:rsidR="009A6ABF">
        <w:t xml:space="preserve"> venous thromboembolic diseases (QS update)</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5943447D" w14:textId="77777777" w:rsidR="002C296A" w:rsidRDefault="002C296A" w:rsidP="006A60F0">
      <w:pPr>
        <w:pStyle w:val="Numberedheading2"/>
        <w:numPr>
          <w:ilvl w:val="1"/>
          <w:numId w:val="2"/>
        </w:numPr>
        <w:tabs>
          <w:tab w:val="clear" w:pos="1276"/>
          <w:tab w:val="num" w:pos="1134"/>
        </w:tabs>
        <w:ind w:left="1134"/>
      </w:pPr>
      <w:r w:rsidRPr="005A61AD">
        <w:t>Structure</w:t>
      </w:r>
    </w:p>
    <w:p w14:paraId="04A74C53" w14:textId="77777777"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2127C89F" w14:textId="77777777"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 xml:space="preserve">from the key development source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0E4845A5" w14:textId="77777777" w:rsidR="00C22DED" w:rsidRPr="00D862D3" w:rsidRDefault="000750FD" w:rsidP="00B879EA">
      <w:pPr>
        <w:pStyle w:val="Numberedheading2"/>
        <w:numPr>
          <w:ilvl w:val="1"/>
          <w:numId w:val="2"/>
        </w:numPr>
        <w:tabs>
          <w:tab w:val="clear" w:pos="1276"/>
          <w:tab w:val="num" w:pos="1134"/>
        </w:tabs>
        <w:ind w:left="1134"/>
      </w:pPr>
      <w:r w:rsidRPr="00D862D3">
        <w:t>D</w:t>
      </w:r>
      <w:r w:rsidR="00C22DED" w:rsidRPr="00D862D3">
        <w:t>evelopment source</w:t>
      </w:r>
    </w:p>
    <w:p w14:paraId="05A4822B" w14:textId="6707DE68" w:rsidR="00C22DED" w:rsidRPr="00E10156" w:rsidRDefault="003B6DDC" w:rsidP="002C296A">
      <w:pPr>
        <w:pStyle w:val="Paragraph"/>
      </w:pPr>
      <w:r>
        <w:t>T</w:t>
      </w:r>
      <w:r w:rsidR="00C22DED">
        <w:t>he key development source</w:t>
      </w:r>
      <w:r w:rsidR="00F07DA1">
        <w:t>s</w:t>
      </w:r>
      <w:r w:rsidR="009A6ABF">
        <w:t xml:space="preserve"> referenced</w:t>
      </w:r>
      <w:r w:rsidR="00C22DED">
        <w:t xml:space="preserve"> in this briefing paper</w:t>
      </w:r>
      <w:r w:rsidR="00766AE9">
        <w:t xml:space="preserve"> </w:t>
      </w:r>
      <w:r w:rsidR="00F07DA1">
        <w:t>are</w:t>
      </w:r>
      <w:r w:rsidR="009A6ABF">
        <w:t>:</w:t>
      </w:r>
    </w:p>
    <w:bookmarkStart w:id="25" w:name="_Hlk29976423"/>
    <w:bookmarkStart w:id="26" w:name="_Hlk45723414"/>
    <w:p w14:paraId="3FC30EB7" w14:textId="443958B1" w:rsidR="009A6ABF" w:rsidRPr="00E30E0D" w:rsidRDefault="00B879EA" w:rsidP="009A6ABF">
      <w:pPr>
        <w:pStyle w:val="Paragraph"/>
      </w:pPr>
      <w:r>
        <w:fldChar w:fldCharType="begin"/>
      </w:r>
      <w:r>
        <w:instrText xml:space="preserve"> HYPERLINK "https://www.nice.org.uk/guidance/NG158" </w:instrText>
      </w:r>
      <w:r>
        <w:fldChar w:fldCharType="separate"/>
      </w:r>
      <w:r w:rsidR="009A6ABF" w:rsidRPr="00B879EA">
        <w:rPr>
          <w:rStyle w:val="Hyperlink"/>
        </w:rPr>
        <w:t>Venous thromboembolic diseases: diagnosis, management and thrombophilia testing</w:t>
      </w:r>
      <w:bookmarkEnd w:id="25"/>
      <w:r>
        <w:fldChar w:fldCharType="end"/>
      </w:r>
      <w:r w:rsidR="009A6ABF" w:rsidRPr="00E30E0D">
        <w:t xml:space="preserve"> (2020) NICE guideline NG158</w:t>
      </w:r>
    </w:p>
    <w:bookmarkStart w:id="27" w:name="_Hlk45723268"/>
    <w:bookmarkEnd w:id="26"/>
    <w:p w14:paraId="07D32223" w14:textId="0819FD74" w:rsidR="009A6ABF" w:rsidRPr="00E30E0D" w:rsidRDefault="009A6ABF" w:rsidP="00BB728C">
      <w:pPr>
        <w:pStyle w:val="Paragraph"/>
      </w:pPr>
      <w:r w:rsidRPr="00E30E0D">
        <w:fldChar w:fldCharType="begin"/>
      </w:r>
      <w:r w:rsidR="00E30E0D">
        <w:instrText>HYPERLINK "https://www.nice.org.uk/guidance/ng89"</w:instrText>
      </w:r>
      <w:r w:rsidRPr="00E30E0D">
        <w:fldChar w:fldCharType="separate"/>
      </w:r>
      <w:r w:rsidRPr="00E30E0D">
        <w:rPr>
          <w:rStyle w:val="Hyperlink"/>
        </w:rPr>
        <w:t>Venous thromboembolism in over 16s: reducing the risk of hospital-acquired deep vein thrombosis or pulmonary embolism</w:t>
      </w:r>
      <w:r w:rsidRPr="00E30E0D">
        <w:fldChar w:fldCharType="end"/>
      </w:r>
      <w:bookmarkEnd w:id="27"/>
      <w:r w:rsidRPr="00E30E0D">
        <w:t xml:space="preserve"> (2018) NICE guideline NG89</w:t>
      </w:r>
    </w:p>
    <w:p w14:paraId="1F2EA363" w14:textId="2860E757" w:rsidR="002C296A" w:rsidRDefault="002C296A" w:rsidP="00697C6A">
      <w:pPr>
        <w:pStyle w:val="Numberedheading1"/>
        <w:numPr>
          <w:ilvl w:val="0"/>
          <w:numId w:val="2"/>
        </w:numPr>
      </w:pPr>
      <w:bookmarkStart w:id="28" w:name="_Toc50469735"/>
      <w:r>
        <w:t>Overview</w:t>
      </w:r>
      <w:bookmarkEnd w:id="28"/>
    </w:p>
    <w:p w14:paraId="5B3ED86B" w14:textId="089A88EA" w:rsidR="002C296A" w:rsidRDefault="00697C6A" w:rsidP="00697C6A">
      <w:pPr>
        <w:pStyle w:val="Numberedheading2"/>
        <w:tabs>
          <w:tab w:val="num" w:pos="1134"/>
        </w:tabs>
        <w:ind w:left="1134" w:hanging="1134"/>
      </w:pPr>
      <w:r>
        <w:t xml:space="preserve">2.1 </w:t>
      </w:r>
      <w:r>
        <w:tab/>
      </w:r>
      <w:r w:rsidR="002C296A">
        <w:t>Focus of quality standard</w:t>
      </w:r>
    </w:p>
    <w:p w14:paraId="7EC3F6BB" w14:textId="5956973D" w:rsidR="00E30E0D" w:rsidRDefault="00E30E0D" w:rsidP="00E30E0D">
      <w:pPr>
        <w:pStyle w:val="NICEnormal"/>
      </w:pPr>
      <w:r>
        <w:t>This quality standard will cover</w:t>
      </w:r>
      <w:r w:rsidRPr="002F6E43">
        <w:t xml:space="preserve"> </w:t>
      </w:r>
      <w:r w:rsidR="00202B02">
        <w:t xml:space="preserve">both </w:t>
      </w:r>
      <w:r w:rsidR="00D8515B">
        <w:t>the diagnosis and treatment of acute</w:t>
      </w:r>
      <w:r w:rsidR="003E1E24" w:rsidRPr="003E1E24">
        <w:rPr>
          <w:rFonts w:ascii="Times New Roman" w:hAnsi="Times New Roman"/>
        </w:rPr>
        <w:t xml:space="preserve"> </w:t>
      </w:r>
      <w:r w:rsidR="001D5C13">
        <w:t>v</w:t>
      </w:r>
      <w:r w:rsidR="003E1E24" w:rsidRPr="003E1E24">
        <w:t xml:space="preserve">enous thromboembolism (VTE) </w:t>
      </w:r>
      <w:r w:rsidR="00D8515B">
        <w:t xml:space="preserve">and </w:t>
      </w:r>
      <w:r>
        <w:t xml:space="preserve">reducing the risk of </w:t>
      </w:r>
      <w:r w:rsidRPr="002F6E43">
        <w:t xml:space="preserve">suspected or confirmed deep vein thrombosis (DVT) or pulmonary embolism (PE) in people aged 16 and over. </w:t>
      </w:r>
      <w:r>
        <w:t>A range of s</w:t>
      </w:r>
      <w:r w:rsidRPr="002F6E43">
        <w:t>ettings</w:t>
      </w:r>
      <w:r w:rsidR="00202B02">
        <w:t xml:space="preserve"> and healthcare practitioners</w:t>
      </w:r>
      <w:r w:rsidR="00D8515B">
        <w:t xml:space="preserve"> </w:t>
      </w:r>
      <w:r w:rsidRPr="002F6E43">
        <w:t xml:space="preserve">will </w:t>
      </w:r>
      <w:r w:rsidR="00202B02">
        <w:t xml:space="preserve">also </w:t>
      </w:r>
      <w:r>
        <w:t xml:space="preserve">be </w:t>
      </w:r>
      <w:r w:rsidRPr="002F6E43">
        <w:t>include</w:t>
      </w:r>
      <w:r>
        <w:t>d</w:t>
      </w:r>
      <w:r w:rsidR="00202B02">
        <w:t>.</w:t>
      </w:r>
      <w:r>
        <w:t xml:space="preserve"> </w:t>
      </w:r>
    </w:p>
    <w:p w14:paraId="5DB6A083" w14:textId="77777777" w:rsidR="00BA47A0" w:rsidRDefault="00E30E0D" w:rsidP="00E30E0D">
      <w:pPr>
        <w:pStyle w:val="NICEnormal"/>
      </w:pPr>
      <w:bookmarkStart w:id="29" w:name="_Hlk46215585"/>
      <w:r w:rsidRPr="00787721">
        <w:t>This quality standard will replace the existing NICE quality standard</w:t>
      </w:r>
      <w:r>
        <w:t>s</w:t>
      </w:r>
      <w:r w:rsidRPr="00787721">
        <w:t xml:space="preserve"> for </w:t>
      </w:r>
      <w:r>
        <w:t xml:space="preserve">venous thromboembolism diseases </w:t>
      </w:r>
      <w:r w:rsidRPr="00787721">
        <w:t>(</w:t>
      </w:r>
      <w:hyperlink r:id="rId8" w:history="1">
        <w:r w:rsidRPr="00B32F4C">
          <w:rPr>
            <w:rStyle w:val="Hyperlink"/>
          </w:rPr>
          <w:t>QS3</w:t>
        </w:r>
      </w:hyperlink>
      <w:r>
        <w:t xml:space="preserve"> and </w:t>
      </w:r>
      <w:hyperlink r:id="rId9" w:history="1">
        <w:r w:rsidRPr="00B32F4C">
          <w:rPr>
            <w:rStyle w:val="Hyperlink"/>
          </w:rPr>
          <w:t>QS29</w:t>
        </w:r>
      </w:hyperlink>
      <w:r w:rsidRPr="00787721">
        <w:t>). The topic was identified for update following the annual review of quality standards in</w:t>
      </w:r>
      <w:r>
        <w:t xml:space="preserve"> 2017/18</w:t>
      </w:r>
      <w:r w:rsidRPr="00787721">
        <w:t>. The review identified that there had been changes in the areas for improvement.</w:t>
      </w:r>
      <w:r>
        <w:t xml:space="preserve"> The quality standards will be replaced </w:t>
      </w:r>
      <w:r w:rsidR="00E66616">
        <w:t xml:space="preserve">by </w:t>
      </w:r>
      <w:r>
        <w:t xml:space="preserve">one single quality standard using </w:t>
      </w:r>
      <w:r w:rsidR="00DD343A">
        <w:t xml:space="preserve">two </w:t>
      </w:r>
      <w:r w:rsidR="00D8515B">
        <w:t xml:space="preserve">updated </w:t>
      </w:r>
      <w:r w:rsidR="002F33E2">
        <w:t xml:space="preserve">NICE </w:t>
      </w:r>
      <w:r w:rsidR="00DD343A">
        <w:t xml:space="preserve">guidelines which cover the whole pathway </w:t>
      </w:r>
      <w:r w:rsidR="002F33E2">
        <w:t xml:space="preserve">with </w:t>
      </w:r>
      <w:r w:rsidR="002F33E2" w:rsidRPr="002F33E2">
        <w:t xml:space="preserve">new </w:t>
      </w:r>
      <w:r w:rsidR="002F33E2">
        <w:t xml:space="preserve">primary care </w:t>
      </w:r>
      <w:r w:rsidR="002F33E2" w:rsidRPr="002F33E2">
        <w:t xml:space="preserve">guidance on </w:t>
      </w:r>
      <w:hyperlink r:id="rId10" w:history="1">
        <w:r w:rsidR="002F33E2" w:rsidRPr="002F33E2">
          <w:rPr>
            <w:rStyle w:val="Hyperlink"/>
          </w:rPr>
          <w:t>Venous thromboembolic diseases: diagnosis, management and thrombophilia testing</w:t>
        </w:r>
      </w:hyperlink>
      <w:r w:rsidR="002F33E2" w:rsidRPr="002F33E2">
        <w:t xml:space="preserve"> (NG158)</w:t>
      </w:r>
      <w:r w:rsidR="002F33E2">
        <w:t xml:space="preserve"> and secondary care prevention on </w:t>
      </w:r>
      <w:hyperlink r:id="rId11" w:history="1">
        <w:r>
          <w:rPr>
            <w:rStyle w:val="Hyperlink"/>
          </w:rPr>
          <w:t>Venous thromboembolism in over 16s: reducing the risk of hospital-acquired deep vein thrombosis or pulmonary embolism (NG89</w:t>
        </w:r>
      </w:hyperlink>
      <w:r>
        <w:t>)</w:t>
      </w:r>
      <w:bookmarkEnd w:id="29"/>
      <w:r w:rsidR="002F33E2">
        <w:t>.</w:t>
      </w:r>
      <w:r w:rsidR="00344BF2">
        <w:t xml:space="preserve"> </w:t>
      </w:r>
    </w:p>
    <w:p w14:paraId="15E082DC" w14:textId="75AE2CB2" w:rsidR="00E30E0D" w:rsidRDefault="00BA47A0" w:rsidP="00E30E0D">
      <w:pPr>
        <w:pStyle w:val="NICEnormal"/>
      </w:pPr>
      <w:r>
        <w:t>In addition w</w:t>
      </w:r>
      <w:r w:rsidR="00CD0A72">
        <w:t>e asked stakeholders at topic engagement if they</w:t>
      </w:r>
      <w:r w:rsidR="00CD0A72" w:rsidRPr="00CD0A72">
        <w:t xml:space="preserve"> support the proposal to update QS3 and QS29</w:t>
      </w:r>
      <w:r>
        <w:t>, f</w:t>
      </w:r>
      <w:r w:rsidR="00CD0A72">
        <w:t xml:space="preserve">eedback will be discussed at the Committee on 16 September. </w:t>
      </w:r>
    </w:p>
    <w:p w14:paraId="50568661" w14:textId="0289BE3C" w:rsidR="002C296A" w:rsidRDefault="00697C6A" w:rsidP="00BF70EA">
      <w:pPr>
        <w:pStyle w:val="Numberedheading2"/>
      </w:pPr>
      <w:bookmarkStart w:id="30" w:name="_Hlk50019338"/>
      <w:r>
        <w:t>2.2</w:t>
      </w:r>
      <w:r>
        <w:tab/>
      </w:r>
      <w:r w:rsidR="002C296A">
        <w:t>Definition</w:t>
      </w:r>
      <w:r w:rsidR="00F33551">
        <w:t>s</w:t>
      </w:r>
      <w:r w:rsidR="00CB7B63">
        <w:t xml:space="preserve"> </w:t>
      </w:r>
    </w:p>
    <w:bookmarkEnd w:id="30"/>
    <w:p w14:paraId="3126F9A0" w14:textId="68BCAAB7" w:rsidR="00AE788F" w:rsidRPr="00AE788F" w:rsidRDefault="00AE788F" w:rsidP="00AE788F">
      <w:pPr>
        <w:pStyle w:val="Paragraph"/>
        <w:rPr>
          <w:b/>
          <w:bCs/>
        </w:rPr>
      </w:pPr>
      <w:r w:rsidRPr="00AE788F">
        <w:rPr>
          <w:b/>
          <w:bCs/>
        </w:rPr>
        <w:t>Venous thromboembolism</w:t>
      </w:r>
      <w:r w:rsidR="00F33551">
        <w:rPr>
          <w:b/>
          <w:bCs/>
        </w:rPr>
        <w:t xml:space="preserve"> </w:t>
      </w:r>
      <w:r w:rsidR="003E1E24">
        <w:rPr>
          <w:b/>
          <w:bCs/>
        </w:rPr>
        <w:t>(VTE)</w:t>
      </w:r>
    </w:p>
    <w:p w14:paraId="1E701B58" w14:textId="46195046" w:rsidR="00AE788F" w:rsidRPr="00AE788F" w:rsidRDefault="003E1E24" w:rsidP="00AE788F">
      <w:pPr>
        <w:pStyle w:val="Paragraph"/>
      </w:pPr>
      <w:r>
        <w:t>VTE</w:t>
      </w:r>
      <w:r w:rsidR="00E66616">
        <w:t xml:space="preserve"> is the formation of</w:t>
      </w:r>
      <w:r w:rsidR="00D30CCC">
        <w:t xml:space="preserve"> </w:t>
      </w:r>
      <w:r w:rsidR="00AE788F" w:rsidRPr="00AE788F">
        <w:t>a blood clot in a vein, usually in the deep veins of the legs or pelvis. This is known as deep vein thrombosis</w:t>
      </w:r>
      <w:r w:rsidR="00415864">
        <w:t xml:space="preserve"> </w:t>
      </w:r>
      <w:r w:rsidR="00AE788F" w:rsidRPr="00AE788F">
        <w:t>(DVT). The blood clot can dislodge and travel in the blood, particularly to the pulmonary arteries. This is known as pulmonary embolism (PE). The term 'VTE' includes both DVT and PE.</w:t>
      </w:r>
    </w:p>
    <w:p w14:paraId="09EBCF4E" w14:textId="0865D5D5" w:rsidR="00F33551" w:rsidRDefault="00AE788F" w:rsidP="00AE788F">
      <w:pPr>
        <w:pStyle w:val="Paragraph"/>
      </w:pPr>
      <w:r w:rsidRPr="00AE788F">
        <w:t>Failure to diagnose and treat VTE correctly can result in fatal PE, in which the blood clot blocks the blood supply to the lungs. However, diagnosis of VTE is not always straightforward.</w:t>
      </w:r>
      <w:r>
        <w:t xml:space="preserve"> </w:t>
      </w:r>
    </w:p>
    <w:p w14:paraId="2112AE38" w14:textId="1170CC99" w:rsidR="00F33551" w:rsidRPr="00F33551" w:rsidRDefault="00F33551" w:rsidP="00F33551">
      <w:pPr>
        <w:pStyle w:val="Paragraph"/>
        <w:rPr>
          <w:b/>
          <w:bCs/>
        </w:rPr>
      </w:pPr>
      <w:r w:rsidRPr="00F33551">
        <w:rPr>
          <w:b/>
          <w:bCs/>
        </w:rPr>
        <w:t xml:space="preserve">Hospital-acquired </w:t>
      </w:r>
      <w:r w:rsidR="003E1E24">
        <w:rPr>
          <w:b/>
          <w:bCs/>
        </w:rPr>
        <w:t>VTE</w:t>
      </w:r>
    </w:p>
    <w:p w14:paraId="45C8F092" w14:textId="0BFC1D68" w:rsidR="00F33551" w:rsidRDefault="00F33551" w:rsidP="00AE788F">
      <w:pPr>
        <w:pStyle w:val="Paragraph"/>
      </w:pPr>
      <w:r w:rsidRPr="00F33551">
        <w:t xml:space="preserve">Hospital-acquired venous thromboembolism (VTE), also known as hospital-acquired or hospital-associated thrombosis (HAT), covers all VTE that occurs in hospital and within 90 days after a hospital admission. It is a common and potentially preventable problem. </w:t>
      </w:r>
    </w:p>
    <w:p w14:paraId="26A42555" w14:textId="2A466F69" w:rsidR="003731A3" w:rsidRDefault="003731A3" w:rsidP="003731A3">
      <w:pPr>
        <w:pStyle w:val="Numberedheading2"/>
      </w:pPr>
      <w:r w:rsidRPr="003731A3">
        <w:t>2.3 Incidence</w:t>
      </w:r>
      <w:r w:rsidR="008525DB">
        <w:t xml:space="preserve">, </w:t>
      </w:r>
      <w:r w:rsidRPr="003731A3">
        <w:t>mortality</w:t>
      </w:r>
      <w:r w:rsidR="008525DB">
        <w:t xml:space="preserve"> and disability</w:t>
      </w:r>
      <w:r w:rsidRPr="003731A3">
        <w:t xml:space="preserve"> </w:t>
      </w:r>
    </w:p>
    <w:p w14:paraId="6C307767" w14:textId="1854A6B2" w:rsidR="00726F9F" w:rsidRPr="003731A3" w:rsidRDefault="008525DB" w:rsidP="00D8515B">
      <w:pPr>
        <w:pStyle w:val="Paragraph"/>
      </w:pPr>
      <w:r>
        <w:t xml:space="preserve">The </w:t>
      </w:r>
      <w:r w:rsidRPr="008525DB">
        <w:t xml:space="preserve">All-Party Parliamentary Thrombosis Group (2019) </w:t>
      </w:r>
      <w:hyperlink r:id="rId12" w:history="1">
        <w:r w:rsidRPr="008525DB">
          <w:rPr>
            <w:rStyle w:val="Hyperlink"/>
          </w:rPr>
          <w:t>Annual Review</w:t>
        </w:r>
      </w:hyperlink>
      <w:r>
        <w:t xml:space="preserve"> reported </w:t>
      </w:r>
      <w:r w:rsidR="00447152">
        <w:t xml:space="preserve">that </w:t>
      </w:r>
      <w:r w:rsidRPr="008525DB">
        <w:t>VTE</w:t>
      </w:r>
      <w:r w:rsidR="00447152">
        <w:t xml:space="preserve"> </w:t>
      </w:r>
      <w:r w:rsidRPr="008525DB">
        <w:t>is a significant cause of mortality and disability in England with thousands of deaths directly attributed to it each year</w:t>
      </w:r>
      <w:r>
        <w:t xml:space="preserve"> </w:t>
      </w:r>
      <w:r w:rsidR="007A4ED6">
        <w:t>and</w:t>
      </w:r>
      <w:r>
        <w:t xml:space="preserve"> an </w:t>
      </w:r>
      <w:r w:rsidRPr="008525DB">
        <w:t>estimated incidence rate of 1-2 per 1,000 of the population</w:t>
      </w:r>
      <w:r>
        <w:t>. 1</w:t>
      </w:r>
      <w:r w:rsidRPr="008525DB">
        <w:t xml:space="preserve"> in </w:t>
      </w:r>
      <w:r>
        <w:t>20</w:t>
      </w:r>
      <w:r w:rsidRPr="008525DB">
        <w:t xml:space="preserve"> people will have VTE during their lifetime and more than half of those events are associated with prior hospitalisation. At least two thirds of </w:t>
      </w:r>
      <w:r>
        <w:t>HAT</w:t>
      </w:r>
      <w:r w:rsidRPr="008525DB">
        <w:t xml:space="preserve"> </w:t>
      </w:r>
      <w:r w:rsidR="00644595">
        <w:t xml:space="preserve">cases </w:t>
      </w:r>
      <w:r w:rsidRPr="008525DB">
        <w:t>are preventable through VTE risk assessment and the administration of appropriate thromboprophylaxis, however currently VTE is one of the most common forms of hospital mortality.</w:t>
      </w:r>
    </w:p>
    <w:p w14:paraId="707B49B7" w14:textId="3DF7CD3E" w:rsidR="003731A3" w:rsidRDefault="003731A3" w:rsidP="003731A3">
      <w:pPr>
        <w:pStyle w:val="Numberedheading2"/>
      </w:pPr>
      <w:r>
        <w:t xml:space="preserve">2.4 </w:t>
      </w:r>
      <w:r w:rsidR="00A42A08">
        <w:t>Policy</w:t>
      </w:r>
    </w:p>
    <w:p w14:paraId="5AE1C9C5" w14:textId="5B472F2E" w:rsidR="00A42A08" w:rsidRPr="00A42A08" w:rsidRDefault="00A42A08" w:rsidP="00A42A08">
      <w:pPr>
        <w:pStyle w:val="Paragraph"/>
      </w:pPr>
      <w:r w:rsidRPr="00A42A08">
        <w:t xml:space="preserve">The </w:t>
      </w:r>
      <w:r w:rsidRPr="00415864">
        <w:t>National VTE prevention programme</w:t>
      </w:r>
      <w:r w:rsidRPr="00A42A08">
        <w:t xml:space="preserve"> was launched in England in 2010 by the Department of Health. This included the mandatory VTE risk assessment of 90% (later increased to 95%) of all people admitted to hospital. In 2014, a national VTE CQUIN goal required healthcare providers to meet and exceed a VTE risk </w:t>
      </w:r>
      <w:r w:rsidRPr="00A42A08">
        <w:lastRenderedPageBreak/>
        <w:t xml:space="preserve">assessment monthly target of 95% each month. This is now a national requirement included in the </w:t>
      </w:r>
      <w:hyperlink r:id="rId13" w:history="1">
        <w:r w:rsidRPr="00A42A08">
          <w:rPr>
            <w:rStyle w:val="Hyperlink"/>
          </w:rPr>
          <w:t>NHS Standard Contract for 2020/21</w:t>
        </w:r>
      </w:hyperlink>
      <w:r w:rsidRPr="00A42A08">
        <w:t>.</w:t>
      </w:r>
    </w:p>
    <w:p w14:paraId="4104D952" w14:textId="3A365F4E" w:rsidR="00415864" w:rsidRDefault="00415864" w:rsidP="006E4690">
      <w:pPr>
        <w:pStyle w:val="Bulletparagraph"/>
        <w:numPr>
          <w:ilvl w:val="0"/>
          <w:numId w:val="0"/>
        </w:numPr>
      </w:pPr>
    </w:p>
    <w:p w14:paraId="34F51BC0" w14:textId="535A12BF" w:rsidR="00415864" w:rsidRDefault="00415864" w:rsidP="00415864">
      <w:pPr>
        <w:pStyle w:val="Numberedheading2"/>
      </w:pPr>
      <w:r>
        <w:t>2.5 C</w:t>
      </w:r>
      <w:r w:rsidRPr="00415864">
        <w:t>urrent service delivery and management</w:t>
      </w:r>
    </w:p>
    <w:p w14:paraId="256629D9" w14:textId="24934683" w:rsidR="00726F9F" w:rsidRDefault="00726F9F" w:rsidP="006E4690">
      <w:pPr>
        <w:pStyle w:val="Bulletparagraph"/>
        <w:numPr>
          <w:ilvl w:val="0"/>
          <w:numId w:val="0"/>
        </w:numPr>
      </w:pPr>
      <w:r>
        <w:t xml:space="preserve">The NICE </w:t>
      </w:r>
      <w:hyperlink r:id="rId14" w:anchor="path=view%3A/pathways/venous-thromboembolism/venous-thromboembolism-overview.xml&amp;content=view-info-category%3Aview-about-menu" w:history="1">
        <w:r w:rsidRPr="008525DB">
          <w:rPr>
            <w:rStyle w:val="Hyperlink"/>
          </w:rPr>
          <w:t>pathway</w:t>
        </w:r>
      </w:hyperlink>
      <w:r>
        <w:t xml:space="preserve"> </w:t>
      </w:r>
      <w:r w:rsidR="006E4690">
        <w:t>illustrates</w:t>
      </w:r>
      <w:r>
        <w:t xml:space="preserve"> </w:t>
      </w:r>
      <w:r w:rsidR="008525DB">
        <w:t>VTE</w:t>
      </w:r>
      <w:r>
        <w:t xml:space="preserve"> care across multiple </w:t>
      </w:r>
      <w:r w:rsidR="008525DB">
        <w:t xml:space="preserve">care </w:t>
      </w:r>
      <w:r>
        <w:t xml:space="preserve">settings involving a range of healthcare </w:t>
      </w:r>
      <w:r w:rsidR="008525DB">
        <w:t>practitioners</w:t>
      </w:r>
      <w:r w:rsidR="00A944E0">
        <w:t xml:space="preserve"> to conduct and lead on</w:t>
      </w:r>
      <w:r w:rsidR="008525DB">
        <w:t>:</w:t>
      </w:r>
    </w:p>
    <w:p w14:paraId="44831074" w14:textId="731AFF50" w:rsidR="00726F9F" w:rsidRDefault="00726F9F" w:rsidP="00726F9F">
      <w:pPr>
        <w:pStyle w:val="Bulletparagraph"/>
        <w:numPr>
          <w:ilvl w:val="0"/>
          <w:numId w:val="0"/>
        </w:numPr>
        <w:ind w:left="360" w:hanging="360"/>
      </w:pPr>
    </w:p>
    <w:p w14:paraId="781297B9" w14:textId="0AE3CB84" w:rsidR="00726F9F" w:rsidRPr="00726F9F" w:rsidRDefault="00726F9F" w:rsidP="007F298D">
      <w:pPr>
        <w:pStyle w:val="Bulletparagraph"/>
        <w:numPr>
          <w:ilvl w:val="0"/>
          <w:numId w:val="7"/>
        </w:numPr>
      </w:pPr>
      <w:r w:rsidRPr="00726F9F">
        <w:t>assessing and reducing the risk of VTE in adults admitted to hospital</w:t>
      </w:r>
    </w:p>
    <w:p w14:paraId="7C5386FE" w14:textId="77777777" w:rsidR="00726F9F" w:rsidRPr="00726F9F" w:rsidRDefault="00726F9F" w:rsidP="007F298D">
      <w:pPr>
        <w:pStyle w:val="Bulletparagraph"/>
        <w:numPr>
          <w:ilvl w:val="0"/>
          <w:numId w:val="7"/>
        </w:numPr>
      </w:pPr>
      <w:r w:rsidRPr="00726F9F">
        <w:t>diagnosing VTE in adults in primary, secondary and tertiary care, including Wells score, D-dimer measurement, ultrasound and radiological imaging</w:t>
      </w:r>
    </w:p>
    <w:p w14:paraId="2B6EC8F8" w14:textId="77777777" w:rsidR="00726F9F" w:rsidRPr="00726F9F" w:rsidRDefault="00726F9F" w:rsidP="007F298D">
      <w:pPr>
        <w:pStyle w:val="Bulletparagraph"/>
        <w:numPr>
          <w:ilvl w:val="0"/>
          <w:numId w:val="7"/>
        </w:numPr>
      </w:pPr>
      <w:r w:rsidRPr="00726F9F">
        <w:t>treating VTE in adults</w:t>
      </w:r>
    </w:p>
    <w:p w14:paraId="3DF7CAED" w14:textId="1D24DBFD" w:rsidR="008525DB" w:rsidRDefault="00726F9F" w:rsidP="007F298D">
      <w:pPr>
        <w:pStyle w:val="Bulletparagraph"/>
        <w:numPr>
          <w:ilvl w:val="0"/>
          <w:numId w:val="7"/>
        </w:numPr>
      </w:pPr>
      <w:r w:rsidRPr="00726F9F">
        <w:t>investigations for cancer and testing for thrombophilia in adults diagnosed with VTE.</w:t>
      </w:r>
    </w:p>
    <w:p w14:paraId="1951D19A" w14:textId="77777777" w:rsidR="008525DB" w:rsidRDefault="008525DB" w:rsidP="008525DB">
      <w:pPr>
        <w:pStyle w:val="Paragraph"/>
      </w:pPr>
      <w:r>
        <w:t>In</w:t>
      </w:r>
      <w:r w:rsidRPr="00604E28">
        <w:t xml:space="preserve"> the updated 2018 NICE guideline </w:t>
      </w:r>
      <w:hyperlink r:id="rId15" w:history="1">
        <w:r w:rsidRPr="00604E28">
          <w:rPr>
            <w:rStyle w:val="Hyperlink"/>
          </w:rPr>
          <w:t>NG89</w:t>
        </w:r>
      </w:hyperlink>
      <w:r w:rsidRPr="00604E28">
        <w:t>, new evidence emerged for new treatment for specific groups.</w:t>
      </w:r>
      <w:r>
        <w:t xml:space="preserve"> In the updated 2020 NICE guideline </w:t>
      </w:r>
      <w:hyperlink r:id="rId16" w:history="1">
        <w:r w:rsidRPr="00202B02">
          <w:rPr>
            <w:rStyle w:val="Hyperlink"/>
          </w:rPr>
          <w:t>NG158</w:t>
        </w:r>
      </w:hyperlink>
      <w:r>
        <w:t>, n</w:t>
      </w:r>
      <w:r w:rsidRPr="00AE788F">
        <w:t>ew evidence has</w:t>
      </w:r>
      <w:r>
        <w:t xml:space="preserve"> also </w:t>
      </w:r>
      <w:r w:rsidRPr="00AE788F">
        <w:t xml:space="preserve">emerged </w:t>
      </w:r>
      <w:r>
        <w:t xml:space="preserve">and practice has changed for the diagnosis and management of VTE </w:t>
      </w:r>
      <w:r w:rsidRPr="00AE788F">
        <w:t>in relation to the use of</w:t>
      </w:r>
      <w:r>
        <w:t xml:space="preserve"> the following:</w:t>
      </w:r>
    </w:p>
    <w:p w14:paraId="72E2C5BA" w14:textId="03B61127" w:rsidR="008525DB" w:rsidRDefault="008525DB" w:rsidP="008525DB">
      <w:pPr>
        <w:pStyle w:val="Bulletparagraph"/>
      </w:pPr>
      <w:r w:rsidRPr="00AE788F">
        <w:t>direct oral anticoagulants</w:t>
      </w:r>
    </w:p>
    <w:p w14:paraId="00C86709" w14:textId="7ABCA562" w:rsidR="008525DB" w:rsidRDefault="008525DB" w:rsidP="008525DB">
      <w:pPr>
        <w:pStyle w:val="Bulletparagraph"/>
      </w:pPr>
      <w:r w:rsidRPr="00AE788F">
        <w:t xml:space="preserve">prognostic tools </w:t>
      </w:r>
    </w:p>
    <w:p w14:paraId="23257E7E" w14:textId="4FBE0999" w:rsidR="008525DB" w:rsidRDefault="008525DB" w:rsidP="008525DB">
      <w:pPr>
        <w:pStyle w:val="Bulletparagraph"/>
      </w:pPr>
      <w:r w:rsidRPr="00AE788F">
        <w:t xml:space="preserve">diagnosis of VTE using age-adjusted and point-of-care D-dimer testing pulmonary embolism rule-out criteria </w:t>
      </w:r>
    </w:p>
    <w:p w14:paraId="7072606B" w14:textId="48831A95" w:rsidR="008525DB" w:rsidRDefault="008525DB" w:rsidP="008525DB">
      <w:pPr>
        <w:pStyle w:val="Bulletparagraph"/>
      </w:pPr>
      <w:r w:rsidRPr="00AE788F">
        <w:t xml:space="preserve">outpatient treatment for PE </w:t>
      </w:r>
    </w:p>
    <w:p w14:paraId="6EE9DA7F" w14:textId="77777777" w:rsidR="008525DB" w:rsidRDefault="008525DB" w:rsidP="008525DB">
      <w:pPr>
        <w:pStyle w:val="Bulletparagraph"/>
      </w:pPr>
      <w:r w:rsidRPr="00AE788F">
        <w:t xml:space="preserve">inferior vena caval filters </w:t>
      </w:r>
      <w:r>
        <w:t xml:space="preserve">(IVCF) </w:t>
      </w:r>
      <w:r w:rsidRPr="00AE788F">
        <w:t xml:space="preserve">and </w:t>
      </w:r>
    </w:p>
    <w:p w14:paraId="1C7038D8" w14:textId="77777777" w:rsidR="008525DB" w:rsidRDefault="008525DB" w:rsidP="008525DB">
      <w:pPr>
        <w:pStyle w:val="Bulletparagraph"/>
      </w:pPr>
      <w:r w:rsidRPr="00AE788F">
        <w:t>investigations for cancer in people with unprovoked VTE</w:t>
      </w:r>
      <w:r>
        <w:t xml:space="preserve">. </w:t>
      </w:r>
    </w:p>
    <w:p w14:paraId="6DC1A3B6" w14:textId="60E1966B" w:rsidR="00726F9F" w:rsidRDefault="00726F9F" w:rsidP="008525DB">
      <w:pPr>
        <w:pStyle w:val="Bulletparagraph"/>
        <w:numPr>
          <w:ilvl w:val="0"/>
          <w:numId w:val="0"/>
        </w:numPr>
      </w:pPr>
    </w:p>
    <w:p w14:paraId="0771C4B2" w14:textId="21D9E970" w:rsidR="006E02D9" w:rsidRPr="00644595" w:rsidRDefault="00644595" w:rsidP="00644595">
      <w:pPr>
        <w:pStyle w:val="Numberedheading2"/>
      </w:pPr>
      <w:r>
        <w:t xml:space="preserve">2.6 </w:t>
      </w:r>
      <w:r w:rsidR="00C142A8" w:rsidRPr="00644595">
        <w:t>COVID-19</w:t>
      </w:r>
    </w:p>
    <w:p w14:paraId="62587A7F" w14:textId="555DE612" w:rsidR="00BE07A7" w:rsidRDefault="00121AF9" w:rsidP="00BE07A7">
      <w:pPr>
        <w:pStyle w:val="Bulletparagraph"/>
        <w:numPr>
          <w:ilvl w:val="0"/>
          <w:numId w:val="0"/>
        </w:numPr>
      </w:pPr>
      <w:r w:rsidRPr="00121AF9">
        <w:t>Emerging data and clinical experience suggests</w:t>
      </w:r>
      <w:r w:rsidR="008678BA">
        <w:t xml:space="preserve"> </w:t>
      </w:r>
      <w:r w:rsidRPr="00121AF9">
        <w:t xml:space="preserve">an increased prevalence of venous thromboembolic events </w:t>
      </w:r>
      <w:r w:rsidR="00415864">
        <w:t>during the COVID-19 pandemic</w:t>
      </w:r>
      <w:r>
        <w:t xml:space="preserve"> </w:t>
      </w:r>
      <w:r w:rsidRPr="00121AF9">
        <w:t>especially in patients with more severe disease</w:t>
      </w:r>
      <w:r>
        <w:t>.</w:t>
      </w:r>
      <w:r w:rsidRPr="00121AF9">
        <w:t xml:space="preserve"> </w:t>
      </w:r>
    </w:p>
    <w:p w14:paraId="0E501164" w14:textId="30B7DC6E" w:rsidR="00352C1D" w:rsidRDefault="00352C1D" w:rsidP="00BE07A7">
      <w:pPr>
        <w:pStyle w:val="Bulletparagraph"/>
        <w:numPr>
          <w:ilvl w:val="0"/>
          <w:numId w:val="0"/>
        </w:numPr>
      </w:pPr>
    </w:p>
    <w:p w14:paraId="658A0FE1" w14:textId="2D2ED760" w:rsidR="00BE07A7" w:rsidRPr="00BE07A7" w:rsidRDefault="00352C1D" w:rsidP="00AA267D">
      <w:pPr>
        <w:pStyle w:val="Bulletparagraph"/>
        <w:numPr>
          <w:ilvl w:val="0"/>
          <w:numId w:val="0"/>
        </w:numPr>
      </w:pPr>
      <w:r w:rsidRPr="00352C1D">
        <w:t>NHS England</w:t>
      </w:r>
      <w:r>
        <w:t xml:space="preserve"> published a </w:t>
      </w:r>
      <w:hyperlink r:id="rId17" w:history="1">
        <w:r w:rsidRPr="00352C1D">
          <w:rPr>
            <w:rStyle w:val="Hyperlink"/>
          </w:rPr>
          <w:t>Clinical guide for the management of anticoagulant services during the coronavirus pandemic</w:t>
        </w:r>
      </w:hyperlink>
      <w:r>
        <w:t xml:space="preserve"> and </w:t>
      </w:r>
      <w:r w:rsidR="00BE07A7" w:rsidRPr="00BE07A7">
        <w:t xml:space="preserve">The British Thoracic Society has published a range of information, guidance and resources to support the respiratory community including </w:t>
      </w:r>
      <w:hyperlink r:id="rId18" w:history="1">
        <w:r w:rsidR="00BE07A7" w:rsidRPr="00BE07A7">
          <w:rPr>
            <w:rStyle w:val="Hyperlink"/>
          </w:rPr>
          <w:t>Guidance on Venous Thromboembolic Disease in patients with COVID-19</w:t>
        </w:r>
      </w:hyperlink>
      <w:r w:rsidR="00BE07A7" w:rsidRPr="00BE07A7">
        <w:t xml:space="preserve">.  </w:t>
      </w:r>
    </w:p>
    <w:p w14:paraId="3EBCE6CE" w14:textId="77777777" w:rsidR="00BE07A7" w:rsidRDefault="00BE07A7" w:rsidP="00BE07A7">
      <w:pPr>
        <w:pStyle w:val="Bulletparagraph"/>
        <w:numPr>
          <w:ilvl w:val="0"/>
          <w:numId w:val="0"/>
        </w:numPr>
      </w:pPr>
    </w:p>
    <w:p w14:paraId="7BD7986E" w14:textId="61BD85A5" w:rsidR="00C84213" w:rsidRDefault="00C84213" w:rsidP="00BE07A7">
      <w:pPr>
        <w:pStyle w:val="Bulletparagraph"/>
        <w:numPr>
          <w:ilvl w:val="0"/>
          <w:numId w:val="0"/>
        </w:numPr>
      </w:pPr>
      <w:r w:rsidRPr="00C84213">
        <w:t>At topic engagement, stakeholders highlighted a number of issues relating to COVID-19 that we should take into account when developing this quality standard.</w:t>
      </w:r>
      <w:r w:rsidR="00BE07A7">
        <w:t xml:space="preserve"> </w:t>
      </w:r>
      <w:r>
        <w:t xml:space="preserve">These </w:t>
      </w:r>
      <w:r w:rsidR="008525DB">
        <w:t>comments</w:t>
      </w:r>
      <w:r>
        <w:t xml:space="preserve"> are included in the paper</w:t>
      </w:r>
      <w:r w:rsidR="00121AF9">
        <w:t xml:space="preserve"> and will be discussed at </w:t>
      </w:r>
      <w:r w:rsidR="00BE07A7">
        <w:t xml:space="preserve">the </w:t>
      </w:r>
      <w:r w:rsidR="00121AF9">
        <w:t>Committee</w:t>
      </w:r>
      <w:r>
        <w:t>.</w:t>
      </w:r>
    </w:p>
    <w:p w14:paraId="0C36AE95" w14:textId="28D439A3" w:rsidR="00BE07A7" w:rsidRDefault="00BE07A7" w:rsidP="00BE07A7">
      <w:pPr>
        <w:pStyle w:val="Bulletparagraph"/>
        <w:numPr>
          <w:ilvl w:val="0"/>
          <w:numId w:val="0"/>
        </w:numPr>
      </w:pPr>
    </w:p>
    <w:p w14:paraId="05E4E2F9" w14:textId="211C75A4" w:rsidR="002C296A" w:rsidRDefault="00381592" w:rsidP="00352C1D">
      <w:pPr>
        <w:pStyle w:val="Numberedheading1"/>
        <w:tabs>
          <w:tab w:val="num" w:pos="1134"/>
        </w:tabs>
      </w:pPr>
      <w:bookmarkStart w:id="31" w:name="_Toc340835232"/>
      <w:bookmarkEnd w:id="31"/>
      <w:r>
        <w:br w:type="page"/>
      </w:r>
      <w:bookmarkStart w:id="32" w:name="_Toc50469736"/>
      <w:r w:rsidR="00697C6A">
        <w:lastRenderedPageBreak/>
        <w:t>3</w:t>
      </w:r>
      <w:r w:rsidR="00697C6A">
        <w:tab/>
      </w:r>
      <w:r w:rsidR="002C296A">
        <w:t>Summary of suggestions</w:t>
      </w:r>
      <w:bookmarkEnd w:id="32"/>
    </w:p>
    <w:p w14:paraId="38E4225B" w14:textId="7EBC8256" w:rsidR="002C296A" w:rsidRPr="007D4B1A" w:rsidRDefault="00697C6A" w:rsidP="002C296A">
      <w:pPr>
        <w:pStyle w:val="Numberedheading2"/>
      </w:pPr>
      <w:r>
        <w:t xml:space="preserve">3.1 </w:t>
      </w:r>
      <w:r>
        <w:tab/>
        <w:t xml:space="preserve">    </w:t>
      </w:r>
      <w:r w:rsidR="002C296A">
        <w:t>Responses</w:t>
      </w:r>
    </w:p>
    <w:p w14:paraId="2306C3DE" w14:textId="5B2F29CF" w:rsidR="0012414A" w:rsidRDefault="002C296A" w:rsidP="0012414A">
      <w:pPr>
        <w:pStyle w:val="Paragraph"/>
      </w:pPr>
      <w:r>
        <w:t xml:space="preserve">In total </w:t>
      </w:r>
      <w:r w:rsidR="008A5783">
        <w:t>20</w:t>
      </w:r>
      <w:r w:rsidR="00E12A17">
        <w:t xml:space="preserve"> </w:t>
      </w:r>
      <w:r w:rsidR="006D50F4">
        <w:t xml:space="preserve">registered </w:t>
      </w:r>
      <w:r>
        <w:t xml:space="preserve">stakeholders </w:t>
      </w:r>
      <w:r w:rsidR="000604CD">
        <w:t>responded to the 2-week engagement exer</w:t>
      </w:r>
      <w:r w:rsidR="00E56515">
        <w:t xml:space="preserve">cise </w:t>
      </w:r>
      <w:r w:rsidR="00AD3118">
        <w:t>22/7/2020-5/8/2020</w:t>
      </w:r>
      <w:r w:rsidR="000604CD">
        <w:t>.</w:t>
      </w:r>
      <w:r>
        <w:t xml:space="preserve"> </w:t>
      </w:r>
      <w:r w:rsidR="008A5783">
        <w:t>17</w:t>
      </w:r>
      <w:r w:rsidR="00CC4B4E">
        <w:t xml:space="preserve"> of these registered stakeholders provided areas for quality improvement and </w:t>
      </w:r>
      <w:r w:rsidR="00FC0B50">
        <w:t>3</w:t>
      </w:r>
      <w:r w:rsidR="00CC4B4E">
        <w:t xml:space="preserve"> advised they had no comment to make. </w:t>
      </w:r>
      <w:r w:rsidR="00AB14D0" w:rsidRPr="00AD3118">
        <w:t xml:space="preserve">We also received comments from </w:t>
      </w:r>
      <w:r w:rsidR="00AD3118" w:rsidRPr="00AD3118">
        <w:t>9</w:t>
      </w:r>
      <w:r w:rsidR="00AB14D0" w:rsidRPr="00AD3118">
        <w:t xml:space="preserve"> specialist committee members.</w:t>
      </w:r>
      <w:r w:rsidR="00D44D8A">
        <w:t xml:space="preserve"> The responses have been merged and summarised </w:t>
      </w:r>
      <w:r w:rsidR="00D44D8A" w:rsidRPr="00140C3A">
        <w:t>in table</w:t>
      </w:r>
      <w:r w:rsidR="00D44D8A">
        <w:t> </w:t>
      </w:r>
      <w:r w:rsidR="005C54A0">
        <w:t>1</w:t>
      </w:r>
      <w:r w:rsidR="00D44D8A">
        <w:t xml:space="preserve"> for further consideration by the Committee</w:t>
      </w:r>
      <w:r w:rsidR="00D44D8A" w:rsidRPr="00E12A17">
        <w:t>.</w:t>
      </w:r>
    </w:p>
    <w:p w14:paraId="4C98053B" w14:textId="1C91A6DE" w:rsidR="000C5484" w:rsidRDefault="00011EBF" w:rsidP="00E12A17">
      <w:pPr>
        <w:pStyle w:val="Paragraph"/>
      </w:pPr>
      <w:r>
        <w:t>F</w:t>
      </w:r>
      <w:r w:rsidR="00E12A17" w:rsidRPr="00E12A17">
        <w:t>ull detail</w:t>
      </w:r>
      <w:r>
        <w:t>s</w:t>
      </w:r>
      <w:r w:rsidR="00E12A17" w:rsidRPr="00E12A17">
        <w:t xml:space="preserve"> o</w:t>
      </w:r>
      <w:r w:rsidR="001C7AC5">
        <w:t>f all</w:t>
      </w:r>
      <w:r w:rsidR="00E12A17" w:rsidRPr="00E12A17">
        <w:t xml:space="preserve"> the suggestions </w:t>
      </w:r>
      <w:r w:rsidR="00E12A17">
        <w:t>provided</w:t>
      </w:r>
      <w:r w:rsidR="002F64BD">
        <w:t xml:space="preserve"> are given</w:t>
      </w:r>
      <w:r w:rsidR="00E12A17">
        <w:t xml:space="preserve"> in appendi</w:t>
      </w:r>
      <w:r w:rsidR="008155F2">
        <w:t>ces</w:t>
      </w:r>
      <w:r w:rsidR="0043294A">
        <w:t> </w:t>
      </w:r>
      <w:r w:rsidR="008155F2">
        <w:t>3 and 4</w:t>
      </w:r>
      <w:r w:rsidR="00E12A17" w:rsidRPr="00E12A17">
        <w:t xml:space="preserve"> for information.</w:t>
      </w:r>
    </w:p>
    <w:p w14:paraId="230C51E6" w14:textId="2A44CB1F" w:rsidR="00697C6A" w:rsidRDefault="00697C6A" w:rsidP="00E12A17">
      <w:pPr>
        <w:pStyle w:val="Paragraph"/>
      </w:pPr>
      <w:r w:rsidRPr="00697C6A">
        <w:t xml:space="preserve">The NHS England </w:t>
      </w:r>
      <w:r w:rsidR="00FC0B50">
        <w:t>&amp; Improvement Patient Safety Team</w:t>
      </w:r>
      <w:r w:rsidRPr="00697C6A">
        <w:t xml:space="preserve"> submitted comments </w:t>
      </w:r>
      <w:r w:rsidR="00D66EC6">
        <w:t xml:space="preserve">which </w:t>
      </w:r>
      <w:r w:rsidRPr="00697C6A">
        <w:t>can be found in full in appendix</w:t>
      </w:r>
      <w:r w:rsidR="00F53D39">
        <w:t xml:space="preserve"> </w:t>
      </w:r>
      <w:r w:rsidR="00D66EC6">
        <w:t>5</w:t>
      </w:r>
      <w:r w:rsidRPr="00697C6A">
        <w:t>.</w:t>
      </w:r>
    </w:p>
    <w:p w14:paraId="7F0D8A96" w14:textId="007DE19D" w:rsidR="005A61AD" w:rsidRPr="006E608E" w:rsidRDefault="005A61AD" w:rsidP="00DD0BD8">
      <w:pPr>
        <w:pStyle w:val="Heading3"/>
      </w:pPr>
      <w:r w:rsidRPr="006E608E">
        <w:lastRenderedPageBreak/>
        <w:t xml:space="preserve">Table </w:t>
      </w:r>
      <w:r w:rsidR="005C54A0">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358"/>
        <w:gridCol w:w="2658"/>
      </w:tblGrid>
      <w:tr w:rsidR="00F04826" w:rsidRPr="00DD0BD8" w14:paraId="75031D58" w14:textId="77777777" w:rsidTr="00AA3A48">
        <w:trPr>
          <w:tblHeader/>
        </w:trPr>
        <w:tc>
          <w:tcPr>
            <w:tcW w:w="3526" w:type="pct"/>
            <w:shd w:val="clear" w:color="auto" w:fill="auto"/>
          </w:tcPr>
          <w:p w14:paraId="458A9ABF" w14:textId="77777777" w:rsidR="00F04826" w:rsidRPr="00DD0BD8" w:rsidRDefault="00F04826" w:rsidP="00DD0BD8">
            <w:pPr>
              <w:pStyle w:val="Tabletitle"/>
            </w:pPr>
            <w:r w:rsidRPr="00DD0BD8">
              <w:t>Suggested area for improvement</w:t>
            </w:r>
          </w:p>
        </w:tc>
        <w:tc>
          <w:tcPr>
            <w:tcW w:w="1474" w:type="pct"/>
            <w:shd w:val="clear" w:color="auto" w:fill="auto"/>
          </w:tcPr>
          <w:p w14:paraId="715F6DC5" w14:textId="77777777" w:rsidR="00F04826" w:rsidRPr="00DD0BD8" w:rsidRDefault="00F04826" w:rsidP="00DD0BD8">
            <w:pPr>
              <w:pStyle w:val="Tabletitle"/>
            </w:pPr>
            <w:r w:rsidRPr="00DD0BD8">
              <w:t>Stakeholder</w:t>
            </w:r>
            <w:r w:rsidR="0027103E" w:rsidRPr="00DD0BD8">
              <w:t>s</w:t>
            </w:r>
            <w:r w:rsidRPr="00DD0BD8">
              <w:t xml:space="preserve"> </w:t>
            </w:r>
          </w:p>
        </w:tc>
      </w:tr>
      <w:tr w:rsidR="00813B1B" w:rsidRPr="00F04826" w14:paraId="1CCE96DE"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16ED4D41" w14:textId="0D767B5D" w:rsidR="00813B1B" w:rsidRDefault="001B7A2F" w:rsidP="00A813F7">
            <w:pPr>
              <w:pStyle w:val="Tabletitle"/>
            </w:pPr>
            <w:r>
              <w:t>Reducing risk in hospital patients</w:t>
            </w:r>
          </w:p>
          <w:p w14:paraId="7EFCE28B" w14:textId="14E52FAF" w:rsidR="008D0C83" w:rsidRDefault="008D0C83" w:rsidP="008D0C83">
            <w:pPr>
              <w:pStyle w:val="Bulletstable"/>
            </w:pPr>
            <w:bookmarkStart w:id="33" w:name="_Hlk50137503"/>
            <w:r w:rsidRPr="008D0C83">
              <w:t>Risk assessment</w:t>
            </w:r>
          </w:p>
          <w:p w14:paraId="37631747" w14:textId="2D3B9AAE" w:rsidR="00B17FB4" w:rsidRDefault="00B17FB4" w:rsidP="008D0C83">
            <w:pPr>
              <w:pStyle w:val="Bulletstable"/>
            </w:pPr>
            <w:r w:rsidRPr="00B17FB4">
              <w:t>Pulmonary embolism rule-out criteria (the PERC rule)</w:t>
            </w:r>
          </w:p>
          <w:p w14:paraId="1676BEEB" w14:textId="5E489B32" w:rsidR="005E6A41" w:rsidRDefault="005E6A41" w:rsidP="008D0C83">
            <w:pPr>
              <w:pStyle w:val="Bulletstable"/>
            </w:pPr>
            <w:r w:rsidRPr="005E6A41">
              <w:t>P</w:t>
            </w:r>
            <w:r w:rsidRPr="00785BAE">
              <w:t>lanning for discharge</w:t>
            </w:r>
          </w:p>
          <w:p w14:paraId="1C7BFEBC" w14:textId="77777777" w:rsidR="00E81D4B" w:rsidRDefault="005B2306" w:rsidP="004B474F">
            <w:pPr>
              <w:pStyle w:val="Bulletstable"/>
            </w:pPr>
            <w:r w:rsidRPr="005B2306">
              <w:t>Advance planning for elective surgery</w:t>
            </w:r>
            <w:bookmarkEnd w:id="33"/>
          </w:p>
          <w:p w14:paraId="454DAC8E" w14:textId="14486AAA" w:rsidR="00EF3C3A" w:rsidRPr="003347E5" w:rsidRDefault="00EF3C3A" w:rsidP="004B474F">
            <w:pPr>
              <w:pStyle w:val="Bulletstable"/>
            </w:pPr>
            <w:r>
              <w:t>Orthopaedic surgery</w:t>
            </w:r>
          </w:p>
        </w:tc>
        <w:tc>
          <w:tcPr>
            <w:tcW w:w="1474" w:type="pct"/>
            <w:tcBorders>
              <w:top w:val="single" w:sz="4" w:space="0" w:color="auto"/>
              <w:left w:val="single" w:sz="4" w:space="0" w:color="auto"/>
              <w:right w:val="single" w:sz="4" w:space="0" w:color="auto"/>
            </w:tcBorders>
          </w:tcPr>
          <w:p w14:paraId="3D5DBD08" w14:textId="50593E56" w:rsidR="00642E91" w:rsidRDefault="00644595" w:rsidP="00FB3BAF">
            <w:pPr>
              <w:pStyle w:val="Tabletext"/>
            </w:pPr>
            <w:r w:rsidRPr="00796ECB">
              <w:t xml:space="preserve">APPGVVD, </w:t>
            </w:r>
            <w:r w:rsidR="00642E91" w:rsidRPr="00642E91">
              <w:t xml:space="preserve">BAYER, </w:t>
            </w:r>
            <w:r w:rsidRPr="00796ECB">
              <w:t xml:space="preserve">BTS, </w:t>
            </w:r>
          </w:p>
          <w:p w14:paraId="4FE1999A" w14:textId="2E362C8B" w:rsidR="00813B1B" w:rsidRPr="00796ECB" w:rsidRDefault="00642E91" w:rsidP="00FB3BAF">
            <w:pPr>
              <w:pStyle w:val="Tabletext"/>
            </w:pPr>
            <w:r w:rsidRPr="00642E91">
              <w:t>CLOT</w:t>
            </w:r>
            <w:r>
              <w:t xml:space="preserve">, </w:t>
            </w:r>
            <w:r w:rsidRPr="00642E91">
              <w:t>FRSHCEU,</w:t>
            </w:r>
            <w:r w:rsidRPr="00642E91">
              <w:rPr>
                <w:rFonts w:ascii="Times New Roman" w:hAnsi="Times New Roman"/>
                <w:sz w:val="24"/>
              </w:rPr>
              <w:t xml:space="preserve"> </w:t>
            </w:r>
            <w:r w:rsidRPr="00642E91">
              <w:t>NPSA,</w:t>
            </w:r>
            <w:r w:rsidRPr="00642E91">
              <w:rPr>
                <w:rFonts w:ascii="Times New Roman" w:hAnsi="Times New Roman"/>
                <w:sz w:val="24"/>
              </w:rPr>
              <w:t xml:space="preserve"> </w:t>
            </w:r>
            <w:r w:rsidRPr="00642E91">
              <w:t>SCM2, SCM3, SCM4</w:t>
            </w:r>
            <w:r>
              <w:t xml:space="preserve">, </w:t>
            </w:r>
            <w:r w:rsidRPr="00642E91">
              <w:t>SCM5</w:t>
            </w:r>
            <w:r>
              <w:t xml:space="preserve">, </w:t>
            </w:r>
            <w:r w:rsidRPr="00642E91">
              <w:t>SCM6,</w:t>
            </w:r>
            <w:r>
              <w:t xml:space="preserve"> </w:t>
            </w:r>
            <w:r w:rsidR="00644595" w:rsidRPr="00796ECB">
              <w:t>SCM7,  SCM8, SCM9</w:t>
            </w:r>
            <w:r>
              <w:t xml:space="preserve">, </w:t>
            </w:r>
            <w:r w:rsidRPr="00642E91">
              <w:t>THUK</w:t>
            </w:r>
          </w:p>
        </w:tc>
      </w:tr>
      <w:tr w:rsidR="00C0457B" w:rsidRPr="00F04826" w14:paraId="0F6CEBF0"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13899FB3" w14:textId="2BC5449A" w:rsidR="00C0457B" w:rsidRPr="00C077C4" w:rsidRDefault="00BE234B" w:rsidP="00A813F7">
            <w:pPr>
              <w:pStyle w:val="Tabletitle"/>
            </w:pPr>
            <w:r>
              <w:t>Diagnosis and initial management</w:t>
            </w:r>
          </w:p>
          <w:p w14:paraId="220DE2C1" w14:textId="77777777" w:rsidR="00675CEE" w:rsidRDefault="00C077C4" w:rsidP="00675CEE">
            <w:pPr>
              <w:pStyle w:val="Bulletstable"/>
            </w:pPr>
            <w:r w:rsidRPr="00C077C4">
              <w:t>Proximal leg vein ultrasound scan</w:t>
            </w:r>
          </w:p>
          <w:p w14:paraId="0E73765E" w14:textId="4511CDA6" w:rsidR="001472A5" w:rsidRPr="00C077C4" w:rsidRDefault="001472A5" w:rsidP="00675CEE">
            <w:pPr>
              <w:pStyle w:val="Bulletstable"/>
            </w:pPr>
            <w:r w:rsidRPr="00E81D4B">
              <w:t>Interim therapeutic anticoagulation</w:t>
            </w:r>
          </w:p>
        </w:tc>
        <w:tc>
          <w:tcPr>
            <w:tcW w:w="1474" w:type="pct"/>
            <w:tcBorders>
              <w:top w:val="single" w:sz="4" w:space="0" w:color="auto"/>
              <w:left w:val="single" w:sz="4" w:space="0" w:color="auto"/>
              <w:right w:val="single" w:sz="4" w:space="0" w:color="auto"/>
            </w:tcBorders>
          </w:tcPr>
          <w:p w14:paraId="7E90ADEA" w14:textId="1CD044BF" w:rsidR="00C0457B" w:rsidRPr="00796ECB" w:rsidRDefault="00642E91" w:rsidP="00FB3BAF">
            <w:pPr>
              <w:pStyle w:val="Tabletext"/>
            </w:pPr>
            <w:r w:rsidRPr="00642E91">
              <w:t>BMSPA, BTS, CLOT, SCM3, SCM5</w:t>
            </w:r>
            <w:r>
              <w:t xml:space="preserve">, </w:t>
            </w:r>
            <w:r w:rsidR="00644595" w:rsidRPr="00796ECB">
              <w:t xml:space="preserve">SCM6, SCM7, THUK </w:t>
            </w:r>
          </w:p>
        </w:tc>
      </w:tr>
      <w:tr w:rsidR="00416F0B" w:rsidRPr="00F04826" w14:paraId="79A42AD1"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5B7899E1" w14:textId="324A758A" w:rsidR="00416F0B" w:rsidRPr="00416F0B" w:rsidRDefault="00416F0B" w:rsidP="00416F0B">
            <w:pPr>
              <w:pStyle w:val="Tabletitle"/>
              <w:rPr>
                <w:bCs/>
              </w:rPr>
            </w:pPr>
            <w:r>
              <w:t xml:space="preserve">Anticoagulation treatment </w:t>
            </w:r>
          </w:p>
          <w:p w14:paraId="049731CB" w14:textId="75949F71" w:rsidR="00785BAE" w:rsidRPr="00CF3DD7" w:rsidRDefault="00416F0B" w:rsidP="005B2306">
            <w:pPr>
              <w:pStyle w:val="Bulletstable"/>
            </w:pPr>
            <w:r w:rsidRPr="00CF3DD7">
              <w:t>Confirmed DVT or PE</w:t>
            </w:r>
            <w:r w:rsidR="005B2306">
              <w:t xml:space="preserve"> </w:t>
            </w:r>
          </w:p>
          <w:p w14:paraId="6B7BBF69" w14:textId="207F586B" w:rsidR="00AB5D35" w:rsidRPr="00B85EFA" w:rsidRDefault="00416F0B" w:rsidP="00B85EFA">
            <w:pPr>
              <w:pStyle w:val="Bulletstable"/>
              <w:rPr>
                <w:b/>
                <w:bCs/>
              </w:rPr>
            </w:pPr>
            <w:r w:rsidRPr="00CF3DD7">
              <w:t>Long-term anticoagulation for secondary prevention</w:t>
            </w:r>
          </w:p>
        </w:tc>
        <w:tc>
          <w:tcPr>
            <w:tcW w:w="1474" w:type="pct"/>
            <w:tcBorders>
              <w:top w:val="single" w:sz="4" w:space="0" w:color="auto"/>
              <w:left w:val="single" w:sz="4" w:space="0" w:color="auto"/>
              <w:right w:val="single" w:sz="4" w:space="0" w:color="auto"/>
            </w:tcBorders>
          </w:tcPr>
          <w:p w14:paraId="33D1B608" w14:textId="64B47B5E" w:rsidR="00B72A4C" w:rsidRPr="00B72A4C" w:rsidRDefault="00644595" w:rsidP="00B72A4C">
            <w:pPr>
              <w:pStyle w:val="Tabletext"/>
            </w:pPr>
            <w:r w:rsidRPr="00796ECB">
              <w:t>APPGVVD,</w:t>
            </w:r>
            <w:r w:rsidR="00642E91" w:rsidRPr="00642E91">
              <w:rPr>
                <w:rFonts w:ascii="Times New Roman" w:hAnsi="Times New Roman"/>
                <w:sz w:val="24"/>
              </w:rPr>
              <w:t xml:space="preserve"> </w:t>
            </w:r>
            <w:r w:rsidR="00642E91" w:rsidRPr="00642E91">
              <w:t>ATCUK</w:t>
            </w:r>
            <w:r w:rsidR="00DD2F2D" w:rsidRPr="00796ECB">
              <w:t xml:space="preserve">, BAYER, BMSPA, </w:t>
            </w:r>
            <w:r w:rsidR="00B72A4C" w:rsidRPr="00B72A4C">
              <w:t xml:space="preserve">BSH, LEO, </w:t>
            </w:r>
            <w:r w:rsidR="00DD2F2D" w:rsidRPr="00796ECB">
              <w:t xml:space="preserve">SCM1, </w:t>
            </w:r>
            <w:r w:rsidR="00B72A4C" w:rsidRPr="00B72A4C">
              <w:t>SCM3, SCM4, SCM5</w:t>
            </w:r>
          </w:p>
          <w:p w14:paraId="056B1F80" w14:textId="21F32C5F" w:rsidR="00416F0B" w:rsidRPr="00796ECB" w:rsidRDefault="00B72A4C" w:rsidP="00FB3BAF">
            <w:pPr>
              <w:pStyle w:val="Tabletext"/>
            </w:pPr>
            <w:r w:rsidRPr="00B72A4C">
              <w:t>SCM6,</w:t>
            </w:r>
            <w:r>
              <w:t xml:space="preserve"> </w:t>
            </w:r>
            <w:r w:rsidRPr="00B72A4C">
              <w:t>SCM7, THUK</w:t>
            </w:r>
          </w:p>
        </w:tc>
      </w:tr>
      <w:tr w:rsidR="00C0457B" w:rsidRPr="00F04826" w14:paraId="2FB81761"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0FE59281" w14:textId="3A73ABA3" w:rsidR="00E578AE" w:rsidRDefault="00E14A25" w:rsidP="00A813F7">
            <w:pPr>
              <w:pStyle w:val="Tabletitle"/>
            </w:pPr>
            <w:r>
              <w:t>Further interventions and tests</w:t>
            </w:r>
          </w:p>
          <w:p w14:paraId="028C7232" w14:textId="19D0C98A" w:rsidR="00416F0B" w:rsidRPr="00FC7507" w:rsidRDefault="00416F0B" w:rsidP="00FC7507">
            <w:pPr>
              <w:pStyle w:val="Bulletstable"/>
              <w:rPr>
                <w:u w:val="single"/>
              </w:rPr>
            </w:pPr>
            <w:r>
              <w:t>Mechanical interventions</w:t>
            </w:r>
            <w:r w:rsidR="00FC7507">
              <w:t xml:space="preserve"> </w:t>
            </w:r>
          </w:p>
          <w:p w14:paraId="16562296" w14:textId="5E0F0675" w:rsidR="00C0457B" w:rsidRPr="00C077C4" w:rsidRDefault="005B2306" w:rsidP="005B2306">
            <w:pPr>
              <w:pStyle w:val="Bulletstable"/>
            </w:pPr>
            <w:bookmarkStart w:id="34" w:name="_Hlk50194599"/>
            <w:r>
              <w:t xml:space="preserve">Investigating the causes of DVT and PE </w:t>
            </w:r>
            <w:bookmarkEnd w:id="34"/>
          </w:p>
        </w:tc>
        <w:tc>
          <w:tcPr>
            <w:tcW w:w="1474" w:type="pct"/>
            <w:tcBorders>
              <w:top w:val="single" w:sz="4" w:space="0" w:color="auto"/>
              <w:left w:val="single" w:sz="4" w:space="0" w:color="auto"/>
              <w:right w:val="single" w:sz="4" w:space="0" w:color="auto"/>
            </w:tcBorders>
          </w:tcPr>
          <w:p w14:paraId="017990E3" w14:textId="5C5DED60" w:rsidR="00C0457B" w:rsidRPr="00796ECB" w:rsidRDefault="00DD2F2D" w:rsidP="00DD56F6">
            <w:pPr>
              <w:pStyle w:val="Tabletext"/>
            </w:pPr>
            <w:r w:rsidRPr="00796ECB">
              <w:t xml:space="preserve">APPGVVD, </w:t>
            </w:r>
            <w:r w:rsidR="00B72A4C" w:rsidRPr="00B72A4C">
              <w:t xml:space="preserve">ATCUK, BSH </w:t>
            </w:r>
            <w:r w:rsidRPr="00796ECB">
              <w:t xml:space="preserve">BSIR, </w:t>
            </w:r>
            <w:r w:rsidR="00B72A4C" w:rsidRPr="00B72A4C">
              <w:t xml:space="preserve">LEO, SCM5, </w:t>
            </w:r>
            <w:r w:rsidRPr="00796ECB">
              <w:t>SCM6, SCM8</w:t>
            </w:r>
          </w:p>
        </w:tc>
      </w:tr>
      <w:tr w:rsidR="00C0457B" w:rsidRPr="00F04826" w14:paraId="733AE33B"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09A7F714" w14:textId="695ACDA0" w:rsidR="00E578AE" w:rsidRDefault="00C077C4" w:rsidP="00A813F7">
            <w:pPr>
              <w:pStyle w:val="Tabletitle"/>
            </w:pPr>
            <w:r w:rsidRPr="008F6AB4">
              <w:t>Information and support</w:t>
            </w:r>
          </w:p>
          <w:p w14:paraId="5B8F54D5" w14:textId="3CE5D4E5" w:rsidR="00B85EFA" w:rsidRPr="00B85EFA" w:rsidRDefault="00B85EFA" w:rsidP="00B85EFA">
            <w:pPr>
              <w:pStyle w:val="Bulletstable"/>
            </w:pPr>
            <w:r w:rsidRPr="00B85EFA">
              <w:t>Outpatient treatment for low-risk PE</w:t>
            </w:r>
          </w:p>
          <w:p w14:paraId="7B0D6DE9" w14:textId="4FFD5FED" w:rsidR="00C0457B" w:rsidRPr="008F6AB4" w:rsidRDefault="00AB5D35" w:rsidP="00675CEE">
            <w:pPr>
              <w:pStyle w:val="Bulletstable"/>
            </w:pPr>
            <w:bookmarkStart w:id="35" w:name="_Hlk50276952"/>
            <w:r w:rsidRPr="00AB5D35">
              <w:t>Shared decision making and supporting adherence</w:t>
            </w:r>
            <w:bookmarkEnd w:id="35"/>
          </w:p>
        </w:tc>
        <w:tc>
          <w:tcPr>
            <w:tcW w:w="1474" w:type="pct"/>
            <w:tcBorders>
              <w:top w:val="single" w:sz="4" w:space="0" w:color="auto"/>
              <w:left w:val="single" w:sz="4" w:space="0" w:color="auto"/>
              <w:right w:val="single" w:sz="4" w:space="0" w:color="auto"/>
            </w:tcBorders>
          </w:tcPr>
          <w:p w14:paraId="4D3E89D7" w14:textId="57A9894A" w:rsidR="00C0457B" w:rsidRPr="00796ECB" w:rsidRDefault="00B72A4C" w:rsidP="00DD0BD8">
            <w:pPr>
              <w:pStyle w:val="Tabletext"/>
              <w:rPr>
                <w:szCs w:val="22"/>
              </w:rPr>
            </w:pPr>
            <w:r w:rsidRPr="00B72A4C">
              <w:t>ATCUK, BAYER, BMSPA, BTS, CLOT, SCM1</w:t>
            </w:r>
            <w:r>
              <w:t xml:space="preserve">, </w:t>
            </w:r>
            <w:r w:rsidR="00DD2F2D" w:rsidRPr="00B72A4C">
              <w:t>SCM3, SCM5, SCM8</w:t>
            </w:r>
          </w:p>
        </w:tc>
      </w:tr>
      <w:tr w:rsidR="00C0457B" w:rsidRPr="00F04826" w14:paraId="44E007DF"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352C3E61" w14:textId="07198E67" w:rsidR="00C0457B" w:rsidRPr="008F6AB4" w:rsidRDefault="00D41D49" w:rsidP="00A813F7">
            <w:pPr>
              <w:pStyle w:val="Tabletitle"/>
            </w:pPr>
            <w:r w:rsidRPr="008F6AB4">
              <w:t>Additional areas</w:t>
            </w:r>
          </w:p>
          <w:p w14:paraId="3FEBC3A0" w14:textId="52BC94A2" w:rsidR="003D4ED3" w:rsidRDefault="003D4ED3" w:rsidP="00C077C4">
            <w:pPr>
              <w:pStyle w:val="Bulletstable"/>
            </w:pPr>
            <w:r w:rsidRPr="003D4ED3">
              <w:t>Access to more complex therapies</w:t>
            </w:r>
          </w:p>
          <w:p w14:paraId="7A78B4B2" w14:textId="701B077E" w:rsidR="00C077C4" w:rsidRDefault="00C077C4" w:rsidP="00C077C4">
            <w:pPr>
              <w:pStyle w:val="Bulletstable"/>
            </w:pPr>
            <w:r w:rsidRPr="008F6AB4">
              <w:t>C</w:t>
            </w:r>
            <w:r w:rsidR="00B85EFA">
              <w:t>OVID</w:t>
            </w:r>
            <w:r w:rsidRPr="008F6AB4">
              <w:t>-19</w:t>
            </w:r>
          </w:p>
          <w:p w14:paraId="27430887" w14:textId="1DD70A57" w:rsidR="00097970" w:rsidRPr="008F6AB4" w:rsidRDefault="00097970" w:rsidP="00C077C4">
            <w:pPr>
              <w:pStyle w:val="Bulletstable"/>
            </w:pPr>
            <w:r>
              <w:t>Equality considerations</w:t>
            </w:r>
          </w:p>
          <w:p w14:paraId="6C82447F" w14:textId="0817A33A" w:rsidR="004706E6" w:rsidRDefault="004706E6" w:rsidP="00C7744D">
            <w:pPr>
              <w:pStyle w:val="Bulletstable"/>
            </w:pPr>
            <w:r>
              <w:t>Scope</w:t>
            </w:r>
          </w:p>
          <w:p w14:paraId="0DDDA1FE" w14:textId="1ABB7F35" w:rsidR="00F53D39" w:rsidRDefault="00F53D39" w:rsidP="00F53D39">
            <w:pPr>
              <w:pStyle w:val="Bulletstable"/>
            </w:pPr>
            <w:r w:rsidRPr="00F53D39">
              <w:t>Service delivery</w:t>
            </w:r>
          </w:p>
          <w:p w14:paraId="138AE9E8" w14:textId="3DAFE1E7" w:rsidR="004706E6" w:rsidRPr="008F6AB4" w:rsidRDefault="00D41D49" w:rsidP="001811FE">
            <w:pPr>
              <w:pStyle w:val="Bulletstable"/>
            </w:pPr>
            <w:r w:rsidRPr="008F6AB4">
              <w:t xml:space="preserve">Training and development </w:t>
            </w:r>
          </w:p>
        </w:tc>
        <w:tc>
          <w:tcPr>
            <w:tcW w:w="1474" w:type="pct"/>
            <w:tcBorders>
              <w:top w:val="single" w:sz="4" w:space="0" w:color="auto"/>
              <w:left w:val="single" w:sz="4" w:space="0" w:color="auto"/>
              <w:bottom w:val="single" w:sz="4" w:space="0" w:color="auto"/>
              <w:right w:val="single" w:sz="4" w:space="0" w:color="auto"/>
            </w:tcBorders>
          </w:tcPr>
          <w:p w14:paraId="346188F7" w14:textId="77777777" w:rsidR="00B72A4C" w:rsidRDefault="00B72A4C" w:rsidP="0029335E">
            <w:pPr>
              <w:pStyle w:val="Tabletext"/>
            </w:pPr>
          </w:p>
          <w:p w14:paraId="533C218D" w14:textId="0EE4284E" w:rsidR="00C0457B" w:rsidRPr="00796ECB" w:rsidRDefault="00DD2F2D" w:rsidP="0029335E">
            <w:pPr>
              <w:pStyle w:val="Tabletext"/>
            </w:pPr>
            <w:r w:rsidRPr="00796ECB">
              <w:t>APPGVVD, ATUK,</w:t>
            </w:r>
            <w:r w:rsidR="00642E91" w:rsidRPr="00B72A4C">
              <w:t xml:space="preserve"> BAYER, BSIR,</w:t>
            </w:r>
            <w:r w:rsidR="00B72A4C" w:rsidRPr="00B72A4C">
              <w:t xml:space="preserve"> BTS, </w:t>
            </w:r>
            <w:r w:rsidR="00642E91" w:rsidRPr="00642E91">
              <w:t xml:space="preserve">CLOT, </w:t>
            </w:r>
            <w:r w:rsidRPr="00796ECB">
              <w:t xml:space="preserve">LEO, </w:t>
            </w:r>
            <w:r w:rsidR="00642E91" w:rsidRPr="00642E91">
              <w:t xml:space="preserve">NPSA, </w:t>
            </w:r>
            <w:r w:rsidR="00B72A4C" w:rsidRPr="00B72A4C">
              <w:t xml:space="preserve">RCPCH, SAM, SCM1, SCM2, </w:t>
            </w:r>
            <w:r w:rsidR="00642E91" w:rsidRPr="00642E91">
              <w:t xml:space="preserve">SCM4, </w:t>
            </w:r>
            <w:r w:rsidRPr="00796ECB">
              <w:t xml:space="preserve">SCM5, SCM7, </w:t>
            </w:r>
            <w:r w:rsidR="00B72A4C" w:rsidRPr="00B72A4C">
              <w:t>THUK</w:t>
            </w:r>
            <w:r w:rsidR="00B72A4C">
              <w:t xml:space="preserve">, </w:t>
            </w:r>
            <w:r w:rsidRPr="00796ECB">
              <w:t>UNIB</w:t>
            </w:r>
          </w:p>
        </w:tc>
      </w:tr>
      <w:tr w:rsidR="00BA005C" w:rsidRPr="00541079" w14:paraId="35FD2729" w14:textId="77777777" w:rsidTr="00AA3A48">
        <w:tblPrEx>
          <w:tblCellMar>
            <w:left w:w="57" w:type="dxa"/>
            <w:right w:w="57" w:type="dxa"/>
          </w:tblCellMar>
        </w:tblPrEx>
        <w:trPr>
          <w:trHeight w:val="382"/>
        </w:trPr>
        <w:tc>
          <w:tcPr>
            <w:tcW w:w="5000" w:type="pct"/>
            <w:gridSpan w:val="2"/>
            <w:tcBorders>
              <w:top w:val="single" w:sz="4" w:space="0" w:color="auto"/>
              <w:left w:val="single" w:sz="4" w:space="0" w:color="auto"/>
              <w:right w:val="single" w:sz="4" w:space="0" w:color="auto"/>
            </w:tcBorders>
          </w:tcPr>
          <w:p w14:paraId="619AD432" w14:textId="55973604" w:rsidR="00DD0BD8" w:rsidRPr="008F6AB4" w:rsidRDefault="00DD0BD8" w:rsidP="00DD0BD8">
            <w:pPr>
              <w:pStyle w:val="Tabletext"/>
            </w:pPr>
            <w:r w:rsidRPr="008F6AB4">
              <w:t>Abbreviations:</w:t>
            </w:r>
          </w:p>
          <w:p w14:paraId="2500291F" w14:textId="05E03B6C" w:rsidR="00D92764" w:rsidRPr="005C54A0" w:rsidRDefault="000D121A" w:rsidP="00DD0BD8">
            <w:pPr>
              <w:pStyle w:val="Tabletext"/>
              <w:rPr>
                <w:sz w:val="20"/>
                <w:szCs w:val="20"/>
              </w:rPr>
            </w:pPr>
            <w:r w:rsidRPr="005C54A0">
              <w:rPr>
                <w:sz w:val="20"/>
                <w:szCs w:val="20"/>
              </w:rPr>
              <w:t>APPGVV</w:t>
            </w:r>
            <w:r w:rsidR="00744AC4" w:rsidRPr="005C54A0">
              <w:rPr>
                <w:sz w:val="20"/>
                <w:szCs w:val="20"/>
              </w:rPr>
              <w:t>D</w:t>
            </w:r>
            <w:r w:rsidRPr="005C54A0">
              <w:rPr>
                <w:sz w:val="20"/>
                <w:szCs w:val="20"/>
              </w:rPr>
              <w:t xml:space="preserve">, </w:t>
            </w:r>
            <w:r w:rsidR="00D92764" w:rsidRPr="005C54A0">
              <w:rPr>
                <w:sz w:val="20"/>
                <w:szCs w:val="20"/>
              </w:rPr>
              <w:t>All Party Parliamentary Group on Vascular and Venous Disease</w:t>
            </w:r>
          </w:p>
          <w:p w14:paraId="024F2E0E" w14:textId="5C869F5F" w:rsidR="00D92764" w:rsidRPr="005C54A0" w:rsidRDefault="000D121A" w:rsidP="00DD0BD8">
            <w:pPr>
              <w:pStyle w:val="Tabletext"/>
              <w:rPr>
                <w:sz w:val="20"/>
                <w:szCs w:val="20"/>
              </w:rPr>
            </w:pPr>
            <w:r w:rsidRPr="005C54A0">
              <w:rPr>
                <w:sz w:val="20"/>
                <w:szCs w:val="20"/>
              </w:rPr>
              <w:t xml:space="preserve">ATCUK, </w:t>
            </w:r>
            <w:r w:rsidR="00D92764" w:rsidRPr="005C54A0">
              <w:rPr>
                <w:sz w:val="20"/>
                <w:szCs w:val="20"/>
              </w:rPr>
              <w:t xml:space="preserve">Anticoagulation UK </w:t>
            </w:r>
          </w:p>
          <w:p w14:paraId="491308FE" w14:textId="13F548F7" w:rsidR="00D92764" w:rsidRPr="005C54A0" w:rsidRDefault="000D121A" w:rsidP="00DD0BD8">
            <w:pPr>
              <w:pStyle w:val="Tabletext"/>
              <w:rPr>
                <w:sz w:val="20"/>
                <w:szCs w:val="20"/>
              </w:rPr>
            </w:pPr>
            <w:r w:rsidRPr="005C54A0">
              <w:rPr>
                <w:sz w:val="20"/>
                <w:szCs w:val="20"/>
              </w:rPr>
              <w:t xml:space="preserve">BAYER, </w:t>
            </w:r>
            <w:r w:rsidR="00D92764" w:rsidRPr="005C54A0">
              <w:rPr>
                <w:sz w:val="20"/>
                <w:szCs w:val="20"/>
              </w:rPr>
              <w:t>Baye</w:t>
            </w:r>
            <w:r w:rsidRPr="005C54A0">
              <w:rPr>
                <w:sz w:val="20"/>
                <w:szCs w:val="20"/>
              </w:rPr>
              <w:t>r</w:t>
            </w:r>
            <w:r w:rsidR="00D92764" w:rsidRPr="005C54A0">
              <w:rPr>
                <w:sz w:val="20"/>
                <w:szCs w:val="20"/>
              </w:rPr>
              <w:t xml:space="preserve"> </w:t>
            </w:r>
            <w:r w:rsidR="005C54A0" w:rsidRPr="005C54A0">
              <w:rPr>
                <w:sz w:val="20"/>
                <w:szCs w:val="20"/>
              </w:rPr>
              <w:t>plc</w:t>
            </w:r>
          </w:p>
          <w:p w14:paraId="301C9068" w14:textId="71E3C0E3" w:rsidR="008222C5" w:rsidRPr="005C54A0" w:rsidRDefault="000D121A" w:rsidP="00DD0BD8">
            <w:pPr>
              <w:pStyle w:val="Tabletext"/>
              <w:rPr>
                <w:sz w:val="20"/>
                <w:szCs w:val="20"/>
              </w:rPr>
            </w:pPr>
            <w:r w:rsidRPr="005C54A0">
              <w:rPr>
                <w:sz w:val="20"/>
                <w:szCs w:val="20"/>
              </w:rPr>
              <w:t xml:space="preserve">BMSPA, </w:t>
            </w:r>
            <w:r w:rsidR="008222C5" w:rsidRPr="005C54A0">
              <w:rPr>
                <w:sz w:val="20"/>
                <w:szCs w:val="20"/>
              </w:rPr>
              <w:t>Bristol Myers Squibb-Pfizer Alliance</w:t>
            </w:r>
          </w:p>
          <w:p w14:paraId="4265D772" w14:textId="4E3C447A" w:rsidR="008222C5" w:rsidRPr="005C54A0" w:rsidRDefault="000D121A" w:rsidP="00DD0BD8">
            <w:pPr>
              <w:pStyle w:val="Tabletext"/>
              <w:rPr>
                <w:sz w:val="20"/>
                <w:szCs w:val="20"/>
              </w:rPr>
            </w:pPr>
            <w:r w:rsidRPr="005C54A0">
              <w:rPr>
                <w:sz w:val="20"/>
                <w:szCs w:val="20"/>
              </w:rPr>
              <w:t xml:space="preserve">BGS, </w:t>
            </w:r>
            <w:r w:rsidR="008222C5" w:rsidRPr="005C54A0">
              <w:rPr>
                <w:sz w:val="20"/>
                <w:szCs w:val="20"/>
              </w:rPr>
              <w:t>British Geriatrics Society</w:t>
            </w:r>
          </w:p>
          <w:p w14:paraId="791BDD33" w14:textId="4A9429EF" w:rsidR="00EF2592" w:rsidRPr="005C54A0" w:rsidRDefault="00EF2592" w:rsidP="00DD0BD8">
            <w:pPr>
              <w:pStyle w:val="Tabletext"/>
              <w:rPr>
                <w:sz w:val="20"/>
                <w:szCs w:val="20"/>
              </w:rPr>
            </w:pPr>
            <w:r w:rsidRPr="005C54A0">
              <w:rPr>
                <w:sz w:val="20"/>
                <w:szCs w:val="20"/>
              </w:rPr>
              <w:t>BSH, British Society of Haematology</w:t>
            </w:r>
          </w:p>
          <w:p w14:paraId="2549D3ED" w14:textId="61D8070E" w:rsidR="008222C5" w:rsidRPr="005C54A0" w:rsidRDefault="000D121A" w:rsidP="00DD0BD8">
            <w:pPr>
              <w:pStyle w:val="Tabletext"/>
              <w:rPr>
                <w:sz w:val="20"/>
                <w:szCs w:val="20"/>
              </w:rPr>
            </w:pPr>
            <w:r w:rsidRPr="005C54A0">
              <w:rPr>
                <w:sz w:val="20"/>
                <w:szCs w:val="20"/>
              </w:rPr>
              <w:t xml:space="preserve">BSIR, </w:t>
            </w:r>
            <w:r w:rsidR="008222C5" w:rsidRPr="005C54A0">
              <w:rPr>
                <w:sz w:val="20"/>
                <w:szCs w:val="20"/>
              </w:rPr>
              <w:t>British Society of Interventional Radiology</w:t>
            </w:r>
          </w:p>
          <w:p w14:paraId="2F98C0DA" w14:textId="22AD420D" w:rsidR="008222C5" w:rsidRPr="005C54A0" w:rsidRDefault="000D121A" w:rsidP="00DD0BD8">
            <w:pPr>
              <w:pStyle w:val="Tabletext"/>
              <w:rPr>
                <w:sz w:val="20"/>
                <w:szCs w:val="20"/>
              </w:rPr>
            </w:pPr>
            <w:r w:rsidRPr="005C54A0">
              <w:rPr>
                <w:sz w:val="20"/>
                <w:szCs w:val="20"/>
              </w:rPr>
              <w:t xml:space="preserve">BTS, </w:t>
            </w:r>
            <w:r w:rsidR="008222C5" w:rsidRPr="005C54A0">
              <w:rPr>
                <w:sz w:val="20"/>
                <w:szCs w:val="20"/>
              </w:rPr>
              <w:t>British Thoracic Society</w:t>
            </w:r>
          </w:p>
          <w:p w14:paraId="1C5FA62D" w14:textId="0F693340" w:rsidR="008222C5" w:rsidRPr="005C54A0" w:rsidRDefault="000D121A" w:rsidP="00DD0BD8">
            <w:pPr>
              <w:pStyle w:val="Tabletext"/>
              <w:rPr>
                <w:sz w:val="20"/>
                <w:szCs w:val="20"/>
              </w:rPr>
            </w:pPr>
            <w:r w:rsidRPr="005C54A0">
              <w:rPr>
                <w:sz w:val="20"/>
                <w:szCs w:val="20"/>
              </w:rPr>
              <w:t>CL</w:t>
            </w:r>
            <w:r w:rsidR="00744AC4" w:rsidRPr="005C54A0">
              <w:rPr>
                <w:sz w:val="20"/>
                <w:szCs w:val="20"/>
              </w:rPr>
              <w:t>O</w:t>
            </w:r>
            <w:r w:rsidRPr="005C54A0">
              <w:rPr>
                <w:sz w:val="20"/>
                <w:szCs w:val="20"/>
              </w:rPr>
              <w:t>T</w:t>
            </w:r>
            <w:r w:rsidR="000B1A96" w:rsidRPr="005C54A0">
              <w:rPr>
                <w:sz w:val="20"/>
                <w:szCs w:val="20"/>
              </w:rPr>
              <w:t>,</w:t>
            </w:r>
            <w:r w:rsidRPr="005C54A0">
              <w:rPr>
                <w:sz w:val="20"/>
                <w:szCs w:val="20"/>
              </w:rPr>
              <w:t xml:space="preserve"> </w:t>
            </w:r>
            <w:r w:rsidR="008222C5" w:rsidRPr="005C54A0">
              <w:rPr>
                <w:sz w:val="20"/>
                <w:szCs w:val="20"/>
              </w:rPr>
              <w:t>Clinical Leaders of Thrombosis</w:t>
            </w:r>
          </w:p>
          <w:p w14:paraId="55AF25DD" w14:textId="7A9292BA" w:rsidR="008222C5" w:rsidRPr="005C54A0" w:rsidRDefault="000D121A" w:rsidP="00DD0BD8">
            <w:pPr>
              <w:pStyle w:val="Tabletext"/>
              <w:rPr>
                <w:sz w:val="20"/>
                <w:szCs w:val="20"/>
              </w:rPr>
            </w:pPr>
            <w:r w:rsidRPr="005C54A0">
              <w:rPr>
                <w:sz w:val="20"/>
                <w:szCs w:val="20"/>
              </w:rPr>
              <w:t xml:space="preserve">FRSHCEU, </w:t>
            </w:r>
            <w:r w:rsidR="008222C5" w:rsidRPr="005C54A0">
              <w:rPr>
                <w:sz w:val="20"/>
                <w:szCs w:val="20"/>
              </w:rPr>
              <w:t xml:space="preserve">The Faculty of Sexual and Reproductive Healthcare Clinical </w:t>
            </w:r>
            <w:r w:rsidR="00744AC4" w:rsidRPr="005C54A0">
              <w:rPr>
                <w:sz w:val="20"/>
                <w:szCs w:val="20"/>
              </w:rPr>
              <w:t>Effectiveness Unit</w:t>
            </w:r>
          </w:p>
          <w:p w14:paraId="1DDBB6B2" w14:textId="0CC2BA0A" w:rsidR="008222C5" w:rsidRPr="005C54A0" w:rsidRDefault="000D121A" w:rsidP="00DD0BD8">
            <w:pPr>
              <w:pStyle w:val="Tabletext"/>
              <w:rPr>
                <w:sz w:val="20"/>
                <w:szCs w:val="20"/>
              </w:rPr>
            </w:pPr>
            <w:r w:rsidRPr="005C54A0">
              <w:rPr>
                <w:sz w:val="20"/>
                <w:szCs w:val="20"/>
              </w:rPr>
              <w:t xml:space="preserve">LEO, </w:t>
            </w:r>
            <w:r w:rsidR="008222C5" w:rsidRPr="005C54A0">
              <w:rPr>
                <w:sz w:val="20"/>
                <w:szCs w:val="20"/>
              </w:rPr>
              <w:t>LEO Pharma</w:t>
            </w:r>
          </w:p>
          <w:p w14:paraId="2567BB25" w14:textId="09F441B0" w:rsidR="008A5783" w:rsidRPr="005C54A0" w:rsidRDefault="008A5783" w:rsidP="00DD0BD8">
            <w:pPr>
              <w:pStyle w:val="Tabletext"/>
              <w:rPr>
                <w:sz w:val="20"/>
                <w:szCs w:val="20"/>
              </w:rPr>
            </w:pPr>
            <w:r w:rsidRPr="005C54A0">
              <w:rPr>
                <w:sz w:val="20"/>
                <w:szCs w:val="20"/>
              </w:rPr>
              <w:t>NHSEI, NHS England and Improvement</w:t>
            </w:r>
          </w:p>
          <w:p w14:paraId="795BC856" w14:textId="207D3419" w:rsidR="00EF2592" w:rsidRPr="005C54A0" w:rsidRDefault="00EF2592" w:rsidP="00DD0BD8">
            <w:pPr>
              <w:pStyle w:val="Tabletext"/>
              <w:rPr>
                <w:sz w:val="20"/>
                <w:szCs w:val="20"/>
              </w:rPr>
            </w:pPr>
            <w:r w:rsidRPr="005C54A0">
              <w:rPr>
                <w:sz w:val="20"/>
                <w:szCs w:val="20"/>
              </w:rPr>
              <w:t>NPSA, National Patient Safety Team at NHS England and Improvement</w:t>
            </w:r>
          </w:p>
          <w:p w14:paraId="63F74F37" w14:textId="28CBCBA9" w:rsidR="008222C5" w:rsidRPr="005C54A0" w:rsidRDefault="000D121A" w:rsidP="00DD0BD8">
            <w:pPr>
              <w:pStyle w:val="Tabletext"/>
              <w:rPr>
                <w:sz w:val="20"/>
                <w:szCs w:val="20"/>
              </w:rPr>
            </w:pPr>
            <w:r w:rsidRPr="005C54A0">
              <w:rPr>
                <w:sz w:val="20"/>
                <w:szCs w:val="20"/>
              </w:rPr>
              <w:t xml:space="preserve">RCN, </w:t>
            </w:r>
            <w:r w:rsidR="008222C5" w:rsidRPr="005C54A0">
              <w:rPr>
                <w:sz w:val="20"/>
                <w:szCs w:val="20"/>
              </w:rPr>
              <w:t>Royal College of Nursing</w:t>
            </w:r>
          </w:p>
          <w:p w14:paraId="689DF7AA" w14:textId="067C6D49" w:rsidR="00BB728C" w:rsidRPr="005C54A0" w:rsidRDefault="00BA005C" w:rsidP="00DD0BD8">
            <w:pPr>
              <w:pStyle w:val="Tabletext"/>
              <w:rPr>
                <w:sz w:val="20"/>
                <w:szCs w:val="20"/>
              </w:rPr>
            </w:pPr>
            <w:r w:rsidRPr="005C54A0">
              <w:rPr>
                <w:sz w:val="20"/>
                <w:szCs w:val="20"/>
              </w:rPr>
              <w:t>RCPCH, Royal College of Paediatrics and Child Health</w:t>
            </w:r>
          </w:p>
          <w:p w14:paraId="6E7944A3" w14:textId="65C59ED4" w:rsidR="00B33059" w:rsidRPr="005C54A0" w:rsidRDefault="00B33059" w:rsidP="00DD0BD8">
            <w:pPr>
              <w:pStyle w:val="Tabletext"/>
              <w:rPr>
                <w:sz w:val="20"/>
                <w:szCs w:val="20"/>
              </w:rPr>
            </w:pPr>
            <w:r w:rsidRPr="005C54A0">
              <w:rPr>
                <w:sz w:val="20"/>
                <w:szCs w:val="20"/>
              </w:rPr>
              <w:t>RCP, Royal College of Physicians</w:t>
            </w:r>
          </w:p>
          <w:p w14:paraId="7E5F296F" w14:textId="12B69D25" w:rsidR="000D121A" w:rsidRPr="005C54A0" w:rsidRDefault="000D121A" w:rsidP="00DD0BD8">
            <w:pPr>
              <w:pStyle w:val="Tabletext"/>
              <w:rPr>
                <w:sz w:val="20"/>
                <w:szCs w:val="20"/>
              </w:rPr>
            </w:pPr>
            <w:r w:rsidRPr="005C54A0">
              <w:rPr>
                <w:sz w:val="20"/>
                <w:szCs w:val="20"/>
              </w:rPr>
              <w:t>RPS, Royal Pharmaceutical Society</w:t>
            </w:r>
          </w:p>
          <w:p w14:paraId="331FE795" w14:textId="05C5A455" w:rsidR="008222C5" w:rsidRPr="005C54A0" w:rsidRDefault="008222C5" w:rsidP="00DD0BD8">
            <w:pPr>
              <w:pStyle w:val="Tabletext"/>
              <w:rPr>
                <w:sz w:val="20"/>
                <w:szCs w:val="20"/>
              </w:rPr>
            </w:pPr>
            <w:r w:rsidRPr="005C54A0">
              <w:rPr>
                <w:sz w:val="20"/>
                <w:szCs w:val="20"/>
              </w:rPr>
              <w:lastRenderedPageBreak/>
              <w:t xml:space="preserve">SAM, Society </w:t>
            </w:r>
            <w:r w:rsidR="00AD3118" w:rsidRPr="005C54A0">
              <w:rPr>
                <w:sz w:val="20"/>
                <w:szCs w:val="20"/>
              </w:rPr>
              <w:t>for</w:t>
            </w:r>
            <w:r w:rsidRPr="005C54A0">
              <w:rPr>
                <w:sz w:val="20"/>
                <w:szCs w:val="20"/>
              </w:rPr>
              <w:t xml:space="preserve"> Acute</w:t>
            </w:r>
            <w:r w:rsidR="000D121A" w:rsidRPr="005C54A0">
              <w:rPr>
                <w:sz w:val="20"/>
                <w:szCs w:val="20"/>
              </w:rPr>
              <w:t xml:space="preserve"> Medicine</w:t>
            </w:r>
          </w:p>
          <w:p w14:paraId="13E779CD" w14:textId="77777777" w:rsidR="00BA005C" w:rsidRPr="005C54A0" w:rsidRDefault="00BA005C" w:rsidP="00DD0BD8">
            <w:pPr>
              <w:pStyle w:val="Tabletext"/>
              <w:rPr>
                <w:sz w:val="20"/>
                <w:szCs w:val="20"/>
              </w:rPr>
            </w:pPr>
            <w:r w:rsidRPr="005C54A0">
              <w:rPr>
                <w:sz w:val="20"/>
                <w:szCs w:val="20"/>
              </w:rPr>
              <w:t>SCM, Specialist Committee Member</w:t>
            </w:r>
          </w:p>
          <w:p w14:paraId="4F4DA4EF" w14:textId="62029C54" w:rsidR="000D121A" w:rsidRPr="005C54A0" w:rsidRDefault="000D121A" w:rsidP="00DD0BD8">
            <w:pPr>
              <w:pStyle w:val="Tabletext"/>
              <w:rPr>
                <w:sz w:val="20"/>
                <w:szCs w:val="20"/>
              </w:rPr>
            </w:pPr>
            <w:r w:rsidRPr="005C54A0">
              <w:rPr>
                <w:sz w:val="20"/>
                <w:szCs w:val="20"/>
              </w:rPr>
              <w:t>THUK, Thrombosis UK</w:t>
            </w:r>
          </w:p>
          <w:p w14:paraId="0F3316C4" w14:textId="2BBB6419" w:rsidR="000D121A" w:rsidRPr="008F6AB4" w:rsidRDefault="000D121A" w:rsidP="00DD0BD8">
            <w:pPr>
              <w:pStyle w:val="Tabletext"/>
            </w:pPr>
            <w:r w:rsidRPr="005C54A0">
              <w:rPr>
                <w:sz w:val="20"/>
                <w:szCs w:val="20"/>
              </w:rPr>
              <w:t>UNIB, University Hospital, Birmingham</w:t>
            </w:r>
            <w:r w:rsidR="00744AC4" w:rsidRPr="005C54A0">
              <w:rPr>
                <w:sz w:val="20"/>
                <w:szCs w:val="20"/>
              </w:rPr>
              <w:t xml:space="preserve"> NHS Foundation Trust</w:t>
            </w:r>
            <w:r w:rsidRPr="008F6AB4">
              <w:t xml:space="preserve"> </w:t>
            </w:r>
          </w:p>
        </w:tc>
      </w:tr>
    </w:tbl>
    <w:p w14:paraId="4BD40E16" w14:textId="5E5586B6" w:rsidR="00FA61CA" w:rsidRDefault="00697C6A" w:rsidP="00FA61CA">
      <w:pPr>
        <w:pStyle w:val="Numberedheading2"/>
      </w:pPr>
      <w:bookmarkStart w:id="36" w:name="_Toc340835234"/>
      <w:bookmarkStart w:id="37" w:name="_Hlk49419790"/>
      <w:bookmarkEnd w:id="36"/>
      <w:r>
        <w:lastRenderedPageBreak/>
        <w:t xml:space="preserve">3.2 </w:t>
      </w:r>
      <w:r>
        <w:tab/>
      </w:r>
      <w:r w:rsidR="00FA61CA">
        <w:t>Identification of current practice evidence</w:t>
      </w:r>
    </w:p>
    <w:bookmarkEnd w:id="37"/>
    <w:p w14:paraId="212D32B1" w14:textId="3C2B45C0" w:rsidR="00277952" w:rsidRPr="00277952" w:rsidRDefault="00277952" w:rsidP="00AB14D0">
      <w:pPr>
        <w:pStyle w:val="Paragraph"/>
      </w:pPr>
      <w:r w:rsidRPr="00277952">
        <w:t xml:space="preserve">Bibliographic databases were searched to identify examples of current practice in UK health and social care settings; </w:t>
      </w:r>
      <w:r w:rsidR="00352C1D">
        <w:t>1865</w:t>
      </w:r>
      <w:r w:rsidR="00DD0BD8">
        <w:t xml:space="preserve"> </w:t>
      </w:r>
      <w:r w:rsidRPr="00277952">
        <w:t>papers were identified for</w:t>
      </w:r>
      <w:r w:rsidR="007904F7">
        <w:t xml:space="preserve"> VTE</w:t>
      </w:r>
      <w:r w:rsidRPr="00277952">
        <w:t xml:space="preserve">. In addition, </w:t>
      </w:r>
      <w:r w:rsidR="00E01157">
        <w:t>2</w:t>
      </w:r>
      <w:r w:rsidR="00352C1D">
        <w:t xml:space="preserve">2 </w:t>
      </w:r>
      <w:r w:rsidRPr="00277952">
        <w:t xml:space="preserve">papers were suggested by stakeholders at topic </w:t>
      </w:r>
      <w:r w:rsidR="00C92D69">
        <w:t xml:space="preserve">engagement </w:t>
      </w:r>
      <w:r w:rsidRPr="00277952">
        <w:t xml:space="preserve">and </w:t>
      </w:r>
      <w:r w:rsidR="00E01157">
        <w:t>30</w:t>
      </w:r>
      <w:r w:rsidRPr="00277952">
        <w:t xml:space="preserve"> papers internally at project scoping. </w:t>
      </w:r>
    </w:p>
    <w:p w14:paraId="5DFE7BD4" w14:textId="2B94A4C1" w:rsidR="00277952" w:rsidRDefault="00277952" w:rsidP="00AB14D0">
      <w:pPr>
        <w:pStyle w:val="Paragraph"/>
      </w:pPr>
      <w:r w:rsidRPr="00277952">
        <w:t xml:space="preserve">Of these papers, </w:t>
      </w:r>
      <w:r w:rsidR="00F55046">
        <w:t xml:space="preserve">3 </w:t>
      </w:r>
      <w:r w:rsidRPr="00277952">
        <w:t>have been included in this report and are included in the current practice sec</w:t>
      </w:r>
      <w:r>
        <w:t xml:space="preserve">tions where relevant. Appendix </w:t>
      </w:r>
      <w:r w:rsidR="00660953">
        <w:t>2</w:t>
      </w:r>
      <w:r w:rsidRPr="00277952">
        <w:t xml:space="preserve"> outlines the search process.</w:t>
      </w:r>
    </w:p>
    <w:p w14:paraId="4C030962" w14:textId="5285D9EE" w:rsidR="009A6232" w:rsidRPr="009A6232" w:rsidRDefault="00697C6A" w:rsidP="009A6232">
      <w:pPr>
        <w:pStyle w:val="Numberedheading2"/>
      </w:pPr>
      <w:r>
        <w:t xml:space="preserve">3.3 </w:t>
      </w:r>
      <w:r>
        <w:tab/>
      </w:r>
      <w:r w:rsidR="009A6232">
        <w:t xml:space="preserve">Priorities for committee discussion </w:t>
      </w:r>
    </w:p>
    <w:p w14:paraId="5351FCE9" w14:textId="3C721C81" w:rsidR="00F4062B" w:rsidRDefault="009A6232" w:rsidP="009A6232">
      <w:pPr>
        <w:pStyle w:val="Paragraph"/>
      </w:pPr>
      <w:r w:rsidRPr="002E2FFC">
        <w:t xml:space="preserve">The format of this briefing paper has been amended to support the move to virtual committee meetings. Table </w:t>
      </w:r>
      <w:r w:rsidR="005C54A0">
        <w:t>2</w:t>
      </w:r>
      <w:r w:rsidRPr="002E2FFC">
        <w:t xml:space="preserve"> summarises the availability of information presented in the briefing paper for each suggested quality improvement area. We have used this to suggest priority areas for the quality standards advisory committee to discuss. The areas that are not suggested as a priority for discussion are shaded in grey within the briefing paper. These are suggestions only however and the committee on </w:t>
      </w:r>
      <w:r>
        <w:t>16</w:t>
      </w:r>
      <w:r w:rsidRPr="009A6232">
        <w:rPr>
          <w:vertAlign w:val="superscript"/>
        </w:rPr>
        <w:t>th</w:t>
      </w:r>
      <w:r>
        <w:t xml:space="preserve"> September</w:t>
      </w:r>
      <w:r w:rsidRPr="002E2FFC">
        <w:t xml:space="preserve"> 2020 will decide which areas it wishes to discuss.</w:t>
      </w:r>
    </w:p>
    <w:p w14:paraId="00BC4CC6" w14:textId="52D9EC1F" w:rsidR="002D0242" w:rsidRDefault="002D0242" w:rsidP="009A6232">
      <w:pPr>
        <w:pStyle w:val="Paragraph"/>
      </w:pPr>
    </w:p>
    <w:p w14:paraId="0D4430D7" w14:textId="0C12634D" w:rsidR="002D0242" w:rsidRDefault="002D0242" w:rsidP="009A6232">
      <w:pPr>
        <w:pStyle w:val="Paragraph"/>
      </w:pPr>
    </w:p>
    <w:p w14:paraId="3878477B" w14:textId="795B1099" w:rsidR="002D0242" w:rsidRDefault="002D0242" w:rsidP="009A6232">
      <w:pPr>
        <w:pStyle w:val="Paragraph"/>
      </w:pPr>
    </w:p>
    <w:p w14:paraId="3598B265" w14:textId="3E00AD6D" w:rsidR="002D0242" w:rsidRDefault="002D0242" w:rsidP="009A6232">
      <w:pPr>
        <w:pStyle w:val="Paragraph"/>
      </w:pPr>
    </w:p>
    <w:p w14:paraId="3B09F52E" w14:textId="080FC39A" w:rsidR="002D0242" w:rsidRDefault="002D0242" w:rsidP="009A6232">
      <w:pPr>
        <w:pStyle w:val="Paragraph"/>
      </w:pPr>
    </w:p>
    <w:p w14:paraId="5FCF8EE9" w14:textId="38AA61AD" w:rsidR="002D0242" w:rsidRDefault="002D0242" w:rsidP="009A6232">
      <w:pPr>
        <w:pStyle w:val="Paragraph"/>
      </w:pPr>
    </w:p>
    <w:p w14:paraId="7B720C4D" w14:textId="614ED9BC" w:rsidR="002D0242" w:rsidRDefault="002D0242" w:rsidP="009A6232">
      <w:pPr>
        <w:pStyle w:val="Paragraph"/>
      </w:pPr>
    </w:p>
    <w:p w14:paraId="2903F390" w14:textId="17A3B53B" w:rsidR="002D0242" w:rsidRDefault="002D0242" w:rsidP="009A6232">
      <w:pPr>
        <w:pStyle w:val="Paragraph"/>
      </w:pPr>
    </w:p>
    <w:p w14:paraId="7E6C4AB5" w14:textId="1B7AFD63" w:rsidR="002D0242" w:rsidRDefault="002D0242" w:rsidP="009A6232">
      <w:pPr>
        <w:pStyle w:val="Paragraph"/>
      </w:pPr>
    </w:p>
    <w:p w14:paraId="58578DB7" w14:textId="77777777" w:rsidR="002D0242" w:rsidRPr="00352C1D" w:rsidRDefault="002D0242" w:rsidP="009A6232">
      <w:pPr>
        <w:pStyle w:val="Paragraph"/>
      </w:pPr>
    </w:p>
    <w:p w14:paraId="56687D33" w14:textId="31E47BA6" w:rsidR="00E01157" w:rsidRPr="009A6232" w:rsidRDefault="009A6232" w:rsidP="009A6232">
      <w:pPr>
        <w:pStyle w:val="Paragraph"/>
        <w:rPr>
          <w:b/>
        </w:rPr>
      </w:pPr>
      <w:r w:rsidRPr="009A6232">
        <w:rPr>
          <w:b/>
        </w:rPr>
        <w:lastRenderedPageBreak/>
        <w:t xml:space="preserve">Table </w:t>
      </w:r>
      <w:r w:rsidR="00415864">
        <w:rPr>
          <w:b/>
        </w:rPr>
        <w:t>2</w:t>
      </w:r>
      <w:r w:rsidRPr="009A6232">
        <w:rPr>
          <w:b/>
        </w:rPr>
        <w:t xml:space="preserve"> Summary of information available for suggested areas for improvement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103"/>
        <w:gridCol w:w="692"/>
        <w:gridCol w:w="1302"/>
        <w:gridCol w:w="1302"/>
        <w:gridCol w:w="1302"/>
        <w:gridCol w:w="1315"/>
      </w:tblGrid>
      <w:tr w:rsidR="009A6232" w:rsidRPr="009A6232" w14:paraId="5CB39DDE" w14:textId="77777777" w:rsidTr="00820A8F">
        <w:trPr>
          <w:tblHeader/>
        </w:trPr>
        <w:tc>
          <w:tcPr>
            <w:tcW w:w="1721" w:type="pct"/>
            <w:shd w:val="clear" w:color="auto" w:fill="auto"/>
          </w:tcPr>
          <w:p w14:paraId="441D5938" w14:textId="77777777" w:rsidR="009A6232" w:rsidRPr="009A6232" w:rsidRDefault="009A6232" w:rsidP="009A6232">
            <w:pPr>
              <w:keepNext/>
              <w:spacing w:after="60"/>
              <w:rPr>
                <w:rFonts w:ascii="Arial" w:hAnsi="Arial"/>
                <w:b/>
                <w:sz w:val="22"/>
                <w:szCs w:val="22"/>
              </w:rPr>
            </w:pPr>
            <w:bookmarkStart w:id="38" w:name="_Hlk50530419"/>
            <w:r w:rsidRPr="009A6232">
              <w:rPr>
                <w:rFonts w:ascii="Arial" w:hAnsi="Arial"/>
                <w:b/>
                <w:sz w:val="22"/>
                <w:szCs w:val="22"/>
              </w:rPr>
              <w:t>Suggested area for improvement</w:t>
            </w:r>
          </w:p>
        </w:tc>
        <w:tc>
          <w:tcPr>
            <w:tcW w:w="384" w:type="pct"/>
          </w:tcPr>
          <w:p w14:paraId="34F4A2EB" w14:textId="77777777" w:rsidR="009A6232" w:rsidRPr="009A6232" w:rsidRDefault="009A6232" w:rsidP="009A6232">
            <w:pPr>
              <w:keepNext/>
              <w:spacing w:after="60"/>
              <w:rPr>
                <w:rFonts w:ascii="Arial" w:hAnsi="Arial"/>
                <w:b/>
                <w:sz w:val="22"/>
                <w:szCs w:val="22"/>
              </w:rPr>
            </w:pPr>
            <w:r w:rsidRPr="009A6232">
              <w:rPr>
                <w:rFonts w:ascii="Arial" w:hAnsi="Arial"/>
                <w:b/>
                <w:sz w:val="22"/>
                <w:szCs w:val="22"/>
              </w:rPr>
              <w:t>In scope</w:t>
            </w:r>
          </w:p>
        </w:tc>
        <w:tc>
          <w:tcPr>
            <w:tcW w:w="722" w:type="pct"/>
          </w:tcPr>
          <w:p w14:paraId="281AE897" w14:textId="77777777" w:rsidR="009A6232" w:rsidRPr="009A6232" w:rsidRDefault="009A6232" w:rsidP="009A6232">
            <w:pPr>
              <w:keepNext/>
              <w:spacing w:after="60"/>
              <w:rPr>
                <w:rFonts w:ascii="Arial" w:hAnsi="Arial"/>
                <w:b/>
                <w:sz w:val="22"/>
                <w:szCs w:val="22"/>
              </w:rPr>
            </w:pPr>
            <w:r w:rsidRPr="009A6232">
              <w:rPr>
                <w:rFonts w:ascii="Arial" w:hAnsi="Arial"/>
                <w:b/>
                <w:sz w:val="22"/>
                <w:szCs w:val="22"/>
              </w:rPr>
              <w:t>Guideline recs</w:t>
            </w:r>
          </w:p>
        </w:tc>
        <w:tc>
          <w:tcPr>
            <w:tcW w:w="722" w:type="pct"/>
          </w:tcPr>
          <w:p w14:paraId="2B59ACD1" w14:textId="77777777" w:rsidR="009A6232" w:rsidRPr="009A6232" w:rsidRDefault="009A6232" w:rsidP="009A6232">
            <w:pPr>
              <w:keepNext/>
              <w:spacing w:after="60"/>
              <w:rPr>
                <w:rFonts w:ascii="Arial" w:hAnsi="Arial"/>
                <w:b/>
                <w:sz w:val="22"/>
                <w:szCs w:val="22"/>
              </w:rPr>
            </w:pPr>
            <w:r w:rsidRPr="009A6232">
              <w:rPr>
                <w:rFonts w:ascii="Arial" w:hAnsi="Arial"/>
                <w:b/>
                <w:sz w:val="22"/>
                <w:szCs w:val="22"/>
              </w:rPr>
              <w:t xml:space="preserve">Current practice evidence  </w:t>
            </w:r>
          </w:p>
        </w:tc>
        <w:tc>
          <w:tcPr>
            <w:tcW w:w="722" w:type="pct"/>
          </w:tcPr>
          <w:p w14:paraId="2A479E1A" w14:textId="77777777" w:rsidR="009A6232" w:rsidRPr="009A6232" w:rsidRDefault="009A6232" w:rsidP="009A6232">
            <w:pPr>
              <w:keepNext/>
              <w:spacing w:after="60"/>
              <w:rPr>
                <w:rFonts w:ascii="Arial" w:hAnsi="Arial"/>
                <w:b/>
                <w:sz w:val="22"/>
                <w:szCs w:val="22"/>
              </w:rPr>
            </w:pPr>
            <w:r w:rsidRPr="009A6232">
              <w:rPr>
                <w:rFonts w:ascii="Arial" w:hAnsi="Arial"/>
                <w:b/>
                <w:sz w:val="22"/>
                <w:szCs w:val="22"/>
              </w:rPr>
              <w:t>Existing QS statement</w:t>
            </w:r>
          </w:p>
        </w:tc>
        <w:tc>
          <w:tcPr>
            <w:tcW w:w="729" w:type="pct"/>
          </w:tcPr>
          <w:p w14:paraId="18890C90" w14:textId="77777777" w:rsidR="009A6232" w:rsidRPr="009A6232" w:rsidRDefault="009A6232" w:rsidP="009A6232">
            <w:pPr>
              <w:keepNext/>
              <w:spacing w:after="60"/>
              <w:rPr>
                <w:rFonts w:ascii="Arial" w:hAnsi="Arial"/>
                <w:b/>
                <w:sz w:val="22"/>
                <w:szCs w:val="22"/>
              </w:rPr>
            </w:pPr>
            <w:r w:rsidRPr="009A6232">
              <w:rPr>
                <w:rFonts w:ascii="Arial" w:hAnsi="Arial"/>
                <w:b/>
                <w:sz w:val="22"/>
                <w:szCs w:val="22"/>
              </w:rPr>
              <w:t>Priority to discuss?</w:t>
            </w:r>
          </w:p>
        </w:tc>
      </w:tr>
      <w:tr w:rsidR="00B17FB4" w:rsidRPr="009A6232" w14:paraId="6E061DC5" w14:textId="77777777" w:rsidTr="001B6962">
        <w:trPr>
          <w:tblHeader/>
        </w:trPr>
        <w:tc>
          <w:tcPr>
            <w:tcW w:w="5000" w:type="pct"/>
            <w:gridSpan w:val="6"/>
            <w:shd w:val="clear" w:color="auto" w:fill="auto"/>
          </w:tcPr>
          <w:p w14:paraId="627CEFBD" w14:textId="5671F9F2" w:rsidR="00B17FB4" w:rsidRPr="00B17FB4" w:rsidRDefault="00B17FB4" w:rsidP="00B17FB4">
            <w:pPr>
              <w:pStyle w:val="Bulletleft1"/>
              <w:numPr>
                <w:ilvl w:val="0"/>
                <w:numId w:val="0"/>
              </w:numPr>
              <w:ind w:left="284" w:hanging="284"/>
              <w:rPr>
                <w:b/>
                <w:bCs/>
                <w:sz w:val="22"/>
                <w:szCs w:val="22"/>
              </w:rPr>
            </w:pPr>
            <w:r w:rsidRPr="00B17FB4">
              <w:rPr>
                <w:b/>
                <w:bCs/>
                <w:sz w:val="22"/>
                <w:szCs w:val="22"/>
              </w:rPr>
              <w:t>Reducing risk in hospital patients</w:t>
            </w:r>
          </w:p>
        </w:tc>
      </w:tr>
      <w:tr w:rsidR="007A4ED6" w:rsidRPr="009A6232" w14:paraId="477948B3" w14:textId="77777777" w:rsidTr="00820A8F">
        <w:trPr>
          <w:tblHeader/>
        </w:trPr>
        <w:tc>
          <w:tcPr>
            <w:tcW w:w="1721" w:type="pct"/>
            <w:shd w:val="clear" w:color="auto" w:fill="auto"/>
          </w:tcPr>
          <w:p w14:paraId="6E19A1E1" w14:textId="7A82981D" w:rsidR="007A4ED6" w:rsidRPr="007A4ED6" w:rsidRDefault="007A4ED6" w:rsidP="007A4ED6">
            <w:pPr>
              <w:pStyle w:val="Bulletleft1"/>
              <w:rPr>
                <w:sz w:val="22"/>
                <w:szCs w:val="22"/>
              </w:rPr>
            </w:pPr>
            <w:r w:rsidRPr="007A4ED6">
              <w:rPr>
                <w:sz w:val="22"/>
                <w:szCs w:val="22"/>
              </w:rPr>
              <w:t>Risk assessment</w:t>
            </w:r>
          </w:p>
        </w:tc>
        <w:tc>
          <w:tcPr>
            <w:tcW w:w="384" w:type="pct"/>
          </w:tcPr>
          <w:p w14:paraId="68643444" w14:textId="4816A09F" w:rsidR="007A4ED6" w:rsidRPr="008D5DC6" w:rsidRDefault="00B17FB4" w:rsidP="009A6232">
            <w:pPr>
              <w:keepNext/>
              <w:spacing w:after="60"/>
              <w:rPr>
                <w:rFonts w:ascii="Arial" w:hAnsi="Arial"/>
                <w:bCs/>
                <w:sz w:val="22"/>
                <w:szCs w:val="22"/>
              </w:rPr>
            </w:pPr>
            <w:r w:rsidRPr="008D5DC6">
              <w:rPr>
                <w:rFonts w:ascii="Arial" w:hAnsi="Arial"/>
                <w:bCs/>
                <w:sz w:val="22"/>
                <w:szCs w:val="22"/>
              </w:rPr>
              <w:t>Yes</w:t>
            </w:r>
          </w:p>
        </w:tc>
        <w:tc>
          <w:tcPr>
            <w:tcW w:w="722" w:type="pct"/>
          </w:tcPr>
          <w:p w14:paraId="6735F489" w14:textId="725C9E1D" w:rsidR="007A4ED6" w:rsidRPr="008D5DC6" w:rsidRDefault="00B17FB4" w:rsidP="009A6232">
            <w:pPr>
              <w:keepNext/>
              <w:spacing w:after="60"/>
              <w:rPr>
                <w:rFonts w:ascii="Arial" w:hAnsi="Arial"/>
                <w:bCs/>
                <w:sz w:val="22"/>
                <w:szCs w:val="22"/>
              </w:rPr>
            </w:pPr>
            <w:r w:rsidRPr="008D5DC6">
              <w:rPr>
                <w:rFonts w:ascii="Arial" w:hAnsi="Arial"/>
                <w:bCs/>
                <w:sz w:val="22"/>
                <w:szCs w:val="22"/>
              </w:rPr>
              <w:t>Yes</w:t>
            </w:r>
          </w:p>
        </w:tc>
        <w:tc>
          <w:tcPr>
            <w:tcW w:w="722" w:type="pct"/>
          </w:tcPr>
          <w:p w14:paraId="1BF311D3" w14:textId="03CA933F" w:rsidR="007A4ED6" w:rsidRPr="008D5DC6" w:rsidRDefault="00B17FB4" w:rsidP="009A6232">
            <w:pPr>
              <w:keepNext/>
              <w:spacing w:after="60"/>
              <w:rPr>
                <w:rFonts w:ascii="Arial" w:hAnsi="Arial"/>
                <w:bCs/>
                <w:sz w:val="22"/>
                <w:szCs w:val="22"/>
              </w:rPr>
            </w:pPr>
            <w:r w:rsidRPr="008D5DC6">
              <w:rPr>
                <w:rFonts w:ascii="Arial" w:hAnsi="Arial"/>
                <w:bCs/>
                <w:sz w:val="22"/>
                <w:szCs w:val="22"/>
              </w:rPr>
              <w:t>Yes</w:t>
            </w:r>
          </w:p>
        </w:tc>
        <w:tc>
          <w:tcPr>
            <w:tcW w:w="722" w:type="pct"/>
          </w:tcPr>
          <w:p w14:paraId="56FF8E43" w14:textId="1F29D161" w:rsidR="007A4ED6" w:rsidRPr="008D5DC6" w:rsidRDefault="00B17FB4" w:rsidP="009A6232">
            <w:pPr>
              <w:keepNext/>
              <w:spacing w:after="60"/>
              <w:rPr>
                <w:rFonts w:ascii="Arial" w:hAnsi="Arial"/>
                <w:bCs/>
                <w:sz w:val="22"/>
                <w:szCs w:val="22"/>
              </w:rPr>
            </w:pPr>
            <w:r w:rsidRPr="008D5DC6">
              <w:rPr>
                <w:rFonts w:ascii="Arial" w:hAnsi="Arial"/>
                <w:bCs/>
                <w:sz w:val="22"/>
                <w:szCs w:val="22"/>
              </w:rPr>
              <w:t>Yes</w:t>
            </w:r>
          </w:p>
        </w:tc>
        <w:tc>
          <w:tcPr>
            <w:tcW w:w="729" w:type="pct"/>
          </w:tcPr>
          <w:p w14:paraId="25018C8A" w14:textId="3655433C" w:rsidR="007A4ED6" w:rsidRPr="009A6232" w:rsidRDefault="00B17FB4" w:rsidP="009A6232">
            <w:pPr>
              <w:keepNext/>
              <w:spacing w:after="60"/>
              <w:rPr>
                <w:rFonts w:ascii="Arial" w:hAnsi="Arial"/>
                <w:b/>
                <w:sz w:val="22"/>
                <w:szCs w:val="22"/>
              </w:rPr>
            </w:pPr>
            <w:r>
              <w:rPr>
                <w:rFonts w:ascii="Arial" w:hAnsi="Arial"/>
                <w:b/>
                <w:sz w:val="22"/>
                <w:szCs w:val="22"/>
              </w:rPr>
              <w:t>Yes</w:t>
            </w:r>
          </w:p>
        </w:tc>
      </w:tr>
      <w:tr w:rsidR="00B17FB4" w:rsidRPr="009A6232" w14:paraId="45AE94CC" w14:textId="77777777" w:rsidTr="00820A8F">
        <w:trPr>
          <w:tblHeader/>
        </w:trPr>
        <w:tc>
          <w:tcPr>
            <w:tcW w:w="1721" w:type="pct"/>
            <w:shd w:val="clear" w:color="auto" w:fill="auto"/>
          </w:tcPr>
          <w:p w14:paraId="6E2F18C6" w14:textId="337043CF" w:rsidR="00B17FB4" w:rsidRPr="007A4ED6" w:rsidRDefault="00B17FB4" w:rsidP="00B17FB4">
            <w:pPr>
              <w:pStyle w:val="Bulletleft1"/>
              <w:rPr>
                <w:sz w:val="22"/>
                <w:szCs w:val="22"/>
              </w:rPr>
            </w:pPr>
            <w:r>
              <w:rPr>
                <w:sz w:val="22"/>
                <w:szCs w:val="22"/>
              </w:rPr>
              <w:t>PERC rule</w:t>
            </w:r>
          </w:p>
        </w:tc>
        <w:tc>
          <w:tcPr>
            <w:tcW w:w="384" w:type="pct"/>
          </w:tcPr>
          <w:p w14:paraId="1FD6682E" w14:textId="3B57A21A" w:rsidR="00B17FB4" w:rsidRPr="008D5DC6" w:rsidRDefault="00B17FB4" w:rsidP="00B17FB4">
            <w:pPr>
              <w:keepNext/>
              <w:spacing w:after="60"/>
              <w:rPr>
                <w:rFonts w:ascii="Arial" w:hAnsi="Arial"/>
                <w:bCs/>
                <w:sz w:val="22"/>
                <w:szCs w:val="22"/>
              </w:rPr>
            </w:pPr>
            <w:r w:rsidRPr="008D5DC6">
              <w:rPr>
                <w:rFonts w:ascii="Arial" w:hAnsi="Arial"/>
                <w:bCs/>
                <w:sz w:val="22"/>
                <w:szCs w:val="22"/>
              </w:rPr>
              <w:t>Yes</w:t>
            </w:r>
          </w:p>
        </w:tc>
        <w:tc>
          <w:tcPr>
            <w:tcW w:w="722" w:type="pct"/>
          </w:tcPr>
          <w:p w14:paraId="7F67771C" w14:textId="2BF28D99" w:rsidR="00B17FB4" w:rsidRPr="008D5DC6" w:rsidRDefault="00B17FB4" w:rsidP="00B17FB4">
            <w:pPr>
              <w:keepNext/>
              <w:spacing w:after="60"/>
              <w:rPr>
                <w:rFonts w:ascii="Arial" w:hAnsi="Arial"/>
                <w:bCs/>
                <w:sz w:val="22"/>
                <w:szCs w:val="22"/>
              </w:rPr>
            </w:pPr>
            <w:r w:rsidRPr="008D5DC6">
              <w:rPr>
                <w:rFonts w:ascii="Arial" w:hAnsi="Arial"/>
                <w:bCs/>
                <w:sz w:val="22"/>
                <w:szCs w:val="22"/>
              </w:rPr>
              <w:t>Yes</w:t>
            </w:r>
          </w:p>
        </w:tc>
        <w:tc>
          <w:tcPr>
            <w:tcW w:w="722" w:type="pct"/>
          </w:tcPr>
          <w:p w14:paraId="3F517B89" w14:textId="381D3F26" w:rsidR="00B17FB4" w:rsidRPr="008D5DC6" w:rsidRDefault="00B17FB4" w:rsidP="00B17FB4">
            <w:pPr>
              <w:keepNext/>
              <w:spacing w:after="60"/>
              <w:rPr>
                <w:rFonts w:ascii="Arial" w:hAnsi="Arial"/>
                <w:bCs/>
                <w:sz w:val="22"/>
                <w:szCs w:val="22"/>
              </w:rPr>
            </w:pPr>
            <w:r w:rsidRPr="008D5DC6">
              <w:rPr>
                <w:rFonts w:ascii="Arial" w:hAnsi="Arial"/>
                <w:bCs/>
                <w:sz w:val="22"/>
                <w:szCs w:val="22"/>
              </w:rPr>
              <w:t>No</w:t>
            </w:r>
          </w:p>
        </w:tc>
        <w:tc>
          <w:tcPr>
            <w:tcW w:w="722" w:type="pct"/>
          </w:tcPr>
          <w:p w14:paraId="33FD151B" w14:textId="0A084540" w:rsidR="00B17FB4" w:rsidRPr="008D5DC6" w:rsidRDefault="00B17FB4" w:rsidP="00B17FB4">
            <w:pPr>
              <w:keepNext/>
              <w:spacing w:after="60"/>
              <w:rPr>
                <w:rFonts w:ascii="Arial" w:hAnsi="Arial"/>
                <w:bCs/>
                <w:sz w:val="22"/>
                <w:szCs w:val="22"/>
              </w:rPr>
            </w:pPr>
            <w:r w:rsidRPr="008D5DC6">
              <w:rPr>
                <w:rFonts w:ascii="Arial" w:hAnsi="Arial"/>
                <w:bCs/>
                <w:sz w:val="22"/>
                <w:szCs w:val="22"/>
              </w:rPr>
              <w:t>Yes</w:t>
            </w:r>
          </w:p>
        </w:tc>
        <w:tc>
          <w:tcPr>
            <w:tcW w:w="729" w:type="pct"/>
          </w:tcPr>
          <w:p w14:paraId="0F1F7A96" w14:textId="7A556264" w:rsidR="00B17FB4" w:rsidRDefault="00B17FB4" w:rsidP="00B17FB4">
            <w:pPr>
              <w:keepNext/>
              <w:spacing w:after="60"/>
              <w:rPr>
                <w:rFonts w:ascii="Arial" w:hAnsi="Arial"/>
                <w:b/>
                <w:sz w:val="22"/>
                <w:szCs w:val="22"/>
              </w:rPr>
            </w:pPr>
            <w:r>
              <w:rPr>
                <w:rFonts w:ascii="Arial" w:hAnsi="Arial"/>
                <w:b/>
                <w:sz w:val="22"/>
                <w:szCs w:val="22"/>
              </w:rPr>
              <w:t>Yes</w:t>
            </w:r>
          </w:p>
        </w:tc>
      </w:tr>
      <w:tr w:rsidR="00B17FB4" w:rsidRPr="009A6232" w14:paraId="249AC808" w14:textId="77777777" w:rsidTr="00820A8F">
        <w:trPr>
          <w:tblHeader/>
        </w:trPr>
        <w:tc>
          <w:tcPr>
            <w:tcW w:w="1721" w:type="pct"/>
            <w:shd w:val="clear" w:color="auto" w:fill="auto"/>
          </w:tcPr>
          <w:p w14:paraId="188D57A5" w14:textId="6B63F875" w:rsidR="00B17FB4" w:rsidRPr="007A4ED6" w:rsidRDefault="00B17FB4" w:rsidP="00B17FB4">
            <w:pPr>
              <w:pStyle w:val="Bulletleft1"/>
              <w:rPr>
                <w:sz w:val="22"/>
                <w:szCs w:val="22"/>
              </w:rPr>
            </w:pPr>
            <w:r w:rsidRPr="007A4ED6">
              <w:rPr>
                <w:sz w:val="22"/>
                <w:szCs w:val="22"/>
              </w:rPr>
              <w:t>Planning for discharge</w:t>
            </w:r>
          </w:p>
        </w:tc>
        <w:tc>
          <w:tcPr>
            <w:tcW w:w="384" w:type="pct"/>
          </w:tcPr>
          <w:p w14:paraId="01680892" w14:textId="18CBAA51" w:rsidR="00B17FB4" w:rsidRPr="008D5DC6" w:rsidRDefault="00B17FB4" w:rsidP="00B17FB4">
            <w:pPr>
              <w:keepNext/>
              <w:spacing w:after="60"/>
              <w:rPr>
                <w:rFonts w:ascii="Arial" w:hAnsi="Arial"/>
                <w:bCs/>
                <w:sz w:val="22"/>
                <w:szCs w:val="22"/>
              </w:rPr>
            </w:pPr>
            <w:r w:rsidRPr="008D5DC6">
              <w:rPr>
                <w:rFonts w:ascii="Arial" w:hAnsi="Arial"/>
                <w:bCs/>
                <w:sz w:val="22"/>
                <w:szCs w:val="22"/>
              </w:rPr>
              <w:t>Yes</w:t>
            </w:r>
          </w:p>
        </w:tc>
        <w:tc>
          <w:tcPr>
            <w:tcW w:w="722" w:type="pct"/>
          </w:tcPr>
          <w:p w14:paraId="0F1D824A" w14:textId="0EB96372" w:rsidR="00B17FB4" w:rsidRPr="008D5DC6" w:rsidRDefault="00B17FB4" w:rsidP="00B17FB4">
            <w:pPr>
              <w:keepNext/>
              <w:spacing w:after="60"/>
              <w:rPr>
                <w:rFonts w:ascii="Arial" w:hAnsi="Arial"/>
                <w:bCs/>
                <w:sz w:val="22"/>
                <w:szCs w:val="22"/>
              </w:rPr>
            </w:pPr>
            <w:r w:rsidRPr="008D5DC6">
              <w:rPr>
                <w:rFonts w:ascii="Arial" w:hAnsi="Arial"/>
                <w:bCs/>
                <w:sz w:val="22"/>
                <w:szCs w:val="22"/>
              </w:rPr>
              <w:t>Yes</w:t>
            </w:r>
          </w:p>
        </w:tc>
        <w:tc>
          <w:tcPr>
            <w:tcW w:w="722" w:type="pct"/>
          </w:tcPr>
          <w:p w14:paraId="7A1BFBAA" w14:textId="0D7F928F" w:rsidR="00B17FB4" w:rsidRPr="008D5DC6" w:rsidRDefault="00B17FB4" w:rsidP="00B17FB4">
            <w:pPr>
              <w:keepNext/>
              <w:spacing w:after="60"/>
              <w:rPr>
                <w:rFonts w:ascii="Arial" w:hAnsi="Arial"/>
                <w:bCs/>
                <w:sz w:val="22"/>
                <w:szCs w:val="22"/>
              </w:rPr>
            </w:pPr>
            <w:r w:rsidRPr="008D5DC6">
              <w:rPr>
                <w:rFonts w:ascii="Arial" w:hAnsi="Arial"/>
                <w:bCs/>
                <w:sz w:val="22"/>
                <w:szCs w:val="22"/>
              </w:rPr>
              <w:t>Yes</w:t>
            </w:r>
          </w:p>
        </w:tc>
        <w:tc>
          <w:tcPr>
            <w:tcW w:w="722" w:type="pct"/>
          </w:tcPr>
          <w:p w14:paraId="1E92A999" w14:textId="72729856" w:rsidR="00B17FB4" w:rsidRPr="008D5DC6" w:rsidRDefault="00B17FB4" w:rsidP="00B17FB4">
            <w:pPr>
              <w:keepNext/>
              <w:spacing w:after="60"/>
              <w:rPr>
                <w:rFonts w:ascii="Arial" w:hAnsi="Arial"/>
                <w:bCs/>
                <w:sz w:val="22"/>
                <w:szCs w:val="22"/>
              </w:rPr>
            </w:pPr>
            <w:r w:rsidRPr="008D5DC6">
              <w:rPr>
                <w:rFonts w:ascii="Arial" w:hAnsi="Arial"/>
                <w:bCs/>
                <w:sz w:val="22"/>
                <w:szCs w:val="22"/>
              </w:rPr>
              <w:t>Yes</w:t>
            </w:r>
          </w:p>
        </w:tc>
        <w:tc>
          <w:tcPr>
            <w:tcW w:w="729" w:type="pct"/>
          </w:tcPr>
          <w:p w14:paraId="7B8125F9" w14:textId="298F48EC" w:rsidR="00B17FB4" w:rsidRPr="009A6232" w:rsidRDefault="00B17FB4" w:rsidP="00B17FB4">
            <w:pPr>
              <w:keepNext/>
              <w:spacing w:after="60"/>
              <w:rPr>
                <w:rFonts w:ascii="Arial" w:hAnsi="Arial"/>
                <w:b/>
                <w:sz w:val="22"/>
                <w:szCs w:val="22"/>
              </w:rPr>
            </w:pPr>
            <w:r>
              <w:rPr>
                <w:rFonts w:ascii="Arial" w:hAnsi="Arial"/>
                <w:b/>
                <w:sz w:val="22"/>
                <w:szCs w:val="22"/>
              </w:rPr>
              <w:t>Yes</w:t>
            </w:r>
          </w:p>
        </w:tc>
      </w:tr>
      <w:tr w:rsidR="00B17FB4" w:rsidRPr="009A6232" w14:paraId="469B58D8" w14:textId="77777777" w:rsidTr="00820A8F">
        <w:trPr>
          <w:tblHeader/>
        </w:trPr>
        <w:tc>
          <w:tcPr>
            <w:tcW w:w="1721" w:type="pct"/>
            <w:shd w:val="clear" w:color="auto" w:fill="auto"/>
          </w:tcPr>
          <w:p w14:paraId="38B8DF8D" w14:textId="021398D3" w:rsidR="00B17FB4" w:rsidRPr="007A4ED6" w:rsidRDefault="00B17FB4" w:rsidP="00B17FB4">
            <w:pPr>
              <w:pStyle w:val="Bulletleft1"/>
              <w:rPr>
                <w:sz w:val="22"/>
                <w:szCs w:val="22"/>
              </w:rPr>
            </w:pPr>
            <w:r w:rsidRPr="007A4ED6">
              <w:rPr>
                <w:sz w:val="22"/>
                <w:szCs w:val="22"/>
              </w:rPr>
              <w:t>Advance planning for elective surgery</w:t>
            </w:r>
          </w:p>
        </w:tc>
        <w:tc>
          <w:tcPr>
            <w:tcW w:w="384" w:type="pct"/>
          </w:tcPr>
          <w:p w14:paraId="2764F06D" w14:textId="4E18BF71" w:rsidR="00B17FB4" w:rsidRPr="008D5DC6" w:rsidRDefault="00B17FB4" w:rsidP="00B17FB4">
            <w:pPr>
              <w:keepNext/>
              <w:spacing w:after="60"/>
              <w:rPr>
                <w:rFonts w:ascii="Arial" w:hAnsi="Arial"/>
                <w:bCs/>
                <w:sz w:val="22"/>
                <w:szCs w:val="22"/>
              </w:rPr>
            </w:pPr>
            <w:r w:rsidRPr="008D5DC6">
              <w:rPr>
                <w:rFonts w:ascii="Arial" w:hAnsi="Arial"/>
                <w:bCs/>
                <w:sz w:val="22"/>
                <w:szCs w:val="22"/>
              </w:rPr>
              <w:t xml:space="preserve">Yes </w:t>
            </w:r>
          </w:p>
        </w:tc>
        <w:tc>
          <w:tcPr>
            <w:tcW w:w="722" w:type="pct"/>
          </w:tcPr>
          <w:p w14:paraId="66685505" w14:textId="316E5444" w:rsidR="00B17FB4" w:rsidRPr="008D5DC6" w:rsidRDefault="00B17FB4" w:rsidP="00B17FB4">
            <w:pPr>
              <w:keepNext/>
              <w:spacing w:after="60"/>
              <w:rPr>
                <w:rFonts w:ascii="Arial" w:hAnsi="Arial"/>
                <w:bCs/>
                <w:sz w:val="22"/>
                <w:szCs w:val="22"/>
              </w:rPr>
            </w:pPr>
            <w:r w:rsidRPr="008D5DC6">
              <w:rPr>
                <w:rFonts w:ascii="Arial" w:hAnsi="Arial"/>
                <w:bCs/>
                <w:sz w:val="22"/>
                <w:szCs w:val="22"/>
              </w:rPr>
              <w:t>Yes</w:t>
            </w:r>
          </w:p>
        </w:tc>
        <w:tc>
          <w:tcPr>
            <w:tcW w:w="722" w:type="pct"/>
          </w:tcPr>
          <w:p w14:paraId="4B928F56" w14:textId="719DC702" w:rsidR="00B17FB4" w:rsidRPr="008D5DC6" w:rsidRDefault="00B17FB4" w:rsidP="00B17FB4">
            <w:pPr>
              <w:keepNext/>
              <w:spacing w:after="60"/>
              <w:rPr>
                <w:rFonts w:ascii="Arial" w:hAnsi="Arial"/>
                <w:bCs/>
                <w:sz w:val="22"/>
                <w:szCs w:val="22"/>
              </w:rPr>
            </w:pPr>
            <w:r w:rsidRPr="008D5DC6">
              <w:rPr>
                <w:rFonts w:ascii="Arial" w:hAnsi="Arial"/>
                <w:bCs/>
                <w:sz w:val="22"/>
                <w:szCs w:val="22"/>
              </w:rPr>
              <w:t>Yes</w:t>
            </w:r>
          </w:p>
        </w:tc>
        <w:tc>
          <w:tcPr>
            <w:tcW w:w="722" w:type="pct"/>
          </w:tcPr>
          <w:p w14:paraId="5091AD02" w14:textId="6AD93C38" w:rsidR="00B17FB4" w:rsidRPr="008D5DC6" w:rsidRDefault="00B17FB4" w:rsidP="00B17FB4">
            <w:pPr>
              <w:keepNext/>
              <w:spacing w:after="60"/>
              <w:rPr>
                <w:rFonts w:ascii="Arial" w:hAnsi="Arial"/>
                <w:bCs/>
                <w:sz w:val="22"/>
                <w:szCs w:val="22"/>
              </w:rPr>
            </w:pPr>
            <w:r w:rsidRPr="008D5DC6">
              <w:rPr>
                <w:rFonts w:ascii="Arial" w:hAnsi="Arial"/>
                <w:bCs/>
                <w:sz w:val="22"/>
                <w:szCs w:val="22"/>
              </w:rPr>
              <w:t>Yes</w:t>
            </w:r>
          </w:p>
        </w:tc>
        <w:tc>
          <w:tcPr>
            <w:tcW w:w="729" w:type="pct"/>
          </w:tcPr>
          <w:p w14:paraId="7FA70C99" w14:textId="23F5C279" w:rsidR="00B17FB4" w:rsidRPr="009A6232" w:rsidRDefault="00B17FB4" w:rsidP="00B17FB4">
            <w:pPr>
              <w:keepNext/>
              <w:spacing w:after="60"/>
              <w:rPr>
                <w:rFonts w:ascii="Arial" w:hAnsi="Arial"/>
                <w:b/>
                <w:sz w:val="22"/>
                <w:szCs w:val="22"/>
              </w:rPr>
            </w:pPr>
            <w:r>
              <w:rPr>
                <w:rFonts w:ascii="Arial" w:hAnsi="Arial"/>
                <w:b/>
                <w:sz w:val="22"/>
                <w:szCs w:val="22"/>
              </w:rPr>
              <w:t>Yes</w:t>
            </w:r>
          </w:p>
        </w:tc>
      </w:tr>
      <w:tr w:rsidR="00B17FB4" w:rsidRPr="009A6232" w14:paraId="3D206BF4" w14:textId="77777777" w:rsidTr="00820A8F">
        <w:trPr>
          <w:tblHeader/>
        </w:trPr>
        <w:tc>
          <w:tcPr>
            <w:tcW w:w="1721" w:type="pct"/>
            <w:shd w:val="clear" w:color="auto" w:fill="auto"/>
          </w:tcPr>
          <w:p w14:paraId="675B4759" w14:textId="1FDA3D6B" w:rsidR="00B17FB4" w:rsidRPr="007A4ED6" w:rsidRDefault="00B17FB4" w:rsidP="00B17FB4">
            <w:pPr>
              <w:pStyle w:val="Bulletleft1"/>
              <w:rPr>
                <w:sz w:val="22"/>
                <w:szCs w:val="22"/>
              </w:rPr>
            </w:pPr>
            <w:r w:rsidRPr="007A4ED6">
              <w:rPr>
                <w:sz w:val="22"/>
                <w:szCs w:val="22"/>
              </w:rPr>
              <w:t>Orthopaedic surgery</w:t>
            </w:r>
          </w:p>
        </w:tc>
        <w:tc>
          <w:tcPr>
            <w:tcW w:w="384" w:type="pct"/>
          </w:tcPr>
          <w:p w14:paraId="33CD116D" w14:textId="79666CE2" w:rsidR="00B17FB4" w:rsidRPr="008D5DC6" w:rsidRDefault="00B17FB4" w:rsidP="00B17FB4">
            <w:pPr>
              <w:keepNext/>
              <w:spacing w:after="60"/>
              <w:rPr>
                <w:rFonts w:ascii="Arial" w:hAnsi="Arial"/>
                <w:bCs/>
                <w:sz w:val="22"/>
                <w:szCs w:val="22"/>
              </w:rPr>
            </w:pPr>
            <w:r w:rsidRPr="008D5DC6">
              <w:rPr>
                <w:rFonts w:ascii="Arial" w:hAnsi="Arial"/>
                <w:bCs/>
                <w:sz w:val="22"/>
                <w:szCs w:val="22"/>
              </w:rPr>
              <w:t xml:space="preserve">Yes </w:t>
            </w:r>
          </w:p>
        </w:tc>
        <w:tc>
          <w:tcPr>
            <w:tcW w:w="722" w:type="pct"/>
          </w:tcPr>
          <w:p w14:paraId="5D22523F" w14:textId="16A2028F" w:rsidR="00B17FB4" w:rsidRPr="008D5DC6" w:rsidRDefault="00B17FB4" w:rsidP="00B17FB4">
            <w:pPr>
              <w:keepNext/>
              <w:spacing w:after="60"/>
              <w:rPr>
                <w:rFonts w:ascii="Arial" w:hAnsi="Arial"/>
                <w:bCs/>
                <w:sz w:val="22"/>
                <w:szCs w:val="22"/>
              </w:rPr>
            </w:pPr>
            <w:r w:rsidRPr="008D5DC6">
              <w:rPr>
                <w:rFonts w:ascii="Arial" w:hAnsi="Arial"/>
                <w:bCs/>
                <w:sz w:val="22"/>
                <w:szCs w:val="22"/>
              </w:rPr>
              <w:t>Yes</w:t>
            </w:r>
          </w:p>
        </w:tc>
        <w:tc>
          <w:tcPr>
            <w:tcW w:w="722" w:type="pct"/>
          </w:tcPr>
          <w:p w14:paraId="08BA17F4" w14:textId="7D7C11E1" w:rsidR="00B17FB4" w:rsidRPr="008D5DC6" w:rsidRDefault="00B17FB4" w:rsidP="00B17FB4">
            <w:pPr>
              <w:keepNext/>
              <w:spacing w:after="60"/>
              <w:rPr>
                <w:rFonts w:ascii="Arial" w:hAnsi="Arial"/>
                <w:bCs/>
                <w:sz w:val="22"/>
                <w:szCs w:val="22"/>
              </w:rPr>
            </w:pPr>
            <w:r w:rsidRPr="008D5DC6">
              <w:rPr>
                <w:rFonts w:ascii="Arial" w:hAnsi="Arial"/>
                <w:bCs/>
                <w:sz w:val="22"/>
                <w:szCs w:val="22"/>
              </w:rPr>
              <w:t>Yes</w:t>
            </w:r>
          </w:p>
        </w:tc>
        <w:tc>
          <w:tcPr>
            <w:tcW w:w="722" w:type="pct"/>
          </w:tcPr>
          <w:p w14:paraId="66358FAE" w14:textId="0692BF30" w:rsidR="00B17FB4" w:rsidRPr="008D5DC6" w:rsidRDefault="00B17FB4" w:rsidP="00B17FB4">
            <w:pPr>
              <w:keepNext/>
              <w:spacing w:after="60"/>
              <w:rPr>
                <w:rFonts w:ascii="Arial" w:hAnsi="Arial"/>
                <w:bCs/>
                <w:sz w:val="22"/>
                <w:szCs w:val="22"/>
              </w:rPr>
            </w:pPr>
            <w:r w:rsidRPr="008D5DC6">
              <w:rPr>
                <w:rFonts w:ascii="Arial" w:hAnsi="Arial"/>
                <w:bCs/>
                <w:sz w:val="22"/>
                <w:szCs w:val="22"/>
              </w:rPr>
              <w:t>Yes</w:t>
            </w:r>
          </w:p>
        </w:tc>
        <w:tc>
          <w:tcPr>
            <w:tcW w:w="729" w:type="pct"/>
          </w:tcPr>
          <w:p w14:paraId="2FD5EE36" w14:textId="73FBFD5D" w:rsidR="00B17FB4" w:rsidRPr="009A6232" w:rsidRDefault="00B17FB4" w:rsidP="00B17FB4">
            <w:pPr>
              <w:keepNext/>
              <w:spacing w:after="60"/>
              <w:rPr>
                <w:rFonts w:ascii="Arial" w:hAnsi="Arial"/>
                <w:b/>
                <w:sz w:val="22"/>
                <w:szCs w:val="22"/>
              </w:rPr>
            </w:pPr>
            <w:r>
              <w:rPr>
                <w:rFonts w:ascii="Arial" w:hAnsi="Arial"/>
                <w:b/>
                <w:sz w:val="22"/>
                <w:szCs w:val="22"/>
              </w:rPr>
              <w:t>Yes</w:t>
            </w:r>
          </w:p>
        </w:tc>
      </w:tr>
      <w:tr w:rsidR="00B17FB4" w:rsidRPr="009A6232" w14:paraId="7D047559" w14:textId="77777777" w:rsidTr="001B6962">
        <w:trPr>
          <w:trHeight w:val="382"/>
          <w:tblHeader/>
        </w:trPr>
        <w:tc>
          <w:tcPr>
            <w:tcW w:w="5000" w:type="pct"/>
            <w:gridSpan w:val="6"/>
            <w:tcBorders>
              <w:top w:val="single" w:sz="4" w:space="0" w:color="auto"/>
              <w:left w:val="single" w:sz="4" w:space="0" w:color="auto"/>
            </w:tcBorders>
            <w:shd w:val="clear" w:color="auto" w:fill="auto"/>
          </w:tcPr>
          <w:p w14:paraId="6E674A11" w14:textId="77777777" w:rsidR="00B17FB4" w:rsidRPr="00B17FB4" w:rsidRDefault="00B17FB4" w:rsidP="00B17FB4">
            <w:pPr>
              <w:rPr>
                <w:rFonts w:ascii="Arial" w:hAnsi="Arial"/>
                <w:b/>
                <w:bCs/>
                <w:sz w:val="22"/>
                <w:szCs w:val="22"/>
              </w:rPr>
            </w:pPr>
            <w:r w:rsidRPr="00B17FB4">
              <w:rPr>
                <w:rFonts w:ascii="Arial" w:hAnsi="Arial"/>
                <w:b/>
                <w:bCs/>
                <w:sz w:val="22"/>
                <w:szCs w:val="22"/>
              </w:rPr>
              <w:t>Diagnosis and initial management</w:t>
            </w:r>
          </w:p>
          <w:p w14:paraId="45057273" w14:textId="77777777" w:rsidR="00B17FB4" w:rsidRDefault="00B17FB4" w:rsidP="00B17FB4">
            <w:pPr>
              <w:rPr>
                <w:rFonts w:ascii="Arial" w:hAnsi="Arial"/>
                <w:b/>
                <w:bCs/>
                <w:sz w:val="22"/>
                <w:szCs w:val="22"/>
              </w:rPr>
            </w:pPr>
          </w:p>
        </w:tc>
      </w:tr>
      <w:tr w:rsidR="00B17FB4" w:rsidRPr="009A6232" w14:paraId="72871F60" w14:textId="77777777" w:rsidTr="00820A8F">
        <w:trPr>
          <w:trHeight w:val="764"/>
          <w:tblHeader/>
        </w:trPr>
        <w:tc>
          <w:tcPr>
            <w:tcW w:w="1721" w:type="pct"/>
            <w:tcBorders>
              <w:top w:val="single" w:sz="4" w:space="0" w:color="auto"/>
              <w:left w:val="single" w:sz="4" w:space="0" w:color="auto"/>
              <w:right w:val="single" w:sz="4" w:space="0" w:color="auto"/>
            </w:tcBorders>
            <w:shd w:val="clear" w:color="auto" w:fill="auto"/>
          </w:tcPr>
          <w:p w14:paraId="5D545163" w14:textId="71BEBC5F" w:rsidR="00B17FB4" w:rsidRPr="001B6962" w:rsidRDefault="00B17FB4" w:rsidP="001B6962">
            <w:pPr>
              <w:pStyle w:val="Bulletleft1"/>
              <w:rPr>
                <w:sz w:val="22"/>
                <w:szCs w:val="22"/>
              </w:rPr>
            </w:pPr>
            <w:r w:rsidRPr="00B17FB4">
              <w:rPr>
                <w:sz w:val="22"/>
                <w:szCs w:val="22"/>
              </w:rPr>
              <w:t>Proximal leg vein ultrasound scan</w:t>
            </w:r>
          </w:p>
        </w:tc>
        <w:tc>
          <w:tcPr>
            <w:tcW w:w="384" w:type="pct"/>
          </w:tcPr>
          <w:p w14:paraId="31450218" w14:textId="0A12AB0B"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3E40AD20" w14:textId="09386C0A"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15DE8D12" w14:textId="54956119"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479BE001" w14:textId="01BACF08" w:rsidR="00B17FB4" w:rsidRPr="008D5DC6" w:rsidRDefault="00B17FB4" w:rsidP="00B17FB4">
            <w:pPr>
              <w:rPr>
                <w:rFonts w:ascii="Arial" w:hAnsi="Arial"/>
                <w:bCs/>
                <w:sz w:val="22"/>
                <w:szCs w:val="22"/>
              </w:rPr>
            </w:pPr>
            <w:r w:rsidRPr="008D5DC6">
              <w:rPr>
                <w:rFonts w:ascii="Arial" w:hAnsi="Arial"/>
                <w:bCs/>
                <w:sz w:val="22"/>
                <w:szCs w:val="22"/>
              </w:rPr>
              <w:t>Yes</w:t>
            </w:r>
          </w:p>
        </w:tc>
        <w:tc>
          <w:tcPr>
            <w:tcW w:w="729" w:type="pct"/>
          </w:tcPr>
          <w:p w14:paraId="0907279B" w14:textId="76A51C4D" w:rsidR="00B17FB4" w:rsidRPr="00F4062B" w:rsidRDefault="00B17FB4" w:rsidP="00B17FB4">
            <w:pPr>
              <w:rPr>
                <w:rFonts w:ascii="Arial" w:hAnsi="Arial"/>
                <w:sz w:val="22"/>
                <w:szCs w:val="22"/>
              </w:rPr>
            </w:pPr>
            <w:r>
              <w:rPr>
                <w:rFonts w:ascii="Arial" w:hAnsi="Arial"/>
                <w:b/>
                <w:sz w:val="22"/>
                <w:szCs w:val="22"/>
              </w:rPr>
              <w:t>Yes</w:t>
            </w:r>
          </w:p>
        </w:tc>
      </w:tr>
      <w:tr w:rsidR="00B17FB4" w:rsidRPr="009A6232" w14:paraId="0EF9D80C" w14:textId="77777777" w:rsidTr="00820A8F">
        <w:trPr>
          <w:trHeight w:val="382"/>
          <w:tblHeader/>
        </w:trPr>
        <w:tc>
          <w:tcPr>
            <w:tcW w:w="1721" w:type="pct"/>
            <w:tcBorders>
              <w:top w:val="single" w:sz="4" w:space="0" w:color="auto"/>
              <w:left w:val="single" w:sz="4" w:space="0" w:color="auto"/>
              <w:bottom w:val="single" w:sz="4" w:space="0" w:color="auto"/>
              <w:right w:val="single" w:sz="4" w:space="0" w:color="auto"/>
            </w:tcBorders>
            <w:shd w:val="clear" w:color="auto" w:fill="auto"/>
          </w:tcPr>
          <w:p w14:paraId="0EED53FD" w14:textId="4CDA7B46" w:rsidR="00B17FB4" w:rsidRPr="00932219" w:rsidRDefault="00B17FB4" w:rsidP="00B17FB4">
            <w:pPr>
              <w:pStyle w:val="Bulletleft1"/>
              <w:rPr>
                <w:b/>
                <w:sz w:val="22"/>
                <w:szCs w:val="22"/>
              </w:rPr>
            </w:pPr>
            <w:r w:rsidRPr="00B17FB4">
              <w:rPr>
                <w:sz w:val="22"/>
                <w:szCs w:val="22"/>
              </w:rPr>
              <w:t>Interim therapeutic anticoagulation</w:t>
            </w:r>
          </w:p>
        </w:tc>
        <w:tc>
          <w:tcPr>
            <w:tcW w:w="384" w:type="pct"/>
          </w:tcPr>
          <w:p w14:paraId="41BBD5B2" w14:textId="752D887A"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5E01DDC3" w14:textId="6ED9B1A5"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08A5625A" w14:textId="3080F490"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4BBAC85F" w14:textId="5E330842" w:rsidR="00B17FB4" w:rsidRPr="008D5DC6" w:rsidRDefault="00B17FB4" w:rsidP="00B17FB4">
            <w:pPr>
              <w:rPr>
                <w:rFonts w:ascii="Arial" w:hAnsi="Arial"/>
                <w:bCs/>
                <w:sz w:val="22"/>
                <w:szCs w:val="22"/>
              </w:rPr>
            </w:pPr>
            <w:r w:rsidRPr="008D5DC6">
              <w:rPr>
                <w:rFonts w:ascii="Arial" w:hAnsi="Arial"/>
                <w:bCs/>
                <w:sz w:val="22"/>
                <w:szCs w:val="22"/>
              </w:rPr>
              <w:t>Yes</w:t>
            </w:r>
          </w:p>
        </w:tc>
        <w:tc>
          <w:tcPr>
            <w:tcW w:w="729" w:type="pct"/>
          </w:tcPr>
          <w:p w14:paraId="57A5CEC2" w14:textId="66D0C4E9" w:rsidR="00B17FB4" w:rsidRPr="009A6232" w:rsidRDefault="00B17FB4" w:rsidP="00B17FB4">
            <w:pPr>
              <w:rPr>
                <w:rFonts w:ascii="Arial" w:hAnsi="Arial"/>
                <w:b/>
                <w:bCs/>
                <w:sz w:val="22"/>
                <w:szCs w:val="22"/>
              </w:rPr>
            </w:pPr>
            <w:r>
              <w:rPr>
                <w:rFonts w:ascii="Arial" w:hAnsi="Arial"/>
                <w:b/>
                <w:sz w:val="22"/>
                <w:szCs w:val="22"/>
              </w:rPr>
              <w:t>Yes</w:t>
            </w:r>
          </w:p>
        </w:tc>
      </w:tr>
      <w:tr w:rsidR="00B17FB4" w:rsidRPr="009A6232" w14:paraId="2DC1F3E7" w14:textId="77777777" w:rsidTr="001B6962">
        <w:trPr>
          <w:trHeight w:val="382"/>
          <w:tblHeader/>
        </w:trPr>
        <w:tc>
          <w:tcPr>
            <w:tcW w:w="5000" w:type="pct"/>
            <w:gridSpan w:val="6"/>
            <w:tcBorders>
              <w:top w:val="single" w:sz="4" w:space="0" w:color="auto"/>
              <w:left w:val="single" w:sz="4" w:space="0" w:color="auto"/>
              <w:bottom w:val="single" w:sz="4" w:space="0" w:color="auto"/>
            </w:tcBorders>
            <w:shd w:val="clear" w:color="auto" w:fill="auto"/>
          </w:tcPr>
          <w:p w14:paraId="679A83DF" w14:textId="331400E8" w:rsidR="00B17FB4" w:rsidRPr="00B17FB4" w:rsidRDefault="00B17FB4" w:rsidP="00B17FB4">
            <w:pPr>
              <w:rPr>
                <w:rFonts w:ascii="Arial" w:hAnsi="Arial"/>
                <w:b/>
                <w:bCs/>
                <w:sz w:val="22"/>
                <w:szCs w:val="22"/>
              </w:rPr>
            </w:pPr>
            <w:r w:rsidRPr="00B17FB4">
              <w:rPr>
                <w:rFonts w:ascii="Arial" w:hAnsi="Arial"/>
                <w:b/>
                <w:sz w:val="22"/>
                <w:szCs w:val="22"/>
              </w:rPr>
              <w:t xml:space="preserve">Anticoagulation treatment </w:t>
            </w:r>
          </w:p>
        </w:tc>
      </w:tr>
      <w:tr w:rsidR="00B17FB4" w:rsidRPr="009A6232" w14:paraId="78ACFDD3" w14:textId="77777777" w:rsidTr="00820A8F">
        <w:trPr>
          <w:trHeight w:val="382"/>
          <w:tblHeader/>
        </w:trPr>
        <w:tc>
          <w:tcPr>
            <w:tcW w:w="1721" w:type="pct"/>
            <w:tcBorders>
              <w:top w:val="single" w:sz="4" w:space="0" w:color="auto"/>
              <w:left w:val="single" w:sz="4" w:space="0" w:color="auto"/>
              <w:bottom w:val="single" w:sz="4" w:space="0" w:color="auto"/>
              <w:right w:val="single" w:sz="4" w:space="0" w:color="auto"/>
            </w:tcBorders>
            <w:shd w:val="clear" w:color="auto" w:fill="auto"/>
          </w:tcPr>
          <w:p w14:paraId="57C2FCE3" w14:textId="61F4D730" w:rsidR="00B17FB4" w:rsidRPr="00B17FB4" w:rsidRDefault="00B17FB4" w:rsidP="00B17FB4">
            <w:pPr>
              <w:pStyle w:val="Bulletleft1"/>
              <w:rPr>
                <w:sz w:val="22"/>
                <w:szCs w:val="22"/>
              </w:rPr>
            </w:pPr>
            <w:r w:rsidRPr="00B17FB4">
              <w:rPr>
                <w:sz w:val="22"/>
                <w:szCs w:val="22"/>
              </w:rPr>
              <w:t xml:space="preserve">Confirmed DVT or PE </w:t>
            </w:r>
          </w:p>
        </w:tc>
        <w:tc>
          <w:tcPr>
            <w:tcW w:w="384" w:type="pct"/>
          </w:tcPr>
          <w:p w14:paraId="6E6C7D09" w14:textId="070CFC93"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5305A3AD" w14:textId="18425352"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1A6502C9" w14:textId="438321F1"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302891D1" w14:textId="18B9FA63" w:rsidR="00B17FB4" w:rsidRPr="008D5DC6" w:rsidRDefault="00B17FB4" w:rsidP="00B17FB4">
            <w:pPr>
              <w:rPr>
                <w:rFonts w:ascii="Arial" w:hAnsi="Arial"/>
                <w:bCs/>
                <w:sz w:val="22"/>
                <w:szCs w:val="22"/>
              </w:rPr>
            </w:pPr>
            <w:r w:rsidRPr="008D5DC6">
              <w:rPr>
                <w:rFonts w:ascii="Arial" w:hAnsi="Arial"/>
                <w:bCs/>
                <w:sz w:val="22"/>
                <w:szCs w:val="22"/>
              </w:rPr>
              <w:t>Yes</w:t>
            </w:r>
          </w:p>
        </w:tc>
        <w:tc>
          <w:tcPr>
            <w:tcW w:w="729" w:type="pct"/>
          </w:tcPr>
          <w:p w14:paraId="1F6ECCA1" w14:textId="31C767A8" w:rsidR="00B17FB4" w:rsidRDefault="00B17FB4" w:rsidP="00B17FB4">
            <w:pPr>
              <w:rPr>
                <w:rFonts w:ascii="Arial" w:hAnsi="Arial"/>
                <w:b/>
                <w:sz w:val="22"/>
                <w:szCs w:val="22"/>
              </w:rPr>
            </w:pPr>
            <w:r>
              <w:rPr>
                <w:rFonts w:ascii="Arial" w:hAnsi="Arial"/>
                <w:b/>
                <w:sz w:val="22"/>
                <w:szCs w:val="22"/>
              </w:rPr>
              <w:t>Yes</w:t>
            </w:r>
          </w:p>
        </w:tc>
      </w:tr>
      <w:tr w:rsidR="00B17FB4" w:rsidRPr="009A6232" w14:paraId="120463CD" w14:textId="77777777" w:rsidTr="00820A8F">
        <w:trPr>
          <w:trHeight w:val="382"/>
          <w:tblHeader/>
        </w:trPr>
        <w:tc>
          <w:tcPr>
            <w:tcW w:w="1721" w:type="pct"/>
            <w:tcBorders>
              <w:top w:val="single" w:sz="4" w:space="0" w:color="auto"/>
              <w:left w:val="single" w:sz="4" w:space="0" w:color="auto"/>
              <w:bottom w:val="single" w:sz="4" w:space="0" w:color="auto"/>
              <w:right w:val="single" w:sz="4" w:space="0" w:color="auto"/>
            </w:tcBorders>
            <w:shd w:val="clear" w:color="auto" w:fill="auto"/>
          </w:tcPr>
          <w:p w14:paraId="66A3A0CE" w14:textId="3F0231C6" w:rsidR="00B17FB4" w:rsidRPr="00B17FB4" w:rsidRDefault="00B17FB4" w:rsidP="00B17FB4">
            <w:pPr>
              <w:pStyle w:val="Bulletleft1"/>
              <w:rPr>
                <w:sz w:val="22"/>
                <w:szCs w:val="22"/>
              </w:rPr>
            </w:pPr>
            <w:r w:rsidRPr="00B17FB4">
              <w:rPr>
                <w:sz w:val="22"/>
                <w:szCs w:val="22"/>
              </w:rPr>
              <w:t>Long-term anticoagulation for secondary prevention</w:t>
            </w:r>
          </w:p>
        </w:tc>
        <w:tc>
          <w:tcPr>
            <w:tcW w:w="384" w:type="pct"/>
          </w:tcPr>
          <w:p w14:paraId="2E5CF500" w14:textId="3BB4A96B"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3F2FC5A2" w14:textId="1CD44BD5"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26BDC061" w14:textId="176DFBAE"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588A0BA0" w14:textId="715CF8C2" w:rsidR="00B17FB4" w:rsidRPr="008D5DC6" w:rsidRDefault="00B17FB4" w:rsidP="00B17FB4">
            <w:pPr>
              <w:rPr>
                <w:rFonts w:ascii="Arial" w:hAnsi="Arial"/>
                <w:bCs/>
                <w:sz w:val="22"/>
                <w:szCs w:val="22"/>
              </w:rPr>
            </w:pPr>
            <w:r w:rsidRPr="008D5DC6">
              <w:rPr>
                <w:rFonts w:ascii="Arial" w:hAnsi="Arial"/>
                <w:bCs/>
                <w:sz w:val="22"/>
                <w:szCs w:val="22"/>
              </w:rPr>
              <w:t>Yes</w:t>
            </w:r>
          </w:p>
        </w:tc>
        <w:tc>
          <w:tcPr>
            <w:tcW w:w="729" w:type="pct"/>
          </w:tcPr>
          <w:p w14:paraId="42ECD06B" w14:textId="16C00D4F" w:rsidR="00B17FB4" w:rsidRDefault="00B17FB4" w:rsidP="00B17FB4">
            <w:pPr>
              <w:rPr>
                <w:rFonts w:ascii="Arial" w:hAnsi="Arial"/>
                <w:b/>
                <w:sz w:val="22"/>
                <w:szCs w:val="22"/>
              </w:rPr>
            </w:pPr>
            <w:r>
              <w:rPr>
                <w:rFonts w:ascii="Arial" w:hAnsi="Arial"/>
                <w:b/>
                <w:sz w:val="22"/>
                <w:szCs w:val="22"/>
              </w:rPr>
              <w:t>Yes</w:t>
            </w:r>
          </w:p>
        </w:tc>
      </w:tr>
      <w:tr w:rsidR="00B17FB4" w:rsidRPr="009A6232" w14:paraId="6FF757BE" w14:textId="77777777" w:rsidTr="001B6962">
        <w:trPr>
          <w:trHeight w:val="382"/>
          <w:tblHeader/>
        </w:trPr>
        <w:tc>
          <w:tcPr>
            <w:tcW w:w="5000" w:type="pct"/>
            <w:gridSpan w:val="6"/>
            <w:tcBorders>
              <w:top w:val="single" w:sz="4" w:space="0" w:color="auto"/>
              <w:left w:val="single" w:sz="4" w:space="0" w:color="auto"/>
              <w:bottom w:val="single" w:sz="4" w:space="0" w:color="auto"/>
            </w:tcBorders>
            <w:shd w:val="clear" w:color="auto" w:fill="auto"/>
          </w:tcPr>
          <w:p w14:paraId="06ACF600" w14:textId="77777777" w:rsidR="00B17FB4" w:rsidRPr="00B17FB4" w:rsidRDefault="00B17FB4" w:rsidP="00B17FB4">
            <w:pPr>
              <w:rPr>
                <w:rFonts w:ascii="Arial" w:hAnsi="Arial"/>
                <w:b/>
                <w:sz w:val="22"/>
                <w:szCs w:val="22"/>
              </w:rPr>
            </w:pPr>
            <w:r w:rsidRPr="00B17FB4">
              <w:rPr>
                <w:rFonts w:ascii="Arial" w:hAnsi="Arial"/>
                <w:b/>
                <w:sz w:val="22"/>
                <w:szCs w:val="22"/>
              </w:rPr>
              <w:t>Further interventions and tests</w:t>
            </w:r>
          </w:p>
          <w:p w14:paraId="6DF520C7" w14:textId="77777777" w:rsidR="00B17FB4" w:rsidRDefault="00B17FB4" w:rsidP="00B17FB4">
            <w:pPr>
              <w:rPr>
                <w:rFonts w:ascii="Arial" w:hAnsi="Arial"/>
                <w:b/>
                <w:sz w:val="22"/>
                <w:szCs w:val="22"/>
              </w:rPr>
            </w:pPr>
          </w:p>
        </w:tc>
      </w:tr>
      <w:tr w:rsidR="00B17FB4" w:rsidRPr="009A6232" w14:paraId="16B19ED6" w14:textId="77777777" w:rsidTr="00820A8F">
        <w:trPr>
          <w:trHeight w:val="382"/>
          <w:tblHeader/>
        </w:trPr>
        <w:tc>
          <w:tcPr>
            <w:tcW w:w="1721" w:type="pct"/>
            <w:tcBorders>
              <w:top w:val="single" w:sz="4" w:space="0" w:color="auto"/>
              <w:left w:val="single" w:sz="4" w:space="0" w:color="auto"/>
              <w:bottom w:val="single" w:sz="4" w:space="0" w:color="auto"/>
              <w:right w:val="single" w:sz="4" w:space="0" w:color="auto"/>
            </w:tcBorders>
            <w:shd w:val="clear" w:color="auto" w:fill="auto"/>
          </w:tcPr>
          <w:p w14:paraId="70F30BA4" w14:textId="2BBC809F" w:rsidR="00B17FB4" w:rsidRPr="00B17FB4" w:rsidRDefault="00B17FB4" w:rsidP="00B17FB4">
            <w:pPr>
              <w:pStyle w:val="Bulletleft1"/>
              <w:rPr>
                <w:sz w:val="22"/>
                <w:szCs w:val="22"/>
              </w:rPr>
            </w:pPr>
            <w:r w:rsidRPr="00B17FB4">
              <w:rPr>
                <w:sz w:val="22"/>
                <w:szCs w:val="22"/>
              </w:rPr>
              <w:t xml:space="preserve">Mechanical interventions </w:t>
            </w:r>
          </w:p>
        </w:tc>
        <w:tc>
          <w:tcPr>
            <w:tcW w:w="384" w:type="pct"/>
          </w:tcPr>
          <w:p w14:paraId="371275C9" w14:textId="7690E314"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5A3D6660" w14:textId="2F647CFD"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008D6039" w14:textId="3D1BC02A"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4AB11B09" w14:textId="6CA7E552" w:rsidR="00B17FB4" w:rsidRPr="008D5DC6" w:rsidRDefault="00B17FB4" w:rsidP="00B17FB4">
            <w:pPr>
              <w:rPr>
                <w:rFonts w:ascii="Arial" w:hAnsi="Arial"/>
                <w:bCs/>
                <w:sz w:val="22"/>
                <w:szCs w:val="22"/>
              </w:rPr>
            </w:pPr>
            <w:r w:rsidRPr="008D5DC6">
              <w:rPr>
                <w:rFonts w:ascii="Arial" w:hAnsi="Arial"/>
                <w:bCs/>
                <w:sz w:val="22"/>
                <w:szCs w:val="22"/>
              </w:rPr>
              <w:t>Yes</w:t>
            </w:r>
          </w:p>
        </w:tc>
        <w:tc>
          <w:tcPr>
            <w:tcW w:w="729" w:type="pct"/>
          </w:tcPr>
          <w:p w14:paraId="0767082F" w14:textId="0015615F" w:rsidR="00B17FB4" w:rsidRDefault="00B17FB4" w:rsidP="00B17FB4">
            <w:pPr>
              <w:rPr>
                <w:rFonts w:ascii="Arial" w:hAnsi="Arial"/>
                <w:b/>
                <w:sz w:val="22"/>
                <w:szCs w:val="22"/>
              </w:rPr>
            </w:pPr>
            <w:r>
              <w:rPr>
                <w:rFonts w:ascii="Arial" w:hAnsi="Arial"/>
                <w:b/>
                <w:sz w:val="22"/>
                <w:szCs w:val="22"/>
              </w:rPr>
              <w:t>Yes</w:t>
            </w:r>
          </w:p>
        </w:tc>
      </w:tr>
      <w:tr w:rsidR="00B17FB4" w:rsidRPr="009A6232" w14:paraId="5A7E3AF5" w14:textId="77777777" w:rsidTr="00820A8F">
        <w:trPr>
          <w:trHeight w:val="382"/>
          <w:tblHeader/>
        </w:trPr>
        <w:tc>
          <w:tcPr>
            <w:tcW w:w="1721" w:type="pct"/>
            <w:tcBorders>
              <w:top w:val="single" w:sz="4" w:space="0" w:color="auto"/>
              <w:left w:val="single" w:sz="4" w:space="0" w:color="auto"/>
              <w:bottom w:val="single" w:sz="4" w:space="0" w:color="auto"/>
              <w:right w:val="single" w:sz="4" w:space="0" w:color="auto"/>
            </w:tcBorders>
            <w:shd w:val="clear" w:color="auto" w:fill="auto"/>
          </w:tcPr>
          <w:p w14:paraId="39FE6F2E" w14:textId="3827BBBD" w:rsidR="00B17FB4" w:rsidRPr="00B17FB4" w:rsidRDefault="00B17FB4" w:rsidP="00B17FB4">
            <w:pPr>
              <w:pStyle w:val="Bulletleft1"/>
              <w:rPr>
                <w:sz w:val="22"/>
                <w:szCs w:val="22"/>
              </w:rPr>
            </w:pPr>
            <w:r w:rsidRPr="00B17FB4">
              <w:rPr>
                <w:sz w:val="22"/>
                <w:szCs w:val="22"/>
              </w:rPr>
              <w:t>Investigating the causes of DVT and PE</w:t>
            </w:r>
          </w:p>
        </w:tc>
        <w:tc>
          <w:tcPr>
            <w:tcW w:w="384" w:type="pct"/>
          </w:tcPr>
          <w:p w14:paraId="70FC0ACE" w14:textId="3CF99C7A"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10376B89" w14:textId="4EF4BD99"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3925336C" w14:textId="1E1A8926" w:rsidR="00B17FB4" w:rsidRPr="008D5DC6" w:rsidRDefault="00B17FB4" w:rsidP="00B17FB4">
            <w:pPr>
              <w:rPr>
                <w:rFonts w:ascii="Arial" w:hAnsi="Arial"/>
                <w:bCs/>
                <w:sz w:val="22"/>
                <w:szCs w:val="22"/>
              </w:rPr>
            </w:pPr>
            <w:r w:rsidRPr="008D5DC6">
              <w:rPr>
                <w:rFonts w:ascii="Arial" w:hAnsi="Arial"/>
                <w:bCs/>
                <w:sz w:val="22"/>
                <w:szCs w:val="22"/>
              </w:rPr>
              <w:t>Yes</w:t>
            </w:r>
          </w:p>
        </w:tc>
        <w:tc>
          <w:tcPr>
            <w:tcW w:w="722" w:type="pct"/>
          </w:tcPr>
          <w:p w14:paraId="6332891A" w14:textId="7B0C463A" w:rsidR="00B17FB4" w:rsidRPr="008D5DC6" w:rsidRDefault="00B17FB4" w:rsidP="00B17FB4">
            <w:pPr>
              <w:rPr>
                <w:rFonts w:ascii="Arial" w:hAnsi="Arial"/>
                <w:bCs/>
                <w:sz w:val="22"/>
                <w:szCs w:val="22"/>
              </w:rPr>
            </w:pPr>
            <w:r w:rsidRPr="008D5DC6">
              <w:rPr>
                <w:rFonts w:ascii="Arial" w:hAnsi="Arial"/>
                <w:bCs/>
                <w:sz w:val="22"/>
                <w:szCs w:val="22"/>
              </w:rPr>
              <w:t>Yes</w:t>
            </w:r>
          </w:p>
        </w:tc>
        <w:tc>
          <w:tcPr>
            <w:tcW w:w="729" w:type="pct"/>
          </w:tcPr>
          <w:p w14:paraId="24C2A69A" w14:textId="20EF0D97" w:rsidR="00B17FB4" w:rsidRDefault="00B17FB4" w:rsidP="00B17FB4">
            <w:pPr>
              <w:rPr>
                <w:rFonts w:ascii="Arial" w:hAnsi="Arial"/>
                <w:b/>
                <w:sz w:val="22"/>
                <w:szCs w:val="22"/>
              </w:rPr>
            </w:pPr>
            <w:r>
              <w:rPr>
                <w:rFonts w:ascii="Arial" w:hAnsi="Arial"/>
                <w:b/>
                <w:sz w:val="22"/>
                <w:szCs w:val="22"/>
              </w:rPr>
              <w:t>Yes</w:t>
            </w:r>
          </w:p>
        </w:tc>
      </w:tr>
      <w:tr w:rsidR="00B17FB4" w:rsidRPr="009A6232" w14:paraId="07FDE67A" w14:textId="77777777" w:rsidTr="001B6962">
        <w:trPr>
          <w:trHeight w:val="382"/>
          <w:tblHeader/>
        </w:trPr>
        <w:tc>
          <w:tcPr>
            <w:tcW w:w="5000" w:type="pct"/>
            <w:gridSpan w:val="6"/>
            <w:tcBorders>
              <w:top w:val="single" w:sz="4" w:space="0" w:color="auto"/>
              <w:left w:val="single" w:sz="4" w:space="0" w:color="auto"/>
              <w:bottom w:val="single" w:sz="4" w:space="0" w:color="auto"/>
            </w:tcBorders>
            <w:shd w:val="clear" w:color="auto" w:fill="auto"/>
          </w:tcPr>
          <w:p w14:paraId="199F1BE5" w14:textId="28A1FCD5" w:rsidR="00B17FB4" w:rsidRDefault="00B17FB4" w:rsidP="00B17FB4">
            <w:pPr>
              <w:rPr>
                <w:rFonts w:ascii="Arial" w:hAnsi="Arial"/>
                <w:b/>
                <w:sz w:val="22"/>
                <w:szCs w:val="22"/>
              </w:rPr>
            </w:pPr>
            <w:r w:rsidRPr="00B17FB4">
              <w:rPr>
                <w:rFonts w:ascii="Arial" w:hAnsi="Arial"/>
                <w:b/>
                <w:sz w:val="22"/>
                <w:szCs w:val="22"/>
              </w:rPr>
              <w:t>Information and support</w:t>
            </w:r>
          </w:p>
        </w:tc>
      </w:tr>
      <w:tr w:rsidR="001B6962" w:rsidRPr="009A6232" w14:paraId="6F14045A" w14:textId="77777777" w:rsidTr="00820A8F">
        <w:trPr>
          <w:trHeight w:val="382"/>
          <w:tblHeader/>
        </w:trPr>
        <w:tc>
          <w:tcPr>
            <w:tcW w:w="1721" w:type="pct"/>
            <w:tcBorders>
              <w:top w:val="single" w:sz="4" w:space="0" w:color="auto"/>
              <w:left w:val="single" w:sz="4" w:space="0" w:color="auto"/>
              <w:bottom w:val="single" w:sz="4" w:space="0" w:color="auto"/>
              <w:right w:val="single" w:sz="4" w:space="0" w:color="auto"/>
            </w:tcBorders>
            <w:shd w:val="clear" w:color="auto" w:fill="auto"/>
          </w:tcPr>
          <w:p w14:paraId="00319310" w14:textId="6B7730B1" w:rsidR="001B6962" w:rsidRPr="00B17FB4" w:rsidRDefault="001B6962" w:rsidP="001B6962">
            <w:pPr>
              <w:pStyle w:val="Bulletleft1"/>
              <w:rPr>
                <w:sz w:val="22"/>
                <w:szCs w:val="22"/>
              </w:rPr>
            </w:pPr>
            <w:r w:rsidRPr="00B17FB4">
              <w:rPr>
                <w:sz w:val="22"/>
                <w:szCs w:val="22"/>
              </w:rPr>
              <w:t>Outpatient treatment for low-risk PE</w:t>
            </w:r>
          </w:p>
        </w:tc>
        <w:tc>
          <w:tcPr>
            <w:tcW w:w="384" w:type="pct"/>
          </w:tcPr>
          <w:p w14:paraId="08E3822A" w14:textId="2E64BC68" w:rsidR="001B6962" w:rsidRPr="008D5DC6" w:rsidRDefault="001B6962" w:rsidP="001B6962">
            <w:pPr>
              <w:rPr>
                <w:rFonts w:ascii="Arial" w:hAnsi="Arial"/>
                <w:bCs/>
                <w:sz w:val="22"/>
                <w:szCs w:val="22"/>
              </w:rPr>
            </w:pPr>
            <w:r w:rsidRPr="008D5DC6">
              <w:rPr>
                <w:rFonts w:ascii="Arial" w:hAnsi="Arial"/>
                <w:bCs/>
                <w:sz w:val="22"/>
                <w:szCs w:val="22"/>
              </w:rPr>
              <w:t>Yes</w:t>
            </w:r>
          </w:p>
        </w:tc>
        <w:tc>
          <w:tcPr>
            <w:tcW w:w="722" w:type="pct"/>
          </w:tcPr>
          <w:p w14:paraId="1B054553" w14:textId="699CB8D9" w:rsidR="001B6962" w:rsidRPr="008D5DC6" w:rsidRDefault="001B6962" w:rsidP="001B6962">
            <w:pPr>
              <w:rPr>
                <w:rFonts w:ascii="Arial" w:hAnsi="Arial"/>
                <w:bCs/>
                <w:sz w:val="22"/>
                <w:szCs w:val="22"/>
              </w:rPr>
            </w:pPr>
            <w:r w:rsidRPr="008D5DC6">
              <w:rPr>
                <w:rFonts w:ascii="Arial" w:hAnsi="Arial"/>
                <w:bCs/>
                <w:sz w:val="22"/>
                <w:szCs w:val="22"/>
              </w:rPr>
              <w:t>Yes</w:t>
            </w:r>
          </w:p>
        </w:tc>
        <w:tc>
          <w:tcPr>
            <w:tcW w:w="722" w:type="pct"/>
          </w:tcPr>
          <w:p w14:paraId="34414E9F" w14:textId="3C6C3938" w:rsidR="001B6962" w:rsidRPr="008D5DC6" w:rsidRDefault="001B6962" w:rsidP="001B6962">
            <w:pPr>
              <w:rPr>
                <w:rFonts w:ascii="Arial" w:hAnsi="Arial"/>
                <w:bCs/>
                <w:sz w:val="22"/>
                <w:szCs w:val="22"/>
              </w:rPr>
            </w:pPr>
            <w:r w:rsidRPr="008D5DC6">
              <w:rPr>
                <w:rFonts w:ascii="Arial" w:hAnsi="Arial"/>
                <w:bCs/>
                <w:sz w:val="22"/>
                <w:szCs w:val="22"/>
              </w:rPr>
              <w:t>Yes</w:t>
            </w:r>
          </w:p>
        </w:tc>
        <w:tc>
          <w:tcPr>
            <w:tcW w:w="722" w:type="pct"/>
          </w:tcPr>
          <w:p w14:paraId="4871ED4F" w14:textId="1EDBF1C3" w:rsidR="001B6962" w:rsidRPr="008D5DC6" w:rsidRDefault="001B6962" w:rsidP="001B6962">
            <w:pPr>
              <w:rPr>
                <w:rFonts w:ascii="Arial" w:hAnsi="Arial"/>
                <w:bCs/>
                <w:sz w:val="22"/>
                <w:szCs w:val="22"/>
              </w:rPr>
            </w:pPr>
            <w:r w:rsidRPr="008D5DC6">
              <w:rPr>
                <w:rFonts w:ascii="Arial" w:hAnsi="Arial"/>
                <w:bCs/>
                <w:sz w:val="22"/>
                <w:szCs w:val="22"/>
              </w:rPr>
              <w:t>Yes</w:t>
            </w:r>
          </w:p>
        </w:tc>
        <w:tc>
          <w:tcPr>
            <w:tcW w:w="729" w:type="pct"/>
          </w:tcPr>
          <w:p w14:paraId="55A9D317" w14:textId="76D68633" w:rsidR="001B6962" w:rsidRDefault="001B6962" w:rsidP="001B6962">
            <w:pPr>
              <w:rPr>
                <w:rFonts w:ascii="Arial" w:hAnsi="Arial"/>
                <w:b/>
                <w:sz w:val="22"/>
                <w:szCs w:val="22"/>
              </w:rPr>
            </w:pPr>
            <w:r>
              <w:rPr>
                <w:rFonts w:ascii="Arial" w:hAnsi="Arial"/>
                <w:b/>
                <w:sz w:val="22"/>
                <w:szCs w:val="22"/>
              </w:rPr>
              <w:t>Yes</w:t>
            </w:r>
          </w:p>
        </w:tc>
      </w:tr>
      <w:tr w:rsidR="001B6962" w:rsidRPr="009A6232" w14:paraId="49404512" w14:textId="77777777" w:rsidTr="00820A8F">
        <w:trPr>
          <w:trHeight w:val="382"/>
          <w:tblHeader/>
        </w:trPr>
        <w:tc>
          <w:tcPr>
            <w:tcW w:w="1721" w:type="pct"/>
            <w:tcBorders>
              <w:top w:val="single" w:sz="4" w:space="0" w:color="auto"/>
              <w:left w:val="single" w:sz="4" w:space="0" w:color="auto"/>
              <w:bottom w:val="single" w:sz="4" w:space="0" w:color="auto"/>
              <w:right w:val="single" w:sz="4" w:space="0" w:color="auto"/>
            </w:tcBorders>
            <w:shd w:val="clear" w:color="auto" w:fill="auto"/>
          </w:tcPr>
          <w:p w14:paraId="5A04AA55" w14:textId="213D0F6E" w:rsidR="00820A8F" w:rsidRPr="002D0242" w:rsidRDefault="001B6962" w:rsidP="002D0242">
            <w:pPr>
              <w:pStyle w:val="Bulletleft1"/>
              <w:rPr>
                <w:sz w:val="22"/>
                <w:szCs w:val="22"/>
              </w:rPr>
            </w:pPr>
            <w:r w:rsidRPr="00B17FB4">
              <w:rPr>
                <w:sz w:val="22"/>
                <w:szCs w:val="22"/>
              </w:rPr>
              <w:t>Shared decision making and supporting adherence</w:t>
            </w:r>
          </w:p>
        </w:tc>
        <w:tc>
          <w:tcPr>
            <w:tcW w:w="384" w:type="pct"/>
          </w:tcPr>
          <w:p w14:paraId="000756A0" w14:textId="145D554F" w:rsidR="001B6962" w:rsidRPr="008D5DC6" w:rsidRDefault="001B6962" w:rsidP="001B6962">
            <w:pPr>
              <w:rPr>
                <w:rFonts w:ascii="Arial" w:hAnsi="Arial"/>
                <w:bCs/>
                <w:sz w:val="22"/>
                <w:szCs w:val="22"/>
              </w:rPr>
            </w:pPr>
            <w:r w:rsidRPr="008D5DC6">
              <w:rPr>
                <w:rFonts w:ascii="Arial" w:hAnsi="Arial"/>
                <w:bCs/>
                <w:sz w:val="22"/>
                <w:szCs w:val="22"/>
              </w:rPr>
              <w:t>Yes</w:t>
            </w:r>
          </w:p>
        </w:tc>
        <w:tc>
          <w:tcPr>
            <w:tcW w:w="722" w:type="pct"/>
          </w:tcPr>
          <w:p w14:paraId="3492E023" w14:textId="5B9E7A75" w:rsidR="001B6962" w:rsidRPr="008D5DC6" w:rsidRDefault="001B6962" w:rsidP="001B6962">
            <w:pPr>
              <w:rPr>
                <w:rFonts w:ascii="Arial" w:hAnsi="Arial"/>
                <w:bCs/>
                <w:sz w:val="22"/>
                <w:szCs w:val="22"/>
              </w:rPr>
            </w:pPr>
            <w:r w:rsidRPr="008D5DC6">
              <w:rPr>
                <w:rFonts w:ascii="Arial" w:hAnsi="Arial"/>
                <w:bCs/>
                <w:sz w:val="22"/>
                <w:szCs w:val="22"/>
              </w:rPr>
              <w:t>Yes</w:t>
            </w:r>
          </w:p>
        </w:tc>
        <w:tc>
          <w:tcPr>
            <w:tcW w:w="722" w:type="pct"/>
          </w:tcPr>
          <w:p w14:paraId="01AD7869" w14:textId="69CCD4A3" w:rsidR="001B6962" w:rsidRPr="008D5DC6" w:rsidRDefault="001B6962" w:rsidP="001B6962">
            <w:pPr>
              <w:rPr>
                <w:rFonts w:ascii="Arial" w:hAnsi="Arial"/>
                <w:bCs/>
                <w:sz w:val="22"/>
                <w:szCs w:val="22"/>
              </w:rPr>
            </w:pPr>
            <w:r w:rsidRPr="008D5DC6">
              <w:rPr>
                <w:rFonts w:ascii="Arial" w:hAnsi="Arial"/>
                <w:bCs/>
                <w:sz w:val="22"/>
                <w:szCs w:val="22"/>
              </w:rPr>
              <w:t>Yes</w:t>
            </w:r>
          </w:p>
        </w:tc>
        <w:tc>
          <w:tcPr>
            <w:tcW w:w="722" w:type="pct"/>
          </w:tcPr>
          <w:p w14:paraId="76F0FF26" w14:textId="72064DE6" w:rsidR="001B6962" w:rsidRPr="008D5DC6" w:rsidRDefault="001B6962" w:rsidP="001B6962">
            <w:pPr>
              <w:rPr>
                <w:rFonts w:ascii="Arial" w:hAnsi="Arial"/>
                <w:bCs/>
                <w:sz w:val="22"/>
                <w:szCs w:val="22"/>
              </w:rPr>
            </w:pPr>
            <w:r w:rsidRPr="008D5DC6">
              <w:rPr>
                <w:rFonts w:ascii="Arial" w:hAnsi="Arial"/>
                <w:bCs/>
                <w:sz w:val="22"/>
                <w:szCs w:val="22"/>
              </w:rPr>
              <w:t>Yes</w:t>
            </w:r>
          </w:p>
        </w:tc>
        <w:tc>
          <w:tcPr>
            <w:tcW w:w="729" w:type="pct"/>
          </w:tcPr>
          <w:p w14:paraId="16795F0D" w14:textId="76E764D7" w:rsidR="001B6962" w:rsidRDefault="001B6962" w:rsidP="001B6962">
            <w:pPr>
              <w:rPr>
                <w:rFonts w:ascii="Arial" w:hAnsi="Arial"/>
                <w:b/>
                <w:sz w:val="22"/>
                <w:szCs w:val="22"/>
              </w:rPr>
            </w:pPr>
            <w:r>
              <w:rPr>
                <w:rFonts w:ascii="Arial" w:hAnsi="Arial"/>
                <w:b/>
                <w:sz w:val="22"/>
                <w:szCs w:val="22"/>
              </w:rPr>
              <w:t>Yes</w:t>
            </w:r>
          </w:p>
        </w:tc>
      </w:tr>
      <w:bookmarkEnd w:id="38"/>
    </w:tbl>
    <w:p w14:paraId="08E92FB4" w14:textId="0A1FE158" w:rsidR="000B167D" w:rsidRDefault="000B167D" w:rsidP="002E1541">
      <w:pPr>
        <w:pStyle w:val="Numberedheading1"/>
      </w:pPr>
    </w:p>
    <w:p w14:paraId="0414A35F" w14:textId="26CC220B" w:rsidR="001B6962" w:rsidRDefault="001B6962" w:rsidP="001B6962"/>
    <w:p w14:paraId="0042D21F" w14:textId="1E83A5BD" w:rsidR="001B6962" w:rsidRDefault="001B6962" w:rsidP="001B69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103"/>
        <w:gridCol w:w="692"/>
        <w:gridCol w:w="1302"/>
        <w:gridCol w:w="1302"/>
        <w:gridCol w:w="1302"/>
        <w:gridCol w:w="1315"/>
      </w:tblGrid>
      <w:tr w:rsidR="001B6962" w:rsidRPr="009A6232" w14:paraId="4394F3C5" w14:textId="77777777" w:rsidTr="001D5C13">
        <w:trPr>
          <w:tblHeader/>
        </w:trPr>
        <w:tc>
          <w:tcPr>
            <w:tcW w:w="1727" w:type="pct"/>
            <w:shd w:val="clear" w:color="auto" w:fill="auto"/>
          </w:tcPr>
          <w:p w14:paraId="019374CD" w14:textId="77777777" w:rsidR="001B6962" w:rsidRPr="009A6232" w:rsidRDefault="001B6962" w:rsidP="001D5C13">
            <w:pPr>
              <w:keepNext/>
              <w:spacing w:after="60"/>
              <w:rPr>
                <w:rFonts w:ascii="Arial" w:hAnsi="Arial"/>
                <w:b/>
                <w:sz w:val="22"/>
                <w:szCs w:val="22"/>
              </w:rPr>
            </w:pPr>
            <w:r w:rsidRPr="009A6232">
              <w:rPr>
                <w:rFonts w:ascii="Arial" w:hAnsi="Arial"/>
                <w:b/>
                <w:sz w:val="22"/>
                <w:szCs w:val="22"/>
              </w:rPr>
              <w:t>Suggested area for improvement</w:t>
            </w:r>
          </w:p>
        </w:tc>
        <w:tc>
          <w:tcPr>
            <w:tcW w:w="354" w:type="pct"/>
          </w:tcPr>
          <w:p w14:paraId="10F49D5E" w14:textId="77777777" w:rsidR="001B6962" w:rsidRPr="009A6232" w:rsidRDefault="001B6962" w:rsidP="001D5C13">
            <w:pPr>
              <w:keepNext/>
              <w:spacing w:after="60"/>
              <w:rPr>
                <w:rFonts w:ascii="Arial" w:hAnsi="Arial"/>
                <w:b/>
                <w:sz w:val="22"/>
                <w:szCs w:val="22"/>
              </w:rPr>
            </w:pPr>
            <w:r w:rsidRPr="009A6232">
              <w:rPr>
                <w:rFonts w:ascii="Arial" w:hAnsi="Arial"/>
                <w:b/>
                <w:sz w:val="22"/>
                <w:szCs w:val="22"/>
              </w:rPr>
              <w:t>In scope</w:t>
            </w:r>
          </w:p>
        </w:tc>
        <w:tc>
          <w:tcPr>
            <w:tcW w:w="728" w:type="pct"/>
          </w:tcPr>
          <w:p w14:paraId="1345CECD" w14:textId="77777777" w:rsidR="001B6962" w:rsidRPr="009A6232" w:rsidRDefault="001B6962" w:rsidP="001D5C13">
            <w:pPr>
              <w:keepNext/>
              <w:spacing w:after="60"/>
              <w:rPr>
                <w:rFonts w:ascii="Arial" w:hAnsi="Arial"/>
                <w:b/>
                <w:sz w:val="22"/>
                <w:szCs w:val="22"/>
              </w:rPr>
            </w:pPr>
            <w:r w:rsidRPr="009A6232">
              <w:rPr>
                <w:rFonts w:ascii="Arial" w:hAnsi="Arial"/>
                <w:b/>
                <w:sz w:val="22"/>
                <w:szCs w:val="22"/>
              </w:rPr>
              <w:t>Guideline recs</w:t>
            </w:r>
          </w:p>
        </w:tc>
        <w:tc>
          <w:tcPr>
            <w:tcW w:w="728" w:type="pct"/>
          </w:tcPr>
          <w:p w14:paraId="781B42E7" w14:textId="77777777" w:rsidR="001B6962" w:rsidRPr="009A6232" w:rsidRDefault="001B6962" w:rsidP="001D5C13">
            <w:pPr>
              <w:keepNext/>
              <w:spacing w:after="60"/>
              <w:rPr>
                <w:rFonts w:ascii="Arial" w:hAnsi="Arial"/>
                <w:b/>
                <w:sz w:val="22"/>
                <w:szCs w:val="22"/>
              </w:rPr>
            </w:pPr>
            <w:r w:rsidRPr="009A6232">
              <w:rPr>
                <w:rFonts w:ascii="Arial" w:hAnsi="Arial"/>
                <w:b/>
                <w:sz w:val="22"/>
                <w:szCs w:val="22"/>
              </w:rPr>
              <w:t xml:space="preserve">Current practice evidence  </w:t>
            </w:r>
          </w:p>
        </w:tc>
        <w:tc>
          <w:tcPr>
            <w:tcW w:w="728" w:type="pct"/>
          </w:tcPr>
          <w:p w14:paraId="48E27F4D" w14:textId="77777777" w:rsidR="001B6962" w:rsidRPr="009A6232" w:rsidRDefault="001B6962" w:rsidP="001D5C13">
            <w:pPr>
              <w:keepNext/>
              <w:spacing w:after="60"/>
              <w:rPr>
                <w:rFonts w:ascii="Arial" w:hAnsi="Arial"/>
                <w:b/>
                <w:sz w:val="22"/>
                <w:szCs w:val="22"/>
              </w:rPr>
            </w:pPr>
            <w:r w:rsidRPr="009A6232">
              <w:rPr>
                <w:rFonts w:ascii="Arial" w:hAnsi="Arial"/>
                <w:b/>
                <w:sz w:val="22"/>
                <w:szCs w:val="22"/>
              </w:rPr>
              <w:t>Existing QS statement</w:t>
            </w:r>
          </w:p>
        </w:tc>
        <w:tc>
          <w:tcPr>
            <w:tcW w:w="735" w:type="pct"/>
          </w:tcPr>
          <w:p w14:paraId="343A81DE" w14:textId="77777777" w:rsidR="001B6962" w:rsidRPr="009A6232" w:rsidRDefault="001B6962" w:rsidP="001D5C13">
            <w:pPr>
              <w:keepNext/>
              <w:spacing w:after="60"/>
              <w:rPr>
                <w:rFonts w:ascii="Arial" w:hAnsi="Arial"/>
                <w:b/>
                <w:sz w:val="22"/>
                <w:szCs w:val="22"/>
              </w:rPr>
            </w:pPr>
            <w:r w:rsidRPr="009A6232">
              <w:rPr>
                <w:rFonts w:ascii="Arial" w:hAnsi="Arial"/>
                <w:b/>
                <w:sz w:val="22"/>
                <w:szCs w:val="22"/>
              </w:rPr>
              <w:t>Priority to discuss?</w:t>
            </w:r>
          </w:p>
        </w:tc>
      </w:tr>
      <w:tr w:rsidR="001B6962" w:rsidRPr="00B17FB4" w14:paraId="1867B048" w14:textId="77777777" w:rsidTr="001D5C13">
        <w:trPr>
          <w:tblHeader/>
        </w:trPr>
        <w:tc>
          <w:tcPr>
            <w:tcW w:w="5000" w:type="pct"/>
            <w:gridSpan w:val="6"/>
            <w:shd w:val="clear" w:color="auto" w:fill="auto"/>
          </w:tcPr>
          <w:p w14:paraId="4458A967" w14:textId="11CF76A3" w:rsidR="001B6962" w:rsidRPr="00B17FB4" w:rsidRDefault="001B6962" w:rsidP="001D5C13">
            <w:pPr>
              <w:pStyle w:val="Bulletleft1"/>
              <w:numPr>
                <w:ilvl w:val="0"/>
                <w:numId w:val="0"/>
              </w:numPr>
              <w:ind w:left="284" w:hanging="284"/>
              <w:rPr>
                <w:b/>
                <w:bCs/>
                <w:sz w:val="22"/>
                <w:szCs w:val="22"/>
              </w:rPr>
            </w:pPr>
            <w:r>
              <w:rPr>
                <w:b/>
                <w:bCs/>
                <w:sz w:val="22"/>
                <w:szCs w:val="22"/>
              </w:rPr>
              <w:t>Additional areas</w:t>
            </w:r>
          </w:p>
        </w:tc>
      </w:tr>
      <w:tr w:rsidR="001B6962" w:rsidRPr="009A6232" w14:paraId="7A2B6405" w14:textId="77777777" w:rsidTr="001D5C13">
        <w:trPr>
          <w:tblHeader/>
        </w:trPr>
        <w:tc>
          <w:tcPr>
            <w:tcW w:w="1727" w:type="pct"/>
            <w:shd w:val="clear" w:color="auto" w:fill="auto"/>
          </w:tcPr>
          <w:p w14:paraId="5CE28828" w14:textId="71675604" w:rsidR="001B6962" w:rsidRPr="001B6962" w:rsidRDefault="001B6962" w:rsidP="001B6962">
            <w:pPr>
              <w:pStyle w:val="Bulletleft1"/>
              <w:rPr>
                <w:sz w:val="22"/>
                <w:szCs w:val="22"/>
              </w:rPr>
            </w:pPr>
            <w:r w:rsidRPr="001B6962">
              <w:rPr>
                <w:sz w:val="22"/>
                <w:szCs w:val="22"/>
              </w:rPr>
              <w:t>Access to more complex therapies</w:t>
            </w:r>
          </w:p>
        </w:tc>
        <w:tc>
          <w:tcPr>
            <w:tcW w:w="354" w:type="pct"/>
          </w:tcPr>
          <w:p w14:paraId="798E43BD" w14:textId="77777777" w:rsidR="001B6962" w:rsidRPr="008D5DC6" w:rsidRDefault="001B6962" w:rsidP="001D5C13">
            <w:pPr>
              <w:keepNext/>
              <w:spacing w:after="60"/>
              <w:rPr>
                <w:rFonts w:ascii="Arial" w:hAnsi="Arial"/>
                <w:bCs/>
                <w:sz w:val="22"/>
                <w:szCs w:val="22"/>
              </w:rPr>
            </w:pPr>
            <w:r w:rsidRPr="008D5DC6">
              <w:rPr>
                <w:rFonts w:ascii="Arial" w:hAnsi="Arial"/>
                <w:bCs/>
                <w:sz w:val="22"/>
                <w:szCs w:val="22"/>
              </w:rPr>
              <w:t>Yes</w:t>
            </w:r>
          </w:p>
        </w:tc>
        <w:tc>
          <w:tcPr>
            <w:tcW w:w="728" w:type="pct"/>
          </w:tcPr>
          <w:p w14:paraId="61C9A85D" w14:textId="77777777" w:rsidR="001B6962" w:rsidRPr="008D5DC6" w:rsidRDefault="001B6962" w:rsidP="001D5C13">
            <w:pPr>
              <w:keepNext/>
              <w:spacing w:after="60"/>
              <w:rPr>
                <w:rFonts w:ascii="Arial" w:hAnsi="Arial"/>
                <w:bCs/>
                <w:sz w:val="22"/>
                <w:szCs w:val="22"/>
              </w:rPr>
            </w:pPr>
            <w:r w:rsidRPr="008D5DC6">
              <w:rPr>
                <w:rFonts w:ascii="Arial" w:hAnsi="Arial"/>
                <w:bCs/>
                <w:sz w:val="22"/>
                <w:szCs w:val="22"/>
              </w:rPr>
              <w:t>Yes</w:t>
            </w:r>
          </w:p>
        </w:tc>
        <w:tc>
          <w:tcPr>
            <w:tcW w:w="728" w:type="pct"/>
          </w:tcPr>
          <w:p w14:paraId="104CD79F" w14:textId="4336E63E" w:rsidR="001B6962" w:rsidRPr="008D5DC6" w:rsidRDefault="00AE6A73" w:rsidP="001D5C13">
            <w:pPr>
              <w:keepNext/>
              <w:spacing w:after="60"/>
              <w:rPr>
                <w:rFonts w:ascii="Arial" w:hAnsi="Arial"/>
                <w:bCs/>
                <w:sz w:val="22"/>
                <w:szCs w:val="22"/>
              </w:rPr>
            </w:pPr>
            <w:r w:rsidRPr="008D5DC6">
              <w:rPr>
                <w:rFonts w:ascii="Arial" w:hAnsi="Arial"/>
                <w:bCs/>
                <w:sz w:val="22"/>
                <w:szCs w:val="22"/>
              </w:rPr>
              <w:t>N/A</w:t>
            </w:r>
          </w:p>
        </w:tc>
        <w:tc>
          <w:tcPr>
            <w:tcW w:w="728" w:type="pct"/>
          </w:tcPr>
          <w:p w14:paraId="6EF8AE73" w14:textId="17D04A52" w:rsidR="001B6962" w:rsidRPr="008D5DC6" w:rsidRDefault="00285885" w:rsidP="001D5C13">
            <w:pPr>
              <w:keepNext/>
              <w:spacing w:after="60"/>
              <w:rPr>
                <w:rFonts w:ascii="Arial" w:hAnsi="Arial"/>
                <w:bCs/>
                <w:sz w:val="22"/>
                <w:szCs w:val="22"/>
              </w:rPr>
            </w:pPr>
            <w:r w:rsidRPr="008D5DC6">
              <w:rPr>
                <w:rFonts w:ascii="Arial" w:hAnsi="Arial"/>
                <w:bCs/>
                <w:sz w:val="22"/>
                <w:szCs w:val="22"/>
              </w:rPr>
              <w:t>No</w:t>
            </w:r>
          </w:p>
        </w:tc>
        <w:tc>
          <w:tcPr>
            <w:tcW w:w="735" w:type="pct"/>
          </w:tcPr>
          <w:p w14:paraId="55495AC0" w14:textId="4F7BFC09" w:rsidR="001B6962" w:rsidRPr="009A6232" w:rsidRDefault="001B6962" w:rsidP="001D5C13">
            <w:pPr>
              <w:keepNext/>
              <w:spacing w:after="60"/>
              <w:rPr>
                <w:rFonts w:ascii="Arial" w:hAnsi="Arial"/>
                <w:b/>
                <w:sz w:val="22"/>
                <w:szCs w:val="22"/>
              </w:rPr>
            </w:pPr>
            <w:r>
              <w:rPr>
                <w:rFonts w:ascii="Arial" w:hAnsi="Arial"/>
                <w:b/>
                <w:sz w:val="22"/>
                <w:szCs w:val="22"/>
              </w:rPr>
              <w:t>No</w:t>
            </w:r>
          </w:p>
        </w:tc>
      </w:tr>
      <w:tr w:rsidR="001B6962" w14:paraId="5FDC7A3E" w14:textId="77777777" w:rsidTr="001D5C13">
        <w:trPr>
          <w:tblHeader/>
        </w:trPr>
        <w:tc>
          <w:tcPr>
            <w:tcW w:w="1727" w:type="pct"/>
            <w:shd w:val="clear" w:color="auto" w:fill="auto"/>
          </w:tcPr>
          <w:p w14:paraId="6DA8FFB6" w14:textId="7065AD17" w:rsidR="001B6962" w:rsidRPr="001B6962" w:rsidRDefault="001B6962" w:rsidP="001B6962">
            <w:pPr>
              <w:pStyle w:val="Bulletleft1"/>
              <w:rPr>
                <w:sz w:val="22"/>
                <w:szCs w:val="22"/>
              </w:rPr>
            </w:pPr>
            <w:r w:rsidRPr="001B6962">
              <w:rPr>
                <w:sz w:val="22"/>
                <w:szCs w:val="22"/>
              </w:rPr>
              <w:t>COVID-19</w:t>
            </w:r>
          </w:p>
        </w:tc>
        <w:tc>
          <w:tcPr>
            <w:tcW w:w="354" w:type="pct"/>
          </w:tcPr>
          <w:p w14:paraId="0766D88A" w14:textId="77777777" w:rsidR="001B6962" w:rsidRPr="008D5DC6" w:rsidRDefault="001B6962" w:rsidP="001D5C13">
            <w:pPr>
              <w:keepNext/>
              <w:spacing w:after="60"/>
              <w:rPr>
                <w:rFonts w:ascii="Arial" w:hAnsi="Arial"/>
                <w:bCs/>
                <w:sz w:val="22"/>
                <w:szCs w:val="22"/>
              </w:rPr>
            </w:pPr>
            <w:r w:rsidRPr="008D5DC6">
              <w:rPr>
                <w:rFonts w:ascii="Arial" w:hAnsi="Arial"/>
                <w:bCs/>
                <w:sz w:val="22"/>
                <w:szCs w:val="22"/>
              </w:rPr>
              <w:t>Yes</w:t>
            </w:r>
          </w:p>
        </w:tc>
        <w:tc>
          <w:tcPr>
            <w:tcW w:w="728" w:type="pct"/>
          </w:tcPr>
          <w:p w14:paraId="0F8DDD82" w14:textId="6936FDDC" w:rsidR="001B6962" w:rsidRPr="008D5DC6" w:rsidRDefault="00AE6A73" w:rsidP="001D5C13">
            <w:pPr>
              <w:keepNext/>
              <w:spacing w:after="60"/>
              <w:rPr>
                <w:rFonts w:ascii="Arial" w:hAnsi="Arial"/>
                <w:bCs/>
                <w:sz w:val="22"/>
                <w:szCs w:val="22"/>
              </w:rPr>
            </w:pPr>
            <w:r w:rsidRPr="008D5DC6">
              <w:rPr>
                <w:rFonts w:ascii="Arial" w:hAnsi="Arial"/>
                <w:bCs/>
                <w:sz w:val="22"/>
                <w:szCs w:val="22"/>
              </w:rPr>
              <w:t>No</w:t>
            </w:r>
          </w:p>
        </w:tc>
        <w:tc>
          <w:tcPr>
            <w:tcW w:w="728" w:type="pct"/>
          </w:tcPr>
          <w:p w14:paraId="5077809E" w14:textId="66D5031C" w:rsidR="001B6962" w:rsidRPr="008D5DC6" w:rsidRDefault="001B6962" w:rsidP="001D5C13">
            <w:pPr>
              <w:keepNext/>
              <w:spacing w:after="60"/>
              <w:rPr>
                <w:rFonts w:ascii="Arial" w:hAnsi="Arial"/>
                <w:bCs/>
                <w:sz w:val="22"/>
                <w:szCs w:val="22"/>
              </w:rPr>
            </w:pPr>
            <w:r w:rsidRPr="008D5DC6">
              <w:rPr>
                <w:rFonts w:ascii="Arial" w:hAnsi="Arial"/>
                <w:bCs/>
                <w:sz w:val="22"/>
                <w:szCs w:val="22"/>
              </w:rPr>
              <w:t>N</w:t>
            </w:r>
            <w:r w:rsidR="00AE6A73" w:rsidRPr="008D5DC6">
              <w:rPr>
                <w:rFonts w:ascii="Arial" w:hAnsi="Arial"/>
                <w:bCs/>
                <w:sz w:val="22"/>
                <w:szCs w:val="22"/>
              </w:rPr>
              <w:t>/A</w:t>
            </w:r>
          </w:p>
        </w:tc>
        <w:tc>
          <w:tcPr>
            <w:tcW w:w="728" w:type="pct"/>
          </w:tcPr>
          <w:p w14:paraId="138E16AD" w14:textId="50BCB907" w:rsidR="001B6962" w:rsidRPr="008D5DC6" w:rsidRDefault="00285885" w:rsidP="001D5C13">
            <w:pPr>
              <w:keepNext/>
              <w:spacing w:after="60"/>
              <w:rPr>
                <w:rFonts w:ascii="Arial" w:hAnsi="Arial"/>
                <w:bCs/>
                <w:sz w:val="22"/>
                <w:szCs w:val="22"/>
              </w:rPr>
            </w:pPr>
            <w:r w:rsidRPr="008D5DC6">
              <w:rPr>
                <w:rFonts w:ascii="Arial" w:hAnsi="Arial"/>
                <w:bCs/>
                <w:sz w:val="22"/>
                <w:szCs w:val="22"/>
              </w:rPr>
              <w:t>No</w:t>
            </w:r>
          </w:p>
        </w:tc>
        <w:tc>
          <w:tcPr>
            <w:tcW w:w="735" w:type="pct"/>
          </w:tcPr>
          <w:p w14:paraId="4D08A631" w14:textId="19C8AA1F" w:rsidR="001B6962" w:rsidRDefault="00BA47A0" w:rsidP="001D5C13">
            <w:pPr>
              <w:keepNext/>
              <w:spacing w:after="60"/>
              <w:rPr>
                <w:rFonts w:ascii="Arial" w:hAnsi="Arial"/>
                <w:b/>
                <w:sz w:val="22"/>
                <w:szCs w:val="22"/>
              </w:rPr>
            </w:pPr>
            <w:r>
              <w:rPr>
                <w:rFonts w:ascii="Arial" w:hAnsi="Arial"/>
                <w:b/>
                <w:sz w:val="22"/>
                <w:szCs w:val="22"/>
              </w:rPr>
              <w:t>Yes</w:t>
            </w:r>
          </w:p>
        </w:tc>
      </w:tr>
      <w:tr w:rsidR="001B6962" w:rsidRPr="009A6232" w14:paraId="2A48094A" w14:textId="77777777" w:rsidTr="001D5C13">
        <w:trPr>
          <w:tblHeader/>
        </w:trPr>
        <w:tc>
          <w:tcPr>
            <w:tcW w:w="1727" w:type="pct"/>
            <w:shd w:val="clear" w:color="auto" w:fill="auto"/>
          </w:tcPr>
          <w:p w14:paraId="284A9190" w14:textId="103C00C9" w:rsidR="001B6962" w:rsidRPr="001B6962" w:rsidRDefault="001B6962" w:rsidP="001B6962">
            <w:pPr>
              <w:pStyle w:val="Bulletleft1"/>
              <w:rPr>
                <w:sz w:val="22"/>
                <w:szCs w:val="22"/>
              </w:rPr>
            </w:pPr>
            <w:r w:rsidRPr="001B6962">
              <w:rPr>
                <w:sz w:val="22"/>
                <w:szCs w:val="22"/>
              </w:rPr>
              <w:t>Equality considerations</w:t>
            </w:r>
          </w:p>
        </w:tc>
        <w:tc>
          <w:tcPr>
            <w:tcW w:w="354" w:type="pct"/>
          </w:tcPr>
          <w:p w14:paraId="4FBF1083" w14:textId="77777777" w:rsidR="001B6962" w:rsidRPr="008D5DC6" w:rsidRDefault="001B6962" w:rsidP="001D5C13">
            <w:pPr>
              <w:keepNext/>
              <w:spacing w:after="60"/>
              <w:rPr>
                <w:rFonts w:ascii="Arial" w:hAnsi="Arial"/>
                <w:bCs/>
                <w:sz w:val="22"/>
                <w:szCs w:val="22"/>
              </w:rPr>
            </w:pPr>
            <w:r w:rsidRPr="008D5DC6">
              <w:rPr>
                <w:rFonts w:ascii="Arial" w:hAnsi="Arial"/>
                <w:bCs/>
                <w:sz w:val="22"/>
                <w:szCs w:val="22"/>
              </w:rPr>
              <w:t>Yes</w:t>
            </w:r>
          </w:p>
        </w:tc>
        <w:tc>
          <w:tcPr>
            <w:tcW w:w="728" w:type="pct"/>
          </w:tcPr>
          <w:p w14:paraId="6FE94B34" w14:textId="3A93D41A" w:rsidR="001B6962" w:rsidRPr="008D5DC6" w:rsidRDefault="00AE6A73" w:rsidP="001D5C13">
            <w:pPr>
              <w:keepNext/>
              <w:spacing w:after="60"/>
              <w:rPr>
                <w:rFonts w:ascii="Arial" w:hAnsi="Arial"/>
                <w:bCs/>
                <w:sz w:val="22"/>
                <w:szCs w:val="22"/>
              </w:rPr>
            </w:pPr>
            <w:r w:rsidRPr="008D5DC6">
              <w:rPr>
                <w:rFonts w:ascii="Arial" w:hAnsi="Arial"/>
                <w:bCs/>
                <w:sz w:val="22"/>
                <w:szCs w:val="22"/>
              </w:rPr>
              <w:t>No</w:t>
            </w:r>
          </w:p>
        </w:tc>
        <w:tc>
          <w:tcPr>
            <w:tcW w:w="728" w:type="pct"/>
          </w:tcPr>
          <w:p w14:paraId="63F6ED05" w14:textId="388D7582" w:rsidR="001B6962" w:rsidRPr="008D5DC6" w:rsidRDefault="00AE6A73" w:rsidP="001D5C13">
            <w:pPr>
              <w:keepNext/>
              <w:spacing w:after="60"/>
              <w:rPr>
                <w:rFonts w:ascii="Arial" w:hAnsi="Arial"/>
                <w:bCs/>
                <w:sz w:val="22"/>
                <w:szCs w:val="22"/>
              </w:rPr>
            </w:pPr>
            <w:r w:rsidRPr="008D5DC6">
              <w:rPr>
                <w:rFonts w:ascii="Arial" w:hAnsi="Arial"/>
                <w:bCs/>
                <w:sz w:val="22"/>
                <w:szCs w:val="22"/>
              </w:rPr>
              <w:t>N/A</w:t>
            </w:r>
          </w:p>
        </w:tc>
        <w:tc>
          <w:tcPr>
            <w:tcW w:w="728" w:type="pct"/>
          </w:tcPr>
          <w:p w14:paraId="12EFBEA6" w14:textId="008885BD" w:rsidR="001B6962" w:rsidRPr="008D5DC6" w:rsidRDefault="00285885" w:rsidP="001D5C13">
            <w:pPr>
              <w:keepNext/>
              <w:spacing w:after="60"/>
              <w:rPr>
                <w:rFonts w:ascii="Arial" w:hAnsi="Arial"/>
                <w:bCs/>
                <w:sz w:val="22"/>
                <w:szCs w:val="22"/>
              </w:rPr>
            </w:pPr>
            <w:r w:rsidRPr="008D5DC6">
              <w:rPr>
                <w:rFonts w:ascii="Arial" w:hAnsi="Arial"/>
                <w:bCs/>
                <w:sz w:val="22"/>
                <w:szCs w:val="22"/>
              </w:rPr>
              <w:t>No</w:t>
            </w:r>
          </w:p>
        </w:tc>
        <w:tc>
          <w:tcPr>
            <w:tcW w:w="735" w:type="pct"/>
          </w:tcPr>
          <w:p w14:paraId="12719404" w14:textId="26A340A3" w:rsidR="001B6962" w:rsidRPr="00BA47A0" w:rsidRDefault="00BA47A0" w:rsidP="001D5C13">
            <w:pPr>
              <w:keepNext/>
              <w:spacing w:after="60"/>
              <w:rPr>
                <w:rFonts w:ascii="Arial" w:hAnsi="Arial"/>
                <w:b/>
                <w:sz w:val="22"/>
                <w:szCs w:val="22"/>
              </w:rPr>
            </w:pPr>
            <w:r w:rsidRPr="00BA47A0">
              <w:rPr>
                <w:rFonts w:ascii="Arial" w:hAnsi="Arial"/>
                <w:b/>
                <w:sz w:val="22"/>
                <w:szCs w:val="22"/>
              </w:rPr>
              <w:t>Yes</w:t>
            </w:r>
          </w:p>
        </w:tc>
      </w:tr>
      <w:tr w:rsidR="001B6962" w:rsidRPr="009A6232" w14:paraId="3BD41CC6" w14:textId="77777777" w:rsidTr="001D5C13">
        <w:trPr>
          <w:tblHeader/>
        </w:trPr>
        <w:tc>
          <w:tcPr>
            <w:tcW w:w="1727" w:type="pct"/>
            <w:shd w:val="clear" w:color="auto" w:fill="auto"/>
          </w:tcPr>
          <w:p w14:paraId="28991953" w14:textId="6E04B687" w:rsidR="001B6962" w:rsidRPr="001B6962" w:rsidRDefault="001B6962" w:rsidP="001B6962">
            <w:pPr>
              <w:pStyle w:val="Bulletleft1"/>
              <w:rPr>
                <w:sz w:val="22"/>
                <w:szCs w:val="22"/>
              </w:rPr>
            </w:pPr>
            <w:r w:rsidRPr="001B6962">
              <w:rPr>
                <w:sz w:val="22"/>
                <w:szCs w:val="22"/>
              </w:rPr>
              <w:t>Scope</w:t>
            </w:r>
          </w:p>
        </w:tc>
        <w:tc>
          <w:tcPr>
            <w:tcW w:w="354" w:type="pct"/>
          </w:tcPr>
          <w:p w14:paraId="146D5CE5" w14:textId="4C1E39C6" w:rsidR="001B6962" w:rsidRPr="008D5DC6" w:rsidRDefault="00AE6A73" w:rsidP="001D5C13">
            <w:pPr>
              <w:keepNext/>
              <w:spacing w:after="60"/>
              <w:rPr>
                <w:rFonts w:ascii="Arial" w:hAnsi="Arial"/>
                <w:bCs/>
                <w:sz w:val="22"/>
                <w:szCs w:val="22"/>
              </w:rPr>
            </w:pPr>
            <w:r w:rsidRPr="008D5DC6">
              <w:rPr>
                <w:rFonts w:ascii="Arial" w:hAnsi="Arial"/>
                <w:bCs/>
                <w:sz w:val="22"/>
                <w:szCs w:val="22"/>
              </w:rPr>
              <w:t>No</w:t>
            </w:r>
            <w:r w:rsidR="001B6962" w:rsidRPr="008D5DC6">
              <w:rPr>
                <w:rFonts w:ascii="Arial" w:hAnsi="Arial"/>
                <w:bCs/>
                <w:sz w:val="22"/>
                <w:szCs w:val="22"/>
              </w:rPr>
              <w:t xml:space="preserve"> </w:t>
            </w:r>
          </w:p>
        </w:tc>
        <w:tc>
          <w:tcPr>
            <w:tcW w:w="728" w:type="pct"/>
          </w:tcPr>
          <w:p w14:paraId="42918B91" w14:textId="02EB5561" w:rsidR="001B6962" w:rsidRPr="008D5DC6" w:rsidRDefault="00AE6A73" w:rsidP="001D5C13">
            <w:pPr>
              <w:keepNext/>
              <w:spacing w:after="60"/>
              <w:rPr>
                <w:rFonts w:ascii="Arial" w:hAnsi="Arial"/>
                <w:bCs/>
                <w:sz w:val="22"/>
                <w:szCs w:val="22"/>
              </w:rPr>
            </w:pPr>
            <w:r w:rsidRPr="008D5DC6">
              <w:rPr>
                <w:rFonts w:ascii="Arial" w:hAnsi="Arial"/>
                <w:bCs/>
                <w:sz w:val="22"/>
                <w:szCs w:val="22"/>
              </w:rPr>
              <w:t>No</w:t>
            </w:r>
          </w:p>
        </w:tc>
        <w:tc>
          <w:tcPr>
            <w:tcW w:w="728" w:type="pct"/>
          </w:tcPr>
          <w:p w14:paraId="64A4135D" w14:textId="78F4F3E7" w:rsidR="001B6962" w:rsidRPr="008D5DC6" w:rsidRDefault="00AE6A73" w:rsidP="001D5C13">
            <w:pPr>
              <w:keepNext/>
              <w:spacing w:after="60"/>
              <w:rPr>
                <w:rFonts w:ascii="Arial" w:hAnsi="Arial"/>
                <w:bCs/>
                <w:sz w:val="22"/>
                <w:szCs w:val="22"/>
              </w:rPr>
            </w:pPr>
            <w:r w:rsidRPr="008D5DC6">
              <w:rPr>
                <w:rFonts w:ascii="Arial" w:hAnsi="Arial"/>
                <w:bCs/>
                <w:sz w:val="22"/>
                <w:szCs w:val="22"/>
              </w:rPr>
              <w:t>N/A</w:t>
            </w:r>
          </w:p>
        </w:tc>
        <w:tc>
          <w:tcPr>
            <w:tcW w:w="728" w:type="pct"/>
          </w:tcPr>
          <w:p w14:paraId="0587C0E3" w14:textId="172A6BD9" w:rsidR="001B6962" w:rsidRPr="008D5DC6" w:rsidRDefault="00285885" w:rsidP="001D5C13">
            <w:pPr>
              <w:keepNext/>
              <w:spacing w:after="60"/>
              <w:rPr>
                <w:rFonts w:ascii="Arial" w:hAnsi="Arial"/>
                <w:bCs/>
                <w:sz w:val="22"/>
                <w:szCs w:val="22"/>
              </w:rPr>
            </w:pPr>
            <w:r w:rsidRPr="008D5DC6">
              <w:rPr>
                <w:rFonts w:ascii="Arial" w:hAnsi="Arial"/>
                <w:bCs/>
                <w:sz w:val="22"/>
                <w:szCs w:val="22"/>
              </w:rPr>
              <w:t>No</w:t>
            </w:r>
          </w:p>
        </w:tc>
        <w:tc>
          <w:tcPr>
            <w:tcW w:w="735" w:type="pct"/>
          </w:tcPr>
          <w:p w14:paraId="43FF7FBC" w14:textId="20938BD5" w:rsidR="001B6962" w:rsidRPr="009A6232" w:rsidRDefault="001B6962" w:rsidP="001D5C13">
            <w:pPr>
              <w:keepNext/>
              <w:spacing w:after="60"/>
              <w:rPr>
                <w:rFonts w:ascii="Arial" w:hAnsi="Arial"/>
                <w:b/>
                <w:sz w:val="22"/>
                <w:szCs w:val="22"/>
              </w:rPr>
            </w:pPr>
            <w:r>
              <w:rPr>
                <w:rFonts w:ascii="Arial" w:hAnsi="Arial"/>
                <w:b/>
                <w:sz w:val="22"/>
                <w:szCs w:val="22"/>
              </w:rPr>
              <w:t>No</w:t>
            </w:r>
          </w:p>
        </w:tc>
      </w:tr>
      <w:tr w:rsidR="001B6962" w:rsidRPr="009A6232" w14:paraId="066EE5F8" w14:textId="77777777" w:rsidTr="001D5C13">
        <w:trPr>
          <w:tblHeader/>
        </w:trPr>
        <w:tc>
          <w:tcPr>
            <w:tcW w:w="1727" w:type="pct"/>
            <w:shd w:val="clear" w:color="auto" w:fill="auto"/>
          </w:tcPr>
          <w:p w14:paraId="5360AAB9" w14:textId="0B115981" w:rsidR="001B6962" w:rsidRPr="001B6962" w:rsidRDefault="001B6962" w:rsidP="001B6962">
            <w:pPr>
              <w:pStyle w:val="Bulletleft1"/>
              <w:rPr>
                <w:sz w:val="22"/>
                <w:szCs w:val="22"/>
              </w:rPr>
            </w:pPr>
            <w:r w:rsidRPr="001B6962">
              <w:rPr>
                <w:sz w:val="22"/>
                <w:szCs w:val="22"/>
              </w:rPr>
              <w:t>Service delivery</w:t>
            </w:r>
          </w:p>
        </w:tc>
        <w:tc>
          <w:tcPr>
            <w:tcW w:w="354" w:type="pct"/>
          </w:tcPr>
          <w:p w14:paraId="3E827065" w14:textId="0367BC44" w:rsidR="001B6962" w:rsidRPr="008D5DC6" w:rsidRDefault="00AE6A73" w:rsidP="001D5C13">
            <w:pPr>
              <w:keepNext/>
              <w:spacing w:after="60"/>
              <w:rPr>
                <w:rFonts w:ascii="Arial" w:hAnsi="Arial"/>
                <w:bCs/>
                <w:sz w:val="22"/>
                <w:szCs w:val="22"/>
              </w:rPr>
            </w:pPr>
            <w:r w:rsidRPr="008D5DC6">
              <w:rPr>
                <w:rFonts w:ascii="Arial" w:hAnsi="Arial"/>
                <w:bCs/>
                <w:sz w:val="22"/>
                <w:szCs w:val="22"/>
              </w:rPr>
              <w:t>No</w:t>
            </w:r>
            <w:r w:rsidR="001B6962" w:rsidRPr="008D5DC6">
              <w:rPr>
                <w:rFonts w:ascii="Arial" w:hAnsi="Arial"/>
                <w:bCs/>
                <w:sz w:val="22"/>
                <w:szCs w:val="22"/>
              </w:rPr>
              <w:t xml:space="preserve"> </w:t>
            </w:r>
          </w:p>
        </w:tc>
        <w:tc>
          <w:tcPr>
            <w:tcW w:w="728" w:type="pct"/>
          </w:tcPr>
          <w:p w14:paraId="2D1EAFD4" w14:textId="1B23270D" w:rsidR="001B6962" w:rsidRPr="008D5DC6" w:rsidRDefault="00AE6A73" w:rsidP="001D5C13">
            <w:pPr>
              <w:keepNext/>
              <w:spacing w:after="60"/>
              <w:rPr>
                <w:rFonts w:ascii="Arial" w:hAnsi="Arial"/>
                <w:bCs/>
                <w:sz w:val="22"/>
                <w:szCs w:val="22"/>
              </w:rPr>
            </w:pPr>
            <w:r w:rsidRPr="008D5DC6">
              <w:rPr>
                <w:rFonts w:ascii="Arial" w:hAnsi="Arial"/>
                <w:bCs/>
                <w:sz w:val="22"/>
                <w:szCs w:val="22"/>
              </w:rPr>
              <w:t>No</w:t>
            </w:r>
          </w:p>
        </w:tc>
        <w:tc>
          <w:tcPr>
            <w:tcW w:w="728" w:type="pct"/>
          </w:tcPr>
          <w:p w14:paraId="0D4C2964" w14:textId="35D11948" w:rsidR="001B6962" w:rsidRPr="008D5DC6" w:rsidRDefault="00AE6A73" w:rsidP="001D5C13">
            <w:pPr>
              <w:keepNext/>
              <w:spacing w:after="60"/>
              <w:rPr>
                <w:rFonts w:ascii="Arial" w:hAnsi="Arial"/>
                <w:bCs/>
                <w:sz w:val="22"/>
                <w:szCs w:val="22"/>
              </w:rPr>
            </w:pPr>
            <w:r w:rsidRPr="008D5DC6">
              <w:rPr>
                <w:rFonts w:ascii="Arial" w:hAnsi="Arial"/>
                <w:bCs/>
                <w:sz w:val="22"/>
                <w:szCs w:val="22"/>
              </w:rPr>
              <w:t>N/A</w:t>
            </w:r>
          </w:p>
        </w:tc>
        <w:tc>
          <w:tcPr>
            <w:tcW w:w="728" w:type="pct"/>
          </w:tcPr>
          <w:p w14:paraId="3DDC9ED8" w14:textId="30FD494E" w:rsidR="001B6962" w:rsidRPr="008D5DC6" w:rsidRDefault="00285885" w:rsidP="001D5C13">
            <w:pPr>
              <w:keepNext/>
              <w:spacing w:after="60"/>
              <w:rPr>
                <w:rFonts w:ascii="Arial" w:hAnsi="Arial"/>
                <w:bCs/>
                <w:sz w:val="22"/>
                <w:szCs w:val="22"/>
              </w:rPr>
            </w:pPr>
            <w:r w:rsidRPr="008D5DC6">
              <w:rPr>
                <w:rFonts w:ascii="Arial" w:hAnsi="Arial"/>
                <w:bCs/>
                <w:sz w:val="22"/>
                <w:szCs w:val="22"/>
              </w:rPr>
              <w:t>No</w:t>
            </w:r>
          </w:p>
        </w:tc>
        <w:tc>
          <w:tcPr>
            <w:tcW w:w="735" w:type="pct"/>
          </w:tcPr>
          <w:p w14:paraId="53C6A32D" w14:textId="026863A0" w:rsidR="001B6962" w:rsidRPr="009A6232" w:rsidRDefault="00285885" w:rsidP="001D5C13">
            <w:pPr>
              <w:keepNext/>
              <w:spacing w:after="60"/>
              <w:rPr>
                <w:rFonts w:ascii="Arial" w:hAnsi="Arial"/>
                <w:b/>
                <w:sz w:val="22"/>
                <w:szCs w:val="22"/>
              </w:rPr>
            </w:pPr>
            <w:r>
              <w:rPr>
                <w:rFonts w:ascii="Arial" w:hAnsi="Arial"/>
                <w:b/>
                <w:sz w:val="22"/>
                <w:szCs w:val="22"/>
              </w:rPr>
              <w:t>No</w:t>
            </w:r>
          </w:p>
        </w:tc>
      </w:tr>
      <w:tr w:rsidR="001B6962" w:rsidRPr="009A6232" w14:paraId="7620A118" w14:textId="77777777" w:rsidTr="001D5C13">
        <w:trPr>
          <w:tblHeader/>
        </w:trPr>
        <w:tc>
          <w:tcPr>
            <w:tcW w:w="1727" w:type="pct"/>
            <w:shd w:val="clear" w:color="auto" w:fill="auto"/>
          </w:tcPr>
          <w:p w14:paraId="0F8BD647" w14:textId="34950E51" w:rsidR="001B6962" w:rsidRPr="001B6962" w:rsidRDefault="001B6962" w:rsidP="001B6962">
            <w:pPr>
              <w:pStyle w:val="Bulletleft1"/>
              <w:rPr>
                <w:sz w:val="22"/>
                <w:szCs w:val="22"/>
              </w:rPr>
            </w:pPr>
            <w:r w:rsidRPr="001B6962">
              <w:rPr>
                <w:sz w:val="22"/>
                <w:szCs w:val="22"/>
              </w:rPr>
              <w:t>Training and development</w:t>
            </w:r>
          </w:p>
        </w:tc>
        <w:tc>
          <w:tcPr>
            <w:tcW w:w="354" w:type="pct"/>
          </w:tcPr>
          <w:p w14:paraId="02A80829" w14:textId="60978E11" w:rsidR="001B6962" w:rsidRPr="008D5DC6" w:rsidRDefault="00AE6A73" w:rsidP="001D5C13">
            <w:pPr>
              <w:keepNext/>
              <w:spacing w:after="60"/>
              <w:rPr>
                <w:rFonts w:ascii="Arial" w:hAnsi="Arial"/>
                <w:bCs/>
                <w:sz w:val="22"/>
                <w:szCs w:val="22"/>
              </w:rPr>
            </w:pPr>
            <w:r w:rsidRPr="008D5DC6">
              <w:rPr>
                <w:rFonts w:ascii="Arial" w:hAnsi="Arial"/>
                <w:bCs/>
                <w:sz w:val="22"/>
                <w:szCs w:val="22"/>
              </w:rPr>
              <w:t>No</w:t>
            </w:r>
          </w:p>
        </w:tc>
        <w:tc>
          <w:tcPr>
            <w:tcW w:w="728" w:type="pct"/>
          </w:tcPr>
          <w:p w14:paraId="034DC060" w14:textId="7A99FEBA" w:rsidR="001B6962" w:rsidRPr="008D5DC6" w:rsidRDefault="00AE6A73" w:rsidP="001D5C13">
            <w:pPr>
              <w:keepNext/>
              <w:spacing w:after="60"/>
              <w:rPr>
                <w:rFonts w:ascii="Arial" w:hAnsi="Arial"/>
                <w:bCs/>
                <w:sz w:val="22"/>
                <w:szCs w:val="22"/>
              </w:rPr>
            </w:pPr>
            <w:r w:rsidRPr="008D5DC6">
              <w:rPr>
                <w:rFonts w:ascii="Arial" w:hAnsi="Arial"/>
                <w:bCs/>
                <w:sz w:val="22"/>
                <w:szCs w:val="22"/>
              </w:rPr>
              <w:t>No</w:t>
            </w:r>
          </w:p>
        </w:tc>
        <w:tc>
          <w:tcPr>
            <w:tcW w:w="728" w:type="pct"/>
          </w:tcPr>
          <w:p w14:paraId="58D9CE2F" w14:textId="53AF94BE" w:rsidR="001B6962" w:rsidRPr="008D5DC6" w:rsidRDefault="00AE6A73" w:rsidP="001D5C13">
            <w:pPr>
              <w:keepNext/>
              <w:spacing w:after="60"/>
              <w:rPr>
                <w:rFonts w:ascii="Arial" w:hAnsi="Arial"/>
                <w:bCs/>
                <w:sz w:val="22"/>
                <w:szCs w:val="22"/>
              </w:rPr>
            </w:pPr>
            <w:r w:rsidRPr="008D5DC6">
              <w:rPr>
                <w:rFonts w:ascii="Arial" w:hAnsi="Arial"/>
                <w:bCs/>
                <w:sz w:val="22"/>
                <w:szCs w:val="22"/>
              </w:rPr>
              <w:t>N/A</w:t>
            </w:r>
          </w:p>
        </w:tc>
        <w:tc>
          <w:tcPr>
            <w:tcW w:w="728" w:type="pct"/>
          </w:tcPr>
          <w:p w14:paraId="36C7D176" w14:textId="05177932" w:rsidR="001B6962" w:rsidRPr="008D5DC6" w:rsidRDefault="00285885" w:rsidP="001D5C13">
            <w:pPr>
              <w:keepNext/>
              <w:spacing w:after="60"/>
              <w:rPr>
                <w:rFonts w:ascii="Arial" w:hAnsi="Arial"/>
                <w:bCs/>
                <w:sz w:val="22"/>
                <w:szCs w:val="22"/>
              </w:rPr>
            </w:pPr>
            <w:r w:rsidRPr="008D5DC6">
              <w:rPr>
                <w:rFonts w:ascii="Arial" w:hAnsi="Arial"/>
                <w:bCs/>
                <w:sz w:val="22"/>
                <w:szCs w:val="22"/>
              </w:rPr>
              <w:t>No</w:t>
            </w:r>
          </w:p>
        </w:tc>
        <w:tc>
          <w:tcPr>
            <w:tcW w:w="735" w:type="pct"/>
          </w:tcPr>
          <w:p w14:paraId="2ABB7FC0" w14:textId="3DC97BBF" w:rsidR="001B6962" w:rsidRDefault="00285885" w:rsidP="001D5C13">
            <w:pPr>
              <w:keepNext/>
              <w:spacing w:after="60"/>
              <w:rPr>
                <w:rFonts w:ascii="Arial" w:hAnsi="Arial"/>
                <w:b/>
                <w:sz w:val="22"/>
                <w:szCs w:val="22"/>
              </w:rPr>
            </w:pPr>
            <w:r>
              <w:rPr>
                <w:rFonts w:ascii="Arial" w:hAnsi="Arial"/>
                <w:b/>
                <w:sz w:val="22"/>
                <w:szCs w:val="22"/>
              </w:rPr>
              <w:t>No</w:t>
            </w:r>
          </w:p>
        </w:tc>
      </w:tr>
    </w:tbl>
    <w:p w14:paraId="3B79F929" w14:textId="77777777" w:rsidR="001B6962" w:rsidRPr="001B6962" w:rsidRDefault="001B6962" w:rsidP="001B6962"/>
    <w:p w14:paraId="083E9D65" w14:textId="55023197" w:rsidR="002E1541" w:rsidRPr="00CA1B03" w:rsidRDefault="000B167D" w:rsidP="002E1541">
      <w:pPr>
        <w:rPr>
          <w:rFonts w:ascii="Arial" w:hAnsi="Arial" w:cs="Arial"/>
          <w:b/>
          <w:bCs/>
          <w:kern w:val="32"/>
          <w:sz w:val="32"/>
        </w:rPr>
      </w:pPr>
      <w:r>
        <w:br w:type="page"/>
      </w:r>
    </w:p>
    <w:p w14:paraId="06E15174" w14:textId="16CB70DC" w:rsidR="003B6DDC" w:rsidRDefault="00697C6A" w:rsidP="005C08AE">
      <w:pPr>
        <w:pStyle w:val="Numberedheading1"/>
      </w:pPr>
      <w:bookmarkStart w:id="39" w:name="_Toc50469737"/>
      <w:r>
        <w:lastRenderedPageBreak/>
        <w:t xml:space="preserve">4 </w:t>
      </w:r>
      <w:r>
        <w:tab/>
      </w:r>
      <w:r w:rsidR="002C296A">
        <w:t>Suggested improvement area</w:t>
      </w:r>
      <w:r w:rsidR="003B6DDC">
        <w:t>s</w:t>
      </w:r>
      <w:bookmarkEnd w:id="39"/>
    </w:p>
    <w:p w14:paraId="0CFE9607" w14:textId="69C8FFB0" w:rsidR="002C296A" w:rsidRPr="00433117" w:rsidRDefault="00697C6A" w:rsidP="003B6DDC">
      <w:pPr>
        <w:pStyle w:val="Numberedheading2"/>
      </w:pPr>
      <w:r>
        <w:t xml:space="preserve">4.1 </w:t>
      </w:r>
      <w:r>
        <w:tab/>
      </w:r>
      <w:r w:rsidR="003347E5">
        <w:t>Reducing risk in hospital patients</w:t>
      </w:r>
    </w:p>
    <w:p w14:paraId="34993E30" w14:textId="4E66E3D1" w:rsidR="00EE7099" w:rsidRPr="00EE7099" w:rsidRDefault="008F2E73" w:rsidP="00F33551">
      <w:pPr>
        <w:pStyle w:val="Numberedheading3"/>
      </w:pPr>
      <w:bookmarkStart w:id="40" w:name="_Hlk50280678"/>
      <w:r>
        <w:t>4.1.1</w:t>
      </w:r>
      <w:r>
        <w:tab/>
      </w:r>
      <w:bookmarkStart w:id="41" w:name="_Hlk50280427"/>
      <w:r w:rsidR="002C296A">
        <w:t>Summary of suggestions</w:t>
      </w:r>
      <w:bookmarkEnd w:id="41"/>
    </w:p>
    <w:p w14:paraId="47FA2D1B" w14:textId="40038AB8" w:rsidR="003347E5" w:rsidRPr="00697C6A" w:rsidRDefault="003347E5" w:rsidP="00F33551">
      <w:pPr>
        <w:pStyle w:val="Paragraph"/>
        <w:rPr>
          <w:b/>
          <w:bCs/>
        </w:rPr>
      </w:pPr>
      <w:bookmarkStart w:id="42" w:name="_Hlk49680108"/>
      <w:bookmarkEnd w:id="40"/>
      <w:r w:rsidRPr="00697C6A">
        <w:rPr>
          <w:b/>
          <w:bCs/>
        </w:rPr>
        <w:t xml:space="preserve">Risk assessment </w:t>
      </w:r>
    </w:p>
    <w:p w14:paraId="4DA80993" w14:textId="69B7D771" w:rsidR="00686E51" w:rsidRDefault="004C02B5" w:rsidP="00F33551">
      <w:pPr>
        <w:pStyle w:val="Paragraph"/>
      </w:pPr>
      <w:r w:rsidRPr="0096053F">
        <w:t>Stakeholders supported risk assessments as a crucial part of overall VTE management</w:t>
      </w:r>
      <w:r w:rsidR="00F53D39">
        <w:t xml:space="preserve">, however </w:t>
      </w:r>
      <w:r w:rsidR="008C6FC0">
        <w:t xml:space="preserve">there were reported </w:t>
      </w:r>
      <w:r w:rsidR="00F53D39">
        <w:t>i</w:t>
      </w:r>
      <w:r w:rsidR="00686E51">
        <w:t>n</w:t>
      </w:r>
      <w:r w:rsidR="0096053F">
        <w:t>c</w:t>
      </w:r>
      <w:r w:rsidRPr="0096053F">
        <w:t>onsistenc</w:t>
      </w:r>
      <w:r w:rsidR="0096053F">
        <w:t>ies in how these</w:t>
      </w:r>
      <w:r w:rsidR="00686E51">
        <w:t xml:space="preserve"> assessments are</w:t>
      </w:r>
      <w:r w:rsidR="0096053F">
        <w:t xml:space="preserve"> </w:t>
      </w:r>
      <w:r w:rsidR="00F53D39">
        <w:t>conducted</w:t>
      </w:r>
      <w:r w:rsidRPr="0096053F">
        <w:t>.</w:t>
      </w:r>
      <w:r w:rsidR="008C6FC0">
        <w:t xml:space="preserve"> </w:t>
      </w:r>
      <w:r w:rsidR="008A5783">
        <w:t>To address these inconsistencies</w:t>
      </w:r>
      <w:r w:rsidR="008C6FC0">
        <w:t xml:space="preserve"> </w:t>
      </w:r>
      <w:r w:rsidR="001472A5">
        <w:t xml:space="preserve">they suggested </w:t>
      </w:r>
      <w:r w:rsidR="008C6FC0">
        <w:t>an</w:t>
      </w:r>
      <w:r w:rsidR="008C6FC0" w:rsidRPr="008C6FC0">
        <w:t xml:space="preserve"> evaluation of the national tool’s diagnostic accuracy and effectiveness is needed</w:t>
      </w:r>
      <w:r w:rsidR="008A5783">
        <w:t xml:space="preserve"> for comparison with</w:t>
      </w:r>
      <w:r w:rsidR="008C6FC0" w:rsidRPr="008C6FC0">
        <w:t xml:space="preserve"> other </w:t>
      </w:r>
      <w:r w:rsidRPr="0096053F">
        <w:t>different tools currently in use</w:t>
      </w:r>
      <w:r w:rsidR="008C6FC0">
        <w:t>. F</w:t>
      </w:r>
      <w:r w:rsidRPr="0096053F">
        <w:t xml:space="preserve">urther risk assessment </w:t>
      </w:r>
      <w:r w:rsidR="00686E51">
        <w:t xml:space="preserve">is </w:t>
      </w:r>
      <w:r w:rsidR="008C6FC0">
        <w:t xml:space="preserve">also </w:t>
      </w:r>
      <w:r w:rsidR="00686E51">
        <w:t xml:space="preserve">needed </w:t>
      </w:r>
      <w:r w:rsidRPr="0096053F">
        <w:t xml:space="preserve">to identify patients who may benefit from reperfusion therapy (blood pressure and radiological and biochemical markers of right ventricular dysfunction). </w:t>
      </w:r>
    </w:p>
    <w:p w14:paraId="72BDD0A6" w14:textId="459A303D" w:rsidR="00A93A8B" w:rsidRDefault="006A7B30" w:rsidP="00F33551">
      <w:pPr>
        <w:pStyle w:val="Paragraph"/>
      </w:pPr>
      <w:r>
        <w:t>A stakeholder</w:t>
      </w:r>
      <w:r w:rsidR="00FB4EA7">
        <w:t xml:space="preserve"> </w:t>
      </w:r>
      <w:r w:rsidR="00B1069A">
        <w:t xml:space="preserve">suggested </w:t>
      </w:r>
      <w:r>
        <w:t xml:space="preserve">that the </w:t>
      </w:r>
      <w:r w:rsidR="005A39F5">
        <w:t>quality improvement focus</w:t>
      </w:r>
      <w:r w:rsidR="00686E51">
        <w:t xml:space="preserve"> should be on </w:t>
      </w:r>
      <w:r w:rsidR="005A39F5">
        <w:t xml:space="preserve">the </w:t>
      </w:r>
      <w:r w:rsidR="00686E51">
        <w:t>interventions in response to risk assessment</w:t>
      </w:r>
      <w:r w:rsidR="008C6FC0">
        <w:t xml:space="preserve"> rather than the assessment itself</w:t>
      </w:r>
      <w:r>
        <w:t xml:space="preserve"> as this is already being </w:t>
      </w:r>
      <w:r w:rsidRPr="006A7B30">
        <w:t>nationa</w:t>
      </w:r>
      <w:r>
        <w:t>l</w:t>
      </w:r>
      <w:r w:rsidRPr="006A7B30">
        <w:t>l</w:t>
      </w:r>
      <w:r>
        <w:t>y</w:t>
      </w:r>
      <w:r w:rsidRPr="006A7B30">
        <w:t xml:space="preserve"> monitor</w:t>
      </w:r>
      <w:r>
        <w:t xml:space="preserve">ed. </w:t>
      </w:r>
    </w:p>
    <w:p w14:paraId="47397C89" w14:textId="3B8F68FC" w:rsidR="0049241F" w:rsidRPr="00921B29" w:rsidRDefault="0049241F" w:rsidP="00F33551">
      <w:pPr>
        <w:pStyle w:val="Paragraph"/>
        <w:rPr>
          <w:b/>
        </w:rPr>
      </w:pPr>
      <w:r w:rsidRPr="00921B29">
        <w:rPr>
          <w:b/>
        </w:rPr>
        <w:t>Pulmonary embolism rule-out criteria (the PERC rule)</w:t>
      </w:r>
    </w:p>
    <w:p w14:paraId="7ED6AB5D" w14:textId="40438C8B" w:rsidR="00921B29" w:rsidRDefault="00921B29" w:rsidP="00921B29">
      <w:pPr>
        <w:pStyle w:val="Paragraph"/>
      </w:pPr>
      <w:r>
        <w:t>A stakeholder supported this tool as</w:t>
      </w:r>
      <w:r w:rsidRPr="00921B29">
        <w:t xml:space="preserve"> </w:t>
      </w:r>
      <w:r>
        <w:t>potentially having</w:t>
      </w:r>
      <w:r w:rsidRPr="00921B29">
        <w:t xml:space="preserve"> significant impact</w:t>
      </w:r>
      <w:r>
        <w:t xml:space="preserve"> on</w:t>
      </w:r>
      <w:r w:rsidRPr="00921B29">
        <w:t xml:space="preserve"> patient safety, cost and clinical efficiency</w:t>
      </w:r>
      <w:r>
        <w:t>.</w:t>
      </w:r>
    </w:p>
    <w:p w14:paraId="3774A29B" w14:textId="3C3A8693" w:rsidR="003347E5" w:rsidRPr="00697C6A" w:rsidRDefault="003347E5" w:rsidP="00F33551">
      <w:pPr>
        <w:pStyle w:val="Paragraph"/>
        <w:rPr>
          <w:b/>
          <w:bCs/>
        </w:rPr>
      </w:pPr>
      <w:bookmarkStart w:id="43" w:name="_Hlk50358558"/>
      <w:r w:rsidRPr="00697C6A">
        <w:rPr>
          <w:b/>
          <w:bCs/>
        </w:rPr>
        <w:t>Planning for discharge</w:t>
      </w:r>
    </w:p>
    <w:bookmarkEnd w:id="43"/>
    <w:p w14:paraId="58FC4FB5" w14:textId="1836A2F9" w:rsidR="007E0BC3" w:rsidRDefault="007E0BC3" w:rsidP="00C867D6">
      <w:pPr>
        <w:pStyle w:val="Paragraph"/>
        <w:rPr>
          <w:bCs/>
        </w:rPr>
      </w:pPr>
      <w:r w:rsidRPr="007E0BC3">
        <w:rPr>
          <w:bCs/>
        </w:rPr>
        <w:t xml:space="preserve">Providing </w:t>
      </w:r>
      <w:r w:rsidR="00DF0B6F">
        <w:rPr>
          <w:bCs/>
        </w:rPr>
        <w:t xml:space="preserve">verbal and written </w:t>
      </w:r>
      <w:r w:rsidRPr="007E0BC3">
        <w:rPr>
          <w:bCs/>
        </w:rPr>
        <w:t>VTE risk information</w:t>
      </w:r>
      <w:r w:rsidR="00DF0B6F">
        <w:rPr>
          <w:bCs/>
        </w:rPr>
        <w:t xml:space="preserve"> </w:t>
      </w:r>
      <w:r w:rsidRPr="007E0BC3">
        <w:rPr>
          <w:bCs/>
        </w:rPr>
        <w:t xml:space="preserve">at </w:t>
      </w:r>
      <w:r>
        <w:rPr>
          <w:bCs/>
        </w:rPr>
        <w:t>discharge</w:t>
      </w:r>
      <w:r w:rsidRPr="007E0BC3">
        <w:rPr>
          <w:bCs/>
        </w:rPr>
        <w:t xml:space="preserve"> was felt to be a key area of quality improvement by stakeholders as it is often incorrectly assumed that information </w:t>
      </w:r>
      <w:r w:rsidRPr="00AC2573">
        <w:t>on admission</w:t>
      </w:r>
      <w:r w:rsidRPr="007E0BC3">
        <w:rPr>
          <w:bCs/>
        </w:rPr>
        <w:t xml:space="preserve"> will be </w:t>
      </w:r>
      <w:r w:rsidR="00AC2573">
        <w:rPr>
          <w:bCs/>
        </w:rPr>
        <w:t xml:space="preserve">successfully </w:t>
      </w:r>
      <w:r w:rsidRPr="007E0BC3">
        <w:rPr>
          <w:bCs/>
        </w:rPr>
        <w:t>recalled by patients or carers</w:t>
      </w:r>
      <w:r w:rsidR="00AC2573">
        <w:rPr>
          <w:bCs/>
        </w:rPr>
        <w:t>.</w:t>
      </w:r>
      <w:r w:rsidRPr="007E0BC3">
        <w:rPr>
          <w:bCs/>
        </w:rPr>
        <w:t xml:space="preserve"> </w:t>
      </w:r>
    </w:p>
    <w:p w14:paraId="7C357166" w14:textId="3CA98BB6" w:rsidR="00811B28" w:rsidRDefault="00AC2573" w:rsidP="00C867D6">
      <w:pPr>
        <w:pStyle w:val="Paragraph"/>
        <w:rPr>
          <w:bCs/>
        </w:rPr>
      </w:pPr>
      <w:r>
        <w:rPr>
          <w:bCs/>
        </w:rPr>
        <w:t>Tailored d</w:t>
      </w:r>
      <w:r w:rsidR="009A194C">
        <w:rPr>
          <w:bCs/>
        </w:rPr>
        <w:t xml:space="preserve">ischarge planning </w:t>
      </w:r>
      <w:r>
        <w:rPr>
          <w:bCs/>
        </w:rPr>
        <w:t>was supported to</w:t>
      </w:r>
      <w:r w:rsidR="009A194C">
        <w:rPr>
          <w:bCs/>
        </w:rPr>
        <w:t xml:space="preserve"> provide reassurance</w:t>
      </w:r>
      <w:r w:rsidR="001378EB">
        <w:rPr>
          <w:bCs/>
        </w:rPr>
        <w:t xml:space="preserve">, </w:t>
      </w:r>
      <w:r w:rsidR="009A194C">
        <w:rPr>
          <w:bCs/>
        </w:rPr>
        <w:t>ensure treatment adherence and</w:t>
      </w:r>
      <w:r w:rsidR="001378EB">
        <w:rPr>
          <w:bCs/>
        </w:rPr>
        <w:t xml:space="preserve"> reduce</w:t>
      </w:r>
      <w:r w:rsidR="009A194C">
        <w:rPr>
          <w:bCs/>
        </w:rPr>
        <w:t xml:space="preserve"> patient risk</w:t>
      </w:r>
      <w:r w:rsidR="00FB4EA7">
        <w:rPr>
          <w:bCs/>
        </w:rPr>
        <w:t>,</w:t>
      </w:r>
      <w:r w:rsidR="00FB4EA7" w:rsidRPr="00FB4EA7">
        <w:rPr>
          <w:rFonts w:ascii="Times New Roman" w:hAnsi="Times New Roman"/>
          <w:bCs/>
        </w:rPr>
        <w:t xml:space="preserve"> </w:t>
      </w:r>
      <w:r w:rsidR="00FB4EA7" w:rsidRPr="00FB4EA7">
        <w:rPr>
          <w:bCs/>
        </w:rPr>
        <w:t xml:space="preserve">for example post discharge </w:t>
      </w:r>
      <w:r w:rsidR="00B74A50">
        <w:rPr>
          <w:bCs/>
        </w:rPr>
        <w:t>HAT</w:t>
      </w:r>
      <w:r w:rsidR="00FB4EA7" w:rsidRPr="00FB4EA7">
        <w:rPr>
          <w:bCs/>
        </w:rPr>
        <w:t>.</w:t>
      </w:r>
      <w:r w:rsidR="00FB4EA7">
        <w:rPr>
          <w:bCs/>
        </w:rPr>
        <w:t xml:space="preserve"> </w:t>
      </w:r>
      <w:r w:rsidR="001378EB">
        <w:rPr>
          <w:bCs/>
        </w:rPr>
        <w:t xml:space="preserve">It was </w:t>
      </w:r>
      <w:r>
        <w:rPr>
          <w:bCs/>
        </w:rPr>
        <w:t xml:space="preserve">however </w:t>
      </w:r>
      <w:r w:rsidR="001378EB">
        <w:rPr>
          <w:bCs/>
        </w:rPr>
        <w:t>highlighted that f</w:t>
      </w:r>
      <w:r w:rsidR="009A194C">
        <w:rPr>
          <w:bCs/>
        </w:rPr>
        <w:t>urther work is need</w:t>
      </w:r>
      <w:r w:rsidR="001378EB">
        <w:rPr>
          <w:bCs/>
        </w:rPr>
        <w:t>ed</w:t>
      </w:r>
      <w:r w:rsidR="009A194C">
        <w:rPr>
          <w:bCs/>
        </w:rPr>
        <w:t xml:space="preserve"> to increase patient or carer awareness</w:t>
      </w:r>
      <w:r w:rsidR="00811B28">
        <w:rPr>
          <w:bCs/>
        </w:rPr>
        <w:t xml:space="preserve"> as prescribing </w:t>
      </w:r>
      <w:r w:rsidR="00811B28" w:rsidRPr="00811B28">
        <w:rPr>
          <w:bCs/>
        </w:rPr>
        <w:t xml:space="preserve">the prophylaxis and/or treatment is a less challenging than delivering it. The emphasis should be on consistent delivery, for example, ensuring </w:t>
      </w:r>
      <w:r w:rsidR="00B74A50">
        <w:rPr>
          <w:bCs/>
        </w:rPr>
        <w:t xml:space="preserve">there are </w:t>
      </w:r>
      <w:r w:rsidR="00811B28" w:rsidRPr="00811B28">
        <w:rPr>
          <w:bCs/>
        </w:rPr>
        <w:t xml:space="preserve">no </w:t>
      </w:r>
      <w:r w:rsidR="003979F0">
        <w:rPr>
          <w:bCs/>
        </w:rPr>
        <w:t xml:space="preserve">missed </w:t>
      </w:r>
      <w:r w:rsidR="00811B28" w:rsidRPr="00811B28">
        <w:rPr>
          <w:bCs/>
        </w:rPr>
        <w:t>treatment doses, stockings are always replaced after showers</w:t>
      </w:r>
      <w:r w:rsidR="00B74A50">
        <w:rPr>
          <w:bCs/>
        </w:rPr>
        <w:t xml:space="preserve"> and </w:t>
      </w:r>
      <w:r w:rsidR="00811B28" w:rsidRPr="00811B28">
        <w:rPr>
          <w:bCs/>
        </w:rPr>
        <w:t>mechanical devices always applied for the hours intended.</w:t>
      </w:r>
    </w:p>
    <w:p w14:paraId="5806AA33" w14:textId="64700EF8" w:rsidR="00811B28" w:rsidRDefault="001378EB" w:rsidP="00C867D6">
      <w:pPr>
        <w:pStyle w:val="Paragraph"/>
        <w:rPr>
          <w:bCs/>
        </w:rPr>
      </w:pPr>
      <w:r>
        <w:rPr>
          <w:bCs/>
        </w:rPr>
        <w:t xml:space="preserve">More effective communication </w:t>
      </w:r>
      <w:r w:rsidR="00FB4EA7">
        <w:rPr>
          <w:bCs/>
        </w:rPr>
        <w:t>was supported to</w:t>
      </w:r>
      <w:r>
        <w:rPr>
          <w:bCs/>
        </w:rPr>
        <w:t xml:space="preserve"> positively improve the</w:t>
      </w:r>
      <w:r w:rsidR="007814AC">
        <w:rPr>
          <w:bCs/>
        </w:rPr>
        <w:t xml:space="preserve"> post discharge</w:t>
      </w:r>
      <w:r>
        <w:rPr>
          <w:bCs/>
        </w:rPr>
        <w:t xml:space="preserve"> </w:t>
      </w:r>
      <w:r w:rsidR="00A93A8B" w:rsidRPr="00A93A8B">
        <w:rPr>
          <w:bCs/>
        </w:rPr>
        <w:t xml:space="preserve">transition </w:t>
      </w:r>
      <w:r w:rsidR="00FB4EA7">
        <w:rPr>
          <w:bCs/>
        </w:rPr>
        <w:t xml:space="preserve">to </w:t>
      </w:r>
      <w:r w:rsidR="007814AC">
        <w:rPr>
          <w:bCs/>
        </w:rPr>
        <w:t>community</w:t>
      </w:r>
      <w:r w:rsidR="00FB4EA7">
        <w:rPr>
          <w:bCs/>
        </w:rPr>
        <w:t xml:space="preserve"> settings</w:t>
      </w:r>
      <w:r w:rsidR="00A93A8B" w:rsidRPr="00A93A8B">
        <w:rPr>
          <w:bCs/>
        </w:rPr>
        <w:t xml:space="preserve"> needed to continue treatment</w:t>
      </w:r>
      <w:r w:rsidR="009A194C">
        <w:rPr>
          <w:bCs/>
        </w:rPr>
        <w:t>.</w:t>
      </w:r>
    </w:p>
    <w:p w14:paraId="59C42F7F" w14:textId="77777777" w:rsidR="00811B28" w:rsidRPr="00811B28" w:rsidRDefault="00811B28" w:rsidP="00811B28">
      <w:pPr>
        <w:pStyle w:val="Paragraph"/>
        <w:rPr>
          <w:b/>
          <w:bCs/>
        </w:rPr>
      </w:pPr>
      <w:r w:rsidRPr="00811B28">
        <w:rPr>
          <w:b/>
          <w:bCs/>
        </w:rPr>
        <w:t>Advance planning for elective surgery</w:t>
      </w:r>
    </w:p>
    <w:p w14:paraId="75B91E16" w14:textId="74534EFB" w:rsidR="00811B28" w:rsidRDefault="00811B28" w:rsidP="00C867D6">
      <w:pPr>
        <w:pStyle w:val="Paragraph"/>
        <w:rPr>
          <w:bCs/>
        </w:rPr>
      </w:pPr>
      <w:r w:rsidRPr="00811B28">
        <w:rPr>
          <w:bCs/>
        </w:rPr>
        <w:t>A stakeholder suggested that use of combined hormonal contraception should be identified with alternative effective contraception advised in appropriate cases.</w:t>
      </w:r>
    </w:p>
    <w:p w14:paraId="34143632" w14:textId="77777777" w:rsidR="0031001B" w:rsidRPr="0031001B" w:rsidRDefault="0031001B" w:rsidP="0031001B">
      <w:pPr>
        <w:pStyle w:val="Paragraph"/>
        <w:rPr>
          <w:b/>
        </w:rPr>
      </w:pPr>
      <w:r w:rsidRPr="0031001B">
        <w:rPr>
          <w:b/>
        </w:rPr>
        <w:lastRenderedPageBreak/>
        <w:t>Orthopaedic surgery</w:t>
      </w:r>
    </w:p>
    <w:p w14:paraId="3B09EC0B" w14:textId="657230D5" w:rsidR="0031001B" w:rsidRDefault="0031001B" w:rsidP="00C867D6">
      <w:pPr>
        <w:pStyle w:val="Paragraph"/>
        <w:rPr>
          <w:bCs/>
        </w:rPr>
      </w:pPr>
      <w:r w:rsidRPr="0031001B">
        <w:rPr>
          <w:bCs/>
        </w:rPr>
        <w:t xml:space="preserve">Stakeholders highlighted how risk assessment VTE prophylaxis is not considered or prescribed at the initial emergency department presentation and patients return home. There is then a delay in the risk assessment and appropriate prophylaxis until the orthopaedic teams review the patients in clinic. Stakeholders therefore supported the clinical and cost effectiveness of thromboprophylaxis for people with lower limb immobilisation. </w:t>
      </w:r>
    </w:p>
    <w:p w14:paraId="1A295096" w14:textId="79F0E27D" w:rsidR="004C02B5" w:rsidRPr="007B1C0E" w:rsidRDefault="004C02B5" w:rsidP="00CA1B03">
      <w:pPr>
        <w:pStyle w:val="Numberedheading3"/>
        <w:numPr>
          <w:ilvl w:val="2"/>
          <w:numId w:val="5"/>
        </w:numPr>
      </w:pPr>
      <w:bookmarkStart w:id="44" w:name="_Hlk50137662"/>
      <w:r>
        <w:t>S</w:t>
      </w:r>
      <w:r w:rsidRPr="00CD3D03">
        <w:t>elected recommendations from development source</w:t>
      </w:r>
      <w:r w:rsidR="0049241F">
        <w:t>s</w:t>
      </w:r>
    </w:p>
    <w:p w14:paraId="3E0555A5" w14:textId="5BA04E0E" w:rsidR="004C02B5" w:rsidRPr="00DD56F6" w:rsidRDefault="004C02B5" w:rsidP="004C02B5">
      <w:pPr>
        <w:pStyle w:val="Paragraph"/>
      </w:pPr>
      <w:r w:rsidRPr="00DD56F6">
        <w:t xml:space="preserve">Table </w:t>
      </w:r>
      <w:r w:rsidR="005C54A0">
        <w:t>3</w:t>
      </w:r>
      <w:r w:rsidRPr="00DD56F6">
        <w:t xml:space="preserve"> below highlights recommendations that have been provisionally selected from the development source</w:t>
      </w:r>
      <w:r>
        <w:t>s</w:t>
      </w:r>
      <w:r w:rsidRPr="00DD56F6">
        <w:t xml:space="preserve"> </w:t>
      </w:r>
      <w:r>
        <w:t>that</w:t>
      </w:r>
      <w:r w:rsidRPr="00DD56F6">
        <w:t xml:space="preserve"> may support potential statement development. </w:t>
      </w:r>
      <w:r>
        <w:t xml:space="preserve">These are presented in full after </w:t>
      </w:r>
      <w:r w:rsidR="005C54A0">
        <w:t xml:space="preserve">the </w:t>
      </w:r>
      <w:r>
        <w:t>table to help inform the committee’s discussion.</w:t>
      </w:r>
    </w:p>
    <w:p w14:paraId="73FA4C00" w14:textId="75769885" w:rsidR="004C02B5" w:rsidRPr="004C02B5" w:rsidRDefault="004C02B5" w:rsidP="008F2E73">
      <w:pPr>
        <w:pStyle w:val="Heading3"/>
      </w:pPr>
      <w:r w:rsidRPr="00F45FBA">
        <w:t xml:space="preserve">Table </w:t>
      </w:r>
      <w:r w:rsidR="005C54A0">
        <w:t>3</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4C02B5" w:rsidRPr="00FD3FF6" w14:paraId="081766A5" w14:textId="77777777" w:rsidTr="00B33059">
        <w:trPr>
          <w:trHeight w:val="321"/>
        </w:trPr>
        <w:tc>
          <w:tcPr>
            <w:tcW w:w="4113" w:type="dxa"/>
            <w:shd w:val="clear" w:color="auto" w:fill="auto"/>
            <w:hideMark/>
          </w:tcPr>
          <w:p w14:paraId="19A5020B" w14:textId="77777777" w:rsidR="004C02B5" w:rsidRPr="009C32E3" w:rsidRDefault="004C02B5" w:rsidP="00B33059">
            <w:pPr>
              <w:pStyle w:val="Tabletitle"/>
              <w:rPr>
                <w:highlight w:val="lightGray"/>
              </w:rPr>
            </w:pPr>
            <w:bookmarkStart w:id="45" w:name="_Hlk50136824"/>
            <w:bookmarkEnd w:id="44"/>
            <w:r w:rsidRPr="00DD56F6">
              <w:t>Suggested quality improvement are</w:t>
            </w:r>
            <w:r>
              <w:t>a</w:t>
            </w:r>
          </w:p>
        </w:tc>
        <w:tc>
          <w:tcPr>
            <w:tcW w:w="4395" w:type="dxa"/>
            <w:shd w:val="clear" w:color="auto" w:fill="auto"/>
            <w:hideMark/>
          </w:tcPr>
          <w:p w14:paraId="6A4C3197" w14:textId="77777777" w:rsidR="004C02B5" w:rsidRPr="009C32E3" w:rsidRDefault="004C02B5" w:rsidP="00B33059">
            <w:pPr>
              <w:pStyle w:val="Tabletitle"/>
              <w:rPr>
                <w:highlight w:val="lightGray"/>
              </w:rPr>
            </w:pPr>
            <w:r w:rsidRPr="00DD56F6">
              <w:t>Suggested source guidance recommendation</w:t>
            </w:r>
            <w:r>
              <w:t>s</w:t>
            </w:r>
          </w:p>
        </w:tc>
      </w:tr>
      <w:tr w:rsidR="004C02B5" w:rsidRPr="005E5E3B" w14:paraId="07E995FC" w14:textId="77777777" w:rsidTr="008F2E73">
        <w:trPr>
          <w:trHeight w:val="535"/>
        </w:trPr>
        <w:tc>
          <w:tcPr>
            <w:tcW w:w="4113" w:type="dxa"/>
            <w:shd w:val="clear" w:color="auto" w:fill="auto"/>
            <w:hideMark/>
          </w:tcPr>
          <w:p w14:paraId="49CCE6EF" w14:textId="48C70B8D" w:rsidR="004C02B5" w:rsidRPr="00FE282D" w:rsidRDefault="004C02B5" w:rsidP="00B33059">
            <w:pPr>
              <w:pStyle w:val="Tabletext"/>
              <w:rPr>
                <w:bCs/>
                <w:u w:val="single"/>
              </w:rPr>
            </w:pPr>
            <w:bookmarkStart w:id="46" w:name="_Hlk50138737"/>
            <w:r w:rsidRPr="00FE282D">
              <w:rPr>
                <w:bCs/>
              </w:rPr>
              <w:t>Risk assessment</w:t>
            </w:r>
            <w:r>
              <w:rPr>
                <w:bCs/>
              </w:rPr>
              <w:t xml:space="preserve"> </w:t>
            </w:r>
            <w:bookmarkEnd w:id="46"/>
          </w:p>
        </w:tc>
        <w:tc>
          <w:tcPr>
            <w:tcW w:w="4395" w:type="dxa"/>
            <w:shd w:val="clear" w:color="auto" w:fill="auto"/>
            <w:hideMark/>
          </w:tcPr>
          <w:p w14:paraId="54C44074" w14:textId="542E3E29" w:rsidR="004C02B5" w:rsidRPr="00FE282D" w:rsidRDefault="00473E39" w:rsidP="00B33059">
            <w:pPr>
              <w:pStyle w:val="Tabletext"/>
            </w:pPr>
            <w:hyperlink r:id="rId19" w:anchor="risk-assessment" w:history="1">
              <w:r w:rsidR="00637B54">
                <w:rPr>
                  <w:rStyle w:val="Hyperlink"/>
                </w:rPr>
                <w:t>NICE NG89 Recommendation</w:t>
              </w:r>
            </w:hyperlink>
            <w:r w:rsidR="008D0C83">
              <w:rPr>
                <w:rStyle w:val="Hyperlink"/>
              </w:rPr>
              <w:t>s</w:t>
            </w:r>
            <w:r w:rsidR="004C02B5" w:rsidRPr="00FE282D">
              <w:t xml:space="preserve"> </w:t>
            </w:r>
            <w:r w:rsidR="006E1B30">
              <w:t>1.1.1</w:t>
            </w:r>
            <w:r w:rsidR="008D0C83">
              <w:t xml:space="preserve">, </w:t>
            </w:r>
            <w:r w:rsidR="008D0C83" w:rsidRPr="008D0C83">
              <w:t>1.1.2</w:t>
            </w:r>
            <w:r w:rsidR="001E3D1A">
              <w:t xml:space="preserve"> and</w:t>
            </w:r>
            <w:r w:rsidR="008D0C83" w:rsidRPr="008D0C83">
              <w:t xml:space="preserve"> 1.1.3</w:t>
            </w:r>
          </w:p>
        </w:tc>
      </w:tr>
      <w:tr w:rsidR="003027CD" w:rsidRPr="005E5E3B" w14:paraId="1A5DB719" w14:textId="77777777" w:rsidTr="008F2E73">
        <w:trPr>
          <w:trHeight w:val="535"/>
        </w:trPr>
        <w:tc>
          <w:tcPr>
            <w:tcW w:w="4113" w:type="dxa"/>
            <w:shd w:val="clear" w:color="auto" w:fill="auto"/>
          </w:tcPr>
          <w:p w14:paraId="2536FD78" w14:textId="7A590A19" w:rsidR="003027CD" w:rsidRPr="00FE282D" w:rsidRDefault="003027CD" w:rsidP="00B33059">
            <w:pPr>
              <w:pStyle w:val="Tabletext"/>
              <w:rPr>
                <w:bCs/>
              </w:rPr>
            </w:pPr>
            <w:bookmarkStart w:id="47" w:name="_Hlk50471513"/>
            <w:r w:rsidRPr="003027CD">
              <w:rPr>
                <w:bCs/>
              </w:rPr>
              <w:t>Pulmonary embolism rule-out criteria (the PERC rule)</w:t>
            </w:r>
            <w:bookmarkEnd w:id="47"/>
          </w:p>
        </w:tc>
        <w:tc>
          <w:tcPr>
            <w:tcW w:w="4395" w:type="dxa"/>
            <w:shd w:val="clear" w:color="auto" w:fill="auto"/>
          </w:tcPr>
          <w:p w14:paraId="49A6AD93" w14:textId="5ED3AF17" w:rsidR="003027CD" w:rsidRDefault="00473E39" w:rsidP="00B33059">
            <w:pPr>
              <w:pStyle w:val="Tabletext"/>
            </w:pPr>
            <w:hyperlink r:id="rId20" w:anchor="diagnosis-and-initial-management" w:history="1">
              <w:r w:rsidR="0049241F">
                <w:rPr>
                  <w:rStyle w:val="Hyperlink"/>
                </w:rPr>
                <w:t>NICE NG158 Recommendation</w:t>
              </w:r>
            </w:hyperlink>
            <w:r w:rsidR="0049241F">
              <w:t xml:space="preserve"> 1.1.16</w:t>
            </w:r>
          </w:p>
        </w:tc>
      </w:tr>
      <w:tr w:rsidR="00B879EA" w:rsidRPr="005E5E3B" w14:paraId="296CE5A5" w14:textId="77777777" w:rsidTr="008F2E73">
        <w:trPr>
          <w:trHeight w:val="547"/>
        </w:trPr>
        <w:tc>
          <w:tcPr>
            <w:tcW w:w="4113" w:type="dxa"/>
            <w:shd w:val="clear" w:color="auto" w:fill="auto"/>
          </w:tcPr>
          <w:p w14:paraId="16F72114" w14:textId="77777777" w:rsidR="00B879EA" w:rsidRPr="004C02B5" w:rsidRDefault="00B879EA" w:rsidP="00B879EA">
            <w:pPr>
              <w:pStyle w:val="Tabletext"/>
              <w:rPr>
                <w:bCs/>
              </w:rPr>
            </w:pPr>
            <w:bookmarkStart w:id="48" w:name="_Hlk50138765"/>
            <w:r w:rsidRPr="004C02B5">
              <w:rPr>
                <w:bCs/>
              </w:rPr>
              <w:t>Planning for discharge</w:t>
            </w:r>
          </w:p>
          <w:bookmarkEnd w:id="48"/>
          <w:p w14:paraId="4A219B8D" w14:textId="77777777" w:rsidR="00B879EA" w:rsidRPr="004C02B5" w:rsidRDefault="00B879EA" w:rsidP="00B879EA">
            <w:pPr>
              <w:pStyle w:val="Tabletext"/>
              <w:rPr>
                <w:bCs/>
                <w:u w:val="single"/>
              </w:rPr>
            </w:pPr>
          </w:p>
        </w:tc>
        <w:tc>
          <w:tcPr>
            <w:tcW w:w="4395" w:type="dxa"/>
            <w:shd w:val="clear" w:color="auto" w:fill="auto"/>
          </w:tcPr>
          <w:p w14:paraId="06594306" w14:textId="2D695F3A" w:rsidR="00B879EA" w:rsidRPr="004C02B5" w:rsidRDefault="00473E39" w:rsidP="00B879EA">
            <w:pPr>
              <w:pStyle w:val="Tabletext"/>
            </w:pPr>
            <w:hyperlink r:id="rId21" w:anchor="risk-assessment" w:history="1">
              <w:r w:rsidR="00B879EA" w:rsidRPr="004C02B5">
                <w:rPr>
                  <w:rStyle w:val="Hyperlink"/>
                </w:rPr>
                <w:t>NICE NG89 Recommendations</w:t>
              </w:r>
            </w:hyperlink>
            <w:r w:rsidR="00B879EA">
              <w:t xml:space="preserve"> 1.2.4, 1.2.5, 1.2.6</w:t>
            </w:r>
            <w:r w:rsidR="00811B28">
              <w:t xml:space="preserve"> and </w:t>
            </w:r>
            <w:r w:rsidR="00B879EA">
              <w:t xml:space="preserve">1.2.7 </w:t>
            </w:r>
          </w:p>
        </w:tc>
      </w:tr>
      <w:tr w:rsidR="008D0C83" w:rsidRPr="005E5E3B" w14:paraId="68E96C6F" w14:textId="77777777" w:rsidTr="008F2E73">
        <w:trPr>
          <w:trHeight w:val="547"/>
        </w:trPr>
        <w:tc>
          <w:tcPr>
            <w:tcW w:w="4113" w:type="dxa"/>
            <w:shd w:val="clear" w:color="auto" w:fill="auto"/>
          </w:tcPr>
          <w:p w14:paraId="66141783" w14:textId="77777777" w:rsidR="008D0C83" w:rsidRPr="008D0C83" w:rsidRDefault="008D0C83" w:rsidP="008D0C83">
            <w:pPr>
              <w:pStyle w:val="Tabletext"/>
              <w:rPr>
                <w:bCs/>
              </w:rPr>
            </w:pPr>
            <w:r w:rsidRPr="008D0C83">
              <w:rPr>
                <w:bCs/>
              </w:rPr>
              <w:t>Advance planning for elective surgery</w:t>
            </w:r>
          </w:p>
          <w:p w14:paraId="04B35FA0" w14:textId="77777777" w:rsidR="008D0C83" w:rsidRPr="004C02B5" w:rsidRDefault="008D0C83" w:rsidP="00B879EA">
            <w:pPr>
              <w:pStyle w:val="Tabletext"/>
              <w:rPr>
                <w:bCs/>
              </w:rPr>
            </w:pPr>
          </w:p>
        </w:tc>
        <w:tc>
          <w:tcPr>
            <w:tcW w:w="4395" w:type="dxa"/>
            <w:shd w:val="clear" w:color="auto" w:fill="auto"/>
          </w:tcPr>
          <w:p w14:paraId="706835EB" w14:textId="6C55716A" w:rsidR="008D0C83" w:rsidRDefault="00473E39" w:rsidP="00B879EA">
            <w:pPr>
              <w:pStyle w:val="Tabletext"/>
            </w:pPr>
            <w:hyperlink r:id="rId22" w:anchor="risk-assessment" w:history="1">
              <w:r w:rsidR="008D0C83">
                <w:rPr>
                  <w:rStyle w:val="Hyperlink"/>
                </w:rPr>
                <w:t>NICE NG89 Recommendation</w:t>
              </w:r>
            </w:hyperlink>
            <w:r w:rsidR="008D0C83">
              <w:t xml:space="preserve"> 1.3.13</w:t>
            </w:r>
          </w:p>
        </w:tc>
      </w:tr>
      <w:tr w:rsidR="00E81A23" w:rsidRPr="005E5E3B" w14:paraId="11D3202E" w14:textId="77777777" w:rsidTr="008F2E73">
        <w:trPr>
          <w:trHeight w:val="547"/>
        </w:trPr>
        <w:tc>
          <w:tcPr>
            <w:tcW w:w="4113" w:type="dxa"/>
            <w:shd w:val="clear" w:color="auto" w:fill="auto"/>
          </w:tcPr>
          <w:p w14:paraId="1F0D0717" w14:textId="5B8B93CF" w:rsidR="00E81A23" w:rsidRPr="008D0C83" w:rsidRDefault="00E81A23" w:rsidP="008D0C83">
            <w:pPr>
              <w:pStyle w:val="Tabletext"/>
              <w:rPr>
                <w:bCs/>
              </w:rPr>
            </w:pPr>
            <w:r>
              <w:rPr>
                <w:bCs/>
              </w:rPr>
              <w:t xml:space="preserve">Orthopaedic surgery </w:t>
            </w:r>
          </w:p>
        </w:tc>
        <w:tc>
          <w:tcPr>
            <w:tcW w:w="4395" w:type="dxa"/>
            <w:shd w:val="clear" w:color="auto" w:fill="auto"/>
          </w:tcPr>
          <w:p w14:paraId="51D5CAD5" w14:textId="501B1BD9" w:rsidR="00E81A23" w:rsidRDefault="00473E39" w:rsidP="00B879EA">
            <w:pPr>
              <w:pStyle w:val="Tabletext"/>
            </w:pPr>
            <w:hyperlink r:id="rId23" w:anchor="risk-assessment" w:history="1">
              <w:r w:rsidR="00E81A23" w:rsidRPr="00E81A23">
                <w:rPr>
                  <w:rStyle w:val="Hyperlink"/>
                </w:rPr>
                <w:t>NICE NG89 Recommendation</w:t>
              </w:r>
            </w:hyperlink>
            <w:r w:rsidR="00E81A23">
              <w:t xml:space="preserve"> 1.11.1</w:t>
            </w:r>
          </w:p>
        </w:tc>
      </w:tr>
    </w:tbl>
    <w:bookmarkEnd w:id="45"/>
    <w:p w14:paraId="62352F22" w14:textId="685180D5" w:rsidR="003347E5" w:rsidRDefault="00C867D6" w:rsidP="00F33551">
      <w:pPr>
        <w:pStyle w:val="Paragraph"/>
        <w:rPr>
          <w:b/>
        </w:rPr>
      </w:pPr>
      <w:r w:rsidRPr="00C867D6">
        <w:rPr>
          <w:b/>
        </w:rPr>
        <w:t>Risk assessment</w:t>
      </w:r>
    </w:p>
    <w:p w14:paraId="19C86A4F" w14:textId="0A5C7228" w:rsidR="00C867D6" w:rsidRDefault="00C867D6" w:rsidP="00F33551">
      <w:pPr>
        <w:pStyle w:val="Paragraph"/>
        <w:rPr>
          <w:bCs/>
          <w:u w:val="single"/>
        </w:rPr>
      </w:pPr>
      <w:r w:rsidRPr="00C867D6">
        <w:rPr>
          <w:bCs/>
          <w:u w:val="single"/>
        </w:rPr>
        <w:t xml:space="preserve">NICE NG89 Recommendation </w:t>
      </w:r>
      <w:r w:rsidR="006E1B30">
        <w:rPr>
          <w:bCs/>
          <w:u w:val="single"/>
        </w:rPr>
        <w:t xml:space="preserve">1.1.1 </w:t>
      </w:r>
    </w:p>
    <w:p w14:paraId="60EBD2C7" w14:textId="1D253A4D" w:rsidR="0055600F" w:rsidRPr="00230CD3" w:rsidRDefault="006E1B30" w:rsidP="00C867D6">
      <w:pPr>
        <w:pStyle w:val="Paragraph"/>
        <w:rPr>
          <w:bCs/>
        </w:rPr>
      </w:pPr>
      <w:r w:rsidRPr="006E1B30">
        <w:rPr>
          <w:bCs/>
        </w:rPr>
        <w:t>Assess all patients to identify the risk of venous thromboembolism (VTE) and bleeding (see recommendation 1.1.2 for all medical patients, 1.1.5 for all surgical patients, 1.1.9 for all pregnant women and all women who gave birth or had a miscarriage or termination of pregnancy in the past 6 weeks, 1.8.1 for all people admitted to the critical care unit and 1.9.1 for all acute psychiatric patients). </w:t>
      </w:r>
      <w:r w:rsidRPr="006E1B30">
        <w:rPr>
          <w:b/>
          <w:bCs/>
        </w:rPr>
        <w:t>[2018]</w:t>
      </w:r>
      <w:bookmarkStart w:id="49" w:name="_Hlk50224138"/>
    </w:p>
    <w:p w14:paraId="0B837FF1" w14:textId="7310A737" w:rsidR="00C867D6" w:rsidRDefault="00C867D6" w:rsidP="00C867D6">
      <w:pPr>
        <w:pStyle w:val="Paragraph"/>
        <w:rPr>
          <w:u w:val="single"/>
        </w:rPr>
      </w:pPr>
      <w:r w:rsidRPr="00C867D6">
        <w:rPr>
          <w:u w:val="single"/>
        </w:rPr>
        <w:lastRenderedPageBreak/>
        <w:t xml:space="preserve">NICE NG89 Recommendation </w:t>
      </w:r>
      <w:r w:rsidR="006E1B30">
        <w:rPr>
          <w:u w:val="single"/>
        </w:rPr>
        <w:t>1.1.2</w:t>
      </w:r>
    </w:p>
    <w:bookmarkEnd w:id="49"/>
    <w:p w14:paraId="55853F1F" w14:textId="77777777" w:rsidR="006E1B30" w:rsidRPr="006E1B30" w:rsidRDefault="006E1B30" w:rsidP="006E1B30">
      <w:pPr>
        <w:pStyle w:val="Paragraph"/>
      </w:pPr>
      <w:r w:rsidRPr="006E1B30">
        <w:t>Assess all medical patients to identify the risk of VTE and bleeding:</w:t>
      </w:r>
    </w:p>
    <w:p w14:paraId="73D36F23" w14:textId="77777777" w:rsidR="006E1B30" w:rsidRPr="006E1B30" w:rsidRDefault="006E1B30" w:rsidP="00FF621B">
      <w:pPr>
        <w:pStyle w:val="Bulletparagraph"/>
      </w:pPr>
      <w:r w:rsidRPr="006E1B30">
        <w:t>As soon as possible after </w:t>
      </w:r>
      <w:hyperlink r:id="rId24" w:anchor="admission" w:tgtFrame="_top" w:history="1">
        <w:r w:rsidRPr="006E1B30">
          <w:rPr>
            <w:rStyle w:val="Hyperlink"/>
          </w:rPr>
          <w:t>admission</w:t>
        </w:r>
      </w:hyperlink>
      <w:r w:rsidRPr="006E1B30">
        <w:t> to hospital or by the time of the first consultant review</w:t>
      </w:r>
    </w:p>
    <w:p w14:paraId="115B7A9E" w14:textId="34DAF84F" w:rsidR="006E1B30" w:rsidRPr="006E1B30" w:rsidRDefault="006E1B30" w:rsidP="00FF621B">
      <w:pPr>
        <w:pStyle w:val="Bulletparagraph"/>
      </w:pPr>
      <w:r w:rsidRPr="006E1B30">
        <w:t>Using a tool published by a national UK body, professional network or peer-reviewed journal. The most commonly used risk assessment tool for medical patients is the </w:t>
      </w:r>
      <w:hyperlink r:id="rId25" w:tgtFrame="_top" w:history="1">
        <w:r w:rsidRPr="006E1B30">
          <w:rPr>
            <w:rStyle w:val="Hyperlink"/>
          </w:rPr>
          <w:t>Department of Health VTE risk assessment tool</w:t>
        </w:r>
      </w:hyperlink>
      <w:r w:rsidRPr="006E1B30">
        <w:t>. </w:t>
      </w:r>
      <w:r w:rsidRPr="006E1B30">
        <w:rPr>
          <w:b/>
          <w:bCs/>
        </w:rPr>
        <w:t>[2018]</w:t>
      </w:r>
    </w:p>
    <w:p w14:paraId="2B394B54" w14:textId="755B5311" w:rsidR="006E1B30" w:rsidRDefault="006E1B30" w:rsidP="006E1B30">
      <w:pPr>
        <w:pStyle w:val="Paragraph"/>
        <w:rPr>
          <w:u w:val="single"/>
        </w:rPr>
      </w:pPr>
      <w:r w:rsidRPr="00C867D6">
        <w:rPr>
          <w:u w:val="single"/>
        </w:rPr>
        <w:t xml:space="preserve">NICE NG89 Recommendation </w:t>
      </w:r>
      <w:r>
        <w:rPr>
          <w:u w:val="single"/>
        </w:rPr>
        <w:t>1.1.3</w:t>
      </w:r>
    </w:p>
    <w:p w14:paraId="04B7326C" w14:textId="6B8117CB" w:rsidR="006E1B30" w:rsidRDefault="006E1B30" w:rsidP="006E1B30">
      <w:pPr>
        <w:pStyle w:val="Paragraph"/>
        <w:rPr>
          <w:b/>
          <w:bCs/>
        </w:rPr>
      </w:pPr>
      <w:r w:rsidRPr="006E1B30">
        <w:t>Balance the person's individual risk of VTE against their risk of bleeding when deciding whether to offer pharmacological thromboprophylaxis to medical patients. </w:t>
      </w:r>
      <w:r w:rsidRPr="006E1B30">
        <w:rPr>
          <w:b/>
          <w:bCs/>
        </w:rPr>
        <w:t>[2018]</w:t>
      </w:r>
    </w:p>
    <w:p w14:paraId="3FA46BEE" w14:textId="6DF57794" w:rsidR="002B41A8" w:rsidRDefault="00921B29" w:rsidP="006E1B30">
      <w:pPr>
        <w:pStyle w:val="Paragraph"/>
        <w:rPr>
          <w:b/>
          <w:bCs/>
        </w:rPr>
      </w:pPr>
      <w:r w:rsidRPr="00921B29">
        <w:rPr>
          <w:b/>
          <w:bCs/>
        </w:rPr>
        <w:t>Pulmonary embolism rule-out criteria (the PERC rule)</w:t>
      </w:r>
    </w:p>
    <w:p w14:paraId="3DD52CC8" w14:textId="62C366BB" w:rsidR="00921B29" w:rsidRPr="00921B29" w:rsidRDefault="00921B29" w:rsidP="006E1B30">
      <w:pPr>
        <w:pStyle w:val="Paragraph"/>
      </w:pPr>
      <w:r w:rsidRPr="00921B29">
        <w:rPr>
          <w:u w:val="single"/>
        </w:rPr>
        <w:t>NICE NG158 Recommendation 1.1.16</w:t>
      </w:r>
    </w:p>
    <w:p w14:paraId="391EFBCA" w14:textId="383A52E5" w:rsidR="00921B29" w:rsidRPr="00230CD3" w:rsidRDefault="00921B29" w:rsidP="006E1B30">
      <w:pPr>
        <w:pStyle w:val="Paragraph"/>
        <w:rPr>
          <w:b/>
          <w:bCs/>
        </w:rPr>
      </w:pPr>
      <w:r w:rsidRPr="00921B29">
        <w:t>If clinical suspicion of PE is low (the clinician estimates the likelihood of PE to be less than 15% based on the overall clinical impression, and other diagnoses are feasible), consider using the </w:t>
      </w:r>
      <w:hyperlink r:id="rId26" w:tgtFrame="_top" w:history="1">
        <w:r w:rsidRPr="00921B29">
          <w:rPr>
            <w:rStyle w:val="Hyperlink"/>
          </w:rPr>
          <w:t>pulmonary embolism rule-out criteria</w:t>
        </w:r>
      </w:hyperlink>
      <w:r w:rsidRPr="00921B29">
        <w:t> (PERC) to help determine whether any further investigations for PE are needed. </w:t>
      </w:r>
      <w:r w:rsidRPr="00921B29">
        <w:rPr>
          <w:b/>
          <w:bCs/>
        </w:rPr>
        <w:t>[2020]</w:t>
      </w:r>
    </w:p>
    <w:p w14:paraId="27FA9C02" w14:textId="4ECFE74A" w:rsidR="00C867D6" w:rsidRDefault="00C867D6" w:rsidP="00C867D6">
      <w:pPr>
        <w:pStyle w:val="Paragraph"/>
        <w:rPr>
          <w:b/>
        </w:rPr>
      </w:pPr>
      <w:r w:rsidRPr="00C867D6">
        <w:rPr>
          <w:b/>
        </w:rPr>
        <w:t>Planning for discharge</w:t>
      </w:r>
    </w:p>
    <w:p w14:paraId="4764860D" w14:textId="00DD7489" w:rsidR="00C867D6" w:rsidRDefault="00C867D6" w:rsidP="00C867D6">
      <w:pPr>
        <w:pStyle w:val="Paragraph"/>
        <w:rPr>
          <w:u w:val="single"/>
        </w:rPr>
      </w:pPr>
      <w:r w:rsidRPr="00C867D6">
        <w:rPr>
          <w:u w:val="single"/>
        </w:rPr>
        <w:t xml:space="preserve">NICE NG89 Recommendation </w:t>
      </w:r>
      <w:r w:rsidR="00B33059">
        <w:rPr>
          <w:u w:val="single"/>
        </w:rPr>
        <w:t>1.2.4</w:t>
      </w:r>
    </w:p>
    <w:p w14:paraId="40F6A4CE" w14:textId="77777777" w:rsidR="006E1B30" w:rsidRPr="006E1B30" w:rsidRDefault="006E1B30" w:rsidP="006E1B30">
      <w:pPr>
        <w:pStyle w:val="Paragraph"/>
      </w:pPr>
      <w:r w:rsidRPr="006E1B30">
        <w:t>As part of the </w:t>
      </w:r>
      <w:hyperlink r:id="rId27" w:anchor="discharge" w:tgtFrame="_top" w:history="1">
        <w:r w:rsidRPr="006E1B30">
          <w:rPr>
            <w:rStyle w:val="Hyperlink"/>
          </w:rPr>
          <w:t>discharge</w:t>
        </w:r>
      </w:hyperlink>
      <w:r w:rsidRPr="006E1B30">
        <w:t> plan, give patients and their family members or carers (as appropriate) verbal and written information on:</w:t>
      </w:r>
    </w:p>
    <w:p w14:paraId="511D49FA" w14:textId="77777777" w:rsidR="006E1B30" w:rsidRPr="006E1B30" w:rsidRDefault="006E1B30" w:rsidP="00FF621B">
      <w:pPr>
        <w:pStyle w:val="Bulletparagraph"/>
      </w:pPr>
      <w:r w:rsidRPr="006E1B30">
        <w:t>the signs and symptoms of deep vein thrombosis (DVT) and pulmonary embolism</w:t>
      </w:r>
    </w:p>
    <w:p w14:paraId="6BABDF2C" w14:textId="77777777" w:rsidR="006E1B30" w:rsidRPr="006E1B30" w:rsidRDefault="006E1B30" w:rsidP="00FF621B">
      <w:pPr>
        <w:pStyle w:val="Bulletparagraph"/>
      </w:pPr>
      <w:r w:rsidRPr="006E1B30">
        <w:t>how people can reduce their risk of VTE (such as keeping well hydrated and, if possible, exercising and becoming more mobile)</w:t>
      </w:r>
    </w:p>
    <w:p w14:paraId="3309A878" w14:textId="128EA174" w:rsidR="0055600F" w:rsidRPr="00230CD3" w:rsidRDefault="006E1B30" w:rsidP="006E1B30">
      <w:pPr>
        <w:pStyle w:val="Bulletparagraph"/>
      </w:pPr>
      <w:r w:rsidRPr="006E1B30">
        <w:t>the importance of seeking help if DVT, pulmonary embolism or other adverse events are suspected. </w:t>
      </w:r>
      <w:r w:rsidRPr="006E1B30">
        <w:rPr>
          <w:b/>
          <w:bCs/>
        </w:rPr>
        <w:t>[2018]</w:t>
      </w:r>
    </w:p>
    <w:p w14:paraId="52B0C8E7" w14:textId="5202086A" w:rsidR="006E1B30" w:rsidRDefault="006E1B30" w:rsidP="006E1B30">
      <w:pPr>
        <w:pStyle w:val="Paragraph"/>
        <w:rPr>
          <w:u w:val="single"/>
        </w:rPr>
      </w:pPr>
      <w:r w:rsidRPr="00C867D6">
        <w:rPr>
          <w:u w:val="single"/>
        </w:rPr>
        <w:t xml:space="preserve">NICE NG89 Recommendation </w:t>
      </w:r>
      <w:r>
        <w:rPr>
          <w:u w:val="single"/>
        </w:rPr>
        <w:t>1.2.5</w:t>
      </w:r>
    </w:p>
    <w:p w14:paraId="106BF579" w14:textId="77777777" w:rsidR="006E1B30" w:rsidRPr="006E1B30" w:rsidRDefault="006E1B30" w:rsidP="006E1B30">
      <w:pPr>
        <w:pStyle w:val="Paragraph"/>
      </w:pPr>
      <w:r w:rsidRPr="006E1B30">
        <w:lastRenderedPageBreak/>
        <w:t>Give people discharged with VTE prophylaxis and their family members or carers (as appropriate) verbal and written information on:</w:t>
      </w:r>
    </w:p>
    <w:p w14:paraId="18B4EE0A" w14:textId="77777777" w:rsidR="006E1B30" w:rsidRPr="006E1B30" w:rsidRDefault="006E1B30" w:rsidP="00FF621B">
      <w:pPr>
        <w:pStyle w:val="Bulletparagraph"/>
      </w:pPr>
      <w:r w:rsidRPr="006E1B30">
        <w:t>the importance of using VTE prophylaxis correctly (including the correct administration and disposal of pharmacological prophylaxis)</w:t>
      </w:r>
    </w:p>
    <w:p w14:paraId="701CA941" w14:textId="77777777" w:rsidR="006E1B30" w:rsidRPr="006E1B30" w:rsidRDefault="006E1B30" w:rsidP="00FF621B">
      <w:pPr>
        <w:pStyle w:val="Bulletparagraph"/>
      </w:pPr>
      <w:r w:rsidRPr="006E1B30">
        <w:t>the importance of continuing treatment for the recommended duration</w:t>
      </w:r>
    </w:p>
    <w:p w14:paraId="16962897" w14:textId="77777777" w:rsidR="006E1B30" w:rsidRPr="006E1B30" w:rsidRDefault="006E1B30" w:rsidP="00FF621B">
      <w:pPr>
        <w:pStyle w:val="Bulletparagraph"/>
      </w:pPr>
      <w:r w:rsidRPr="006E1B30">
        <w:t>the signs and symptoms of adverse events related to VTE prophylaxis</w:t>
      </w:r>
    </w:p>
    <w:p w14:paraId="199FD3A4" w14:textId="77777777" w:rsidR="006E1B30" w:rsidRPr="006E1B30" w:rsidRDefault="006E1B30" w:rsidP="00FF621B">
      <w:pPr>
        <w:pStyle w:val="Bulletparagraph"/>
      </w:pPr>
      <w:r w:rsidRPr="006E1B30">
        <w:t>the importance of seeking help and who to contact if people have problems using VTE prophylaxis. </w:t>
      </w:r>
      <w:r w:rsidRPr="006E1B30">
        <w:rPr>
          <w:b/>
          <w:bCs/>
        </w:rPr>
        <w:t>[2018]</w:t>
      </w:r>
    </w:p>
    <w:p w14:paraId="6B5ACFE5" w14:textId="428CA0D3" w:rsidR="006E1B30" w:rsidRDefault="006E1B30" w:rsidP="006E1B30">
      <w:pPr>
        <w:pStyle w:val="Paragraph"/>
        <w:rPr>
          <w:u w:val="single"/>
        </w:rPr>
      </w:pPr>
      <w:r w:rsidRPr="00C867D6">
        <w:rPr>
          <w:u w:val="single"/>
        </w:rPr>
        <w:t xml:space="preserve">NICE NG89 Recommendation </w:t>
      </w:r>
      <w:r>
        <w:rPr>
          <w:u w:val="single"/>
        </w:rPr>
        <w:t>1.2.6</w:t>
      </w:r>
    </w:p>
    <w:p w14:paraId="73A09C60" w14:textId="77777777" w:rsidR="006E1B30" w:rsidRPr="006E1B30" w:rsidRDefault="006E1B30" w:rsidP="006E1B30">
      <w:pPr>
        <w:pStyle w:val="Paragraph"/>
      </w:pPr>
      <w:r w:rsidRPr="006E1B30">
        <w:t>Ensure that people who are discharged with anti-embolism stockings:</w:t>
      </w:r>
    </w:p>
    <w:p w14:paraId="739C100C" w14:textId="77777777" w:rsidR="006E1B30" w:rsidRPr="006E1B30" w:rsidRDefault="006E1B30" w:rsidP="00FF621B">
      <w:pPr>
        <w:pStyle w:val="Bulletparagraph"/>
      </w:pPr>
      <w:r w:rsidRPr="006E1B30">
        <w:t>understand the benefits of wearing them</w:t>
      </w:r>
    </w:p>
    <w:p w14:paraId="4520A242" w14:textId="77777777" w:rsidR="006E1B30" w:rsidRPr="006E1B30" w:rsidRDefault="006E1B30" w:rsidP="00FF621B">
      <w:pPr>
        <w:pStyle w:val="Bulletparagraph"/>
      </w:pPr>
      <w:r w:rsidRPr="006E1B30">
        <w:t>understand the importance of wearing them correctly</w:t>
      </w:r>
    </w:p>
    <w:p w14:paraId="0FFD883C" w14:textId="77777777" w:rsidR="006E1B30" w:rsidRPr="006E1B30" w:rsidRDefault="006E1B30" w:rsidP="00FF621B">
      <w:pPr>
        <w:pStyle w:val="Bulletparagraph"/>
      </w:pPr>
      <w:r w:rsidRPr="006E1B30">
        <w:t>understand the need to remove them daily for hygiene purposes</w:t>
      </w:r>
    </w:p>
    <w:p w14:paraId="0C601980" w14:textId="77777777" w:rsidR="006E1B30" w:rsidRPr="006E1B30" w:rsidRDefault="006E1B30" w:rsidP="00FF621B">
      <w:pPr>
        <w:pStyle w:val="Bulletparagraph"/>
      </w:pPr>
      <w:r w:rsidRPr="006E1B30">
        <w:t>are able to remove and replace them, or have someone available who will be able to do this for them</w:t>
      </w:r>
    </w:p>
    <w:p w14:paraId="5DBF03B6" w14:textId="77777777" w:rsidR="006E1B30" w:rsidRPr="006E1B30" w:rsidRDefault="006E1B30" w:rsidP="00FF621B">
      <w:pPr>
        <w:pStyle w:val="Bulletparagraph"/>
      </w:pPr>
      <w:r w:rsidRPr="006E1B30">
        <w:t>know what to look for if there is a problem – for example, skin marking, blistering or discolouration, particularly over the heels and bony prominences</w:t>
      </w:r>
    </w:p>
    <w:p w14:paraId="03FE5083" w14:textId="77777777" w:rsidR="006E1B30" w:rsidRPr="006E1B30" w:rsidRDefault="006E1B30" w:rsidP="00FF621B">
      <w:pPr>
        <w:pStyle w:val="Bulletparagraph"/>
      </w:pPr>
      <w:r w:rsidRPr="006E1B30">
        <w:t>know who to contact if there is a problem</w:t>
      </w:r>
    </w:p>
    <w:p w14:paraId="13440BBE" w14:textId="6883DC7B" w:rsidR="0055600F" w:rsidRPr="00230CD3" w:rsidRDefault="006E1B30" w:rsidP="006E1B30">
      <w:pPr>
        <w:pStyle w:val="Bulletparagraph"/>
      </w:pPr>
      <w:r w:rsidRPr="006E1B30">
        <w:t>know when to stop wearing them. </w:t>
      </w:r>
      <w:r w:rsidRPr="006E1B30">
        <w:rPr>
          <w:b/>
          <w:bCs/>
        </w:rPr>
        <w:t>[2018]</w:t>
      </w:r>
    </w:p>
    <w:p w14:paraId="07A5BE1F" w14:textId="1490D4E5" w:rsidR="006E1B30" w:rsidRDefault="006E1B30" w:rsidP="006E1B30">
      <w:pPr>
        <w:pStyle w:val="Paragraph"/>
        <w:rPr>
          <w:u w:val="single"/>
        </w:rPr>
      </w:pPr>
      <w:r w:rsidRPr="00C867D6">
        <w:rPr>
          <w:u w:val="single"/>
        </w:rPr>
        <w:t xml:space="preserve">NICE NG89 Recommendation </w:t>
      </w:r>
      <w:r>
        <w:rPr>
          <w:u w:val="single"/>
        </w:rPr>
        <w:t>1.2.7</w:t>
      </w:r>
    </w:p>
    <w:p w14:paraId="28818FA8" w14:textId="25AE3C8B" w:rsidR="0055600F" w:rsidRPr="00230CD3" w:rsidRDefault="006E1B30" w:rsidP="00D033FE">
      <w:pPr>
        <w:pStyle w:val="Paragraph"/>
      </w:pPr>
      <w:r w:rsidRPr="006E1B30">
        <w:t>Ensure that people who are discharged with pharmacological and/or mechanical VTE prophylaxis are able to use it correctly, or have arrangements made for someone to be available who will be able to help them. </w:t>
      </w:r>
      <w:r w:rsidRPr="006E1B30">
        <w:rPr>
          <w:b/>
          <w:bCs/>
        </w:rPr>
        <w:t>[2018]</w:t>
      </w:r>
      <w:bookmarkStart w:id="50" w:name="_Hlk49696995"/>
      <w:bookmarkEnd w:id="42"/>
    </w:p>
    <w:p w14:paraId="38BE35F8" w14:textId="3483347E" w:rsidR="007E41B3" w:rsidRPr="002F02BB" w:rsidRDefault="006C3A3A" w:rsidP="00D033FE">
      <w:pPr>
        <w:pStyle w:val="Paragraph"/>
        <w:rPr>
          <w:b/>
        </w:rPr>
      </w:pPr>
      <w:r w:rsidRPr="006C3A3A">
        <w:rPr>
          <w:b/>
        </w:rPr>
        <w:t>Advance planning for elective surgery</w:t>
      </w:r>
    </w:p>
    <w:p w14:paraId="35E1CAE9" w14:textId="35E54CC0" w:rsidR="006C3A3A" w:rsidRPr="006C3A3A" w:rsidRDefault="006C3A3A" w:rsidP="00D033FE">
      <w:pPr>
        <w:pStyle w:val="Paragraph"/>
        <w:rPr>
          <w:bCs/>
          <w:u w:val="single"/>
        </w:rPr>
      </w:pPr>
      <w:r w:rsidRPr="006E1B30">
        <w:rPr>
          <w:bCs/>
          <w:u w:val="single"/>
        </w:rPr>
        <w:t>NICE NG89 Recommendation 1.</w:t>
      </w:r>
      <w:r>
        <w:rPr>
          <w:bCs/>
          <w:u w:val="single"/>
        </w:rPr>
        <w:t>3.13</w:t>
      </w:r>
    </w:p>
    <w:p w14:paraId="3CFEAD6F" w14:textId="28555C84" w:rsidR="0055600F" w:rsidRPr="00230CD3" w:rsidRDefault="006C3A3A" w:rsidP="00E81A23">
      <w:pPr>
        <w:pStyle w:val="Paragraph"/>
        <w:rPr>
          <w:b/>
        </w:rPr>
      </w:pPr>
      <w:r w:rsidRPr="006C3A3A">
        <w:rPr>
          <w:bCs/>
        </w:rPr>
        <w:t xml:space="preserve">Advise people to </w:t>
      </w:r>
      <w:bookmarkStart w:id="51" w:name="_Hlk50457189"/>
      <w:r w:rsidRPr="006C3A3A">
        <w:rPr>
          <w:bCs/>
        </w:rPr>
        <w:t xml:space="preserve">consider stopping oestrogen-containing oral contraceptives </w:t>
      </w:r>
      <w:bookmarkEnd w:id="51"/>
      <w:r w:rsidRPr="006C3A3A">
        <w:rPr>
          <w:bCs/>
        </w:rPr>
        <w:t>or hormone replacement therapy 4 weeks before elective surgery. If stopped, provide advice on alternative contraceptive methods.</w:t>
      </w:r>
      <w:r w:rsidRPr="006C3A3A">
        <w:rPr>
          <w:b/>
        </w:rPr>
        <w:t xml:space="preserve"> [2010]</w:t>
      </w:r>
      <w:bookmarkStart w:id="52" w:name="_Hlk50382687"/>
    </w:p>
    <w:p w14:paraId="10350654" w14:textId="0D70D742" w:rsidR="00E81A23" w:rsidRPr="00E81A23" w:rsidRDefault="00E81A23" w:rsidP="00E81A23">
      <w:pPr>
        <w:pStyle w:val="Paragraph"/>
        <w:rPr>
          <w:b/>
          <w:bCs/>
        </w:rPr>
      </w:pPr>
      <w:r w:rsidRPr="00E81A23">
        <w:rPr>
          <w:b/>
          <w:bCs/>
        </w:rPr>
        <w:t>Orthopaedic surgery</w:t>
      </w:r>
    </w:p>
    <w:bookmarkEnd w:id="52"/>
    <w:p w14:paraId="7CA61D41" w14:textId="77ABADBC" w:rsidR="00E81A23" w:rsidRPr="00B12848" w:rsidRDefault="00E81A23" w:rsidP="00E81A23">
      <w:pPr>
        <w:pStyle w:val="Paragraph"/>
        <w:rPr>
          <w:u w:val="single"/>
        </w:rPr>
      </w:pPr>
      <w:r w:rsidRPr="00B12848">
        <w:rPr>
          <w:u w:val="single"/>
        </w:rPr>
        <w:t>NICE NG89 Recommendation 1.11.1</w:t>
      </w:r>
    </w:p>
    <w:p w14:paraId="4FAC9747" w14:textId="6DCAFA62" w:rsidR="0055600F" w:rsidRDefault="00E81A23" w:rsidP="00230CD3">
      <w:pPr>
        <w:pStyle w:val="Paragraph"/>
      </w:pPr>
      <w:r w:rsidRPr="00B12848">
        <w:t xml:space="preserve">Consider pharmacological VTE prophylaxis with </w:t>
      </w:r>
      <w:hyperlink r:id="rId28" w:history="1">
        <w:r w:rsidRPr="00041DC8">
          <w:rPr>
            <w:rStyle w:val="Hyperlink"/>
          </w:rPr>
          <w:t>LMWH</w:t>
        </w:r>
      </w:hyperlink>
      <w:r>
        <w:rPr>
          <w:vertAlign w:val="superscript"/>
        </w:rPr>
        <w:t xml:space="preserve"> </w:t>
      </w:r>
      <w:r w:rsidRPr="00B12848">
        <w:t xml:space="preserve">or </w:t>
      </w:r>
      <w:hyperlink r:id="rId29" w:history="1">
        <w:r w:rsidRPr="00041DC8">
          <w:rPr>
            <w:rStyle w:val="Hyperlink"/>
          </w:rPr>
          <w:t>fondaparinux sodium</w:t>
        </w:r>
      </w:hyperlink>
      <w:r>
        <w:rPr>
          <w:vertAlign w:val="superscript"/>
        </w:rPr>
        <w:t xml:space="preserve"> </w:t>
      </w:r>
      <w:r w:rsidRPr="00B12848">
        <w:t xml:space="preserve">for people with lower limb immobilisation whose risk of VTE outweighs their risk of </w:t>
      </w:r>
      <w:r w:rsidRPr="00B12848">
        <w:lastRenderedPageBreak/>
        <w:t xml:space="preserve">bleeding. Consider stopping prophylaxis if lower limb immobilisation continues beyond 42 days. </w:t>
      </w:r>
      <w:r w:rsidRPr="00B12848">
        <w:rPr>
          <w:b/>
          <w:bCs/>
        </w:rPr>
        <w:t>[2018]</w:t>
      </w:r>
      <w:bookmarkStart w:id="53" w:name="_Hlk50137826"/>
    </w:p>
    <w:p w14:paraId="275180ED" w14:textId="1150467B" w:rsidR="007B1C0E" w:rsidRPr="00D50FCD" w:rsidRDefault="0096348A" w:rsidP="00EB616D">
      <w:pPr>
        <w:pStyle w:val="Numberedheading3"/>
      </w:pPr>
      <w:r>
        <w:t xml:space="preserve">4.1.3 </w:t>
      </w:r>
      <w:r>
        <w:tab/>
      </w:r>
      <w:r w:rsidR="002C296A">
        <w:t>Current UK practice</w:t>
      </w:r>
    </w:p>
    <w:bookmarkEnd w:id="50"/>
    <w:bookmarkEnd w:id="53"/>
    <w:p w14:paraId="2CA01571" w14:textId="6D1150BF" w:rsidR="000C5484" w:rsidRPr="00AB5D35" w:rsidRDefault="00F54CC5" w:rsidP="00AB5D35">
      <w:pPr>
        <w:pStyle w:val="Paragraph"/>
        <w:rPr>
          <w:b/>
          <w:bCs/>
        </w:rPr>
      </w:pPr>
      <w:r w:rsidRPr="00AB5D35">
        <w:rPr>
          <w:b/>
          <w:bCs/>
        </w:rPr>
        <w:t xml:space="preserve">Risk assessment </w:t>
      </w:r>
    </w:p>
    <w:p w14:paraId="4214667C" w14:textId="262634F6" w:rsidR="00921B29" w:rsidRDefault="00F54CC5" w:rsidP="00800565">
      <w:pPr>
        <w:pStyle w:val="Paragraph"/>
      </w:pPr>
      <w:bookmarkStart w:id="54" w:name="_Hlk50359144"/>
      <w:r w:rsidRPr="00A04598">
        <w:t xml:space="preserve">The </w:t>
      </w:r>
      <w:r w:rsidR="00800565" w:rsidRPr="00A04598">
        <w:t>All-Party Parliamentary Thrombosis Group</w:t>
      </w:r>
      <w:r w:rsidR="00A04598" w:rsidRPr="00A04598">
        <w:t xml:space="preserve"> </w:t>
      </w:r>
      <w:hyperlink r:id="rId30" w:history="1">
        <w:r w:rsidR="002A33D2">
          <w:rPr>
            <w:rStyle w:val="Hyperlink"/>
          </w:rPr>
          <w:t>2019 Annual Review</w:t>
        </w:r>
      </w:hyperlink>
      <w:r w:rsidR="00A04598" w:rsidRPr="00A04598">
        <w:t xml:space="preserve"> reported </w:t>
      </w:r>
      <w:bookmarkEnd w:id="54"/>
      <w:r w:rsidR="00A04598" w:rsidRPr="00A04598">
        <w:t xml:space="preserve">Acute trusts on average risk assessed 95.5% of adult inpatients for VTE in 2017/18. </w:t>
      </w:r>
    </w:p>
    <w:p w14:paraId="441658A0" w14:textId="05DA4D63" w:rsidR="00330C35" w:rsidRDefault="00330C35" w:rsidP="00800565">
      <w:pPr>
        <w:pStyle w:val="Paragraph"/>
      </w:pPr>
      <w:r>
        <w:t xml:space="preserve">The national </w:t>
      </w:r>
      <w:hyperlink r:id="rId31" w:history="1">
        <w:r w:rsidRPr="00330C35">
          <w:rPr>
            <w:rStyle w:val="Hyperlink"/>
          </w:rPr>
          <w:t>venous thromboembolism risk assessment data collection</w:t>
        </w:r>
      </w:hyperlink>
      <w:r>
        <w:t xml:space="preserve"> Quarter 1 2019/20 (April to June 2019) report found 96% of inpatients (aged 16 and over at the time of admission) admitted to NHS-funded acute care received a VTE risk assessment in quarter 1 (Q1) 2019/20.</w:t>
      </w:r>
      <w:r w:rsidR="004E4ABA">
        <w:t xml:space="preserve"> </w:t>
      </w:r>
    </w:p>
    <w:p w14:paraId="22D78EF5" w14:textId="5E7568E2" w:rsidR="004E4ABA" w:rsidRDefault="004E4ABA" w:rsidP="00800565">
      <w:pPr>
        <w:pStyle w:val="Paragraph"/>
      </w:pPr>
      <w:r>
        <w:t>Variation in national achievement of VTE risk assessments over time is shown below.</w:t>
      </w:r>
    </w:p>
    <w:tbl>
      <w:tblPr>
        <w:tblStyle w:val="TableGrid"/>
        <w:tblW w:w="0" w:type="auto"/>
        <w:tblLook w:val="04A0" w:firstRow="1" w:lastRow="0" w:firstColumn="1" w:lastColumn="0" w:noHBand="0" w:noVBand="1"/>
      </w:tblPr>
      <w:tblGrid>
        <w:gridCol w:w="3823"/>
        <w:gridCol w:w="2551"/>
      </w:tblGrid>
      <w:tr w:rsidR="00330C35" w14:paraId="52DE5CB7" w14:textId="77777777" w:rsidTr="004E4ABA">
        <w:tc>
          <w:tcPr>
            <w:tcW w:w="3823" w:type="dxa"/>
          </w:tcPr>
          <w:p w14:paraId="3176F066" w14:textId="23DD2D6F" w:rsidR="00330C35" w:rsidRDefault="00B947E8" w:rsidP="004E4ABA">
            <w:pPr>
              <w:pStyle w:val="Tabletitle"/>
            </w:pPr>
            <w:r>
              <w:t>Quarter</w:t>
            </w:r>
            <w:r w:rsidR="00745BB0">
              <w:t>/ Year</w:t>
            </w:r>
          </w:p>
        </w:tc>
        <w:tc>
          <w:tcPr>
            <w:tcW w:w="2551" w:type="dxa"/>
          </w:tcPr>
          <w:p w14:paraId="3AF1372C" w14:textId="45DA80EF" w:rsidR="00330C35" w:rsidRDefault="004E4ABA" w:rsidP="004E4ABA">
            <w:pPr>
              <w:pStyle w:val="Tabletitle"/>
            </w:pPr>
            <w:r>
              <w:t>National a</w:t>
            </w:r>
            <w:r w:rsidR="00B947E8">
              <w:t>chievement</w:t>
            </w:r>
          </w:p>
        </w:tc>
      </w:tr>
      <w:tr w:rsidR="00330C35" w14:paraId="0A5BD821" w14:textId="77777777" w:rsidTr="004E4ABA">
        <w:tc>
          <w:tcPr>
            <w:tcW w:w="3823" w:type="dxa"/>
          </w:tcPr>
          <w:p w14:paraId="3797A821" w14:textId="59147F7D" w:rsidR="00330C35" w:rsidRPr="004E4ABA" w:rsidRDefault="00330C35" w:rsidP="004E4ABA">
            <w:pPr>
              <w:pStyle w:val="Tabletext"/>
              <w:rPr>
                <w:bCs/>
              </w:rPr>
            </w:pPr>
            <w:r w:rsidRPr="004E4ABA">
              <w:rPr>
                <w:bCs/>
              </w:rPr>
              <w:t xml:space="preserve">Q3 2015/16 </w:t>
            </w:r>
            <w:r w:rsidR="004E4ABA" w:rsidRPr="004E4ABA">
              <w:rPr>
                <w:bCs/>
              </w:rPr>
              <w:t>-</w:t>
            </w:r>
            <w:r w:rsidRPr="004E4ABA">
              <w:rPr>
                <w:bCs/>
              </w:rPr>
              <w:t xml:space="preserve"> Q4 2016/17</w:t>
            </w:r>
          </w:p>
        </w:tc>
        <w:tc>
          <w:tcPr>
            <w:tcW w:w="2551" w:type="dxa"/>
          </w:tcPr>
          <w:p w14:paraId="5019D70C" w14:textId="24B4E4ED" w:rsidR="00330C35" w:rsidRPr="004E4ABA" w:rsidRDefault="004E4ABA" w:rsidP="004E4ABA">
            <w:pPr>
              <w:pStyle w:val="Tabletext"/>
              <w:rPr>
                <w:bCs/>
              </w:rPr>
            </w:pPr>
            <w:r w:rsidRPr="004E4ABA">
              <w:rPr>
                <w:bCs/>
              </w:rPr>
              <w:t xml:space="preserve">Static at </w:t>
            </w:r>
            <w:r w:rsidR="00330C35" w:rsidRPr="004E4ABA">
              <w:rPr>
                <w:bCs/>
              </w:rPr>
              <w:t>96%</w:t>
            </w:r>
          </w:p>
        </w:tc>
      </w:tr>
      <w:tr w:rsidR="00330C35" w14:paraId="4B28B7A5" w14:textId="77777777" w:rsidTr="004E4ABA">
        <w:tc>
          <w:tcPr>
            <w:tcW w:w="3823" w:type="dxa"/>
          </w:tcPr>
          <w:p w14:paraId="007F2BA1" w14:textId="0A2EFBF0" w:rsidR="00330C35" w:rsidRPr="004E4ABA" w:rsidRDefault="00330C35" w:rsidP="004E4ABA">
            <w:pPr>
              <w:pStyle w:val="Tabletext"/>
              <w:rPr>
                <w:bCs/>
              </w:rPr>
            </w:pPr>
            <w:r w:rsidRPr="004E4ABA">
              <w:rPr>
                <w:bCs/>
              </w:rPr>
              <w:t xml:space="preserve">Q1 2017/18 </w:t>
            </w:r>
            <w:r w:rsidR="004E4ABA" w:rsidRPr="004E4ABA">
              <w:rPr>
                <w:bCs/>
              </w:rPr>
              <w:t xml:space="preserve">- </w:t>
            </w:r>
            <w:r w:rsidRPr="004E4ABA">
              <w:rPr>
                <w:bCs/>
              </w:rPr>
              <w:t>Q4 2017/18</w:t>
            </w:r>
          </w:p>
        </w:tc>
        <w:tc>
          <w:tcPr>
            <w:tcW w:w="2551" w:type="dxa"/>
          </w:tcPr>
          <w:p w14:paraId="29B97776" w14:textId="5E8E613F" w:rsidR="00330C35" w:rsidRPr="004E4ABA" w:rsidRDefault="004E4ABA" w:rsidP="004E4ABA">
            <w:pPr>
              <w:pStyle w:val="Tabletext"/>
              <w:rPr>
                <w:bCs/>
              </w:rPr>
            </w:pPr>
            <w:r w:rsidRPr="004E4ABA">
              <w:rPr>
                <w:bCs/>
              </w:rPr>
              <w:t xml:space="preserve">Static at </w:t>
            </w:r>
            <w:r w:rsidR="00330C35" w:rsidRPr="004E4ABA">
              <w:rPr>
                <w:bCs/>
              </w:rPr>
              <w:t>95%</w:t>
            </w:r>
            <w:r w:rsidRPr="004E4ABA">
              <w:rPr>
                <w:bCs/>
              </w:rPr>
              <w:t xml:space="preserve"> </w:t>
            </w:r>
          </w:p>
        </w:tc>
      </w:tr>
      <w:tr w:rsidR="00330C35" w14:paraId="7D48F3A3" w14:textId="77777777" w:rsidTr="004E4ABA">
        <w:tc>
          <w:tcPr>
            <w:tcW w:w="3823" w:type="dxa"/>
          </w:tcPr>
          <w:p w14:paraId="741A08BF" w14:textId="0F2844AC" w:rsidR="00330C35" w:rsidRPr="004E4ABA" w:rsidRDefault="00330C35" w:rsidP="004E4ABA">
            <w:pPr>
              <w:pStyle w:val="Tabletext"/>
              <w:rPr>
                <w:bCs/>
              </w:rPr>
            </w:pPr>
            <w:r w:rsidRPr="004E4ABA">
              <w:rPr>
                <w:bCs/>
              </w:rPr>
              <w:t>Q1 2018/19</w:t>
            </w:r>
          </w:p>
        </w:tc>
        <w:tc>
          <w:tcPr>
            <w:tcW w:w="2551" w:type="dxa"/>
          </w:tcPr>
          <w:p w14:paraId="25CE7AC7" w14:textId="68942BFB" w:rsidR="00330C35" w:rsidRPr="004E4ABA" w:rsidRDefault="00330C35" w:rsidP="004E4ABA">
            <w:pPr>
              <w:pStyle w:val="Tabletext"/>
              <w:rPr>
                <w:bCs/>
              </w:rPr>
            </w:pPr>
            <w:r w:rsidRPr="004E4ABA">
              <w:rPr>
                <w:bCs/>
              </w:rPr>
              <w:t>96%</w:t>
            </w:r>
          </w:p>
        </w:tc>
      </w:tr>
      <w:tr w:rsidR="00330C35" w14:paraId="0F74A5B2" w14:textId="77777777" w:rsidTr="004E4ABA">
        <w:tc>
          <w:tcPr>
            <w:tcW w:w="3823" w:type="dxa"/>
          </w:tcPr>
          <w:p w14:paraId="72B7C220" w14:textId="171F8CA3" w:rsidR="00330C35" w:rsidRPr="004E4ABA" w:rsidRDefault="00330C35" w:rsidP="004E4ABA">
            <w:pPr>
              <w:pStyle w:val="Tabletext"/>
              <w:rPr>
                <w:bCs/>
              </w:rPr>
            </w:pPr>
            <w:r w:rsidRPr="004E4ABA">
              <w:rPr>
                <w:bCs/>
              </w:rPr>
              <w:t>Q2 2018/19</w:t>
            </w:r>
          </w:p>
        </w:tc>
        <w:tc>
          <w:tcPr>
            <w:tcW w:w="2551" w:type="dxa"/>
          </w:tcPr>
          <w:p w14:paraId="0E9F4708" w14:textId="18BE4442" w:rsidR="00330C35" w:rsidRPr="004E4ABA" w:rsidRDefault="00330C35" w:rsidP="004E4ABA">
            <w:pPr>
              <w:pStyle w:val="Tabletext"/>
              <w:rPr>
                <w:bCs/>
              </w:rPr>
            </w:pPr>
            <w:r w:rsidRPr="004E4ABA">
              <w:rPr>
                <w:bCs/>
              </w:rPr>
              <w:t>95%</w:t>
            </w:r>
          </w:p>
        </w:tc>
      </w:tr>
      <w:tr w:rsidR="00330C35" w14:paraId="174E62E3" w14:textId="77777777" w:rsidTr="004E4ABA">
        <w:tc>
          <w:tcPr>
            <w:tcW w:w="3823" w:type="dxa"/>
          </w:tcPr>
          <w:p w14:paraId="09056274" w14:textId="545876F7" w:rsidR="00330C35" w:rsidRPr="004E4ABA" w:rsidRDefault="00B947E8" w:rsidP="004E4ABA">
            <w:pPr>
              <w:pStyle w:val="Tabletext"/>
              <w:rPr>
                <w:bCs/>
              </w:rPr>
            </w:pPr>
            <w:r w:rsidRPr="004E4ABA">
              <w:rPr>
                <w:bCs/>
              </w:rPr>
              <w:t>Q3 2018/19</w:t>
            </w:r>
          </w:p>
        </w:tc>
        <w:tc>
          <w:tcPr>
            <w:tcW w:w="2551" w:type="dxa"/>
          </w:tcPr>
          <w:p w14:paraId="2E9EA5E1" w14:textId="3B0973DA" w:rsidR="00330C35" w:rsidRPr="004E4ABA" w:rsidRDefault="00B947E8" w:rsidP="004E4ABA">
            <w:pPr>
              <w:pStyle w:val="Tabletext"/>
              <w:rPr>
                <w:bCs/>
              </w:rPr>
            </w:pPr>
            <w:r w:rsidRPr="004E4ABA">
              <w:rPr>
                <w:bCs/>
              </w:rPr>
              <w:t>96%</w:t>
            </w:r>
          </w:p>
        </w:tc>
      </w:tr>
      <w:tr w:rsidR="00B947E8" w14:paraId="5F51B477" w14:textId="77777777" w:rsidTr="004E4ABA">
        <w:tc>
          <w:tcPr>
            <w:tcW w:w="3823" w:type="dxa"/>
          </w:tcPr>
          <w:p w14:paraId="2DC2D831" w14:textId="248A3148" w:rsidR="00B947E8" w:rsidRPr="004E4ABA" w:rsidRDefault="00B947E8" w:rsidP="004E4ABA">
            <w:pPr>
              <w:pStyle w:val="Tabletext"/>
              <w:rPr>
                <w:bCs/>
              </w:rPr>
            </w:pPr>
            <w:r w:rsidRPr="004E4ABA">
              <w:rPr>
                <w:bCs/>
              </w:rPr>
              <w:t>Q4 2018/19</w:t>
            </w:r>
          </w:p>
        </w:tc>
        <w:tc>
          <w:tcPr>
            <w:tcW w:w="2551" w:type="dxa"/>
          </w:tcPr>
          <w:p w14:paraId="26ECA3B9" w14:textId="593EF3B6" w:rsidR="00B947E8" w:rsidRPr="004E4ABA" w:rsidRDefault="00B947E8" w:rsidP="004E4ABA">
            <w:pPr>
              <w:pStyle w:val="Tabletext"/>
              <w:rPr>
                <w:bCs/>
              </w:rPr>
            </w:pPr>
            <w:r w:rsidRPr="004E4ABA">
              <w:rPr>
                <w:bCs/>
              </w:rPr>
              <w:t>96%</w:t>
            </w:r>
          </w:p>
        </w:tc>
      </w:tr>
      <w:tr w:rsidR="004E4ABA" w14:paraId="6AD96857" w14:textId="77777777" w:rsidTr="004E4ABA">
        <w:tc>
          <w:tcPr>
            <w:tcW w:w="3823" w:type="dxa"/>
          </w:tcPr>
          <w:p w14:paraId="1E4F222D" w14:textId="5137C84B" w:rsidR="004E4ABA" w:rsidRPr="004E4ABA" w:rsidRDefault="004E4ABA" w:rsidP="004E4ABA">
            <w:pPr>
              <w:pStyle w:val="Tabletext"/>
              <w:rPr>
                <w:bCs/>
              </w:rPr>
            </w:pPr>
            <w:r w:rsidRPr="004E4ABA">
              <w:rPr>
                <w:bCs/>
              </w:rPr>
              <w:t>Q1 2019/20</w:t>
            </w:r>
          </w:p>
        </w:tc>
        <w:tc>
          <w:tcPr>
            <w:tcW w:w="2551" w:type="dxa"/>
          </w:tcPr>
          <w:p w14:paraId="5CDECFDE" w14:textId="4EADCA02" w:rsidR="004E4ABA" w:rsidRPr="004E4ABA" w:rsidRDefault="004E4ABA" w:rsidP="004E4ABA">
            <w:pPr>
              <w:pStyle w:val="Tabletext"/>
              <w:rPr>
                <w:bCs/>
              </w:rPr>
            </w:pPr>
            <w:r w:rsidRPr="004E4ABA">
              <w:rPr>
                <w:bCs/>
              </w:rPr>
              <w:t>96%</w:t>
            </w:r>
          </w:p>
        </w:tc>
      </w:tr>
    </w:tbl>
    <w:p w14:paraId="7214EBCC" w14:textId="765CBAC1" w:rsidR="00330C35" w:rsidRDefault="00330C35" w:rsidP="00800565">
      <w:pPr>
        <w:pStyle w:val="Paragraph"/>
      </w:pPr>
      <w:r>
        <w:t>Six regions (North East and Yorkshire, North West, Midlands, East of England, London and South East) achieved the 95% NHS Standard Contract operational standard in Q1 2019/20</w:t>
      </w:r>
      <w:r w:rsidR="004E4ABA">
        <w:t xml:space="preserve">. </w:t>
      </w:r>
      <w:r>
        <w:t>The South West did not meet the operational standard and risk assessed 94.7% of inpatients.</w:t>
      </w:r>
    </w:p>
    <w:p w14:paraId="3AA69115" w14:textId="77777777" w:rsidR="00921B29" w:rsidRPr="00921B29" w:rsidRDefault="00921B29" w:rsidP="00921B29">
      <w:pPr>
        <w:pStyle w:val="Paragraph"/>
        <w:rPr>
          <w:b/>
          <w:bCs/>
        </w:rPr>
      </w:pPr>
      <w:r w:rsidRPr="00921B29">
        <w:rPr>
          <w:b/>
          <w:bCs/>
        </w:rPr>
        <w:t>Pulmonary embolism rule-out criteria (the PERC rule)</w:t>
      </w:r>
    </w:p>
    <w:p w14:paraId="069FC71E" w14:textId="68CDC33A" w:rsidR="00921B29" w:rsidRPr="00A04598" w:rsidRDefault="002B41A8" w:rsidP="00800565">
      <w:pPr>
        <w:pStyle w:val="Paragraph"/>
      </w:pPr>
      <w:bookmarkStart w:id="55" w:name="_Hlk18508305"/>
      <w:r w:rsidRPr="002B41A8">
        <w:t>No published studies on current practice were highlighted for this suggested area for quality improvement; this area is based on stakeholder’s knowledge and experience.</w:t>
      </w:r>
      <w:bookmarkEnd w:id="55"/>
    </w:p>
    <w:p w14:paraId="1775532A" w14:textId="1DD7B2A8" w:rsidR="00A04598" w:rsidRDefault="00A04598" w:rsidP="00A04598">
      <w:pPr>
        <w:pStyle w:val="Paragraph"/>
        <w:rPr>
          <w:b/>
          <w:bCs/>
        </w:rPr>
      </w:pPr>
      <w:r w:rsidRPr="001E17F0">
        <w:rPr>
          <w:b/>
          <w:bCs/>
        </w:rPr>
        <w:t>Planning for discharge</w:t>
      </w:r>
    </w:p>
    <w:p w14:paraId="64603C7B" w14:textId="3CBCE068" w:rsidR="001E17F0" w:rsidRPr="001E17F0" w:rsidRDefault="001E17F0" w:rsidP="00A04598">
      <w:pPr>
        <w:pStyle w:val="Paragraph"/>
      </w:pPr>
      <w:r w:rsidRPr="00A04598">
        <w:t xml:space="preserve">The All-Party Parliamentary Thrombosis Group </w:t>
      </w:r>
      <w:hyperlink r:id="rId32" w:history="1">
        <w:r>
          <w:rPr>
            <w:rStyle w:val="Hyperlink"/>
          </w:rPr>
          <w:t>2019 Annual Review</w:t>
        </w:r>
      </w:hyperlink>
      <w:r w:rsidRPr="00A04598">
        <w:t xml:space="preserve"> reported </w:t>
      </w:r>
      <w:r>
        <w:t xml:space="preserve">that </w:t>
      </w:r>
      <w:r w:rsidRPr="00A04598">
        <w:t>only 21% of hospital admissions included VTE risk status in the patient’s discharge summary.</w:t>
      </w:r>
    </w:p>
    <w:p w14:paraId="285005A1" w14:textId="01781993" w:rsidR="005D7CAB" w:rsidRPr="00A944E0" w:rsidRDefault="005D7CAB" w:rsidP="00F54CC5">
      <w:pPr>
        <w:pStyle w:val="Paragraph"/>
        <w:rPr>
          <w:b/>
          <w:bCs/>
        </w:rPr>
      </w:pPr>
      <w:bookmarkStart w:id="56" w:name="_Hlk49697080"/>
      <w:r w:rsidRPr="00A944E0">
        <w:rPr>
          <w:b/>
          <w:bCs/>
        </w:rPr>
        <w:lastRenderedPageBreak/>
        <w:t>Advance planning for elective surgery</w:t>
      </w:r>
    </w:p>
    <w:p w14:paraId="7779C28A" w14:textId="0C08C0A5" w:rsidR="00E00A46" w:rsidRDefault="004F0D77" w:rsidP="00F54CC5">
      <w:pPr>
        <w:pStyle w:val="Paragraph"/>
      </w:pPr>
      <w:r w:rsidRPr="00A944E0">
        <w:t xml:space="preserve">The 2019 National Confidential Enquiry into Patient Outcome and Death </w:t>
      </w:r>
      <w:hyperlink r:id="rId33" w:history="1">
        <w:r w:rsidRPr="00A944E0">
          <w:rPr>
            <w:rStyle w:val="Hyperlink"/>
          </w:rPr>
          <w:t>Pulmonary embolism: Know the score</w:t>
        </w:r>
      </w:hyperlink>
      <w:r w:rsidRPr="00A944E0">
        <w:t xml:space="preserve"> reported approximately 46% of hospital</w:t>
      </w:r>
      <w:r w:rsidR="00B1069A" w:rsidRPr="00A944E0">
        <w:t>s</w:t>
      </w:r>
      <w:r w:rsidRPr="00A944E0">
        <w:t xml:space="preserve"> included contraception within their patient information. </w:t>
      </w:r>
      <w:r w:rsidR="004C05ED">
        <w:t>A</w:t>
      </w:r>
      <w:r w:rsidR="00A944E0" w:rsidRPr="00A944E0">
        <w:t xml:space="preserve">dvice on </w:t>
      </w:r>
      <w:r w:rsidR="00A944E0" w:rsidRPr="00A944E0">
        <w:rPr>
          <w:bCs/>
        </w:rPr>
        <w:t xml:space="preserve">consider stopping oestrogen-containing oral contraceptives was </w:t>
      </w:r>
      <w:r w:rsidR="004C05ED">
        <w:rPr>
          <w:bCs/>
        </w:rPr>
        <w:t xml:space="preserve">however </w:t>
      </w:r>
      <w:r w:rsidR="00A944E0" w:rsidRPr="00A944E0">
        <w:rPr>
          <w:bCs/>
        </w:rPr>
        <w:t>not mentioned</w:t>
      </w:r>
      <w:r w:rsidR="00A944E0">
        <w:rPr>
          <w:bCs/>
        </w:rPr>
        <w:t xml:space="preserve"> </w:t>
      </w:r>
      <w:r w:rsidR="004C05ED">
        <w:rPr>
          <w:bCs/>
        </w:rPr>
        <w:t xml:space="preserve">as being included in this information. </w:t>
      </w:r>
    </w:p>
    <w:p w14:paraId="510AA80C" w14:textId="77777777" w:rsidR="00E81A23" w:rsidRPr="00E81A23" w:rsidRDefault="00E81A23" w:rsidP="00E81A23">
      <w:pPr>
        <w:pStyle w:val="Paragraph"/>
        <w:rPr>
          <w:b/>
          <w:bCs/>
        </w:rPr>
      </w:pPr>
      <w:r w:rsidRPr="00E81A23">
        <w:rPr>
          <w:b/>
          <w:bCs/>
        </w:rPr>
        <w:t>Orthopaedic surgery</w:t>
      </w:r>
    </w:p>
    <w:p w14:paraId="41D30E60" w14:textId="7AE61934" w:rsidR="00AB5D35" w:rsidRPr="00E377C9" w:rsidRDefault="00AB5D35" w:rsidP="00CA1B03">
      <w:pPr>
        <w:pStyle w:val="Numberedheading3"/>
      </w:pPr>
      <w:bookmarkStart w:id="57" w:name="_Hlk50138910"/>
      <w:r>
        <w:t>4.1.4</w:t>
      </w:r>
      <w:r>
        <w:tab/>
      </w:r>
      <w:bookmarkStart w:id="58" w:name="_Hlk50372151"/>
      <w:r w:rsidRPr="00E377C9">
        <w:t>Committee discussion</w:t>
      </w:r>
    </w:p>
    <w:p w14:paraId="359C0B44" w14:textId="389FC98C" w:rsidR="00AB5D35" w:rsidRPr="00AB5D35" w:rsidRDefault="00AB5D35" w:rsidP="00AB5D35">
      <w:pPr>
        <w:pStyle w:val="Paragraph"/>
        <w:rPr>
          <w:b/>
          <w:bCs/>
        </w:rPr>
      </w:pPr>
      <w:r w:rsidRPr="00AB5D35">
        <w:rPr>
          <w:b/>
          <w:bCs/>
        </w:rPr>
        <w:t>For discussion</w:t>
      </w:r>
    </w:p>
    <w:p w14:paraId="5DDBDDFA" w14:textId="77777777" w:rsidR="00AB5D35" w:rsidRPr="00AB5D35" w:rsidRDefault="00AB5D35" w:rsidP="00E377C9">
      <w:pPr>
        <w:pStyle w:val="Bulletparagraph"/>
      </w:pPr>
      <w:r w:rsidRPr="00AB5D35">
        <w:t>What is the priority for improvement?</w:t>
      </w:r>
    </w:p>
    <w:p w14:paraId="56DFADF7" w14:textId="77777777" w:rsidR="00AB5D35" w:rsidRPr="00AB5D35" w:rsidRDefault="00AB5D35" w:rsidP="00E377C9">
      <w:pPr>
        <w:pStyle w:val="Bulletparagraph"/>
      </w:pPr>
      <w:r w:rsidRPr="00AB5D35">
        <w:t>What is the key action that will lead to improvement?</w:t>
      </w:r>
    </w:p>
    <w:p w14:paraId="6503D7E6" w14:textId="5B988E83" w:rsidR="00AB5D35" w:rsidRDefault="00AB5D35" w:rsidP="00E377C9">
      <w:pPr>
        <w:pStyle w:val="Bulletparagraph"/>
      </w:pPr>
      <w:r w:rsidRPr="00AB5D35">
        <w:t>Can we develop a specific, measurable statement?</w:t>
      </w:r>
    </w:p>
    <w:p w14:paraId="06A01794" w14:textId="69AA5DA5" w:rsidR="00AB5D35" w:rsidRPr="00AB5D35" w:rsidRDefault="00AB5D35" w:rsidP="00AB5D35">
      <w:pPr>
        <w:pStyle w:val="Paragraph"/>
        <w:rPr>
          <w:b/>
          <w:bCs/>
        </w:rPr>
      </w:pPr>
      <w:r w:rsidRPr="00AB5D35">
        <w:rPr>
          <w:b/>
          <w:bCs/>
        </w:rPr>
        <w:t>For decision</w:t>
      </w:r>
    </w:p>
    <w:p w14:paraId="0D8EDE7F" w14:textId="1D19F545" w:rsidR="00912949" w:rsidRDefault="00AB5D35" w:rsidP="00E377C9">
      <w:pPr>
        <w:pStyle w:val="Bulletparagraph"/>
      </w:pPr>
      <w:bookmarkStart w:id="59" w:name="_Hlk50447404"/>
      <w:r w:rsidRPr="00AB5D35">
        <w:t xml:space="preserve">Should </w:t>
      </w:r>
      <w:r w:rsidR="001B515B">
        <w:t>any of these areas be</w:t>
      </w:r>
      <w:r w:rsidRPr="00AB5D35">
        <w:t xml:space="preserve"> prioritised for inclusion in the quality standard?</w:t>
      </w:r>
      <w:bookmarkEnd w:id="56"/>
      <w:bookmarkEnd w:id="58"/>
      <w:bookmarkEnd w:id="59"/>
      <w:r w:rsidR="00912949">
        <w:br w:type="page"/>
      </w:r>
    </w:p>
    <w:p w14:paraId="5D4FDD31" w14:textId="13EBD1A8" w:rsidR="008D7866" w:rsidRPr="008D7866" w:rsidRDefault="00761E21" w:rsidP="007F298D">
      <w:pPr>
        <w:pStyle w:val="Numberedheading2"/>
        <w:numPr>
          <w:ilvl w:val="1"/>
          <w:numId w:val="5"/>
        </w:numPr>
      </w:pPr>
      <w:bookmarkStart w:id="60" w:name="_Hlk49687095"/>
      <w:bookmarkEnd w:id="57"/>
      <w:r>
        <w:lastRenderedPageBreak/>
        <w:t>Diagnos</w:t>
      </w:r>
      <w:r w:rsidR="008D7866">
        <w:t>is and initial management</w:t>
      </w:r>
    </w:p>
    <w:p w14:paraId="7DA644CE" w14:textId="674FC365" w:rsidR="00F904D4" w:rsidRPr="00F904D4" w:rsidRDefault="00F904D4" w:rsidP="00F904D4">
      <w:pPr>
        <w:pStyle w:val="Numberedheading3"/>
      </w:pPr>
      <w:r w:rsidRPr="00F904D4">
        <w:t xml:space="preserve">4.2.1 </w:t>
      </w:r>
      <w:r w:rsidRPr="00F904D4">
        <w:tab/>
        <w:t>Summary of suggestions</w:t>
      </w:r>
    </w:p>
    <w:p w14:paraId="6323AB34" w14:textId="77777777" w:rsidR="00761E21" w:rsidRPr="007E41B3" w:rsidRDefault="00761E21" w:rsidP="00761E21">
      <w:pPr>
        <w:pStyle w:val="Paragraph"/>
        <w:rPr>
          <w:b/>
          <w:bCs/>
        </w:rPr>
      </w:pPr>
      <w:r w:rsidRPr="007E41B3">
        <w:rPr>
          <w:b/>
          <w:bCs/>
        </w:rPr>
        <w:t>Proximal leg vein ultrasound scan</w:t>
      </w:r>
    </w:p>
    <w:p w14:paraId="6A6BE1D9" w14:textId="6F8C8616" w:rsidR="00761E21" w:rsidRDefault="00761E21" w:rsidP="00761E21">
      <w:pPr>
        <w:pStyle w:val="Paragraph"/>
      </w:pPr>
      <w:r w:rsidRPr="007E41B3">
        <w:t>Stakeholders highlighted</w:t>
      </w:r>
      <w:r w:rsidR="007E41B3" w:rsidRPr="007E41B3">
        <w:t xml:space="preserve"> that</w:t>
      </w:r>
      <w:r w:rsidRPr="007E41B3">
        <w:t xml:space="preserve"> significant variation in access to scanning </w:t>
      </w:r>
      <w:bookmarkStart w:id="61" w:name="_Hlk49528052"/>
      <w:r w:rsidR="0007231D" w:rsidRPr="007E41B3">
        <w:t>can lead to</w:t>
      </w:r>
      <w:r w:rsidRPr="007E41B3">
        <w:t xml:space="preserve"> inequalities and potential harm.</w:t>
      </w:r>
      <w:bookmarkEnd w:id="61"/>
      <w:r w:rsidRPr="007E41B3">
        <w:t xml:space="preserve"> </w:t>
      </w:r>
      <w:r w:rsidR="008A5783">
        <w:t>Further guidance is needed on</w:t>
      </w:r>
      <w:r w:rsidRPr="007E41B3">
        <w:t xml:space="preserve"> what to do when scanning is not available within 24 hours. </w:t>
      </w:r>
    </w:p>
    <w:p w14:paraId="0D8EA0EC" w14:textId="77777777" w:rsidR="00FD4045" w:rsidRPr="00FD4045" w:rsidRDefault="00FD4045" w:rsidP="00FD4045">
      <w:pPr>
        <w:pStyle w:val="Paragraph"/>
        <w:rPr>
          <w:b/>
        </w:rPr>
      </w:pPr>
      <w:r w:rsidRPr="00FD4045">
        <w:rPr>
          <w:b/>
        </w:rPr>
        <w:t xml:space="preserve">Interim therapeutic anticoagulation </w:t>
      </w:r>
    </w:p>
    <w:p w14:paraId="70AD89D4" w14:textId="4572406E" w:rsidR="00FD4045" w:rsidRPr="00FD4045" w:rsidRDefault="00FD4045" w:rsidP="00761E21">
      <w:pPr>
        <w:pStyle w:val="Paragraph"/>
        <w:rPr>
          <w:bCs/>
        </w:rPr>
      </w:pPr>
      <w:r w:rsidRPr="00FD4045">
        <w:rPr>
          <w:bCs/>
        </w:rPr>
        <w:t xml:space="preserve">Stakeholders </w:t>
      </w:r>
      <w:r w:rsidR="001B515B">
        <w:rPr>
          <w:bCs/>
        </w:rPr>
        <w:t>suggested</w:t>
      </w:r>
      <w:r w:rsidRPr="00FD4045">
        <w:rPr>
          <w:bCs/>
        </w:rPr>
        <w:t xml:space="preserve"> that </w:t>
      </w:r>
      <w:r w:rsidR="008A5783">
        <w:rPr>
          <w:bCs/>
        </w:rPr>
        <w:t>this treatment</w:t>
      </w:r>
      <w:r w:rsidRPr="00FD4045">
        <w:rPr>
          <w:bCs/>
        </w:rPr>
        <w:t xml:space="preserve"> should be initiated as soon possible to protect patients </w:t>
      </w:r>
      <w:r w:rsidR="001B515B">
        <w:rPr>
          <w:bCs/>
        </w:rPr>
        <w:t>as</w:t>
      </w:r>
      <w:r w:rsidRPr="00FD4045">
        <w:rPr>
          <w:bCs/>
        </w:rPr>
        <w:t xml:space="preserve"> significant </w:t>
      </w:r>
      <w:r w:rsidR="00A22C77">
        <w:rPr>
          <w:bCs/>
        </w:rPr>
        <w:t xml:space="preserve">national </w:t>
      </w:r>
      <w:r w:rsidRPr="00FD4045">
        <w:rPr>
          <w:bCs/>
        </w:rPr>
        <w:t>variations in access to diagnostic services was reported such as GP delays in this first dosage.</w:t>
      </w:r>
    </w:p>
    <w:p w14:paraId="4A2D32E9" w14:textId="6A162DC4" w:rsidR="00761E21" w:rsidRPr="007B1C0E" w:rsidRDefault="00761E21" w:rsidP="007F298D">
      <w:pPr>
        <w:pStyle w:val="Numberedheading3"/>
        <w:numPr>
          <w:ilvl w:val="2"/>
          <w:numId w:val="5"/>
        </w:numPr>
      </w:pPr>
      <w:r>
        <w:t>S</w:t>
      </w:r>
      <w:r w:rsidRPr="00CD3D03">
        <w:t>elected recommendations from development source</w:t>
      </w:r>
    </w:p>
    <w:p w14:paraId="4306F561" w14:textId="2135A4FE" w:rsidR="00761E21" w:rsidRPr="00DD56F6" w:rsidRDefault="00761E21" w:rsidP="00761E21">
      <w:pPr>
        <w:pStyle w:val="Paragraph"/>
      </w:pPr>
      <w:r w:rsidRPr="00DD56F6">
        <w:t xml:space="preserve">Table </w:t>
      </w:r>
      <w:r w:rsidR="005C54A0">
        <w:t>4</w:t>
      </w:r>
      <w:r w:rsidRPr="00DD56F6">
        <w:t xml:space="preserve"> below highlights recommendations that have been provisionally selected from the development source </w:t>
      </w:r>
      <w:r>
        <w:t>that</w:t>
      </w:r>
      <w:r w:rsidRPr="00DD56F6">
        <w:t xml:space="preserve"> may support potential statement development. </w:t>
      </w:r>
      <w:r>
        <w:t xml:space="preserve">These are presented in full after </w:t>
      </w:r>
      <w:r w:rsidR="005C54A0">
        <w:t xml:space="preserve">the </w:t>
      </w:r>
      <w:r>
        <w:t>table to help inform the committee’s discussion.</w:t>
      </w:r>
    </w:p>
    <w:p w14:paraId="0D68C0AB" w14:textId="3CEC1A41" w:rsidR="00761E21" w:rsidRPr="00761E21" w:rsidRDefault="00761E21" w:rsidP="00F904D4">
      <w:pPr>
        <w:pStyle w:val="Heading3"/>
      </w:pPr>
      <w:r w:rsidRPr="00F45FBA">
        <w:t xml:space="preserve">Table </w:t>
      </w:r>
      <w:r w:rsidR="005C54A0">
        <w:t>4</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761E21" w:rsidRPr="00FD3FF6" w14:paraId="34B6870D" w14:textId="77777777" w:rsidTr="00B33059">
        <w:trPr>
          <w:trHeight w:val="321"/>
        </w:trPr>
        <w:tc>
          <w:tcPr>
            <w:tcW w:w="4113" w:type="dxa"/>
            <w:shd w:val="clear" w:color="auto" w:fill="auto"/>
            <w:hideMark/>
          </w:tcPr>
          <w:p w14:paraId="4C3B84F9" w14:textId="77777777" w:rsidR="00761E21" w:rsidRPr="009C32E3" w:rsidRDefault="00761E21" w:rsidP="00B33059">
            <w:pPr>
              <w:pStyle w:val="Tabletitle"/>
              <w:rPr>
                <w:highlight w:val="lightGray"/>
              </w:rPr>
            </w:pPr>
            <w:r w:rsidRPr="00DD56F6">
              <w:t>Suggested quality improvement are</w:t>
            </w:r>
            <w:r>
              <w:t>a</w:t>
            </w:r>
          </w:p>
        </w:tc>
        <w:tc>
          <w:tcPr>
            <w:tcW w:w="4395" w:type="dxa"/>
            <w:shd w:val="clear" w:color="auto" w:fill="auto"/>
            <w:hideMark/>
          </w:tcPr>
          <w:p w14:paraId="2269177B" w14:textId="77777777" w:rsidR="00761E21" w:rsidRPr="009C32E3" w:rsidRDefault="00761E21" w:rsidP="00B33059">
            <w:pPr>
              <w:pStyle w:val="Tabletitle"/>
              <w:rPr>
                <w:highlight w:val="lightGray"/>
              </w:rPr>
            </w:pPr>
            <w:r w:rsidRPr="00DD56F6">
              <w:t>Suggested source guidance recommendation</w:t>
            </w:r>
            <w:r>
              <w:t>s</w:t>
            </w:r>
          </w:p>
        </w:tc>
      </w:tr>
      <w:tr w:rsidR="00761E21" w:rsidRPr="00FD3FF6" w14:paraId="123B08E2" w14:textId="77777777" w:rsidTr="00B33059">
        <w:trPr>
          <w:trHeight w:val="321"/>
        </w:trPr>
        <w:tc>
          <w:tcPr>
            <w:tcW w:w="4113" w:type="dxa"/>
            <w:shd w:val="clear" w:color="auto" w:fill="auto"/>
          </w:tcPr>
          <w:p w14:paraId="5967CE7E" w14:textId="77777777" w:rsidR="00761E21" w:rsidRPr="00FE282D" w:rsidRDefault="00761E21" w:rsidP="00B33059">
            <w:pPr>
              <w:pStyle w:val="Tabletext"/>
            </w:pPr>
            <w:r w:rsidRPr="00FE282D">
              <w:t>Proximal leg vein ultrasound scan</w:t>
            </w:r>
          </w:p>
          <w:p w14:paraId="7E69B0A1" w14:textId="77777777" w:rsidR="00761E21" w:rsidRPr="00DD56F6" w:rsidRDefault="00761E21" w:rsidP="00B33059">
            <w:pPr>
              <w:pStyle w:val="Tabletitle"/>
            </w:pPr>
          </w:p>
        </w:tc>
        <w:tc>
          <w:tcPr>
            <w:tcW w:w="4395" w:type="dxa"/>
            <w:shd w:val="clear" w:color="auto" w:fill="auto"/>
          </w:tcPr>
          <w:p w14:paraId="37AA102B" w14:textId="09A64AFD" w:rsidR="00761E21" w:rsidRPr="00DD56F6" w:rsidRDefault="00473E39" w:rsidP="00B33059">
            <w:pPr>
              <w:pStyle w:val="Tabletext"/>
            </w:pPr>
            <w:hyperlink r:id="rId34" w:anchor="diagnosis-and-initial-management" w:history="1">
              <w:r w:rsidR="00761E21" w:rsidRPr="00D32441">
                <w:rPr>
                  <w:rStyle w:val="Hyperlink"/>
                </w:rPr>
                <w:t>NICE NG158 Recommendations</w:t>
              </w:r>
            </w:hyperlink>
            <w:r w:rsidR="00761E21" w:rsidRPr="00EB616D">
              <w:t xml:space="preserve"> 1.1.3, 1.1.4</w:t>
            </w:r>
            <w:r w:rsidR="00EF269B">
              <w:t xml:space="preserve"> </w:t>
            </w:r>
            <w:r w:rsidR="00A6567C">
              <w:t xml:space="preserve">and </w:t>
            </w:r>
            <w:r w:rsidR="00DD36E5">
              <w:t xml:space="preserve">1.1.10 </w:t>
            </w:r>
          </w:p>
        </w:tc>
      </w:tr>
      <w:tr w:rsidR="00FD4045" w:rsidRPr="00FD3FF6" w14:paraId="090FD8E6" w14:textId="77777777" w:rsidTr="00B33059">
        <w:trPr>
          <w:trHeight w:val="321"/>
        </w:trPr>
        <w:tc>
          <w:tcPr>
            <w:tcW w:w="4113" w:type="dxa"/>
            <w:shd w:val="clear" w:color="auto" w:fill="auto"/>
          </w:tcPr>
          <w:p w14:paraId="7116F71F" w14:textId="77777777" w:rsidR="00FD4045" w:rsidRPr="00FD4045" w:rsidRDefault="00FD4045" w:rsidP="00FD4045">
            <w:pPr>
              <w:pStyle w:val="Tabletext"/>
            </w:pPr>
            <w:r w:rsidRPr="00FD4045">
              <w:t xml:space="preserve">Interim therapeutic anticoagulation </w:t>
            </w:r>
          </w:p>
          <w:p w14:paraId="760F7D92" w14:textId="77777777" w:rsidR="00FD4045" w:rsidRPr="005B78C1" w:rsidRDefault="00FD4045" w:rsidP="00B33059">
            <w:pPr>
              <w:pStyle w:val="Tabletext"/>
            </w:pPr>
          </w:p>
        </w:tc>
        <w:tc>
          <w:tcPr>
            <w:tcW w:w="4395" w:type="dxa"/>
            <w:shd w:val="clear" w:color="auto" w:fill="auto"/>
          </w:tcPr>
          <w:p w14:paraId="4B514D50" w14:textId="56824BF7" w:rsidR="00FD4045" w:rsidRPr="005B78C1" w:rsidRDefault="00473E39" w:rsidP="00B33059">
            <w:pPr>
              <w:pStyle w:val="Tabletext"/>
            </w:pPr>
            <w:hyperlink r:id="rId35" w:anchor="anticoagulation-treatment-for-suspected-or-confirmed-dvt-or-pe" w:history="1">
              <w:r w:rsidR="005B78C1" w:rsidRPr="005B78C1">
                <w:rPr>
                  <w:rStyle w:val="Hyperlink"/>
                </w:rPr>
                <w:t>NICE NG158 Recommendations</w:t>
              </w:r>
            </w:hyperlink>
            <w:r w:rsidR="005B78C1" w:rsidRPr="005B78C1">
              <w:t xml:space="preserve"> 1.3.2,1.3.3 and 1.3.4</w:t>
            </w:r>
          </w:p>
        </w:tc>
      </w:tr>
    </w:tbl>
    <w:p w14:paraId="6FB6489D" w14:textId="77777777" w:rsidR="00761E21" w:rsidRPr="00761E21" w:rsidRDefault="00761E21" w:rsidP="00761E21">
      <w:pPr>
        <w:pStyle w:val="Paragraph"/>
        <w:rPr>
          <w:b/>
          <w:bCs/>
        </w:rPr>
      </w:pPr>
      <w:r w:rsidRPr="00761E21">
        <w:rPr>
          <w:b/>
          <w:bCs/>
        </w:rPr>
        <w:t>Proximal leg vein ultrasound scan</w:t>
      </w:r>
    </w:p>
    <w:p w14:paraId="3F0C9649" w14:textId="77777777" w:rsidR="00761E21" w:rsidRPr="00761E21" w:rsidRDefault="00761E21" w:rsidP="00761E21">
      <w:pPr>
        <w:pStyle w:val="Paragraph"/>
        <w:rPr>
          <w:b/>
          <w:bCs/>
        </w:rPr>
      </w:pPr>
      <w:bookmarkStart w:id="62" w:name="_Hlk49852706"/>
      <w:r w:rsidRPr="00761E21">
        <w:rPr>
          <w:b/>
          <w:bCs/>
        </w:rPr>
        <w:t>DVT likely (Wells score 2 points or more)</w:t>
      </w:r>
    </w:p>
    <w:p w14:paraId="60EE540C" w14:textId="77777777" w:rsidR="00761E21" w:rsidRPr="00761E21" w:rsidRDefault="00761E21" w:rsidP="00761E21">
      <w:pPr>
        <w:pStyle w:val="Paragraph"/>
        <w:rPr>
          <w:u w:val="single"/>
        </w:rPr>
      </w:pPr>
      <w:r w:rsidRPr="00761E21">
        <w:rPr>
          <w:u w:val="single"/>
        </w:rPr>
        <w:t>NICE NG158 Recommendation 1.1.3</w:t>
      </w:r>
    </w:p>
    <w:p w14:paraId="321B2EEC" w14:textId="77777777" w:rsidR="00761E21" w:rsidRPr="00761E21" w:rsidRDefault="00761E21" w:rsidP="00761E21">
      <w:pPr>
        <w:pStyle w:val="Paragraph"/>
      </w:pPr>
      <w:r w:rsidRPr="00761E21">
        <w:t>Offer people with a </w:t>
      </w:r>
      <w:r w:rsidRPr="00761E21">
        <w:rPr>
          <w:b/>
          <w:bCs/>
        </w:rPr>
        <w:t>likely </w:t>
      </w:r>
      <w:r w:rsidRPr="00761E21">
        <w:t>DVT Wells score (2 points or more):</w:t>
      </w:r>
    </w:p>
    <w:p w14:paraId="57E3D00D" w14:textId="77777777" w:rsidR="00761E21" w:rsidRPr="00FF621B" w:rsidRDefault="00761E21" w:rsidP="00FF621B">
      <w:pPr>
        <w:pStyle w:val="Bulletparagraph"/>
      </w:pPr>
      <w:r w:rsidRPr="00FF621B">
        <w:t>a proximal leg vein ultrasound scan, with the result available within 4 hours if possible (if the scan result cannot be obtained within 4 hours follow recommendation 1.1.4)</w:t>
      </w:r>
    </w:p>
    <w:p w14:paraId="6F62CB45" w14:textId="7660360A" w:rsidR="001B515B" w:rsidRPr="001F4BB0" w:rsidRDefault="00761E21" w:rsidP="00761E21">
      <w:pPr>
        <w:pStyle w:val="Bulletparagraph"/>
      </w:pPr>
      <w:r w:rsidRPr="00FF621B">
        <w:lastRenderedPageBreak/>
        <w:t>a D-dimer test if the scan result is negative. [2012]</w:t>
      </w:r>
      <w:bookmarkStart w:id="63" w:name="_Hlk50049343"/>
    </w:p>
    <w:p w14:paraId="057DA360" w14:textId="4B1E95BA" w:rsidR="00761E21" w:rsidRPr="00761E21" w:rsidRDefault="00761E21" w:rsidP="00761E21">
      <w:pPr>
        <w:pStyle w:val="Paragraph"/>
        <w:rPr>
          <w:u w:val="single"/>
        </w:rPr>
      </w:pPr>
      <w:r w:rsidRPr="00761E21">
        <w:rPr>
          <w:u w:val="single"/>
        </w:rPr>
        <w:t>NICE NG158 Recommendation 1.1.4</w:t>
      </w:r>
    </w:p>
    <w:bookmarkEnd w:id="63"/>
    <w:p w14:paraId="3FF14795" w14:textId="77777777" w:rsidR="00761E21" w:rsidRPr="00761E21" w:rsidRDefault="00761E21" w:rsidP="00FF621B">
      <w:pPr>
        <w:pStyle w:val="Bulletparagraph"/>
      </w:pPr>
      <w:r w:rsidRPr="00761E21">
        <w:t>If a proximal leg vein ultrasound scan result cannot be obtained within 4 hours, offer people with a DVT Wells score of 2 points or more:</w:t>
      </w:r>
    </w:p>
    <w:p w14:paraId="2653F154" w14:textId="77777777" w:rsidR="00761E21" w:rsidRPr="00761E21" w:rsidRDefault="00761E21" w:rsidP="00FF621B">
      <w:pPr>
        <w:pStyle w:val="Bulletparagraph"/>
      </w:pPr>
      <w:r w:rsidRPr="00761E21">
        <w:t xml:space="preserve">a D-dimer test, </w:t>
      </w:r>
      <w:r w:rsidRPr="00761E21">
        <w:rPr>
          <w:b/>
          <w:bCs/>
        </w:rPr>
        <w:t>then</w:t>
      </w:r>
    </w:p>
    <w:p w14:paraId="7D5DE0F4" w14:textId="77777777" w:rsidR="00761E21" w:rsidRPr="00761E21" w:rsidRDefault="00761E21" w:rsidP="00FF621B">
      <w:pPr>
        <w:pStyle w:val="Bulletparagraph"/>
      </w:pPr>
      <w:r w:rsidRPr="00761E21">
        <w:t xml:space="preserve">interim therapeutic anticoagulation (see the section on interim therapeutic anticoagulation for suspected DVT or PE) </w:t>
      </w:r>
      <w:r w:rsidRPr="00761E21">
        <w:rPr>
          <w:b/>
          <w:bCs/>
        </w:rPr>
        <w:t>and</w:t>
      </w:r>
    </w:p>
    <w:p w14:paraId="158BEEBF" w14:textId="5AC100D9" w:rsidR="00761E21" w:rsidRPr="00DD36E5" w:rsidRDefault="00761E21" w:rsidP="00FF621B">
      <w:pPr>
        <w:pStyle w:val="Bulletparagraph"/>
      </w:pPr>
      <w:r w:rsidRPr="00761E21">
        <w:t xml:space="preserve">a proximal leg vein ultrasound scan with the result available within 24 hours. </w:t>
      </w:r>
      <w:r w:rsidRPr="00761E21">
        <w:rPr>
          <w:b/>
          <w:bCs/>
        </w:rPr>
        <w:t>[2012, amended 2020]</w:t>
      </w:r>
    </w:p>
    <w:bookmarkEnd w:id="62"/>
    <w:p w14:paraId="00797247" w14:textId="6911F0A2" w:rsidR="00DD36E5" w:rsidRPr="00DD36E5" w:rsidRDefault="00DD36E5" w:rsidP="00DD36E5">
      <w:pPr>
        <w:pStyle w:val="Paragraph"/>
        <w:rPr>
          <w:u w:val="single"/>
        </w:rPr>
      </w:pPr>
      <w:r w:rsidRPr="00DD36E5">
        <w:rPr>
          <w:u w:val="single"/>
        </w:rPr>
        <w:t>NICE NG158 Recommendation 1.1.</w:t>
      </w:r>
      <w:r>
        <w:rPr>
          <w:u w:val="single"/>
        </w:rPr>
        <w:t>10</w:t>
      </w:r>
    </w:p>
    <w:p w14:paraId="0C53DBF4" w14:textId="77777777" w:rsidR="00DD36E5" w:rsidRPr="00DD36E5" w:rsidRDefault="00DD36E5" w:rsidP="00DD36E5">
      <w:pPr>
        <w:pStyle w:val="Paragraph"/>
      </w:pPr>
      <w:r w:rsidRPr="00DD36E5">
        <w:t>If the D-dimer test result is positive, offer:</w:t>
      </w:r>
    </w:p>
    <w:p w14:paraId="0829E7E0" w14:textId="77777777" w:rsidR="00DD36E5" w:rsidRPr="00DD36E5" w:rsidRDefault="00DD36E5" w:rsidP="00FF621B">
      <w:pPr>
        <w:pStyle w:val="Bulletparagraph"/>
      </w:pPr>
      <w:r w:rsidRPr="00DD36E5">
        <w:t>a proximal leg vein ultrasound scan, with the result available within 4 hours if possible </w:t>
      </w:r>
      <w:r w:rsidRPr="00DD36E5">
        <w:rPr>
          <w:b/>
          <w:bCs/>
        </w:rPr>
        <w:t>or</w:t>
      </w:r>
    </w:p>
    <w:p w14:paraId="4AB133BF" w14:textId="312A043C" w:rsidR="00DD36E5" w:rsidRPr="005B78C1" w:rsidRDefault="00DD36E5" w:rsidP="00FF621B">
      <w:pPr>
        <w:pStyle w:val="Bulletparagraph"/>
      </w:pPr>
      <w:r w:rsidRPr="00DD36E5">
        <w:t>interim therapeutic anticoagulation (see the </w:t>
      </w:r>
      <w:hyperlink r:id="rId36" w:anchor="interim-therapeutic-anticoagulation-for-suspected-dvt-or-pe" w:tgtFrame="_top" w:history="1">
        <w:r w:rsidRPr="00DD36E5">
          <w:rPr>
            <w:rStyle w:val="Hyperlink"/>
          </w:rPr>
          <w:t>section on interim therapeutic anticoagulation for suspected DVT or PE</w:t>
        </w:r>
      </w:hyperlink>
      <w:r w:rsidRPr="00DD36E5">
        <w:t>) and a proximal leg vein ultrasound scan with the result available within 24 hours. </w:t>
      </w:r>
      <w:r w:rsidRPr="00DD36E5">
        <w:rPr>
          <w:b/>
          <w:bCs/>
        </w:rPr>
        <w:t>[2012, amended 2020]</w:t>
      </w:r>
    </w:p>
    <w:p w14:paraId="24FB9E75" w14:textId="76717907" w:rsidR="005B78C1" w:rsidRDefault="005B78C1" w:rsidP="005B78C1">
      <w:pPr>
        <w:pStyle w:val="Bulletparagraph"/>
        <w:numPr>
          <w:ilvl w:val="0"/>
          <w:numId w:val="0"/>
        </w:numPr>
      </w:pPr>
    </w:p>
    <w:p w14:paraId="58B41AF2" w14:textId="77777777" w:rsidR="005B78C1" w:rsidRDefault="005B78C1" w:rsidP="005B78C1">
      <w:pPr>
        <w:pStyle w:val="Paragraph"/>
        <w:rPr>
          <w:b/>
          <w:bCs/>
        </w:rPr>
      </w:pPr>
      <w:r w:rsidRPr="00054313">
        <w:rPr>
          <w:b/>
          <w:bCs/>
        </w:rPr>
        <w:t xml:space="preserve">Interim therapeutic anticoagulation </w:t>
      </w:r>
    </w:p>
    <w:p w14:paraId="107A9F6B" w14:textId="77777777" w:rsidR="005B78C1" w:rsidRDefault="005B78C1" w:rsidP="005B78C1">
      <w:pPr>
        <w:pStyle w:val="Paragraph"/>
        <w:rPr>
          <w:u w:val="single"/>
        </w:rPr>
      </w:pPr>
      <w:bookmarkStart w:id="64" w:name="_Hlk49691511"/>
      <w:r w:rsidRPr="006D4956">
        <w:rPr>
          <w:u w:val="single"/>
        </w:rPr>
        <w:t>NICE NG158</w:t>
      </w:r>
      <w:r>
        <w:rPr>
          <w:u w:val="single"/>
        </w:rPr>
        <w:t xml:space="preserve"> </w:t>
      </w:r>
      <w:r w:rsidRPr="006D4956">
        <w:rPr>
          <w:u w:val="single"/>
        </w:rPr>
        <w:t xml:space="preserve">Recommendation </w:t>
      </w:r>
      <w:bookmarkEnd w:id="64"/>
      <w:r w:rsidRPr="006D4956">
        <w:rPr>
          <w:u w:val="single"/>
        </w:rPr>
        <w:t>1.</w:t>
      </w:r>
      <w:r>
        <w:rPr>
          <w:u w:val="single"/>
        </w:rPr>
        <w:t>3.2</w:t>
      </w:r>
    </w:p>
    <w:p w14:paraId="2C48D7AA" w14:textId="5945A029" w:rsidR="0055600F" w:rsidRPr="004E4ABA" w:rsidRDefault="005B78C1" w:rsidP="005B78C1">
      <w:pPr>
        <w:pStyle w:val="Paragraph"/>
      </w:pPr>
      <w:r w:rsidRPr="006A4A64">
        <w:t>Follow the recommendations on when to offer interim therapeutic anticoagulation for suspected </w:t>
      </w:r>
      <w:hyperlink r:id="rId37" w:anchor="proximal-dvt" w:tgtFrame="_top" w:history="1">
        <w:r w:rsidRPr="006A4A64">
          <w:rPr>
            <w:rStyle w:val="Hyperlink"/>
          </w:rPr>
          <w:t>proximal DVT</w:t>
        </w:r>
      </w:hyperlink>
      <w:r w:rsidRPr="006A4A64">
        <w:t> or PE in the </w:t>
      </w:r>
      <w:hyperlink r:id="rId38" w:anchor="diagnosis-and-initial-management" w:tgtFrame="_top" w:history="1">
        <w:r w:rsidRPr="006A4A64">
          <w:rPr>
            <w:rStyle w:val="Hyperlink"/>
          </w:rPr>
          <w:t>section on diagnosis and initial management</w:t>
        </w:r>
      </w:hyperlink>
      <w:r w:rsidRPr="006A4A64">
        <w:t>. </w:t>
      </w:r>
      <w:r w:rsidRPr="006A4A64">
        <w:rPr>
          <w:b/>
          <w:bCs/>
        </w:rPr>
        <w:t>[2020]</w:t>
      </w:r>
    </w:p>
    <w:p w14:paraId="4FAC5B8F" w14:textId="12784DAE" w:rsidR="005B78C1" w:rsidRPr="006A4A64" w:rsidRDefault="005B78C1" w:rsidP="005B78C1">
      <w:pPr>
        <w:pStyle w:val="Paragraph"/>
        <w:rPr>
          <w:u w:val="single"/>
        </w:rPr>
      </w:pPr>
      <w:r w:rsidRPr="006A4A64">
        <w:rPr>
          <w:u w:val="single"/>
        </w:rPr>
        <w:t>NICE NG158 Recommendation 1.3.</w:t>
      </w:r>
      <w:r>
        <w:rPr>
          <w:u w:val="single"/>
        </w:rPr>
        <w:t>3</w:t>
      </w:r>
    </w:p>
    <w:p w14:paraId="3D855EED" w14:textId="5F1E1A9C" w:rsidR="005B78C1" w:rsidRPr="004E4ABA" w:rsidRDefault="005B78C1" w:rsidP="005B78C1">
      <w:pPr>
        <w:pStyle w:val="Paragraph"/>
        <w:rPr>
          <w:b/>
          <w:bCs/>
        </w:rPr>
      </w:pPr>
      <w:r w:rsidRPr="006A4A64">
        <w:t>If possible, choose an interim anticoagulant that can be continued if DVT or PE is confirmed (see </w:t>
      </w:r>
      <w:hyperlink r:id="rId39" w:anchor="anticoagulation-treatment-for-confirmed-dvt-or-pe" w:tgtFrame="_top" w:history="1">
        <w:r w:rsidRPr="006A4A64">
          <w:rPr>
            <w:rStyle w:val="Hyperlink"/>
          </w:rPr>
          <w:t>the section on anticoagulation treatment for confirmed DVT or PE</w:t>
        </w:r>
      </w:hyperlink>
      <w:r w:rsidRPr="006A4A64">
        <w:rPr>
          <w:u w:val="single"/>
        </w:rPr>
        <w:t>)</w:t>
      </w:r>
      <w:r w:rsidRPr="006A4A64">
        <w:t>. </w:t>
      </w:r>
      <w:r w:rsidRPr="006A4A64">
        <w:rPr>
          <w:b/>
          <w:bCs/>
        </w:rPr>
        <w:t>[2020]</w:t>
      </w:r>
    </w:p>
    <w:p w14:paraId="3E2A2662" w14:textId="77777777" w:rsidR="005B78C1" w:rsidRPr="006A4A64" w:rsidRDefault="005B78C1" w:rsidP="005B78C1">
      <w:pPr>
        <w:pStyle w:val="Paragraph"/>
        <w:rPr>
          <w:u w:val="single"/>
        </w:rPr>
      </w:pPr>
      <w:r w:rsidRPr="006A4A64">
        <w:rPr>
          <w:u w:val="single"/>
        </w:rPr>
        <w:t>NICE NG158 Recommendation 1.3.</w:t>
      </w:r>
      <w:r>
        <w:rPr>
          <w:u w:val="single"/>
        </w:rPr>
        <w:t>4</w:t>
      </w:r>
    </w:p>
    <w:p w14:paraId="720F6620" w14:textId="77777777" w:rsidR="005B78C1" w:rsidRPr="006A4A64" w:rsidRDefault="005B78C1" w:rsidP="005B78C1">
      <w:pPr>
        <w:pStyle w:val="Paragraph"/>
      </w:pPr>
      <w:r w:rsidRPr="006A4A64">
        <w:t>When using interim therapeutic anticoagulation for suspected proximal DVT or PE:</w:t>
      </w:r>
    </w:p>
    <w:p w14:paraId="53CDC260" w14:textId="77777777" w:rsidR="005B78C1" w:rsidRPr="006A4A64" w:rsidRDefault="005B78C1" w:rsidP="005B78C1">
      <w:pPr>
        <w:pStyle w:val="Bulletparagraph"/>
      </w:pPr>
      <w:r w:rsidRPr="006A4A64">
        <w:lastRenderedPageBreak/>
        <w:t>carry out baseline blood tests including full blood count, renal and hepatic function, prothrombin time (PT) and activated partial thromboplastin time (APTT)</w:t>
      </w:r>
    </w:p>
    <w:p w14:paraId="17A6B452" w14:textId="77777777" w:rsidR="005B78C1" w:rsidRPr="006A4A64" w:rsidRDefault="005B78C1" w:rsidP="005B78C1">
      <w:pPr>
        <w:pStyle w:val="Bulletparagraph"/>
      </w:pPr>
      <w:r w:rsidRPr="006A4A64">
        <w:t>do not wait for the results of baseline blood tests before starting anticoagulation treatment</w:t>
      </w:r>
    </w:p>
    <w:p w14:paraId="04E0C962" w14:textId="5883E62B" w:rsidR="005B78C1" w:rsidRDefault="005B78C1" w:rsidP="005B78C1">
      <w:pPr>
        <w:pStyle w:val="Bulletparagraph"/>
      </w:pPr>
      <w:r w:rsidRPr="006A4A64">
        <w:t>review, and if necessary act on, the results of baseline blood tests within 24 hours of starting interim therapeutic anticoagulation. </w:t>
      </w:r>
      <w:r w:rsidRPr="006A4A64">
        <w:rPr>
          <w:b/>
          <w:bCs/>
        </w:rPr>
        <w:t>[2020]</w:t>
      </w:r>
    </w:p>
    <w:p w14:paraId="4227D500" w14:textId="77777777" w:rsidR="005B78C1" w:rsidRPr="00DD36E5" w:rsidRDefault="005B78C1" w:rsidP="005B78C1">
      <w:pPr>
        <w:pStyle w:val="Bulletparagraph"/>
        <w:numPr>
          <w:ilvl w:val="0"/>
          <w:numId w:val="0"/>
        </w:numPr>
      </w:pPr>
    </w:p>
    <w:p w14:paraId="2E7B5EF7" w14:textId="24B43345" w:rsidR="00761E21" w:rsidRPr="00D50FCD" w:rsidRDefault="00E377C9" w:rsidP="00CA1B03">
      <w:pPr>
        <w:pStyle w:val="Numberedheading3"/>
        <w:numPr>
          <w:ilvl w:val="2"/>
          <w:numId w:val="5"/>
        </w:numPr>
      </w:pPr>
      <w:r>
        <w:t xml:space="preserve">  </w:t>
      </w:r>
      <w:r w:rsidR="00761E21">
        <w:t>Current UK practice</w:t>
      </w:r>
    </w:p>
    <w:p w14:paraId="4890BDD6" w14:textId="77777777" w:rsidR="00761E21" w:rsidRPr="001E17F0" w:rsidRDefault="00761E21" w:rsidP="00761E21">
      <w:pPr>
        <w:pStyle w:val="Paragraph"/>
        <w:rPr>
          <w:b/>
          <w:bCs/>
        </w:rPr>
      </w:pPr>
      <w:r w:rsidRPr="001E17F0">
        <w:rPr>
          <w:b/>
          <w:bCs/>
        </w:rPr>
        <w:t>Proximal leg vein ultrasound scan</w:t>
      </w:r>
    </w:p>
    <w:p w14:paraId="67D7A3A1" w14:textId="7583E7D7" w:rsidR="00121AF9" w:rsidRDefault="00121AF9" w:rsidP="003A1D38">
      <w:pPr>
        <w:pStyle w:val="Paragraph"/>
      </w:pPr>
      <w:r w:rsidRPr="00121AF9">
        <w:t xml:space="preserve">The 2019 National Confidential Enquiry into Patient Outcome and Death </w:t>
      </w:r>
      <w:hyperlink r:id="rId40" w:history="1">
        <w:r w:rsidRPr="00121AF9">
          <w:rPr>
            <w:rStyle w:val="Hyperlink"/>
          </w:rPr>
          <w:t>Pulmonary embolism: Know the score</w:t>
        </w:r>
      </w:hyperlink>
      <w:r>
        <w:t xml:space="preserve"> reported </w:t>
      </w:r>
      <w:r w:rsidR="007A6DEE">
        <w:t xml:space="preserve">on imaging undertaken. It concluded </w:t>
      </w:r>
      <w:r w:rsidR="00582AF4">
        <w:t xml:space="preserve">out of 484 patients, </w:t>
      </w:r>
      <w:r w:rsidR="000A03E4">
        <w:t xml:space="preserve">40 </w:t>
      </w:r>
      <w:r w:rsidR="007A6DEE">
        <w:t xml:space="preserve">patients </w:t>
      </w:r>
      <w:r w:rsidR="000A03E4">
        <w:t xml:space="preserve">recieved ultrasounds of the lower limb veins and </w:t>
      </w:r>
      <w:r w:rsidR="00582AF4">
        <w:t xml:space="preserve">2 </w:t>
      </w:r>
      <w:r w:rsidR="007A6DEE">
        <w:t>patients recieved</w:t>
      </w:r>
      <w:r w:rsidR="000A03E4">
        <w:t xml:space="preserve"> ultrasounds </w:t>
      </w:r>
      <w:r w:rsidR="007A6DEE">
        <w:t xml:space="preserve">of </w:t>
      </w:r>
      <w:r w:rsidR="000A03E4">
        <w:t>the upper limb veins</w:t>
      </w:r>
      <w:r w:rsidR="007A6DEE">
        <w:t>.</w:t>
      </w:r>
      <w:r w:rsidR="000A03E4">
        <w:t xml:space="preserve"> </w:t>
      </w:r>
    </w:p>
    <w:p w14:paraId="167CD698" w14:textId="460B34A5" w:rsidR="0043703F" w:rsidRDefault="0043703F" w:rsidP="003A1D38">
      <w:pPr>
        <w:pStyle w:val="Paragraph"/>
      </w:pPr>
      <w:r>
        <w:t>The report noted that on-site formal (cardiology) transthoracic echocardiography was available at 179/182 (98.4%) hospitals. The service was available 24/7 in 40/180 (22.2%). CT pulmonary angiography (CTPA) was widely available as a 24 hours/day, 7 days/week service in 156/169 (92.3%) hospitals with only 13/169 (7.7%) declaring incomplete access across the day or week.</w:t>
      </w:r>
    </w:p>
    <w:p w14:paraId="47EDD616" w14:textId="77777777" w:rsidR="00FD4045" w:rsidRPr="00FD4045" w:rsidRDefault="00FD4045" w:rsidP="00FD4045">
      <w:pPr>
        <w:pStyle w:val="Paragraph"/>
        <w:rPr>
          <w:b/>
        </w:rPr>
      </w:pPr>
      <w:r w:rsidRPr="00FD4045">
        <w:rPr>
          <w:b/>
        </w:rPr>
        <w:t xml:space="preserve">Interim therapeutic anticoagulation </w:t>
      </w:r>
    </w:p>
    <w:p w14:paraId="1D71C4AD" w14:textId="1D48B3EA" w:rsidR="005B78C1" w:rsidRDefault="005B78C1" w:rsidP="00E377C9">
      <w:pPr>
        <w:pStyle w:val="Paragraph"/>
      </w:pPr>
      <w:r w:rsidRPr="005B78C1">
        <w:t xml:space="preserve">The 2019 National Confidential Enquiry into Patient Outcome and Death </w:t>
      </w:r>
      <w:hyperlink r:id="rId41" w:history="1">
        <w:r w:rsidRPr="005B78C1">
          <w:rPr>
            <w:rStyle w:val="Hyperlink"/>
          </w:rPr>
          <w:t>Pulmonary embolism: Know the score</w:t>
        </w:r>
      </w:hyperlink>
      <w:r w:rsidRPr="005B78C1">
        <w:t xml:space="preserve"> reported approximately 26% of hospitals </w:t>
      </w:r>
      <w:r w:rsidR="00650290">
        <w:t>administer</w:t>
      </w:r>
      <w:r w:rsidRPr="005B78C1">
        <w:t xml:space="preserve"> an interim therapeutic dose of </w:t>
      </w:r>
      <w:r w:rsidR="00650290" w:rsidRPr="00650290">
        <w:t xml:space="preserve">low molecular weight heparin (LMWH) </w:t>
      </w:r>
      <w:r w:rsidRPr="005B78C1">
        <w:t>when the CTPA report will be delayed by 1 hour or more.</w:t>
      </w:r>
      <w:bookmarkStart w:id="65" w:name="_Hlk50138951"/>
    </w:p>
    <w:p w14:paraId="1A34EDA9" w14:textId="59BA23F4" w:rsidR="00E377C9" w:rsidRPr="000B3CE9" w:rsidRDefault="00E377C9" w:rsidP="00CA1B03">
      <w:pPr>
        <w:pStyle w:val="Numberedheading3"/>
        <w:numPr>
          <w:ilvl w:val="2"/>
          <w:numId w:val="5"/>
        </w:numPr>
      </w:pPr>
      <w:bookmarkStart w:id="66" w:name="_Hlk50376562"/>
      <w:r w:rsidRPr="000B3CE9">
        <w:t>Committee discussion</w:t>
      </w:r>
    </w:p>
    <w:p w14:paraId="7B8E2C88" w14:textId="77777777" w:rsidR="00E377C9" w:rsidRPr="00AB5D35" w:rsidRDefault="00E377C9" w:rsidP="00E377C9">
      <w:pPr>
        <w:pStyle w:val="Paragraph"/>
        <w:rPr>
          <w:b/>
          <w:bCs/>
        </w:rPr>
      </w:pPr>
      <w:r w:rsidRPr="00AB5D35">
        <w:rPr>
          <w:b/>
          <w:bCs/>
        </w:rPr>
        <w:t>For discussion</w:t>
      </w:r>
    </w:p>
    <w:p w14:paraId="184F49D5" w14:textId="77777777" w:rsidR="00E377C9" w:rsidRPr="00AB5D35" w:rsidRDefault="00E377C9" w:rsidP="00E377C9">
      <w:pPr>
        <w:pStyle w:val="Bulletparagraph"/>
      </w:pPr>
      <w:r w:rsidRPr="00AB5D35">
        <w:t>What is the priority for improvement?</w:t>
      </w:r>
    </w:p>
    <w:p w14:paraId="34D01D90" w14:textId="77777777" w:rsidR="00E377C9" w:rsidRPr="00AB5D35" w:rsidRDefault="00E377C9" w:rsidP="00E377C9">
      <w:pPr>
        <w:pStyle w:val="Bulletparagraph"/>
      </w:pPr>
      <w:r w:rsidRPr="00AB5D35">
        <w:t>What is the key action that will lead to improvement?</w:t>
      </w:r>
    </w:p>
    <w:p w14:paraId="2F0AE518" w14:textId="77777777" w:rsidR="00E377C9" w:rsidRDefault="00E377C9" w:rsidP="00E377C9">
      <w:pPr>
        <w:pStyle w:val="Bulletparagraph"/>
      </w:pPr>
      <w:r w:rsidRPr="00AB5D35">
        <w:t>Can we develop a specific, measurable statement?</w:t>
      </w:r>
    </w:p>
    <w:p w14:paraId="5003A402" w14:textId="77777777" w:rsidR="00E377C9" w:rsidRPr="00AB5D35" w:rsidRDefault="00E377C9" w:rsidP="00E377C9">
      <w:pPr>
        <w:pStyle w:val="Paragraph"/>
        <w:rPr>
          <w:b/>
          <w:bCs/>
        </w:rPr>
      </w:pPr>
      <w:r w:rsidRPr="00AB5D35">
        <w:rPr>
          <w:b/>
          <w:bCs/>
        </w:rPr>
        <w:t>For decision</w:t>
      </w:r>
    </w:p>
    <w:p w14:paraId="4EFE2F3F" w14:textId="38BB9C42" w:rsidR="00E377C9" w:rsidRDefault="001B515B" w:rsidP="005B78C1">
      <w:pPr>
        <w:pStyle w:val="Bulletparagraph"/>
      </w:pPr>
      <w:r w:rsidRPr="001B515B">
        <w:t>Should any of these areas be prioritised for inclusion in the quality standard?</w:t>
      </w:r>
    </w:p>
    <w:bookmarkEnd w:id="66"/>
    <w:p w14:paraId="7F65B2DF" w14:textId="084A8F06" w:rsidR="0096348A" w:rsidRPr="00C971BF" w:rsidRDefault="00FD4045" w:rsidP="0096348A">
      <w:pPr>
        <w:rPr>
          <w:rFonts w:ascii="Arial" w:hAnsi="Arial"/>
        </w:rPr>
      </w:pPr>
      <w:r>
        <w:br w:type="page"/>
      </w:r>
      <w:bookmarkEnd w:id="65"/>
    </w:p>
    <w:p w14:paraId="500026E9" w14:textId="0FF7CFF1" w:rsidR="00912949" w:rsidRDefault="00912949" w:rsidP="007F298D">
      <w:pPr>
        <w:pStyle w:val="Numberedheading2"/>
        <w:numPr>
          <w:ilvl w:val="1"/>
          <w:numId w:val="5"/>
        </w:numPr>
      </w:pPr>
      <w:r>
        <w:lastRenderedPageBreak/>
        <w:t>Anti</w:t>
      </w:r>
      <w:r w:rsidR="002B67EA">
        <w:t xml:space="preserve">coagulation treatment </w:t>
      </w:r>
    </w:p>
    <w:p w14:paraId="46CF0B78" w14:textId="0CC830C2" w:rsidR="0096348A" w:rsidRPr="0096348A" w:rsidRDefault="0096348A" w:rsidP="0096348A">
      <w:pPr>
        <w:pStyle w:val="Numberedheading3"/>
      </w:pPr>
      <w:r>
        <w:t>4.3.1</w:t>
      </w:r>
      <w:r>
        <w:tab/>
        <w:t>Summary of suggestions</w:t>
      </w:r>
    </w:p>
    <w:p w14:paraId="2F1D1529" w14:textId="21D315EC" w:rsidR="00BB496F" w:rsidRPr="005E1D65" w:rsidRDefault="00D345AA" w:rsidP="00BB496F">
      <w:pPr>
        <w:pStyle w:val="Paragraph"/>
        <w:rPr>
          <w:b/>
        </w:rPr>
      </w:pPr>
      <w:bookmarkStart w:id="67" w:name="_Hlk49690359"/>
      <w:bookmarkEnd w:id="60"/>
      <w:r w:rsidRPr="005E1D65">
        <w:rPr>
          <w:b/>
        </w:rPr>
        <w:t>C</w:t>
      </w:r>
      <w:r w:rsidR="00BB496F" w:rsidRPr="005E1D65">
        <w:rPr>
          <w:b/>
        </w:rPr>
        <w:t>onfirmed DVT or PE</w:t>
      </w:r>
    </w:p>
    <w:p w14:paraId="7CDE12FC" w14:textId="49DB9E85" w:rsidR="0066015A" w:rsidRPr="00A22C77" w:rsidRDefault="005E1D65" w:rsidP="005E1D65">
      <w:pPr>
        <w:pStyle w:val="Paragraph"/>
        <w:rPr>
          <w:bCs/>
        </w:rPr>
      </w:pPr>
      <w:r w:rsidRPr="00A22C77">
        <w:rPr>
          <w:bCs/>
        </w:rPr>
        <w:t xml:space="preserve">A stakeholder highlighted the importance of adjusting anticoagulants to </w:t>
      </w:r>
      <w:r w:rsidR="0066015A" w:rsidRPr="00A22C77">
        <w:rPr>
          <w:bCs/>
        </w:rPr>
        <w:t>improve treatment efficacy</w:t>
      </w:r>
      <w:r w:rsidR="008B4E10" w:rsidRPr="00A22C77">
        <w:rPr>
          <w:bCs/>
        </w:rPr>
        <w:t xml:space="preserve"> in </w:t>
      </w:r>
      <w:r w:rsidR="00A22C77" w:rsidRPr="00A22C77">
        <w:rPr>
          <w:bCs/>
        </w:rPr>
        <w:t>people at extremes of body weight or with renal impairment or established renal failure</w:t>
      </w:r>
      <w:r w:rsidR="00A22C77">
        <w:rPr>
          <w:bCs/>
        </w:rPr>
        <w:t>.</w:t>
      </w:r>
    </w:p>
    <w:p w14:paraId="4403D9AA" w14:textId="4B700C20" w:rsidR="008B4E10" w:rsidRPr="008B4E10" w:rsidRDefault="0066015A" w:rsidP="005E1D65">
      <w:pPr>
        <w:pStyle w:val="Paragraph"/>
        <w:rPr>
          <w:bCs/>
        </w:rPr>
      </w:pPr>
      <w:r w:rsidRPr="0066015A">
        <w:rPr>
          <w:bCs/>
        </w:rPr>
        <w:t>A</w:t>
      </w:r>
      <w:r w:rsidR="001B515B">
        <w:rPr>
          <w:bCs/>
        </w:rPr>
        <w:t>nother</w:t>
      </w:r>
      <w:r w:rsidRPr="0066015A">
        <w:rPr>
          <w:bCs/>
        </w:rPr>
        <w:t xml:space="preserve"> stakeholder </w:t>
      </w:r>
      <w:r w:rsidR="001B515B">
        <w:rPr>
          <w:bCs/>
        </w:rPr>
        <w:t>suggested</w:t>
      </w:r>
      <w:r w:rsidR="00A22C77" w:rsidRPr="00A22C77">
        <w:rPr>
          <w:bCs/>
        </w:rPr>
        <w:t xml:space="preserve"> that monitoring is not required for </w:t>
      </w:r>
      <w:r w:rsidR="001B515B">
        <w:rPr>
          <w:bCs/>
        </w:rPr>
        <w:t xml:space="preserve">people </w:t>
      </w:r>
      <w:r w:rsidR="00A22C77" w:rsidRPr="00A22C77">
        <w:rPr>
          <w:bCs/>
        </w:rPr>
        <w:t>at the extremes of weight</w:t>
      </w:r>
      <w:r w:rsidR="00A22C77">
        <w:rPr>
          <w:bCs/>
        </w:rPr>
        <w:t>.</w:t>
      </w:r>
    </w:p>
    <w:p w14:paraId="3BDBB1D7" w14:textId="5D17B89A" w:rsidR="008B4E10" w:rsidRDefault="007519CE" w:rsidP="005E1D65">
      <w:pPr>
        <w:pStyle w:val="Paragraph"/>
        <w:rPr>
          <w:bCs/>
        </w:rPr>
      </w:pPr>
      <w:r>
        <w:rPr>
          <w:bCs/>
        </w:rPr>
        <w:t>S</w:t>
      </w:r>
      <w:r w:rsidRPr="007519CE">
        <w:rPr>
          <w:bCs/>
        </w:rPr>
        <w:t>tandardised care was suggested to be needed with annual anticoagulation reviews</w:t>
      </w:r>
      <w:r>
        <w:rPr>
          <w:bCs/>
        </w:rPr>
        <w:t xml:space="preserve"> to address current v</w:t>
      </w:r>
      <w:r w:rsidR="008B4E10">
        <w:rPr>
          <w:bCs/>
        </w:rPr>
        <w:t>ar</w:t>
      </w:r>
      <w:r>
        <w:rPr>
          <w:bCs/>
        </w:rPr>
        <w:t xml:space="preserve">iation in </w:t>
      </w:r>
      <w:r w:rsidR="008B4E10">
        <w:rPr>
          <w:bCs/>
        </w:rPr>
        <w:t>hospital care</w:t>
      </w:r>
      <w:r w:rsidR="0043703F">
        <w:rPr>
          <w:bCs/>
        </w:rPr>
        <w:t>.</w:t>
      </w:r>
    </w:p>
    <w:p w14:paraId="79AD4FEA" w14:textId="205ED032" w:rsidR="00B66D23" w:rsidRPr="00073E70" w:rsidRDefault="00344D0E" w:rsidP="00A813F7">
      <w:pPr>
        <w:pStyle w:val="Paragraph"/>
        <w:rPr>
          <w:bCs/>
        </w:rPr>
      </w:pPr>
      <w:r>
        <w:rPr>
          <w:bCs/>
        </w:rPr>
        <w:t xml:space="preserve">The consideration of </w:t>
      </w:r>
      <w:r w:rsidRPr="00344D0E">
        <w:rPr>
          <w:bCs/>
        </w:rPr>
        <w:t>direct oral anticoagulants</w:t>
      </w:r>
      <w:r w:rsidR="007519CE">
        <w:rPr>
          <w:bCs/>
        </w:rPr>
        <w:t xml:space="preserve"> (DOACs)</w:t>
      </w:r>
      <w:r w:rsidRPr="00344D0E">
        <w:rPr>
          <w:bCs/>
        </w:rPr>
        <w:t xml:space="preserve"> </w:t>
      </w:r>
      <w:r>
        <w:rPr>
          <w:bCs/>
        </w:rPr>
        <w:t>before</w:t>
      </w:r>
      <w:r w:rsidR="00650290" w:rsidRPr="00650290">
        <w:rPr>
          <w:rFonts w:ascii="Times New Roman" w:hAnsi="Times New Roman"/>
        </w:rPr>
        <w:t xml:space="preserve"> </w:t>
      </w:r>
      <w:r w:rsidR="00650290" w:rsidRPr="00650290">
        <w:rPr>
          <w:bCs/>
        </w:rPr>
        <w:t>low molecular weight heparin (LMWH)</w:t>
      </w:r>
      <w:r>
        <w:rPr>
          <w:bCs/>
        </w:rPr>
        <w:t xml:space="preserve"> </w:t>
      </w:r>
      <w:r w:rsidR="00B85EFA">
        <w:rPr>
          <w:bCs/>
        </w:rPr>
        <w:t xml:space="preserve">injections </w:t>
      </w:r>
      <w:r>
        <w:rPr>
          <w:bCs/>
        </w:rPr>
        <w:t>was also supported by a stakeholder</w:t>
      </w:r>
      <w:r w:rsidR="008B4E10">
        <w:rPr>
          <w:bCs/>
        </w:rPr>
        <w:t xml:space="preserve"> with c</w:t>
      </w:r>
      <w:r>
        <w:rPr>
          <w:bCs/>
        </w:rPr>
        <w:t xml:space="preserve">hanges </w:t>
      </w:r>
      <w:r w:rsidR="008B4E10">
        <w:rPr>
          <w:bCs/>
        </w:rPr>
        <w:t xml:space="preserve">needed </w:t>
      </w:r>
      <w:r>
        <w:rPr>
          <w:bCs/>
        </w:rPr>
        <w:t>to local service delivery</w:t>
      </w:r>
      <w:r w:rsidR="008B4E10">
        <w:rPr>
          <w:bCs/>
        </w:rPr>
        <w:t xml:space="preserve"> </w:t>
      </w:r>
      <w:r w:rsidR="00B66D23">
        <w:rPr>
          <w:bCs/>
        </w:rPr>
        <w:t>to support this</w:t>
      </w:r>
      <w:r w:rsidR="008B4E10">
        <w:rPr>
          <w:bCs/>
        </w:rPr>
        <w:t>.</w:t>
      </w:r>
    </w:p>
    <w:p w14:paraId="1D8039DD" w14:textId="0B9BF908" w:rsidR="002B67EA" w:rsidRDefault="002B67EA" w:rsidP="00A813F7">
      <w:pPr>
        <w:pStyle w:val="Paragraph"/>
        <w:rPr>
          <w:b/>
        </w:rPr>
      </w:pPr>
      <w:r w:rsidRPr="0096348A">
        <w:rPr>
          <w:b/>
        </w:rPr>
        <w:t>Long-term anticoagulation for secondary prevention</w:t>
      </w:r>
    </w:p>
    <w:p w14:paraId="4464C015" w14:textId="3CCA8937" w:rsidR="00220A8E" w:rsidRDefault="0027053F" w:rsidP="00A813F7">
      <w:pPr>
        <w:pStyle w:val="Paragraph"/>
        <w:rPr>
          <w:bCs/>
        </w:rPr>
      </w:pPr>
      <w:bookmarkStart w:id="68" w:name="_Hlk49853004"/>
      <w:r>
        <w:rPr>
          <w:bCs/>
        </w:rPr>
        <w:t>A stakeholder reported significant</w:t>
      </w:r>
      <w:r w:rsidR="00D67885" w:rsidRPr="00D67885">
        <w:rPr>
          <w:bCs/>
        </w:rPr>
        <w:t xml:space="preserve"> inconsistenc</w:t>
      </w:r>
      <w:r w:rsidR="00220A8E">
        <w:rPr>
          <w:bCs/>
        </w:rPr>
        <w:t>ies</w:t>
      </w:r>
      <w:r w:rsidR="00D67885" w:rsidRPr="00D67885">
        <w:rPr>
          <w:bCs/>
        </w:rPr>
        <w:t xml:space="preserve"> </w:t>
      </w:r>
      <w:r w:rsidR="00B66D23">
        <w:rPr>
          <w:bCs/>
        </w:rPr>
        <w:t xml:space="preserve">in </w:t>
      </w:r>
      <w:r w:rsidR="00650290">
        <w:rPr>
          <w:bCs/>
        </w:rPr>
        <w:t>the</w:t>
      </w:r>
      <w:r>
        <w:rPr>
          <w:bCs/>
        </w:rPr>
        <w:t xml:space="preserve"> </w:t>
      </w:r>
      <w:r w:rsidR="00D67885" w:rsidRPr="00D67885">
        <w:rPr>
          <w:bCs/>
        </w:rPr>
        <w:t xml:space="preserve">duration of </w:t>
      </w:r>
      <w:r w:rsidR="00220A8E">
        <w:rPr>
          <w:bCs/>
        </w:rPr>
        <w:t xml:space="preserve">long-term </w:t>
      </w:r>
      <w:r w:rsidR="00D67885" w:rsidRPr="00D67885">
        <w:rPr>
          <w:bCs/>
        </w:rPr>
        <w:t>anticoagulation therapy</w:t>
      </w:r>
      <w:bookmarkEnd w:id="68"/>
      <w:r w:rsidR="00220A8E">
        <w:rPr>
          <w:bCs/>
        </w:rPr>
        <w:t xml:space="preserve">. They emphasised more clarity is needed as during </w:t>
      </w:r>
      <w:r w:rsidR="00220A8E" w:rsidRPr="00220A8E">
        <w:rPr>
          <w:bCs/>
        </w:rPr>
        <w:t>this</w:t>
      </w:r>
      <w:r w:rsidR="00220A8E">
        <w:rPr>
          <w:bCs/>
        </w:rPr>
        <w:t xml:space="preserve"> treatment </w:t>
      </w:r>
      <w:r w:rsidR="00220A8E" w:rsidRPr="00220A8E">
        <w:rPr>
          <w:bCs/>
        </w:rPr>
        <w:t xml:space="preserve">phase maintaining adherence and persistence with extended anticoagulation therapy </w:t>
      </w:r>
      <w:r w:rsidR="00220A8E">
        <w:rPr>
          <w:bCs/>
        </w:rPr>
        <w:t>is</w:t>
      </w:r>
      <w:r w:rsidR="00220A8E" w:rsidRPr="00220A8E">
        <w:rPr>
          <w:bCs/>
        </w:rPr>
        <w:t xml:space="preserve"> crucial.</w:t>
      </w:r>
      <w:r w:rsidR="00220A8E">
        <w:rPr>
          <w:bCs/>
        </w:rPr>
        <w:t xml:space="preserve"> E</w:t>
      </w:r>
      <w:r w:rsidR="00220A8E" w:rsidRPr="00220A8E">
        <w:rPr>
          <w:bCs/>
        </w:rPr>
        <w:t xml:space="preserve">nsuring all patients are regularly reviewed to evaluate the clinical impact of anticoagulation therapy and consider any adjustments is </w:t>
      </w:r>
      <w:r w:rsidR="00220A8E">
        <w:rPr>
          <w:bCs/>
        </w:rPr>
        <w:t>also critical.</w:t>
      </w:r>
    </w:p>
    <w:bookmarkEnd w:id="67"/>
    <w:p w14:paraId="4E601253" w14:textId="4DD34308" w:rsidR="00ED33AB" w:rsidRPr="007B1C0E" w:rsidRDefault="0096348A" w:rsidP="00ED33AB">
      <w:pPr>
        <w:pStyle w:val="Numberedheading3"/>
      </w:pPr>
      <w:r>
        <w:t xml:space="preserve">4.3.2 </w:t>
      </w:r>
      <w:r>
        <w:tab/>
      </w:r>
      <w:r w:rsidR="00ED33AB">
        <w:t>S</w:t>
      </w:r>
      <w:r w:rsidR="00ED33AB" w:rsidRPr="00CD3D03">
        <w:t>elected recommendations from development source</w:t>
      </w:r>
    </w:p>
    <w:p w14:paraId="1838913A" w14:textId="7DA4DA9A" w:rsidR="00ED33AB" w:rsidRPr="00913701" w:rsidRDefault="00ED33AB" w:rsidP="00ED33AB">
      <w:pPr>
        <w:pStyle w:val="Paragraph"/>
      </w:pPr>
      <w:r>
        <w:t xml:space="preserve">Table </w:t>
      </w:r>
      <w:r w:rsidR="005C54A0">
        <w:t>5</w:t>
      </w:r>
      <w:r>
        <w:t xml:space="preserve"> below highlights </w:t>
      </w:r>
      <w:r w:rsidRPr="00913701">
        <w:t xml:space="preserve">recommendations that have been provisionally selected from the development </w:t>
      </w:r>
      <w:r w:rsidRPr="00F2333B">
        <w:t>source</w:t>
      </w:r>
      <w:r w:rsidRPr="00913701">
        <w:t xml:space="preserve"> </w:t>
      </w:r>
      <w:r>
        <w:t>that may</w:t>
      </w:r>
      <w:r w:rsidRPr="00913701">
        <w:t xml:space="preserve"> support potential statement development.</w:t>
      </w:r>
      <w:r>
        <w:t xml:space="preserve"> These are presented in full after </w:t>
      </w:r>
      <w:r w:rsidR="005C54A0">
        <w:t xml:space="preserve">the </w:t>
      </w:r>
      <w:r>
        <w:t>table to help inform the committee’s discussion.</w:t>
      </w:r>
    </w:p>
    <w:p w14:paraId="4D280C4D" w14:textId="2755A8DC" w:rsidR="00ED33AB" w:rsidRPr="00F45FBA" w:rsidRDefault="00ED33AB" w:rsidP="00ED33AB">
      <w:pPr>
        <w:pStyle w:val="Heading3"/>
      </w:pPr>
      <w:r>
        <w:t xml:space="preserve">Table </w:t>
      </w:r>
      <w:r w:rsidR="005C54A0">
        <w:t>5</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ED33AB" w:rsidRPr="00FD3FF6" w14:paraId="45310524" w14:textId="77777777" w:rsidTr="0006541D">
        <w:trPr>
          <w:trHeight w:val="321"/>
        </w:trPr>
        <w:tc>
          <w:tcPr>
            <w:tcW w:w="4113" w:type="dxa"/>
            <w:shd w:val="clear" w:color="auto" w:fill="auto"/>
            <w:hideMark/>
          </w:tcPr>
          <w:p w14:paraId="146CC296" w14:textId="77777777" w:rsidR="00ED33AB" w:rsidRPr="009C32E3" w:rsidRDefault="00ED33AB" w:rsidP="0006541D">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2B71BB73" w14:textId="77777777" w:rsidR="00ED33AB" w:rsidRPr="009C32E3" w:rsidRDefault="00ED33AB" w:rsidP="0006541D">
            <w:pPr>
              <w:pStyle w:val="Tabletitle"/>
              <w:rPr>
                <w:highlight w:val="lightGray"/>
              </w:rPr>
            </w:pPr>
            <w:r w:rsidRPr="00F2333B">
              <w:t>Selected source guidance recommendations</w:t>
            </w:r>
          </w:p>
        </w:tc>
      </w:tr>
      <w:tr w:rsidR="00ED33AB" w:rsidRPr="005E5E3B" w14:paraId="5FBCD65C" w14:textId="77777777" w:rsidTr="0006541D">
        <w:trPr>
          <w:trHeight w:val="996"/>
        </w:trPr>
        <w:tc>
          <w:tcPr>
            <w:tcW w:w="4113" w:type="dxa"/>
            <w:shd w:val="clear" w:color="auto" w:fill="auto"/>
          </w:tcPr>
          <w:p w14:paraId="65359A7C" w14:textId="253E08B5" w:rsidR="00ED33AB" w:rsidRPr="00ED33AB" w:rsidRDefault="00291517" w:rsidP="00ED33AB">
            <w:pPr>
              <w:pStyle w:val="Tabletext"/>
            </w:pPr>
            <w:r>
              <w:t>C</w:t>
            </w:r>
            <w:r w:rsidR="00ED33AB" w:rsidRPr="00ED33AB">
              <w:t>onfirmed DVT or PE</w:t>
            </w:r>
          </w:p>
          <w:p w14:paraId="4C9275F5" w14:textId="77777777" w:rsidR="00ED33AB" w:rsidRPr="004D71BE" w:rsidRDefault="00ED33AB" w:rsidP="0006541D">
            <w:pPr>
              <w:pStyle w:val="Tabletext"/>
            </w:pPr>
          </w:p>
        </w:tc>
        <w:tc>
          <w:tcPr>
            <w:tcW w:w="4395" w:type="dxa"/>
            <w:shd w:val="clear" w:color="auto" w:fill="auto"/>
          </w:tcPr>
          <w:p w14:paraId="29C4033C" w14:textId="5F1C22B0" w:rsidR="00ED33AB" w:rsidRPr="004D71BE" w:rsidRDefault="00473E39" w:rsidP="0006541D">
            <w:pPr>
              <w:pStyle w:val="Tabletext"/>
            </w:pPr>
            <w:hyperlink r:id="rId42" w:anchor="anticoagulation-treatment-for-suspected-or-confirmed-dvt-or-pe" w:history="1">
              <w:r w:rsidR="00054313" w:rsidRPr="008F6AB4">
                <w:rPr>
                  <w:rStyle w:val="Hyperlink"/>
                </w:rPr>
                <w:t>NICE NG158 Recommendations</w:t>
              </w:r>
            </w:hyperlink>
            <w:r w:rsidR="00291517">
              <w:rPr>
                <w:rStyle w:val="Hyperlink"/>
              </w:rPr>
              <w:t xml:space="preserve"> </w:t>
            </w:r>
            <w:r w:rsidR="00A650E0" w:rsidRPr="00A650E0">
              <w:rPr>
                <w:rStyle w:val="Hyperlink"/>
                <w:color w:val="auto"/>
                <w:u w:val="none"/>
              </w:rPr>
              <w:t>1.3.4,</w:t>
            </w:r>
            <w:r w:rsidR="00A650E0" w:rsidRPr="00A650E0">
              <w:rPr>
                <w:rStyle w:val="Hyperlink"/>
                <w:color w:val="auto"/>
              </w:rPr>
              <w:t xml:space="preserve"> </w:t>
            </w:r>
            <w:r w:rsidR="00291517" w:rsidRPr="00834EA8">
              <w:rPr>
                <w:rStyle w:val="Hyperlink"/>
                <w:color w:val="auto"/>
                <w:u w:val="none"/>
              </w:rPr>
              <w:t xml:space="preserve">1.3.5, 1.3.6, 1.3.7, 1.3.8 and </w:t>
            </w:r>
            <w:r w:rsidR="00834EA8">
              <w:rPr>
                <w:rStyle w:val="Hyperlink"/>
                <w:color w:val="auto"/>
                <w:u w:val="none"/>
              </w:rPr>
              <w:t>1.3.10</w:t>
            </w:r>
          </w:p>
        </w:tc>
      </w:tr>
      <w:tr w:rsidR="00980080" w:rsidRPr="005E5E3B" w14:paraId="62D72BA2" w14:textId="77777777" w:rsidTr="0006541D">
        <w:trPr>
          <w:trHeight w:val="996"/>
        </w:trPr>
        <w:tc>
          <w:tcPr>
            <w:tcW w:w="4113" w:type="dxa"/>
            <w:shd w:val="clear" w:color="auto" w:fill="auto"/>
          </w:tcPr>
          <w:p w14:paraId="22D0FFAA" w14:textId="77777777" w:rsidR="00980080" w:rsidRPr="00980080" w:rsidRDefault="00980080" w:rsidP="00980080">
            <w:pPr>
              <w:pStyle w:val="Tabletext"/>
            </w:pPr>
            <w:r w:rsidRPr="00980080">
              <w:lastRenderedPageBreak/>
              <w:t>Long-term anticoagulation for secondary prevention</w:t>
            </w:r>
          </w:p>
          <w:p w14:paraId="6FCBB751" w14:textId="77777777" w:rsidR="00980080" w:rsidRPr="00980080" w:rsidRDefault="00980080" w:rsidP="003E1DE1">
            <w:pPr>
              <w:pStyle w:val="Tabletext"/>
            </w:pPr>
          </w:p>
        </w:tc>
        <w:tc>
          <w:tcPr>
            <w:tcW w:w="4395" w:type="dxa"/>
            <w:shd w:val="clear" w:color="auto" w:fill="auto"/>
          </w:tcPr>
          <w:p w14:paraId="75449363" w14:textId="10448322" w:rsidR="00980080" w:rsidRPr="004D71BE" w:rsidRDefault="00473E39" w:rsidP="0006541D">
            <w:pPr>
              <w:pStyle w:val="Tabletext"/>
            </w:pPr>
            <w:hyperlink r:id="rId43" w:anchor="long-term-anticoagulation-for-secondary-prevention" w:history="1">
              <w:r w:rsidR="00054313" w:rsidRPr="008F6AB4">
                <w:rPr>
                  <w:rStyle w:val="Hyperlink"/>
                </w:rPr>
                <w:t>NICE NG158 Recommendations</w:t>
              </w:r>
            </w:hyperlink>
            <w:r w:rsidR="0018389D">
              <w:rPr>
                <w:rStyle w:val="Hyperlink"/>
              </w:rPr>
              <w:t xml:space="preserve"> </w:t>
            </w:r>
            <w:r w:rsidR="0018389D" w:rsidRPr="0018389D">
              <w:rPr>
                <w:rStyle w:val="Hyperlink"/>
                <w:u w:val="none"/>
              </w:rPr>
              <w:t>1</w:t>
            </w:r>
            <w:r w:rsidR="0018389D" w:rsidRPr="0018389D">
              <w:rPr>
                <w:rStyle w:val="Hyperlink"/>
                <w:color w:val="auto"/>
                <w:u w:val="none"/>
              </w:rPr>
              <w:t xml:space="preserve">.4.1, </w:t>
            </w:r>
            <w:r w:rsidR="00B66D23">
              <w:rPr>
                <w:rStyle w:val="Hyperlink"/>
                <w:color w:val="auto"/>
                <w:u w:val="none"/>
              </w:rPr>
              <w:t>1.4.2,</w:t>
            </w:r>
            <w:r w:rsidR="00A650E0">
              <w:rPr>
                <w:rStyle w:val="Hyperlink"/>
                <w:color w:val="auto"/>
                <w:u w:val="none"/>
              </w:rPr>
              <w:t xml:space="preserve"> </w:t>
            </w:r>
            <w:r w:rsidR="00A650E0" w:rsidRPr="00A650E0">
              <w:rPr>
                <w:rStyle w:val="Hyperlink"/>
                <w:color w:val="auto"/>
                <w:u w:val="none"/>
              </w:rPr>
              <w:t>1.4.3,</w:t>
            </w:r>
            <w:r w:rsidR="0018389D" w:rsidRPr="0018389D">
              <w:rPr>
                <w:rStyle w:val="Hyperlink"/>
                <w:color w:val="auto"/>
                <w:u w:val="none"/>
              </w:rPr>
              <w:t>1.4.4, 1.4.5, 1.4.7, 1.4.12</w:t>
            </w:r>
          </w:p>
        </w:tc>
      </w:tr>
    </w:tbl>
    <w:p w14:paraId="342CFD99" w14:textId="3C8345CA" w:rsidR="00054313" w:rsidRDefault="0018389D" w:rsidP="00054313">
      <w:pPr>
        <w:pStyle w:val="Paragraph"/>
        <w:rPr>
          <w:b/>
          <w:bCs/>
        </w:rPr>
      </w:pPr>
      <w:r>
        <w:rPr>
          <w:b/>
          <w:bCs/>
        </w:rPr>
        <w:t>C</w:t>
      </w:r>
      <w:r w:rsidR="00054313" w:rsidRPr="00054313">
        <w:rPr>
          <w:b/>
          <w:bCs/>
        </w:rPr>
        <w:t>onfirmed DVT or PE</w:t>
      </w:r>
    </w:p>
    <w:p w14:paraId="0FE11745" w14:textId="7B976845" w:rsidR="00A650E0" w:rsidRPr="00A650E0" w:rsidRDefault="00A650E0" w:rsidP="00A650E0">
      <w:pPr>
        <w:pStyle w:val="Paragraph"/>
        <w:rPr>
          <w:u w:val="single"/>
        </w:rPr>
      </w:pPr>
      <w:bookmarkStart w:id="69" w:name="_Hlk50228857"/>
      <w:bookmarkStart w:id="70" w:name="_Hlk50138307"/>
      <w:r w:rsidRPr="00A650E0">
        <w:rPr>
          <w:u w:val="single"/>
        </w:rPr>
        <w:t>NICE NG158 Recommendation 1.3.</w:t>
      </w:r>
      <w:r>
        <w:rPr>
          <w:u w:val="single"/>
        </w:rPr>
        <w:t>4</w:t>
      </w:r>
    </w:p>
    <w:p w14:paraId="263809F0" w14:textId="77777777" w:rsidR="00A650E0" w:rsidRPr="00A650E0" w:rsidRDefault="00A650E0" w:rsidP="00A650E0">
      <w:pPr>
        <w:pStyle w:val="Bulletparagraph"/>
        <w:numPr>
          <w:ilvl w:val="0"/>
          <w:numId w:val="0"/>
        </w:numPr>
        <w:ind w:left="360" w:hanging="360"/>
      </w:pPr>
      <w:r w:rsidRPr="00A650E0">
        <w:t>When using interim therapeutic anticoagulation for suspected proximal DVT or PE:</w:t>
      </w:r>
    </w:p>
    <w:p w14:paraId="4EE2150D" w14:textId="77777777" w:rsidR="00A650E0" w:rsidRPr="00A650E0" w:rsidRDefault="00A650E0" w:rsidP="00A650E0">
      <w:pPr>
        <w:pStyle w:val="Bulletparagraph"/>
      </w:pPr>
      <w:r w:rsidRPr="00A650E0">
        <w:t>carry out baseline blood tests including full blood count, renal and hepatic function, prothrombin time (PT) and activated partial thromboplastin time (APTT)</w:t>
      </w:r>
    </w:p>
    <w:p w14:paraId="524E7DE5" w14:textId="77777777" w:rsidR="00A650E0" w:rsidRPr="00A650E0" w:rsidRDefault="00A650E0" w:rsidP="00A650E0">
      <w:pPr>
        <w:pStyle w:val="Bulletparagraph"/>
      </w:pPr>
      <w:r w:rsidRPr="00A650E0">
        <w:t>do not wait for the results of baseline blood tests before starting anticoagulation treatment</w:t>
      </w:r>
    </w:p>
    <w:p w14:paraId="1CCC5B13" w14:textId="02CE2241" w:rsidR="0055600F" w:rsidRPr="0043703F" w:rsidRDefault="00A650E0" w:rsidP="00054313">
      <w:pPr>
        <w:pStyle w:val="Bulletparagraph"/>
      </w:pPr>
      <w:r w:rsidRPr="00A650E0">
        <w:t>review, and if necessary act on, the results of baseline blood tests within 24 hours of starting interim therapeutic anticoagulation. </w:t>
      </w:r>
      <w:r w:rsidRPr="00A650E0">
        <w:rPr>
          <w:b/>
          <w:bCs/>
        </w:rPr>
        <w:t>[2020]</w:t>
      </w:r>
    </w:p>
    <w:p w14:paraId="2DC645BB" w14:textId="01866B3B" w:rsidR="00252673" w:rsidRDefault="00252673" w:rsidP="00054313">
      <w:pPr>
        <w:pStyle w:val="Paragraph"/>
        <w:rPr>
          <w:u w:val="single"/>
        </w:rPr>
      </w:pPr>
      <w:r w:rsidRPr="006D4956">
        <w:rPr>
          <w:u w:val="single"/>
        </w:rPr>
        <w:t>NICE NG158</w:t>
      </w:r>
      <w:r>
        <w:rPr>
          <w:u w:val="single"/>
        </w:rPr>
        <w:t xml:space="preserve"> </w:t>
      </w:r>
      <w:r w:rsidRPr="006D4956">
        <w:rPr>
          <w:u w:val="single"/>
        </w:rPr>
        <w:t>Recommendation</w:t>
      </w:r>
      <w:r w:rsidR="0023266C">
        <w:rPr>
          <w:u w:val="single"/>
        </w:rPr>
        <w:t xml:space="preserve"> 1.3.5</w:t>
      </w:r>
    </w:p>
    <w:bookmarkEnd w:id="69"/>
    <w:p w14:paraId="23E5DEF8" w14:textId="3904B835" w:rsidR="0055600F" w:rsidRPr="0043703F" w:rsidRDefault="00A64AB2" w:rsidP="00A64AB2">
      <w:pPr>
        <w:pStyle w:val="Paragraph"/>
        <w:rPr>
          <w:b/>
          <w:bCs/>
        </w:rPr>
      </w:pPr>
      <w:r w:rsidRPr="00A64AB2">
        <w:t>Offer anticoagulation treatment for at least 3 months to people with confirmed proximal DVT or PE. For recommendations on treatment after 3 months see the </w:t>
      </w:r>
      <w:hyperlink r:id="rId44" w:anchor="long-term-anticoagulation-for-secondary-prevention" w:tgtFrame="_top" w:history="1">
        <w:r w:rsidRPr="00A64AB2">
          <w:rPr>
            <w:rStyle w:val="Hyperlink"/>
          </w:rPr>
          <w:t>section on long-term anticoagulation for secondary prevention</w:t>
        </w:r>
      </w:hyperlink>
      <w:r w:rsidRPr="00A64AB2">
        <w:t>.</w:t>
      </w:r>
      <w:r w:rsidRPr="00A64AB2">
        <w:rPr>
          <w:b/>
          <w:bCs/>
        </w:rPr>
        <w:t> [2020]</w:t>
      </w:r>
    </w:p>
    <w:p w14:paraId="160F8236" w14:textId="66CEBAEC" w:rsidR="00A64AB2" w:rsidRPr="00A64AB2" w:rsidRDefault="00A64AB2" w:rsidP="00A64AB2">
      <w:pPr>
        <w:pStyle w:val="Paragraph"/>
        <w:rPr>
          <w:u w:val="single"/>
        </w:rPr>
      </w:pPr>
      <w:r w:rsidRPr="00A64AB2">
        <w:rPr>
          <w:u w:val="single"/>
        </w:rPr>
        <w:t>NICE NG158 Recommendation 1.3.6</w:t>
      </w:r>
    </w:p>
    <w:p w14:paraId="6A46E002" w14:textId="051BA3A0" w:rsidR="0055600F" w:rsidRPr="0043703F" w:rsidRDefault="00A64AB2" w:rsidP="00A64AB2">
      <w:pPr>
        <w:pStyle w:val="Paragraph"/>
        <w:rPr>
          <w:b/>
          <w:bCs/>
        </w:rPr>
      </w:pPr>
      <w:r w:rsidRPr="00A64AB2">
        <w:t>If not already done, carry out baseline blood tests, as outlined in recommendation 1.3.4, when starting anticoagulation treatment.</w:t>
      </w:r>
      <w:r w:rsidRPr="00A64AB2">
        <w:rPr>
          <w:b/>
          <w:bCs/>
        </w:rPr>
        <w:t> [2020]</w:t>
      </w:r>
      <w:bookmarkStart w:id="71" w:name="_Hlk50229011"/>
    </w:p>
    <w:p w14:paraId="4C7F43F6" w14:textId="44A78930" w:rsidR="00A64AB2" w:rsidRPr="00A64AB2" w:rsidRDefault="00A64AB2" w:rsidP="00A64AB2">
      <w:pPr>
        <w:pStyle w:val="Paragraph"/>
        <w:rPr>
          <w:u w:val="single"/>
        </w:rPr>
      </w:pPr>
      <w:r w:rsidRPr="00A64AB2">
        <w:rPr>
          <w:u w:val="single"/>
        </w:rPr>
        <w:t>NICE NG158 Recommendation 1.3.7</w:t>
      </w:r>
    </w:p>
    <w:bookmarkEnd w:id="71"/>
    <w:p w14:paraId="4D349D51" w14:textId="77777777" w:rsidR="00A64AB2" w:rsidRPr="00A64AB2" w:rsidRDefault="00A64AB2" w:rsidP="00A64AB2">
      <w:pPr>
        <w:pStyle w:val="Paragraph"/>
      </w:pPr>
      <w:r w:rsidRPr="00A64AB2">
        <w:t>When offering anticoagulation treatment, take into account comorbidities, contraindications and the person's preferences.</w:t>
      </w:r>
      <w:r w:rsidRPr="00A64AB2">
        <w:br/>
      </w:r>
      <w:r w:rsidRPr="00A64AB2">
        <w:br/>
        <w:t>Follow the recommendations on anticoagulation treatment in the sections on:</w:t>
      </w:r>
    </w:p>
    <w:p w14:paraId="76841BD7" w14:textId="77777777" w:rsidR="00A64AB2" w:rsidRPr="00A64AB2" w:rsidRDefault="00473E39" w:rsidP="00685B78">
      <w:pPr>
        <w:pStyle w:val="Bulletparagraph"/>
      </w:pPr>
      <w:hyperlink r:id="rId45" w:anchor="anticoagulation-treatment-for-dvt-or-pe-in-people-at-extremes-of-body-weight" w:tgtFrame="_top" w:history="1">
        <w:r w:rsidR="00A64AB2" w:rsidRPr="00A64AB2">
          <w:rPr>
            <w:rStyle w:val="Hyperlink"/>
          </w:rPr>
          <w:t>DVT or PE in people at extremes of body weight</w:t>
        </w:r>
      </w:hyperlink>
    </w:p>
    <w:p w14:paraId="452D0B21" w14:textId="77777777" w:rsidR="00A64AB2" w:rsidRPr="00A64AB2" w:rsidRDefault="00473E39" w:rsidP="00685B78">
      <w:pPr>
        <w:pStyle w:val="Bulletparagraph"/>
      </w:pPr>
      <w:hyperlink r:id="rId46" w:anchor="anticoagulation-treatment-for-dvt-or-pe-in-people-at-extremes-of-body-weight" w:tgtFrame="_top" w:history="1">
        <w:r w:rsidR="00A64AB2" w:rsidRPr="00A64AB2">
          <w:rPr>
            <w:rStyle w:val="Hyperlink"/>
          </w:rPr>
          <w:t>PE with haemodynamic instability</w:t>
        </w:r>
      </w:hyperlink>
    </w:p>
    <w:p w14:paraId="6C10CCEC" w14:textId="77777777" w:rsidR="00A64AB2" w:rsidRPr="00A64AB2" w:rsidRDefault="00473E39" w:rsidP="00685B78">
      <w:pPr>
        <w:pStyle w:val="Bulletparagraph"/>
      </w:pPr>
      <w:hyperlink r:id="rId47" w:anchor="anticoagulation-treatment-for-dvt-or-pe-with-renal-impairment-or-established-renal-failure" w:tgtFrame="_top" w:history="1">
        <w:r w:rsidR="00A64AB2" w:rsidRPr="00A64AB2">
          <w:rPr>
            <w:rStyle w:val="Hyperlink"/>
          </w:rPr>
          <w:t>DVT or PE with renal impairment or established renal failure</w:t>
        </w:r>
      </w:hyperlink>
    </w:p>
    <w:p w14:paraId="5B927511" w14:textId="77777777" w:rsidR="00A64AB2" w:rsidRPr="00A64AB2" w:rsidRDefault="00473E39" w:rsidP="00685B78">
      <w:pPr>
        <w:pStyle w:val="Bulletparagraph"/>
      </w:pPr>
      <w:hyperlink r:id="rId48" w:anchor="anticoagulation-treatment-for-dvt-or-pe-with-active-cancer" w:tgtFrame="_top" w:history="1">
        <w:r w:rsidR="00A64AB2" w:rsidRPr="00A64AB2">
          <w:rPr>
            <w:rStyle w:val="Hyperlink"/>
          </w:rPr>
          <w:t>DVT or PE with active cancer</w:t>
        </w:r>
      </w:hyperlink>
    </w:p>
    <w:p w14:paraId="55E28F7C" w14:textId="4CF8ED3C" w:rsidR="0055600F" w:rsidRPr="0043703F" w:rsidRDefault="00473E39" w:rsidP="00A64AB2">
      <w:pPr>
        <w:pStyle w:val="Bulletparagraph"/>
        <w:rPr>
          <w:b/>
          <w:bCs/>
        </w:rPr>
      </w:pPr>
      <w:hyperlink r:id="rId49" w:anchor="anticoagulation-treatment-for-dvt-or-pe-with-triple-positive-antiphospholipid-syndrome" w:tgtFrame="_top" w:history="1">
        <w:r w:rsidR="00A64AB2" w:rsidRPr="00A64AB2">
          <w:rPr>
            <w:rStyle w:val="Hyperlink"/>
          </w:rPr>
          <w:t>DVT or PE with triple positive antiphospholipid syndrome</w:t>
        </w:r>
      </w:hyperlink>
      <w:r w:rsidR="00A64AB2" w:rsidRPr="00A64AB2">
        <w:t>.</w:t>
      </w:r>
      <w:r w:rsidR="00A64AB2" w:rsidRPr="00A64AB2">
        <w:rPr>
          <w:b/>
          <w:bCs/>
        </w:rPr>
        <w:t> [2020]</w:t>
      </w:r>
      <w:bookmarkStart w:id="72" w:name="_Hlk50229058"/>
    </w:p>
    <w:p w14:paraId="2E34EAF2" w14:textId="3D03CD2A" w:rsidR="00A64AB2" w:rsidRPr="00A64AB2" w:rsidRDefault="00A64AB2" w:rsidP="00A64AB2">
      <w:pPr>
        <w:pStyle w:val="Paragraph"/>
        <w:rPr>
          <w:u w:val="single"/>
        </w:rPr>
      </w:pPr>
      <w:r w:rsidRPr="00A64AB2">
        <w:rPr>
          <w:u w:val="single"/>
        </w:rPr>
        <w:t>NICE NG158 Recommendation 1.3.</w:t>
      </w:r>
      <w:r>
        <w:rPr>
          <w:u w:val="single"/>
        </w:rPr>
        <w:t>8</w:t>
      </w:r>
    </w:p>
    <w:bookmarkEnd w:id="72"/>
    <w:p w14:paraId="13BB4966" w14:textId="77777777" w:rsidR="00A64AB2" w:rsidRPr="00A64AB2" w:rsidRDefault="00A64AB2" w:rsidP="00A64AB2">
      <w:pPr>
        <w:pStyle w:val="Paragraph"/>
      </w:pPr>
      <w:r w:rsidRPr="00A64AB2">
        <w:t>Offer either apixaban or rivaroxaban to people with confirmed proximal DVT or PE (but see recommendations 1.3.11 to 1.3.20 for people with any of the clinical features listed in recommendation 1.3.7). If neither apixaban nor rivaroxaban is suitable offer:</w:t>
      </w:r>
    </w:p>
    <w:p w14:paraId="12FB8A00" w14:textId="77777777" w:rsidR="00A64AB2" w:rsidRPr="00A64AB2" w:rsidRDefault="00A64AB2" w:rsidP="00685B78">
      <w:pPr>
        <w:pStyle w:val="Bulletparagraph"/>
      </w:pPr>
      <w:bookmarkStart w:id="73" w:name="_Hlk50447953"/>
      <w:r w:rsidRPr="00A64AB2">
        <w:t xml:space="preserve">low molecular weight heparin (LMWH) </w:t>
      </w:r>
      <w:bookmarkEnd w:id="73"/>
      <w:r w:rsidRPr="00A64AB2">
        <w:t>for at least 5 days followed by dabigatran or edoxaban </w:t>
      </w:r>
      <w:r w:rsidRPr="0096348A">
        <w:rPr>
          <w:b/>
          <w:bCs/>
        </w:rPr>
        <w:t>or</w:t>
      </w:r>
    </w:p>
    <w:p w14:paraId="56E9E177" w14:textId="66D3DCFE" w:rsidR="00A64AB2" w:rsidRDefault="00A64AB2" w:rsidP="00685B78">
      <w:pPr>
        <w:pStyle w:val="Bulletparagraph"/>
        <w:rPr>
          <w:b/>
          <w:bCs/>
        </w:rPr>
      </w:pPr>
      <w:r w:rsidRPr="00A64AB2">
        <w:t>LMWH concurrently with a vitamin K antagonist (VKA) for at least 5 days, or until the INR is at least 2.0 in 2 consecutive readings, followed by a VKA on its own.</w:t>
      </w:r>
      <w:r w:rsidRPr="00A64AB2">
        <w:rPr>
          <w:b/>
          <w:bCs/>
        </w:rPr>
        <w:t> [2020]</w:t>
      </w:r>
    </w:p>
    <w:p w14:paraId="68D1D968" w14:textId="77777777" w:rsidR="00CA1B03" w:rsidRDefault="00CA1B03" w:rsidP="00CA1B03">
      <w:pPr>
        <w:pStyle w:val="Bulletparagraph"/>
        <w:numPr>
          <w:ilvl w:val="0"/>
          <w:numId w:val="0"/>
        </w:numPr>
        <w:ind w:left="360"/>
        <w:rPr>
          <w:b/>
          <w:bCs/>
        </w:rPr>
      </w:pPr>
    </w:p>
    <w:p w14:paraId="4334C6DC" w14:textId="0F57DA86" w:rsidR="00A64AB2" w:rsidRPr="00A64AB2" w:rsidRDefault="00A64AB2" w:rsidP="00A64AB2">
      <w:pPr>
        <w:pStyle w:val="Paragraph"/>
        <w:rPr>
          <w:u w:val="single"/>
        </w:rPr>
      </w:pPr>
      <w:r w:rsidRPr="00A64AB2">
        <w:rPr>
          <w:u w:val="single"/>
        </w:rPr>
        <w:t>NICE NG158 Recommendation 1.3.</w:t>
      </w:r>
      <w:r>
        <w:rPr>
          <w:u w:val="single"/>
        </w:rPr>
        <w:t>10</w:t>
      </w:r>
    </w:p>
    <w:p w14:paraId="526645D5" w14:textId="04B1E879" w:rsidR="00CA1B03" w:rsidRDefault="00A64AB2" w:rsidP="00054313">
      <w:pPr>
        <w:pStyle w:val="Paragraph"/>
        <w:rPr>
          <w:b/>
          <w:bCs/>
        </w:rPr>
      </w:pPr>
      <w:r w:rsidRPr="00A64AB2">
        <w:t>Do not routinely offer self</w:t>
      </w:r>
      <w:r w:rsidRPr="00A64AB2">
        <w:noBreakHyphen/>
        <w:t>management or self</w:t>
      </w:r>
      <w:r w:rsidRPr="00A64AB2">
        <w:noBreakHyphen/>
        <w:t>monitoring of INR to people who have had DVT or PE and are having treatment with a VKA. </w:t>
      </w:r>
      <w:r w:rsidRPr="00A64AB2">
        <w:rPr>
          <w:b/>
          <w:bCs/>
        </w:rPr>
        <w:t>[2012]</w:t>
      </w:r>
      <w:bookmarkEnd w:id="70"/>
    </w:p>
    <w:p w14:paraId="3846BEB7" w14:textId="2B1CE6C8" w:rsidR="00054313" w:rsidRPr="00054313" w:rsidRDefault="00054313" w:rsidP="00054313">
      <w:pPr>
        <w:pStyle w:val="Paragraph"/>
        <w:rPr>
          <w:b/>
          <w:bCs/>
        </w:rPr>
      </w:pPr>
      <w:r w:rsidRPr="00054313">
        <w:rPr>
          <w:b/>
          <w:bCs/>
        </w:rPr>
        <w:t>Long-term anticoagulation for secondary prevention</w:t>
      </w:r>
    </w:p>
    <w:p w14:paraId="0C8CC418" w14:textId="5C5E12C6" w:rsidR="00106994" w:rsidRDefault="00252673" w:rsidP="00A813F7">
      <w:pPr>
        <w:pStyle w:val="Paragraph"/>
        <w:rPr>
          <w:u w:val="single"/>
        </w:rPr>
      </w:pPr>
      <w:bookmarkStart w:id="74" w:name="_Hlk50229529"/>
      <w:r w:rsidRPr="006D4956">
        <w:rPr>
          <w:u w:val="single"/>
        </w:rPr>
        <w:t>NICE NG158</w:t>
      </w:r>
      <w:r w:rsidRPr="00252673">
        <w:rPr>
          <w:u w:val="single"/>
        </w:rPr>
        <w:t xml:space="preserve"> </w:t>
      </w:r>
      <w:r w:rsidRPr="006D4956">
        <w:rPr>
          <w:u w:val="single"/>
        </w:rPr>
        <w:t>Recommendation</w:t>
      </w:r>
      <w:r w:rsidR="00CD5BE9">
        <w:rPr>
          <w:u w:val="single"/>
        </w:rPr>
        <w:t xml:space="preserve"> 1.4.1</w:t>
      </w:r>
    </w:p>
    <w:bookmarkEnd w:id="74"/>
    <w:p w14:paraId="437934C3" w14:textId="77777777" w:rsidR="00CD5BE9" w:rsidRPr="00CD5BE9" w:rsidRDefault="00CD5BE9" w:rsidP="00CD5BE9">
      <w:pPr>
        <w:pStyle w:val="Paragraph"/>
      </w:pPr>
      <w:r w:rsidRPr="00CD5BE9">
        <w:t>Assess and discuss the benefits and risks of continuing, stopping or changing the anticoagulant with people who have had anticoagulation treatment for 3 months (3 to 6 months for people with </w:t>
      </w:r>
      <w:hyperlink r:id="rId50" w:anchor="active-cancer" w:tgtFrame="_top" w:history="1">
        <w:r w:rsidRPr="00CD5BE9">
          <w:rPr>
            <w:rStyle w:val="Hyperlink"/>
          </w:rPr>
          <w:t>active cancer</w:t>
        </w:r>
      </w:hyperlink>
      <w:r w:rsidRPr="00CD5BE9">
        <w:t>) after a </w:t>
      </w:r>
      <w:hyperlink r:id="rId51" w:anchor="proximal-dvt" w:tgtFrame="_top" w:history="1">
        <w:r w:rsidRPr="00CD5BE9">
          <w:rPr>
            <w:rStyle w:val="Hyperlink"/>
          </w:rPr>
          <w:t>proximal DVT</w:t>
        </w:r>
      </w:hyperlink>
      <w:r w:rsidRPr="00CD5BE9">
        <w:t> or PE. Follow the recommendations on shared decision making, supporting adherence and medication review in the NICE guidelines on:</w:t>
      </w:r>
    </w:p>
    <w:p w14:paraId="1BE9E4C6" w14:textId="77777777" w:rsidR="00CD5BE9" w:rsidRPr="00CD5BE9" w:rsidRDefault="00473E39" w:rsidP="00685B78">
      <w:pPr>
        <w:pStyle w:val="Bulletparagraph"/>
        <w:rPr>
          <w:u w:val="single"/>
        </w:rPr>
      </w:pPr>
      <w:hyperlink r:id="rId52" w:tgtFrame="_top" w:history="1">
        <w:r w:rsidR="00CD5BE9" w:rsidRPr="00CD5BE9">
          <w:rPr>
            <w:rStyle w:val="Hyperlink"/>
          </w:rPr>
          <w:t>medicines optimisation</w:t>
        </w:r>
      </w:hyperlink>
    </w:p>
    <w:p w14:paraId="76FA41CA" w14:textId="77777777" w:rsidR="00CD5BE9" w:rsidRPr="00CD5BE9" w:rsidRDefault="00473E39" w:rsidP="00685B78">
      <w:pPr>
        <w:pStyle w:val="Bulletparagraph"/>
        <w:rPr>
          <w:u w:val="single"/>
        </w:rPr>
      </w:pPr>
      <w:hyperlink r:id="rId53" w:tgtFrame="_top" w:history="1">
        <w:r w:rsidR="00CD5BE9" w:rsidRPr="00CD5BE9">
          <w:rPr>
            <w:rStyle w:val="Hyperlink"/>
          </w:rPr>
          <w:t>medicines adherence</w:t>
        </w:r>
      </w:hyperlink>
    </w:p>
    <w:p w14:paraId="79BAD59F" w14:textId="66EA87DF" w:rsidR="00CD5BE9" w:rsidRPr="00CA1B03" w:rsidRDefault="00473E39" w:rsidP="00685B78">
      <w:pPr>
        <w:pStyle w:val="Bulletparagraph"/>
      </w:pPr>
      <w:hyperlink r:id="rId54" w:tgtFrame="_top" w:history="1">
        <w:r w:rsidR="00CD5BE9" w:rsidRPr="00CD5BE9">
          <w:rPr>
            <w:rStyle w:val="Hyperlink"/>
          </w:rPr>
          <w:t>patient experience in adult NHS services</w:t>
        </w:r>
      </w:hyperlink>
      <w:r w:rsidR="00CD5BE9" w:rsidRPr="00CD5BE9">
        <w:t>. </w:t>
      </w:r>
      <w:r w:rsidR="00CD5BE9" w:rsidRPr="00CD5BE9">
        <w:rPr>
          <w:b/>
          <w:bCs/>
        </w:rPr>
        <w:t>[2020]</w:t>
      </w:r>
    </w:p>
    <w:p w14:paraId="4E6B6967" w14:textId="77777777" w:rsidR="00CA1B03" w:rsidRPr="00CD5BE9" w:rsidRDefault="00CA1B03" w:rsidP="00CA1B03">
      <w:pPr>
        <w:pStyle w:val="Bulletparagraph"/>
        <w:numPr>
          <w:ilvl w:val="0"/>
          <w:numId w:val="0"/>
        </w:numPr>
        <w:ind w:left="360"/>
      </w:pPr>
    </w:p>
    <w:p w14:paraId="0595C439" w14:textId="4BDF6900" w:rsidR="00B66D23" w:rsidRDefault="00B66D23" w:rsidP="00B66D23">
      <w:pPr>
        <w:pStyle w:val="Paragraph"/>
        <w:rPr>
          <w:u w:val="single"/>
        </w:rPr>
      </w:pPr>
      <w:bookmarkStart w:id="75" w:name="_Hlk50379495"/>
      <w:bookmarkStart w:id="76" w:name="_Hlk50229675"/>
      <w:r w:rsidRPr="006D4956">
        <w:rPr>
          <w:u w:val="single"/>
        </w:rPr>
        <w:t>NICE NG158</w:t>
      </w:r>
      <w:r w:rsidRPr="00252673">
        <w:rPr>
          <w:u w:val="single"/>
        </w:rPr>
        <w:t xml:space="preserve"> </w:t>
      </w:r>
      <w:r w:rsidRPr="006D4956">
        <w:rPr>
          <w:u w:val="single"/>
        </w:rPr>
        <w:t>Recommendation</w:t>
      </w:r>
      <w:r>
        <w:rPr>
          <w:u w:val="single"/>
        </w:rPr>
        <w:t xml:space="preserve"> 1.4.2</w:t>
      </w:r>
    </w:p>
    <w:bookmarkEnd w:id="75"/>
    <w:p w14:paraId="07E1A612" w14:textId="77777777" w:rsidR="00A650E0" w:rsidRDefault="00A650E0" w:rsidP="00A650E0">
      <w:pPr>
        <w:pStyle w:val="Bulletparagraph"/>
        <w:numPr>
          <w:ilvl w:val="0"/>
          <w:numId w:val="0"/>
        </w:numPr>
        <w:ind w:left="360" w:hanging="360"/>
      </w:pPr>
      <w:r w:rsidRPr="00A650E0">
        <w:t xml:space="preserve">Consider stopping anticoagulation treatment 3 months (3 to 6 months for people with </w:t>
      </w:r>
    </w:p>
    <w:p w14:paraId="5A8E4E9B" w14:textId="77777777" w:rsidR="00A650E0" w:rsidRDefault="00A650E0" w:rsidP="00A650E0">
      <w:pPr>
        <w:pStyle w:val="Bulletparagraph"/>
        <w:numPr>
          <w:ilvl w:val="0"/>
          <w:numId w:val="0"/>
        </w:numPr>
        <w:ind w:left="360" w:hanging="360"/>
      </w:pPr>
      <w:r w:rsidRPr="00A650E0">
        <w:t>active cancer) after a </w:t>
      </w:r>
      <w:hyperlink r:id="rId55" w:anchor="active-cancer" w:tgtFrame="_top" w:history="1">
        <w:r w:rsidRPr="00A650E0">
          <w:rPr>
            <w:rStyle w:val="Hyperlink"/>
          </w:rPr>
          <w:t>provoked DVT or PE</w:t>
        </w:r>
      </w:hyperlink>
      <w:r w:rsidRPr="00A650E0">
        <w:t xml:space="preserve"> if the provoking factor is no longer </w:t>
      </w:r>
    </w:p>
    <w:p w14:paraId="30B2E03B" w14:textId="77777777" w:rsidR="00A650E0" w:rsidRDefault="00A650E0" w:rsidP="00A650E0">
      <w:pPr>
        <w:pStyle w:val="Bulletparagraph"/>
        <w:numPr>
          <w:ilvl w:val="0"/>
          <w:numId w:val="0"/>
        </w:numPr>
        <w:ind w:left="360" w:hanging="360"/>
      </w:pPr>
      <w:r w:rsidRPr="00A650E0">
        <w:t xml:space="preserve">present and the clinical course has been uncomplicated. If anticoagulation treatment </w:t>
      </w:r>
    </w:p>
    <w:p w14:paraId="3DA2D88A" w14:textId="5DA7A563" w:rsidR="00A650E0" w:rsidRDefault="00A650E0" w:rsidP="00A650E0">
      <w:pPr>
        <w:pStyle w:val="Bulletparagraph"/>
        <w:numPr>
          <w:ilvl w:val="0"/>
          <w:numId w:val="0"/>
        </w:numPr>
        <w:ind w:left="360" w:hanging="360"/>
      </w:pPr>
      <w:r w:rsidRPr="00A650E0">
        <w:t>is stopped, give advice about the risk of recurrence and provide:</w:t>
      </w:r>
    </w:p>
    <w:p w14:paraId="0380B9AF" w14:textId="77777777" w:rsidR="00A650E0" w:rsidRPr="00A650E0" w:rsidRDefault="00A650E0" w:rsidP="00A650E0">
      <w:pPr>
        <w:pStyle w:val="Bulletparagraph"/>
        <w:numPr>
          <w:ilvl w:val="0"/>
          <w:numId w:val="0"/>
        </w:numPr>
        <w:ind w:left="360" w:hanging="360"/>
      </w:pPr>
    </w:p>
    <w:p w14:paraId="2B59F8D9" w14:textId="77777777" w:rsidR="00A650E0" w:rsidRPr="00A650E0" w:rsidRDefault="00A650E0" w:rsidP="00A650E0">
      <w:pPr>
        <w:pStyle w:val="Bulletparagraph"/>
      </w:pPr>
      <w:r w:rsidRPr="00A650E0">
        <w:t>written information on symptoms and signs to look out for</w:t>
      </w:r>
    </w:p>
    <w:p w14:paraId="35AC5567" w14:textId="77777777" w:rsidR="00A650E0" w:rsidRPr="00A650E0" w:rsidRDefault="00A650E0" w:rsidP="00A650E0">
      <w:pPr>
        <w:pStyle w:val="Bulletparagraph"/>
      </w:pPr>
      <w:r w:rsidRPr="00A650E0">
        <w:t>direct contact details of a healthcare professional or team with expertise in thrombosis who can discuss any new symptoms or signs, or other concerns</w:t>
      </w:r>
    </w:p>
    <w:p w14:paraId="2F552F94" w14:textId="09B763C5" w:rsidR="00A650E0" w:rsidRPr="00CA1B03" w:rsidRDefault="00A650E0" w:rsidP="00A650E0">
      <w:pPr>
        <w:pStyle w:val="Bulletparagraph"/>
      </w:pPr>
      <w:r w:rsidRPr="00A650E0">
        <w:t>information about out-of-hours services they can contact when their healthcare team is not available. </w:t>
      </w:r>
      <w:r w:rsidRPr="00A650E0">
        <w:rPr>
          <w:b/>
          <w:bCs/>
        </w:rPr>
        <w:t>[2020]</w:t>
      </w:r>
    </w:p>
    <w:p w14:paraId="60E95FB6" w14:textId="77777777" w:rsidR="00CA1B03" w:rsidRPr="00A650E0" w:rsidRDefault="00CA1B03" w:rsidP="0055600F">
      <w:pPr>
        <w:pStyle w:val="Bulletparagraph"/>
        <w:numPr>
          <w:ilvl w:val="0"/>
          <w:numId w:val="0"/>
        </w:numPr>
      </w:pPr>
    </w:p>
    <w:p w14:paraId="7B2784FD" w14:textId="057F7AD4" w:rsidR="00A650E0" w:rsidRDefault="00A650E0" w:rsidP="00A650E0">
      <w:pPr>
        <w:pStyle w:val="Paragraph"/>
        <w:rPr>
          <w:u w:val="single"/>
        </w:rPr>
      </w:pPr>
      <w:r w:rsidRPr="006D4956">
        <w:rPr>
          <w:u w:val="single"/>
        </w:rPr>
        <w:t xml:space="preserve">NICE </w:t>
      </w:r>
      <w:r w:rsidR="0055600F">
        <w:rPr>
          <w:u w:val="single"/>
        </w:rPr>
        <w:t>N</w:t>
      </w:r>
      <w:r w:rsidRPr="006D4956">
        <w:rPr>
          <w:u w:val="single"/>
        </w:rPr>
        <w:t>G158</w:t>
      </w:r>
      <w:r w:rsidRPr="00252673">
        <w:rPr>
          <w:u w:val="single"/>
        </w:rPr>
        <w:t xml:space="preserve"> </w:t>
      </w:r>
      <w:r w:rsidRPr="006D4956">
        <w:rPr>
          <w:u w:val="single"/>
        </w:rPr>
        <w:t>Recommendation</w:t>
      </w:r>
      <w:r>
        <w:rPr>
          <w:u w:val="single"/>
        </w:rPr>
        <w:t xml:space="preserve"> 1.4.3</w:t>
      </w:r>
    </w:p>
    <w:p w14:paraId="3515D0A1" w14:textId="38301CFC" w:rsidR="00CA1B03" w:rsidRPr="0043703F" w:rsidRDefault="00A650E0" w:rsidP="00CD5BE9">
      <w:pPr>
        <w:pStyle w:val="Paragraph"/>
        <w:rPr>
          <w:b/>
          <w:bCs/>
        </w:rPr>
      </w:pPr>
      <w:r w:rsidRPr="00A650E0">
        <w:t>Consider continuing anticoagulation beyond 3 months (6 months for people with active cancer) after an </w:t>
      </w:r>
      <w:hyperlink r:id="rId56" w:anchor="unprovoked-dvt-or-pe" w:tgtFrame="_top" w:history="1">
        <w:r w:rsidRPr="00A650E0">
          <w:rPr>
            <w:rStyle w:val="Hyperlink"/>
          </w:rPr>
          <w:t>unprovoked DVT or PE</w:t>
        </w:r>
      </w:hyperlink>
      <w:r w:rsidRPr="00A650E0">
        <w:t>. Base the decision on the balance between the person's risk of venous thromboembolism (VTE) recurrence and their risk of bleeding. Discuss the risks and benefits of long-term anticoagulation with the person, and take their preferences into account. </w:t>
      </w:r>
      <w:r w:rsidRPr="00A650E0">
        <w:rPr>
          <w:b/>
          <w:bCs/>
        </w:rPr>
        <w:t>[2020]</w:t>
      </w:r>
    </w:p>
    <w:p w14:paraId="017EB295" w14:textId="6197C3C4" w:rsidR="00CD5BE9" w:rsidRDefault="00CD5BE9" w:rsidP="00CD5BE9">
      <w:pPr>
        <w:pStyle w:val="Paragraph"/>
        <w:rPr>
          <w:u w:val="single"/>
        </w:rPr>
      </w:pPr>
      <w:r w:rsidRPr="006D4956">
        <w:rPr>
          <w:u w:val="single"/>
        </w:rPr>
        <w:t>NICE NG158</w:t>
      </w:r>
      <w:r w:rsidRPr="00252673">
        <w:rPr>
          <w:u w:val="single"/>
        </w:rPr>
        <w:t xml:space="preserve"> </w:t>
      </w:r>
      <w:r w:rsidRPr="006D4956">
        <w:rPr>
          <w:u w:val="single"/>
        </w:rPr>
        <w:t>Recommendation</w:t>
      </w:r>
      <w:r>
        <w:rPr>
          <w:u w:val="single"/>
        </w:rPr>
        <w:t xml:space="preserve"> 1.4.4</w:t>
      </w:r>
    </w:p>
    <w:bookmarkEnd w:id="76"/>
    <w:p w14:paraId="69FBF0B9" w14:textId="28D4BDC6" w:rsidR="00CA1B03" w:rsidRDefault="00CD5BE9" w:rsidP="00CD5BE9">
      <w:pPr>
        <w:pStyle w:val="Paragraph"/>
        <w:rPr>
          <w:b/>
          <w:bCs/>
        </w:rPr>
      </w:pPr>
      <w:r w:rsidRPr="00CD5BE9">
        <w:t>Explain to people with unprovoked DVT or PE and a low bleeding risk that the benefits of continuing anticoagulation treatment are likely to outweigh the risks. </w:t>
      </w:r>
      <w:r w:rsidRPr="00CD5BE9">
        <w:rPr>
          <w:b/>
          <w:bCs/>
        </w:rPr>
        <w:t>[2020]</w:t>
      </w:r>
    </w:p>
    <w:p w14:paraId="47BA9151" w14:textId="4C19EF4D" w:rsidR="00CD5BE9" w:rsidRPr="00CD5BE9" w:rsidRDefault="00CD5BE9" w:rsidP="00CD5BE9">
      <w:pPr>
        <w:pStyle w:val="Paragraph"/>
        <w:rPr>
          <w:u w:val="single"/>
        </w:rPr>
      </w:pPr>
      <w:r w:rsidRPr="00CD5BE9">
        <w:rPr>
          <w:u w:val="single"/>
        </w:rPr>
        <w:t>NICE NG158 Recommendation 1.4.5</w:t>
      </w:r>
    </w:p>
    <w:p w14:paraId="4B5D32D1" w14:textId="048120B0" w:rsidR="00CA1B03" w:rsidRPr="0043703F" w:rsidRDefault="00CD5BE9" w:rsidP="00CD5BE9">
      <w:pPr>
        <w:pStyle w:val="Paragraph"/>
        <w:rPr>
          <w:b/>
          <w:bCs/>
        </w:rPr>
      </w:pPr>
      <w:r w:rsidRPr="00CD5BE9">
        <w:t>Do not rely solely on predictive risk tools to assess the need for long-term anticoagulation treatment. </w:t>
      </w:r>
      <w:r w:rsidRPr="00CD5BE9">
        <w:rPr>
          <w:b/>
          <w:bCs/>
        </w:rPr>
        <w:t>[2020]</w:t>
      </w:r>
    </w:p>
    <w:p w14:paraId="4B275D1A" w14:textId="6B50C37C" w:rsidR="00CD5BE9" w:rsidRPr="00CD5BE9" w:rsidRDefault="00CD5BE9" w:rsidP="00CD5BE9">
      <w:pPr>
        <w:pStyle w:val="Paragraph"/>
        <w:rPr>
          <w:u w:val="single"/>
        </w:rPr>
      </w:pPr>
      <w:r w:rsidRPr="00CD5BE9">
        <w:rPr>
          <w:u w:val="single"/>
        </w:rPr>
        <w:t>NICE NG158 Recommendation 1.4.</w:t>
      </w:r>
      <w:r>
        <w:rPr>
          <w:u w:val="single"/>
        </w:rPr>
        <w:t>7</w:t>
      </w:r>
    </w:p>
    <w:p w14:paraId="509CDE1D" w14:textId="68CFA58D" w:rsidR="00CA1B03" w:rsidRDefault="00CD5BE9" w:rsidP="00A813F7">
      <w:pPr>
        <w:pStyle w:val="Paragraph"/>
        <w:rPr>
          <w:b/>
          <w:bCs/>
        </w:rPr>
      </w:pPr>
      <w:r w:rsidRPr="00CD5BE9">
        <w:t>Take into account the person's preferences and their clinical situation when selecting an anticoagulant for long-term treatment. </w:t>
      </w:r>
      <w:r w:rsidRPr="00CD5BE9">
        <w:rPr>
          <w:b/>
          <w:bCs/>
        </w:rPr>
        <w:t>[2020]</w:t>
      </w:r>
    </w:p>
    <w:p w14:paraId="791F9755" w14:textId="2461B369" w:rsidR="009B711C" w:rsidRPr="009B711C" w:rsidRDefault="009B711C" w:rsidP="009B711C">
      <w:pPr>
        <w:pStyle w:val="Paragraph"/>
        <w:rPr>
          <w:u w:val="single"/>
        </w:rPr>
      </w:pPr>
      <w:r w:rsidRPr="009B711C">
        <w:rPr>
          <w:u w:val="single"/>
        </w:rPr>
        <w:lastRenderedPageBreak/>
        <w:t>NICE NG158 Recommendation 1.4.1</w:t>
      </w:r>
      <w:r>
        <w:rPr>
          <w:u w:val="single"/>
        </w:rPr>
        <w:t>2</w:t>
      </w:r>
    </w:p>
    <w:p w14:paraId="04300AFA" w14:textId="010EF31C" w:rsidR="0055600F" w:rsidRPr="0043703F" w:rsidRDefault="009B711C" w:rsidP="0043703F">
      <w:pPr>
        <w:pStyle w:val="Paragraph"/>
        <w:rPr>
          <w:b/>
          <w:bCs/>
        </w:rPr>
      </w:pPr>
      <w:r w:rsidRPr="009B711C">
        <w:t>Review general health, risk of VTE recurrence, bleeding risk and treatment preferences at least once a year for people taking long-term anticoagulation treatment or aspirin. </w:t>
      </w:r>
      <w:r w:rsidRPr="009B711C">
        <w:rPr>
          <w:b/>
          <w:bCs/>
        </w:rPr>
        <w:t>[2020]</w:t>
      </w:r>
      <w:bookmarkStart w:id="77" w:name="_Hlk50138340"/>
    </w:p>
    <w:p w14:paraId="4EC7EC9E" w14:textId="50E88B2D" w:rsidR="00106994" w:rsidRPr="00F22EF7" w:rsidRDefault="0096348A" w:rsidP="00106994">
      <w:pPr>
        <w:pStyle w:val="Numberedheading3"/>
      </w:pPr>
      <w:r>
        <w:t>4.3.3</w:t>
      </w:r>
      <w:r>
        <w:tab/>
      </w:r>
      <w:r w:rsidR="00106994">
        <w:t>Current UK practice</w:t>
      </w:r>
    </w:p>
    <w:p w14:paraId="031FB798" w14:textId="784AF358" w:rsidR="00A650E0" w:rsidRDefault="0018389D" w:rsidP="0018389D">
      <w:pPr>
        <w:pStyle w:val="Paragraph"/>
        <w:rPr>
          <w:b/>
          <w:bCs/>
        </w:rPr>
      </w:pPr>
      <w:bookmarkStart w:id="78" w:name="_Hlk49697115"/>
      <w:bookmarkEnd w:id="77"/>
      <w:r w:rsidRPr="00210C97">
        <w:rPr>
          <w:b/>
          <w:bCs/>
        </w:rPr>
        <w:t>Confirmed DVT or PE</w:t>
      </w:r>
    </w:p>
    <w:p w14:paraId="7DA8F106" w14:textId="2DC53A45" w:rsidR="001B515B" w:rsidRPr="0018389D" w:rsidRDefault="007A6DEE" w:rsidP="0018389D">
      <w:pPr>
        <w:pStyle w:val="Paragraph"/>
        <w:rPr>
          <w:b/>
          <w:bCs/>
        </w:rPr>
      </w:pPr>
      <w:r w:rsidRPr="007A6DEE">
        <w:t xml:space="preserve">The 2019 National Confidential Enquiry into Patient Outcome and Death </w:t>
      </w:r>
      <w:hyperlink r:id="rId57" w:history="1">
        <w:r w:rsidRPr="007A6DEE">
          <w:rPr>
            <w:rStyle w:val="Hyperlink"/>
          </w:rPr>
          <w:t>Pulmonary embolism: Know the score</w:t>
        </w:r>
      </w:hyperlink>
      <w:r w:rsidRPr="007A6DEE">
        <w:t xml:space="preserve"> </w:t>
      </w:r>
      <w:r>
        <w:t xml:space="preserve">reported </w:t>
      </w:r>
      <w:r w:rsidR="001B248D">
        <w:t xml:space="preserve">out of 450 patients, </w:t>
      </w:r>
      <w:r>
        <w:t>274</w:t>
      </w:r>
      <w:r w:rsidR="001B248D">
        <w:t xml:space="preserve"> </w:t>
      </w:r>
      <w:r>
        <w:t xml:space="preserve">450 (60.9%) patients were discharged on direct oral anticoagulants (DOACs). The second largest group was </w:t>
      </w:r>
      <w:r w:rsidR="001B248D">
        <w:t xml:space="preserve">124 </w:t>
      </w:r>
      <w:r>
        <w:t xml:space="preserve">patients on low molecular weight heparin (LMWH) </w:t>
      </w:r>
      <w:r w:rsidR="001B248D">
        <w:t>injections (</w:t>
      </w:r>
      <w:r>
        <w:t xml:space="preserve">27.6%). </w:t>
      </w:r>
    </w:p>
    <w:p w14:paraId="7DEAC389" w14:textId="5DD52D48" w:rsidR="0018389D" w:rsidRDefault="0018389D" w:rsidP="00106994">
      <w:pPr>
        <w:pStyle w:val="Paragraph"/>
        <w:rPr>
          <w:b/>
          <w:bCs/>
        </w:rPr>
      </w:pPr>
      <w:r w:rsidRPr="00210C97">
        <w:rPr>
          <w:b/>
          <w:bCs/>
        </w:rPr>
        <w:t>Long-term anticoagulation for secondary prevention</w:t>
      </w:r>
    </w:p>
    <w:p w14:paraId="47EF85FF" w14:textId="52561286" w:rsidR="007A6DEE" w:rsidRDefault="007A6DEE" w:rsidP="00106994">
      <w:pPr>
        <w:pStyle w:val="Paragraph"/>
        <w:rPr>
          <w:lang w:bidi="ne-NP"/>
        </w:rPr>
      </w:pPr>
      <w:bookmarkStart w:id="79" w:name="_Hlk50459461"/>
      <w:bookmarkStart w:id="80" w:name="_Hlk50360559"/>
      <w:r w:rsidRPr="007A6DEE">
        <w:rPr>
          <w:lang w:bidi="ne-NP"/>
        </w:rPr>
        <w:t xml:space="preserve">The 2019 National Confidential Enquiry into Patient Outcome and Death </w:t>
      </w:r>
      <w:hyperlink r:id="rId58" w:history="1">
        <w:r w:rsidRPr="007A6DEE">
          <w:rPr>
            <w:rStyle w:val="Hyperlink"/>
            <w:lang w:bidi="ne-NP"/>
          </w:rPr>
          <w:t>Pulmonary embolism: Know the score</w:t>
        </w:r>
      </w:hyperlink>
      <w:r w:rsidRPr="007A6DEE">
        <w:rPr>
          <w:lang w:bidi="ne-NP"/>
        </w:rPr>
        <w:t xml:space="preserve"> </w:t>
      </w:r>
      <w:bookmarkEnd w:id="79"/>
      <w:r w:rsidRPr="007A6DEE">
        <w:rPr>
          <w:lang w:bidi="ne-NP"/>
        </w:rPr>
        <w:t>reported</w:t>
      </w:r>
      <w:r>
        <w:rPr>
          <w:lang w:bidi="ne-NP"/>
        </w:rPr>
        <w:t xml:space="preserve"> </w:t>
      </w:r>
      <w:r w:rsidR="00210C97">
        <w:rPr>
          <w:lang w:bidi="ne-NP"/>
        </w:rPr>
        <w:t>that case reviewers recorded that the</w:t>
      </w:r>
      <w:r w:rsidRPr="007A6DEE">
        <w:rPr>
          <w:lang w:bidi="ne-NP"/>
        </w:rPr>
        <w:t xml:space="preserve"> duration of anticoagulation was adequate in 343/380 (90.3%) patients, but not in 37/380 (9.7%) patients and unknown in 83 patients</w:t>
      </w:r>
      <w:r>
        <w:rPr>
          <w:lang w:bidi="ne-NP"/>
        </w:rPr>
        <w:t>.</w:t>
      </w:r>
      <w:r w:rsidR="00210C97">
        <w:rPr>
          <w:lang w:bidi="ne-NP"/>
        </w:rPr>
        <w:t xml:space="preserve"> </w:t>
      </w:r>
      <w:r w:rsidR="00B5575B">
        <w:rPr>
          <w:lang w:bidi="ne-NP"/>
        </w:rPr>
        <w:t>Also,</w:t>
      </w:r>
      <w:r w:rsidR="00B37E86">
        <w:rPr>
          <w:lang w:bidi="ne-NP"/>
        </w:rPr>
        <w:t xml:space="preserve"> </w:t>
      </w:r>
      <w:r w:rsidR="00210C97">
        <w:rPr>
          <w:lang w:bidi="ne-NP"/>
        </w:rPr>
        <w:t>the same report concluded that</w:t>
      </w:r>
      <w:r w:rsidR="00B37E86">
        <w:rPr>
          <w:lang w:bidi="ne-NP"/>
        </w:rPr>
        <w:t xml:space="preserve"> </w:t>
      </w:r>
      <w:bookmarkEnd w:id="80"/>
      <w:r w:rsidR="00B37E86">
        <w:rPr>
          <w:lang w:bidi="ne-NP"/>
        </w:rPr>
        <w:t xml:space="preserve">approximately 18% of hospitals routinely arranged outpatient follow-up appointments. </w:t>
      </w:r>
      <w:r w:rsidR="00B37E86" w:rsidRPr="00B37E86">
        <w:rPr>
          <w:lang w:bidi="ne-NP"/>
        </w:rPr>
        <w:t>This appear</w:t>
      </w:r>
      <w:r w:rsidR="001B515B">
        <w:rPr>
          <w:lang w:bidi="ne-NP"/>
        </w:rPr>
        <w:t>s</w:t>
      </w:r>
      <w:r w:rsidR="00B37E86" w:rsidRPr="00B37E86">
        <w:rPr>
          <w:lang w:bidi="ne-NP"/>
        </w:rPr>
        <w:t xml:space="preserve"> to suggest that</w:t>
      </w:r>
      <w:r w:rsidR="00B37E86" w:rsidRPr="00B37E86">
        <w:t xml:space="preserve"> some at-risk patients </w:t>
      </w:r>
      <w:r w:rsidR="001B515B">
        <w:t xml:space="preserve">are not </w:t>
      </w:r>
      <w:r w:rsidR="00B37E86" w:rsidRPr="00B37E86">
        <w:t>being prescribed long-term anticoagulation.</w:t>
      </w:r>
    </w:p>
    <w:p w14:paraId="1A83FBE1" w14:textId="30D3FACE" w:rsidR="00C867D6" w:rsidRPr="00017D6D" w:rsidRDefault="00017D6D" w:rsidP="00017D6D">
      <w:pPr>
        <w:pStyle w:val="Numberedheading3"/>
      </w:pPr>
      <w:r>
        <w:t xml:space="preserve">4.3.4 </w:t>
      </w:r>
      <w:r w:rsidR="00C867D6" w:rsidRPr="00017D6D">
        <w:t>Resource impact</w:t>
      </w:r>
    </w:p>
    <w:p w14:paraId="1362B879" w14:textId="2DE6DDD1" w:rsidR="00017D6D" w:rsidRPr="00017D6D" w:rsidRDefault="00017D6D" w:rsidP="00017D6D">
      <w:pPr>
        <w:pStyle w:val="Paragraph"/>
        <w:rPr>
          <w:lang w:bidi="ne-NP"/>
        </w:rPr>
      </w:pPr>
      <w:r w:rsidRPr="00017D6D">
        <w:rPr>
          <w:lang w:bidi="ne-NP"/>
        </w:rPr>
        <w:t>The resource impact report developed to support this guideline expected that there</w:t>
      </w:r>
      <w:r>
        <w:rPr>
          <w:lang w:bidi="ne-NP"/>
        </w:rPr>
        <w:t xml:space="preserve"> </w:t>
      </w:r>
      <w:r w:rsidRPr="00017D6D">
        <w:rPr>
          <w:lang w:bidi="ne-NP"/>
        </w:rPr>
        <w:t xml:space="preserve">would be a cost of implementing </w:t>
      </w:r>
      <w:r w:rsidR="00A650E0">
        <w:rPr>
          <w:lang w:bidi="ne-NP"/>
        </w:rPr>
        <w:t xml:space="preserve">NICE NG158 </w:t>
      </w:r>
      <w:r w:rsidRPr="00017D6D">
        <w:rPr>
          <w:lang w:bidi="ne-NP"/>
        </w:rPr>
        <w:t>recommendation 1.3.8 of around £4 million. This was offset by savings from other anti-coagulation recommendations 1.3.15, 1.3.17 and 1.3.18. These savings were expected to be around £6.1 million, giving a total cash saving of around £2.1 million.</w:t>
      </w:r>
    </w:p>
    <w:p w14:paraId="5A598084" w14:textId="67CBB00D" w:rsidR="00017D6D" w:rsidRPr="00E377C9" w:rsidRDefault="00017D6D" w:rsidP="00017D6D">
      <w:pPr>
        <w:pStyle w:val="Paragraph"/>
        <w:rPr>
          <w:rFonts w:cs="Arial"/>
          <w:b/>
          <w:bCs/>
          <w:sz w:val="26"/>
        </w:rPr>
      </w:pPr>
      <w:r>
        <w:rPr>
          <w:rFonts w:cs="Arial"/>
          <w:b/>
          <w:bCs/>
          <w:sz w:val="26"/>
        </w:rPr>
        <w:t>4</w:t>
      </w:r>
      <w:bookmarkStart w:id="81" w:name="_Hlk50376745"/>
      <w:r>
        <w:rPr>
          <w:rFonts w:cs="Arial"/>
          <w:b/>
          <w:bCs/>
          <w:sz w:val="26"/>
        </w:rPr>
        <w:t xml:space="preserve">.3.5 </w:t>
      </w:r>
      <w:r w:rsidR="00B544EE">
        <w:rPr>
          <w:rFonts w:cs="Arial"/>
          <w:b/>
          <w:bCs/>
          <w:sz w:val="26"/>
        </w:rPr>
        <w:tab/>
      </w:r>
      <w:r w:rsidRPr="00E377C9">
        <w:rPr>
          <w:rFonts w:cs="Arial"/>
          <w:b/>
          <w:bCs/>
          <w:sz w:val="26"/>
        </w:rPr>
        <w:t>Committee discussion</w:t>
      </w:r>
    </w:p>
    <w:p w14:paraId="36A42431" w14:textId="3BC66600" w:rsidR="00017D6D" w:rsidRPr="00AB5D35" w:rsidRDefault="00017D6D" w:rsidP="00017D6D">
      <w:pPr>
        <w:pStyle w:val="Paragraph"/>
        <w:rPr>
          <w:b/>
          <w:bCs/>
        </w:rPr>
      </w:pPr>
      <w:r w:rsidRPr="00AB5D35">
        <w:rPr>
          <w:b/>
          <w:bCs/>
        </w:rPr>
        <w:t>For discussion</w:t>
      </w:r>
    </w:p>
    <w:p w14:paraId="520D3647" w14:textId="77777777" w:rsidR="00017D6D" w:rsidRPr="00AB5D35" w:rsidRDefault="00017D6D" w:rsidP="00017D6D">
      <w:pPr>
        <w:pStyle w:val="Bulletparagraph"/>
      </w:pPr>
      <w:r w:rsidRPr="00AB5D35">
        <w:t>What is the priority for improvement?</w:t>
      </w:r>
    </w:p>
    <w:p w14:paraId="5FE830C3" w14:textId="77777777" w:rsidR="00017D6D" w:rsidRPr="00AB5D35" w:rsidRDefault="00017D6D" w:rsidP="00017D6D">
      <w:pPr>
        <w:pStyle w:val="Bulletparagraph"/>
      </w:pPr>
      <w:r w:rsidRPr="00AB5D35">
        <w:t>What is the key action that will lead to improvement?</w:t>
      </w:r>
    </w:p>
    <w:p w14:paraId="69A3830D" w14:textId="77777777" w:rsidR="00017D6D" w:rsidRDefault="00017D6D" w:rsidP="00017D6D">
      <w:pPr>
        <w:pStyle w:val="Bulletparagraph"/>
      </w:pPr>
      <w:r w:rsidRPr="00AB5D35">
        <w:t>Can we develop a specific, measurable statement?</w:t>
      </w:r>
    </w:p>
    <w:p w14:paraId="40E77E3D" w14:textId="77777777" w:rsidR="00017D6D" w:rsidRPr="00AB5D35" w:rsidRDefault="00017D6D" w:rsidP="00017D6D">
      <w:pPr>
        <w:pStyle w:val="Paragraph"/>
        <w:rPr>
          <w:b/>
          <w:bCs/>
        </w:rPr>
      </w:pPr>
      <w:r w:rsidRPr="00AB5D35">
        <w:rPr>
          <w:b/>
          <w:bCs/>
        </w:rPr>
        <w:t>For decision</w:t>
      </w:r>
    </w:p>
    <w:p w14:paraId="0B9DC9E0" w14:textId="3F565DEF" w:rsidR="001B515B" w:rsidRDefault="001B515B" w:rsidP="007F298D">
      <w:pPr>
        <w:pStyle w:val="Paragraph"/>
        <w:numPr>
          <w:ilvl w:val="0"/>
          <w:numId w:val="4"/>
        </w:numPr>
      </w:pPr>
      <w:bookmarkStart w:id="82" w:name="_Hlk49692826"/>
      <w:bookmarkEnd w:id="78"/>
      <w:r w:rsidRPr="001B515B">
        <w:t>Should any of these areas be prioritised for inclusion in the quality standard?</w:t>
      </w:r>
    </w:p>
    <w:p w14:paraId="6DF6703E" w14:textId="35912754" w:rsidR="00226A4D" w:rsidRPr="0043703F" w:rsidRDefault="00226A4D" w:rsidP="0043703F">
      <w:pPr>
        <w:rPr>
          <w:rFonts w:ascii="Arial" w:hAnsi="Arial"/>
        </w:rPr>
      </w:pPr>
      <w:r>
        <w:lastRenderedPageBreak/>
        <w:br w:type="page"/>
      </w:r>
    </w:p>
    <w:bookmarkEnd w:id="81"/>
    <w:p w14:paraId="5A4A11CB" w14:textId="1BD67A60" w:rsidR="000A1A67" w:rsidRPr="000A1A67" w:rsidRDefault="00B53050" w:rsidP="000A1A67">
      <w:pPr>
        <w:pStyle w:val="Numberedheading2"/>
      </w:pPr>
      <w:r>
        <w:lastRenderedPageBreak/>
        <w:t>4.4</w:t>
      </w:r>
      <w:r>
        <w:tab/>
      </w:r>
      <w:r w:rsidR="00D345AA">
        <w:t xml:space="preserve">Further interventions </w:t>
      </w:r>
      <w:r w:rsidR="00E55D72">
        <w:t>and tests</w:t>
      </w:r>
    </w:p>
    <w:p w14:paraId="669990A1" w14:textId="23102381" w:rsidR="000A1A67" w:rsidRDefault="000A1A67" w:rsidP="007F298D">
      <w:pPr>
        <w:pStyle w:val="Numberedheading3"/>
        <w:numPr>
          <w:ilvl w:val="2"/>
          <w:numId w:val="6"/>
        </w:numPr>
      </w:pPr>
      <w:r w:rsidRPr="00E70992">
        <w:t>Summary of suggestions</w:t>
      </w:r>
    </w:p>
    <w:p w14:paraId="0FDA943C" w14:textId="540FD870" w:rsidR="00FC7507" w:rsidRPr="00685B78" w:rsidRDefault="000A1A67" w:rsidP="000A1A67">
      <w:pPr>
        <w:pStyle w:val="Paragraph"/>
        <w:rPr>
          <w:b/>
          <w:bCs/>
        </w:rPr>
      </w:pPr>
      <w:bookmarkStart w:id="83" w:name="_Hlk50138248"/>
      <w:r w:rsidRPr="00685B78">
        <w:rPr>
          <w:b/>
          <w:bCs/>
        </w:rPr>
        <w:t>Mechanical interventions</w:t>
      </w:r>
      <w:r w:rsidR="00FC7507" w:rsidRPr="00685B78">
        <w:rPr>
          <w:b/>
          <w:bCs/>
        </w:rPr>
        <w:t xml:space="preserve"> </w:t>
      </w:r>
    </w:p>
    <w:p w14:paraId="2D0EF842" w14:textId="61A83C59" w:rsidR="002D0BA7" w:rsidRPr="001F2352" w:rsidRDefault="002D0BA7" w:rsidP="002D0BA7">
      <w:pPr>
        <w:pStyle w:val="Paragraph"/>
      </w:pPr>
      <w:r>
        <w:t xml:space="preserve">A stakeholder reported </w:t>
      </w:r>
      <w:r w:rsidR="00B544EE">
        <w:t>an</w:t>
      </w:r>
      <w:r>
        <w:t xml:space="preserve"> </w:t>
      </w:r>
      <w:r w:rsidR="00B544EE">
        <w:t>increased</w:t>
      </w:r>
      <w:r w:rsidR="00FC7507" w:rsidRPr="00B53050">
        <w:t xml:space="preserve"> use of </w:t>
      </w:r>
      <w:r w:rsidR="00DD138B">
        <w:t>i</w:t>
      </w:r>
      <w:r w:rsidR="00B544EE" w:rsidRPr="00B544EE">
        <w:t xml:space="preserve">nferior </w:t>
      </w:r>
      <w:r w:rsidR="00BB009A">
        <w:t>v</w:t>
      </w:r>
      <w:r w:rsidR="00B544EE" w:rsidRPr="00B544EE">
        <w:t>ena cava</w:t>
      </w:r>
      <w:r w:rsidR="00DD138B">
        <w:t>l</w:t>
      </w:r>
      <w:r w:rsidR="00B544EE" w:rsidRPr="00B544EE">
        <w:t xml:space="preserve"> filters </w:t>
      </w:r>
      <w:r w:rsidR="00B544EE">
        <w:t>(</w:t>
      </w:r>
      <w:r w:rsidR="00FC7507" w:rsidRPr="00B544EE">
        <w:t>IVC</w:t>
      </w:r>
      <w:r w:rsidR="00B544EE">
        <w:t>)</w:t>
      </w:r>
      <w:r w:rsidR="00FC7507" w:rsidRPr="00B53050">
        <w:t xml:space="preserve"> filters</w:t>
      </w:r>
      <w:r>
        <w:t xml:space="preserve"> </w:t>
      </w:r>
      <w:r w:rsidR="00FC7507" w:rsidRPr="00B53050">
        <w:t xml:space="preserve">especially </w:t>
      </w:r>
      <w:r w:rsidR="00B544EE">
        <w:t xml:space="preserve">in the </w:t>
      </w:r>
      <w:r w:rsidR="00FC7507" w:rsidRPr="00B53050">
        <w:t>peri-operative</w:t>
      </w:r>
      <w:r w:rsidR="00B544EE">
        <w:t xml:space="preserve"> setting</w:t>
      </w:r>
      <w:r w:rsidR="00FC7507" w:rsidRPr="00B53050">
        <w:t>.</w:t>
      </w:r>
      <w:r w:rsidR="0081501A">
        <w:t xml:space="preserve"> </w:t>
      </w:r>
      <w:r w:rsidR="00B544EE">
        <w:t>It is</w:t>
      </w:r>
      <w:r w:rsidR="00FC7507" w:rsidRPr="00B53050">
        <w:t xml:space="preserve"> important </w:t>
      </w:r>
      <w:r w:rsidR="00B544EE">
        <w:t>to consider this</w:t>
      </w:r>
      <w:r w:rsidR="00FC7507" w:rsidRPr="00B53050">
        <w:t xml:space="preserve"> </w:t>
      </w:r>
      <w:r w:rsidR="00650290">
        <w:t xml:space="preserve">increased use in this setting </w:t>
      </w:r>
      <w:r w:rsidR="00FC7507" w:rsidRPr="00B53050">
        <w:t>and the need to retrieve the filter in a timely manner</w:t>
      </w:r>
      <w:r>
        <w:t xml:space="preserve"> to </w:t>
      </w:r>
      <w:r w:rsidR="00FC7507" w:rsidRPr="00B53050">
        <w:t>support efficacy</w:t>
      </w:r>
      <w:r>
        <w:t xml:space="preserve"> </w:t>
      </w:r>
      <w:r w:rsidR="00FC7507" w:rsidRPr="00B53050">
        <w:t xml:space="preserve">and limit </w:t>
      </w:r>
      <w:r w:rsidR="0081501A">
        <w:t>the</w:t>
      </w:r>
      <w:r>
        <w:t xml:space="preserve"> </w:t>
      </w:r>
      <w:r w:rsidR="00FC7507" w:rsidRPr="00B53050">
        <w:t>risk of long</w:t>
      </w:r>
      <w:r>
        <w:t>-</w:t>
      </w:r>
      <w:r w:rsidR="00FC7507" w:rsidRPr="00B53050">
        <w:t>term adverse outcomes</w:t>
      </w:r>
      <w:r>
        <w:t>.</w:t>
      </w:r>
    </w:p>
    <w:p w14:paraId="15173BC9" w14:textId="47AE641A" w:rsidR="00415F41" w:rsidRPr="00690382" w:rsidRDefault="00811B28" w:rsidP="00FC7507">
      <w:pPr>
        <w:pStyle w:val="Paragraph"/>
      </w:pPr>
      <w:r>
        <w:t>A</w:t>
      </w:r>
      <w:r w:rsidR="00415F41" w:rsidRPr="00415F41">
        <w:t xml:space="preserve"> stakeholder also </w:t>
      </w:r>
      <w:r w:rsidR="0081501A">
        <w:t>queried</w:t>
      </w:r>
      <w:r w:rsidR="00415F41" w:rsidRPr="00415F41">
        <w:t xml:space="preserve"> </w:t>
      </w:r>
      <w:r w:rsidR="00650290">
        <w:t xml:space="preserve">the </w:t>
      </w:r>
      <w:r w:rsidR="00415F41" w:rsidRPr="00415F41">
        <w:t>use of stockings for preventing post-thrombotic syndrome.</w:t>
      </w:r>
    </w:p>
    <w:p w14:paraId="63F87646" w14:textId="5A7D3482" w:rsidR="00E55D72" w:rsidRDefault="00E55D72" w:rsidP="00FC7507">
      <w:pPr>
        <w:pStyle w:val="Paragraph"/>
        <w:rPr>
          <w:b/>
          <w:bCs/>
        </w:rPr>
      </w:pPr>
      <w:r w:rsidRPr="00E55D72">
        <w:rPr>
          <w:b/>
          <w:bCs/>
        </w:rPr>
        <w:t xml:space="preserve">Investigating the causes of DVT and PE </w:t>
      </w:r>
    </w:p>
    <w:p w14:paraId="3ABFA0A3" w14:textId="24A6F406" w:rsidR="004202F9" w:rsidRPr="004202F9" w:rsidRDefault="004202F9" w:rsidP="00735A18">
      <w:pPr>
        <w:pStyle w:val="Paragraph"/>
      </w:pPr>
      <w:r w:rsidRPr="004202F9">
        <w:t xml:space="preserve">A stakeholder reported poor uptake of pharmacological VTE prophylaxis for a minimum of 7 days as </w:t>
      </w:r>
      <w:bookmarkStart w:id="84" w:name="_Hlk50447870"/>
      <w:r w:rsidR="00650290" w:rsidRPr="00650290">
        <w:t xml:space="preserve">low molecular weight heparin (LMWH) </w:t>
      </w:r>
      <w:bookmarkEnd w:id="84"/>
      <w:r w:rsidRPr="004202F9">
        <w:t>injections are difficult to administer for many patients on discharge. This needs to be recognised and addressed.</w:t>
      </w:r>
    </w:p>
    <w:p w14:paraId="1BE0D603" w14:textId="67809167" w:rsidR="00735A18" w:rsidRDefault="00735A18" w:rsidP="00735A18">
      <w:pPr>
        <w:pStyle w:val="Paragraph"/>
      </w:pPr>
      <w:r w:rsidRPr="000F45B0">
        <w:t xml:space="preserve">Stakeholders supported </w:t>
      </w:r>
      <w:r w:rsidR="00EC1020">
        <w:t>cancer</w:t>
      </w:r>
      <w:r w:rsidR="000F45B0">
        <w:t xml:space="preserve"> </w:t>
      </w:r>
      <w:r w:rsidRPr="00735A18">
        <w:t>investigation</w:t>
      </w:r>
      <w:r w:rsidR="000F45B0" w:rsidRPr="000F45B0">
        <w:t>s in order to establish</w:t>
      </w:r>
      <w:r w:rsidRPr="00735A18">
        <w:t xml:space="preserve"> a diagnosis and </w:t>
      </w:r>
      <w:r w:rsidR="00D501CA">
        <w:t xml:space="preserve">the </w:t>
      </w:r>
      <w:r w:rsidRPr="00735A18">
        <w:t>appropriate type and duration of anticoagulation</w:t>
      </w:r>
      <w:r w:rsidR="00D501CA">
        <w:t xml:space="preserve"> needed</w:t>
      </w:r>
      <w:r w:rsidRPr="00735A18">
        <w:t>.</w:t>
      </w:r>
    </w:p>
    <w:p w14:paraId="3FEEA70E" w14:textId="30491CD8" w:rsidR="00481D2B" w:rsidRPr="00EC1020" w:rsidRDefault="000F45B0" w:rsidP="00481D2B">
      <w:pPr>
        <w:pStyle w:val="Paragraph"/>
      </w:pPr>
      <w:r>
        <w:t>Stakeholders also</w:t>
      </w:r>
      <w:r w:rsidRPr="000F45B0">
        <w:t xml:space="preserve"> support</w:t>
      </w:r>
      <w:r>
        <w:t>ed</w:t>
      </w:r>
      <w:r w:rsidRPr="000F45B0">
        <w:t xml:space="preserve"> not </w:t>
      </w:r>
      <w:r>
        <w:t>offer</w:t>
      </w:r>
      <w:r w:rsidR="001B248D">
        <w:t>ing</w:t>
      </w:r>
      <w:r>
        <w:t xml:space="preserve"> </w:t>
      </w:r>
      <w:r w:rsidRPr="000F45B0">
        <w:t xml:space="preserve">further </w:t>
      </w:r>
      <w:r>
        <w:t>investigations</w:t>
      </w:r>
      <w:r w:rsidRPr="000F45B0">
        <w:t xml:space="preserve"> </w:t>
      </w:r>
      <w:r>
        <w:t>to</w:t>
      </w:r>
      <w:r w:rsidRPr="000F45B0">
        <w:t xml:space="preserve"> people with unprovoked venous thrombosis</w:t>
      </w:r>
      <w:r>
        <w:t xml:space="preserve"> to reduce anxiety and </w:t>
      </w:r>
      <w:r w:rsidR="00BC5B49">
        <w:t>overall</w:t>
      </w:r>
      <w:r w:rsidR="00424CED" w:rsidRPr="00424CED">
        <w:t xml:space="preserve"> health service</w:t>
      </w:r>
      <w:r w:rsidR="00BC5B49">
        <w:t xml:space="preserve"> costs.</w:t>
      </w:r>
    </w:p>
    <w:p w14:paraId="22991C9C" w14:textId="25330E12" w:rsidR="00854952" w:rsidRPr="00041DC8" w:rsidRDefault="00C42695" w:rsidP="00735A18">
      <w:pPr>
        <w:pStyle w:val="Paragraph"/>
        <w:rPr>
          <w:bCs/>
          <w:u w:val="single"/>
        </w:rPr>
      </w:pPr>
      <w:r>
        <w:rPr>
          <w:bCs/>
        </w:rPr>
        <w:t>A</w:t>
      </w:r>
      <w:r w:rsidR="00650290">
        <w:rPr>
          <w:bCs/>
        </w:rPr>
        <w:t>nother</w:t>
      </w:r>
      <w:r>
        <w:rPr>
          <w:bCs/>
        </w:rPr>
        <w:t xml:space="preserve"> stakeholder </w:t>
      </w:r>
      <w:r w:rsidR="00650290">
        <w:rPr>
          <w:bCs/>
        </w:rPr>
        <w:t xml:space="preserve">supported not offering </w:t>
      </w:r>
      <w:r w:rsidR="00041DC8" w:rsidRPr="00041DC8">
        <w:rPr>
          <w:bCs/>
        </w:rPr>
        <w:t xml:space="preserve">Thrombophilia testing </w:t>
      </w:r>
      <w:r w:rsidR="00650290">
        <w:rPr>
          <w:bCs/>
        </w:rPr>
        <w:t>due</w:t>
      </w:r>
      <w:r w:rsidR="00041DC8" w:rsidRPr="00041DC8">
        <w:rPr>
          <w:bCs/>
        </w:rPr>
        <w:t xml:space="preserve"> </w:t>
      </w:r>
      <w:r w:rsidRPr="00041DC8">
        <w:rPr>
          <w:bCs/>
        </w:rPr>
        <w:t xml:space="preserve">its </w:t>
      </w:r>
      <w:r w:rsidR="00650290">
        <w:rPr>
          <w:bCs/>
        </w:rPr>
        <w:t xml:space="preserve">high costs and </w:t>
      </w:r>
      <w:r w:rsidRPr="00041DC8">
        <w:rPr>
          <w:bCs/>
        </w:rPr>
        <w:t>low clinical</w:t>
      </w:r>
      <w:r>
        <w:rPr>
          <w:bCs/>
        </w:rPr>
        <w:t xml:space="preserve"> value. </w:t>
      </w:r>
    </w:p>
    <w:bookmarkEnd w:id="83"/>
    <w:p w14:paraId="18990508" w14:textId="196FBF5E" w:rsidR="000A1A67" w:rsidRPr="007B1C0E" w:rsidRDefault="000A1A67" w:rsidP="007F298D">
      <w:pPr>
        <w:pStyle w:val="Numberedheading3"/>
        <w:numPr>
          <w:ilvl w:val="2"/>
          <w:numId w:val="6"/>
        </w:numPr>
      </w:pPr>
      <w:r>
        <w:t>S</w:t>
      </w:r>
      <w:r w:rsidRPr="00CD3D03">
        <w:t>elected recommendations from development source</w:t>
      </w:r>
      <w:r w:rsidR="005C54A0">
        <w:t>s</w:t>
      </w:r>
    </w:p>
    <w:p w14:paraId="4162C698" w14:textId="5CD04259" w:rsidR="000A1A67" w:rsidRPr="00913701" w:rsidRDefault="000A1A67" w:rsidP="000A1A67">
      <w:pPr>
        <w:pStyle w:val="Paragraph"/>
      </w:pPr>
      <w:r>
        <w:t xml:space="preserve">Table </w:t>
      </w:r>
      <w:r w:rsidR="005C54A0">
        <w:t>6</w:t>
      </w:r>
      <w:r>
        <w:t xml:space="preserve"> below highlights </w:t>
      </w:r>
      <w:r w:rsidRPr="00913701">
        <w:t xml:space="preserve">recommendations that have been provisionally selected from the development </w:t>
      </w:r>
      <w:r w:rsidRPr="00F2333B">
        <w:t>source</w:t>
      </w:r>
      <w:r>
        <w:t>s</w:t>
      </w:r>
      <w:r w:rsidRPr="00913701">
        <w:t xml:space="preserve"> </w:t>
      </w:r>
      <w:r>
        <w:t>that may</w:t>
      </w:r>
      <w:r w:rsidRPr="00913701">
        <w:t xml:space="preserve"> support potential statement development.</w:t>
      </w:r>
      <w:r>
        <w:t xml:space="preserve"> These are presented in full after </w:t>
      </w:r>
      <w:r w:rsidR="005C54A0">
        <w:t xml:space="preserve">the </w:t>
      </w:r>
      <w:r>
        <w:t>table to help inform the committee’s discussion.</w:t>
      </w:r>
    </w:p>
    <w:p w14:paraId="05698206" w14:textId="26346006" w:rsidR="000A1A67" w:rsidRPr="00F45FBA" w:rsidRDefault="000A1A67" w:rsidP="000A1A67">
      <w:pPr>
        <w:pStyle w:val="Heading3"/>
      </w:pPr>
      <w:r>
        <w:t xml:space="preserve">Table </w:t>
      </w:r>
      <w:r w:rsidR="008678BA">
        <w:t xml:space="preserve">6 </w:t>
      </w:r>
      <w:r w:rsidRPr="00F45FBA">
        <w:t>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0A1A67" w:rsidRPr="00FD3FF6" w14:paraId="4CAB7FEA" w14:textId="77777777" w:rsidTr="00B33059">
        <w:trPr>
          <w:trHeight w:val="321"/>
        </w:trPr>
        <w:tc>
          <w:tcPr>
            <w:tcW w:w="4113" w:type="dxa"/>
            <w:shd w:val="clear" w:color="auto" w:fill="auto"/>
            <w:hideMark/>
          </w:tcPr>
          <w:p w14:paraId="6BC74E16" w14:textId="77777777" w:rsidR="000A1A67" w:rsidRPr="009C32E3" w:rsidRDefault="000A1A67" w:rsidP="00B33059">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580B82F3" w14:textId="77777777" w:rsidR="000A1A67" w:rsidRPr="009C32E3" w:rsidRDefault="000A1A67" w:rsidP="00B33059">
            <w:pPr>
              <w:pStyle w:val="Tabletitle"/>
              <w:rPr>
                <w:highlight w:val="lightGray"/>
              </w:rPr>
            </w:pPr>
            <w:r w:rsidRPr="00F2333B">
              <w:t>Selected source guidance recommendations</w:t>
            </w:r>
          </w:p>
        </w:tc>
      </w:tr>
      <w:tr w:rsidR="00FC7507" w:rsidRPr="005E5E3B" w14:paraId="64AE47C8" w14:textId="77777777" w:rsidTr="00B451A1">
        <w:trPr>
          <w:trHeight w:val="552"/>
        </w:trPr>
        <w:tc>
          <w:tcPr>
            <w:tcW w:w="4113" w:type="dxa"/>
            <w:shd w:val="clear" w:color="auto" w:fill="auto"/>
          </w:tcPr>
          <w:p w14:paraId="70F98078" w14:textId="77777777" w:rsidR="00FC7507" w:rsidRPr="000A1A67" w:rsidRDefault="00FC7507" w:rsidP="00FC7507">
            <w:pPr>
              <w:pStyle w:val="Tabletext"/>
            </w:pPr>
            <w:r w:rsidRPr="000A1A67">
              <w:t>Mechanical interventions</w:t>
            </w:r>
          </w:p>
          <w:p w14:paraId="68B8049B" w14:textId="28764C7D" w:rsidR="00FC7507" w:rsidRPr="000A1A67" w:rsidRDefault="00FC7507" w:rsidP="00FC7507">
            <w:pPr>
              <w:pStyle w:val="Tabletext"/>
            </w:pPr>
          </w:p>
        </w:tc>
        <w:tc>
          <w:tcPr>
            <w:tcW w:w="4395" w:type="dxa"/>
            <w:shd w:val="clear" w:color="auto" w:fill="auto"/>
          </w:tcPr>
          <w:p w14:paraId="76959CD3" w14:textId="0EE4F5F7" w:rsidR="00FC7507" w:rsidRPr="00630DBE" w:rsidRDefault="00473E39" w:rsidP="00630DBE">
            <w:pPr>
              <w:pStyle w:val="Tabletext"/>
              <w:rPr>
                <w:color w:val="0000FF"/>
                <w:u w:val="single"/>
              </w:rPr>
            </w:pPr>
            <w:hyperlink r:id="rId59" w:anchor="mechanical-interventions" w:history="1">
              <w:r w:rsidR="00FC7507" w:rsidRPr="005A7628">
                <w:rPr>
                  <w:rStyle w:val="Hyperlink"/>
                </w:rPr>
                <w:t>NICE NG158 Recommendations</w:t>
              </w:r>
            </w:hyperlink>
            <w:r w:rsidR="00FC7507" w:rsidRPr="004D71BE">
              <w:t xml:space="preserve"> </w:t>
            </w:r>
            <w:r w:rsidR="005A7628" w:rsidRPr="005A7628">
              <w:t>1.7.1</w:t>
            </w:r>
            <w:r w:rsidR="00B544EE">
              <w:t xml:space="preserve">, </w:t>
            </w:r>
            <w:r w:rsidR="005A7628" w:rsidRPr="005A7628">
              <w:t>1.7.4</w:t>
            </w:r>
            <w:r w:rsidR="00B544EE">
              <w:t>, 1.7.5 and 1.7.6</w:t>
            </w:r>
          </w:p>
        </w:tc>
      </w:tr>
      <w:tr w:rsidR="005A7628" w:rsidRPr="005E5E3B" w14:paraId="323C2893" w14:textId="77777777" w:rsidTr="00B451A1">
        <w:trPr>
          <w:trHeight w:val="606"/>
        </w:trPr>
        <w:tc>
          <w:tcPr>
            <w:tcW w:w="4113" w:type="dxa"/>
            <w:shd w:val="clear" w:color="auto" w:fill="auto"/>
          </w:tcPr>
          <w:p w14:paraId="6174A44F" w14:textId="1C76395D" w:rsidR="005A7628" w:rsidRPr="005A7628" w:rsidRDefault="00E55D72" w:rsidP="005A7628">
            <w:pPr>
              <w:pStyle w:val="Tabletext"/>
              <w:rPr>
                <w:bCs/>
              </w:rPr>
            </w:pPr>
            <w:r>
              <w:rPr>
                <w:bCs/>
              </w:rPr>
              <w:t>Investigating the causes of DVT and PE</w:t>
            </w:r>
          </w:p>
          <w:p w14:paraId="71F4A71D" w14:textId="77777777" w:rsidR="005A7628" w:rsidRPr="000A1A67" w:rsidRDefault="005A7628" w:rsidP="00FC7507">
            <w:pPr>
              <w:pStyle w:val="Tabletext"/>
            </w:pPr>
          </w:p>
        </w:tc>
        <w:tc>
          <w:tcPr>
            <w:tcW w:w="4395" w:type="dxa"/>
            <w:shd w:val="clear" w:color="auto" w:fill="auto"/>
          </w:tcPr>
          <w:p w14:paraId="1AB36517" w14:textId="39A18B57" w:rsidR="0052315D" w:rsidRDefault="00473E39" w:rsidP="00FC7507">
            <w:pPr>
              <w:pStyle w:val="Tabletext"/>
            </w:pPr>
            <w:hyperlink r:id="rId60" w:anchor="interventions-for-people-with-acute-coronary-syndromes-or-acute-stroke-or-for-acutely-ill-patients" w:history="1">
              <w:r w:rsidR="0052315D" w:rsidRPr="0052315D">
                <w:rPr>
                  <w:rStyle w:val="Hyperlink"/>
                </w:rPr>
                <w:t>NICE NG89 Recommendation</w:t>
              </w:r>
            </w:hyperlink>
            <w:r w:rsidR="0052315D" w:rsidRPr="0052315D">
              <w:t xml:space="preserve"> 1.4.6</w:t>
            </w:r>
          </w:p>
          <w:p w14:paraId="51BBF1E8" w14:textId="04B21552" w:rsidR="004202F9" w:rsidRPr="005A7628" w:rsidRDefault="00473E39" w:rsidP="00FC7507">
            <w:pPr>
              <w:pStyle w:val="Tabletext"/>
            </w:pPr>
            <w:hyperlink r:id="rId61" w:anchor="investigations-for-cancer" w:history="1">
              <w:r w:rsidR="005A7628" w:rsidRPr="005A7628">
                <w:rPr>
                  <w:rStyle w:val="Hyperlink"/>
                </w:rPr>
                <w:t>NICE NG158 Recommendations</w:t>
              </w:r>
            </w:hyperlink>
            <w:r w:rsidR="0037450E">
              <w:t xml:space="preserve"> 1.8.1 and 1.8.2</w:t>
            </w:r>
            <w:r w:rsidR="00E55D72">
              <w:t>, 1.9.1, 1.9.2 and 1.9.5</w:t>
            </w:r>
          </w:p>
        </w:tc>
      </w:tr>
    </w:tbl>
    <w:p w14:paraId="72C8C699" w14:textId="77777777" w:rsidR="00D80A47" w:rsidRPr="00D80A47" w:rsidRDefault="00D80A47" w:rsidP="00D80A47">
      <w:pPr>
        <w:pStyle w:val="Bulletparagraph"/>
        <w:numPr>
          <w:ilvl w:val="0"/>
          <w:numId w:val="0"/>
        </w:numPr>
        <w:ind w:left="360"/>
      </w:pPr>
    </w:p>
    <w:p w14:paraId="028E6153" w14:textId="0396A9C0" w:rsidR="000A1A67" w:rsidRDefault="000A1A67" w:rsidP="000A1A67">
      <w:pPr>
        <w:pStyle w:val="Paragraph"/>
        <w:rPr>
          <w:b/>
          <w:bCs/>
        </w:rPr>
      </w:pPr>
      <w:r w:rsidRPr="000A1A67">
        <w:rPr>
          <w:b/>
          <w:bCs/>
        </w:rPr>
        <w:t>Mechanical interventions</w:t>
      </w:r>
    </w:p>
    <w:p w14:paraId="02AB38A7" w14:textId="394E4945" w:rsidR="000A1A67" w:rsidRDefault="000A1A67" w:rsidP="000A1A67">
      <w:pPr>
        <w:pStyle w:val="Paragraph"/>
        <w:rPr>
          <w:u w:val="single"/>
        </w:rPr>
      </w:pPr>
      <w:bookmarkStart w:id="85" w:name="_Hlk50231400"/>
      <w:bookmarkStart w:id="86" w:name="_Hlk50230945"/>
      <w:r w:rsidRPr="006D4956">
        <w:rPr>
          <w:u w:val="single"/>
        </w:rPr>
        <w:t>NICE NG158</w:t>
      </w:r>
      <w:r>
        <w:rPr>
          <w:u w:val="single"/>
        </w:rPr>
        <w:t xml:space="preserve"> </w:t>
      </w:r>
      <w:r w:rsidRPr="006D4956">
        <w:rPr>
          <w:u w:val="single"/>
        </w:rPr>
        <w:t>Recommendation</w:t>
      </w:r>
      <w:r w:rsidR="00533B58">
        <w:rPr>
          <w:u w:val="single"/>
        </w:rPr>
        <w:t xml:space="preserve"> 1.7.1</w:t>
      </w:r>
    </w:p>
    <w:bookmarkEnd w:id="85"/>
    <w:p w14:paraId="1AF35F52" w14:textId="77777777" w:rsidR="00533B58" w:rsidRPr="00533B58" w:rsidRDefault="00533B58" w:rsidP="00533B58">
      <w:pPr>
        <w:pStyle w:val="Paragraph"/>
      </w:pPr>
      <w:r w:rsidRPr="00533B58">
        <w:t>Do not offer an inferior vena caval (IVC) filter to people with </w:t>
      </w:r>
      <w:hyperlink r:id="rId62" w:anchor="proximal-dvt" w:tgtFrame="_top" w:history="1">
        <w:r w:rsidRPr="00533B58">
          <w:rPr>
            <w:rStyle w:val="Hyperlink"/>
          </w:rPr>
          <w:t>proximal DVT</w:t>
        </w:r>
      </w:hyperlink>
      <w:r w:rsidRPr="00533B58">
        <w:t> or PE unless:</w:t>
      </w:r>
    </w:p>
    <w:p w14:paraId="059C8D3C" w14:textId="77777777" w:rsidR="00533B58" w:rsidRPr="00533B58" w:rsidRDefault="00533B58" w:rsidP="00B451A1">
      <w:pPr>
        <w:pStyle w:val="Bulletparagraph"/>
      </w:pPr>
      <w:r w:rsidRPr="00533B58">
        <w:t>it is part of a prospective clinical study </w:t>
      </w:r>
      <w:r w:rsidRPr="00B451A1">
        <w:rPr>
          <w:b/>
          <w:bCs/>
        </w:rPr>
        <w:t>or</w:t>
      </w:r>
    </w:p>
    <w:p w14:paraId="26AFC563" w14:textId="0CA95504" w:rsidR="0055600F" w:rsidRPr="0043703F" w:rsidRDefault="00533B58" w:rsidP="00533B58">
      <w:pPr>
        <w:pStyle w:val="Bulletparagraph"/>
        <w:rPr>
          <w:b/>
          <w:bCs/>
        </w:rPr>
      </w:pPr>
      <w:r w:rsidRPr="00533B58">
        <w:t>anticoagulation is contraindicated or a PE has occurred during anticoagulation treatment (see recommendations 1.7.2 and 1.7.3).</w:t>
      </w:r>
      <w:r w:rsidRPr="00533B58">
        <w:rPr>
          <w:b/>
          <w:bCs/>
        </w:rPr>
        <w:t> [2020]</w:t>
      </w:r>
      <w:bookmarkStart w:id="87" w:name="_Hlk50381627"/>
    </w:p>
    <w:p w14:paraId="4AB6A627" w14:textId="4221D331" w:rsidR="00533B58" w:rsidRDefault="00533B58" w:rsidP="00533B58">
      <w:pPr>
        <w:pStyle w:val="Paragraph"/>
        <w:rPr>
          <w:u w:val="single"/>
        </w:rPr>
      </w:pPr>
      <w:r w:rsidRPr="006D4956">
        <w:rPr>
          <w:u w:val="single"/>
        </w:rPr>
        <w:t>NICE NG158</w:t>
      </w:r>
      <w:r>
        <w:rPr>
          <w:u w:val="single"/>
        </w:rPr>
        <w:t xml:space="preserve"> </w:t>
      </w:r>
      <w:r w:rsidRPr="006D4956">
        <w:rPr>
          <w:u w:val="single"/>
        </w:rPr>
        <w:t>Recommendation</w:t>
      </w:r>
      <w:r>
        <w:rPr>
          <w:u w:val="single"/>
        </w:rPr>
        <w:t xml:space="preserve"> 1.7.4</w:t>
      </w:r>
    </w:p>
    <w:bookmarkEnd w:id="87"/>
    <w:p w14:paraId="2A826BBE" w14:textId="572F2C94" w:rsidR="0055600F" w:rsidRPr="0043703F" w:rsidRDefault="00533B58" w:rsidP="0037450E">
      <w:pPr>
        <w:pStyle w:val="Paragraph"/>
        <w:rPr>
          <w:b/>
          <w:bCs/>
        </w:rPr>
      </w:pPr>
      <w:r w:rsidRPr="00533B58">
        <w:t>Before fitting an IVC filter, ensure that there is a strategy in place for it to be removed at the earliest possible opportunity. Document the strategy and review it if the clinical situation changes.</w:t>
      </w:r>
      <w:r w:rsidRPr="00533B58">
        <w:rPr>
          <w:b/>
          <w:bCs/>
        </w:rPr>
        <w:t> [2020]</w:t>
      </w:r>
      <w:bookmarkStart w:id="88" w:name="_Hlk50381680"/>
    </w:p>
    <w:p w14:paraId="154A9BEC" w14:textId="40341E7D" w:rsidR="00B544EE" w:rsidRPr="00B544EE" w:rsidRDefault="00B544EE" w:rsidP="0037450E">
      <w:pPr>
        <w:pStyle w:val="Paragraph"/>
        <w:rPr>
          <w:u w:val="single"/>
        </w:rPr>
      </w:pPr>
      <w:r w:rsidRPr="00B544EE">
        <w:rPr>
          <w:u w:val="single"/>
        </w:rPr>
        <w:t>NICE NG158 Recommendation 1.7.5</w:t>
      </w:r>
    </w:p>
    <w:bookmarkEnd w:id="88"/>
    <w:p w14:paraId="1515F2C2" w14:textId="47CE1776" w:rsidR="0055600F" w:rsidRPr="0043703F" w:rsidRDefault="00B544EE" w:rsidP="0037450E">
      <w:pPr>
        <w:pStyle w:val="Paragraph"/>
      </w:pPr>
      <w:r w:rsidRPr="00B544EE">
        <w:t>Do not offer elastic graduated compression stockings to prevent post-thrombotic syndrome or VTE recurrence after a DVT. This recommendation does not cover the use of elastic stockings for the management of leg symptoms after DVT. </w:t>
      </w:r>
      <w:r w:rsidRPr="00B544EE">
        <w:rPr>
          <w:b/>
          <w:bCs/>
        </w:rPr>
        <w:t>[2015]</w:t>
      </w:r>
    </w:p>
    <w:p w14:paraId="088FA9D6" w14:textId="686C12B1" w:rsidR="00B544EE" w:rsidRPr="00333416" w:rsidRDefault="00B544EE" w:rsidP="0037450E">
      <w:pPr>
        <w:pStyle w:val="Paragraph"/>
        <w:rPr>
          <w:u w:val="single"/>
        </w:rPr>
      </w:pPr>
      <w:r w:rsidRPr="00B544EE">
        <w:rPr>
          <w:u w:val="single"/>
        </w:rPr>
        <w:t>NICE NG158 Recommendation 1.7.</w:t>
      </w:r>
      <w:r w:rsidRPr="00333416">
        <w:rPr>
          <w:u w:val="single"/>
        </w:rPr>
        <w:t>6</w:t>
      </w:r>
    </w:p>
    <w:p w14:paraId="044F500D" w14:textId="4866E0B5" w:rsidR="00333416" w:rsidRPr="0043703F" w:rsidRDefault="00B544EE" w:rsidP="0037450E">
      <w:pPr>
        <w:pStyle w:val="Paragraph"/>
        <w:rPr>
          <w:b/>
          <w:bCs/>
        </w:rPr>
      </w:pPr>
      <w:r w:rsidRPr="0032610C">
        <w:t>If offering elastic graduated compression stockings to manage leg symptoms after DVT, explain how to apply and use them, how long they should be worn and when they should be replaced. </w:t>
      </w:r>
      <w:r w:rsidRPr="0032610C">
        <w:rPr>
          <w:b/>
          <w:bCs/>
        </w:rPr>
        <w:t>[2012]</w:t>
      </w:r>
    </w:p>
    <w:p w14:paraId="04DF3B3A" w14:textId="33A020F9" w:rsidR="0037450E" w:rsidRPr="0037450E" w:rsidRDefault="00E55D72" w:rsidP="0037450E">
      <w:pPr>
        <w:pStyle w:val="Paragraph"/>
        <w:rPr>
          <w:b/>
          <w:bCs/>
        </w:rPr>
      </w:pPr>
      <w:r>
        <w:rPr>
          <w:b/>
          <w:bCs/>
        </w:rPr>
        <w:t>Investigating the causes of DVT and PE</w:t>
      </w:r>
    </w:p>
    <w:p w14:paraId="252ED241" w14:textId="795C64BC" w:rsidR="0052315D" w:rsidRDefault="0052315D" w:rsidP="0037450E">
      <w:pPr>
        <w:pStyle w:val="Paragraph"/>
        <w:rPr>
          <w:u w:val="single"/>
        </w:rPr>
      </w:pPr>
      <w:r w:rsidRPr="0052315D">
        <w:rPr>
          <w:u w:val="single"/>
        </w:rPr>
        <w:t>NICE NG</w:t>
      </w:r>
      <w:r>
        <w:rPr>
          <w:u w:val="single"/>
        </w:rPr>
        <w:t>89 Recommendation 1.4.6</w:t>
      </w:r>
    </w:p>
    <w:p w14:paraId="7D4275AA" w14:textId="77777777" w:rsidR="0052315D" w:rsidRDefault="0052315D" w:rsidP="0052315D">
      <w:pPr>
        <w:pStyle w:val="Bulletparagraph"/>
        <w:numPr>
          <w:ilvl w:val="0"/>
          <w:numId w:val="0"/>
        </w:numPr>
        <w:ind w:left="360" w:hanging="360"/>
      </w:pPr>
      <w:r w:rsidRPr="0052315D">
        <w:t>Offer pharmacological VTE prophylaxis for a minimum of 7 days to acutely ill medical</w:t>
      </w:r>
    </w:p>
    <w:p w14:paraId="7FB9D54C" w14:textId="29574B6B" w:rsidR="0052315D" w:rsidRDefault="0052315D" w:rsidP="0052315D">
      <w:pPr>
        <w:pStyle w:val="Bulletparagraph"/>
        <w:numPr>
          <w:ilvl w:val="0"/>
          <w:numId w:val="0"/>
        </w:numPr>
        <w:ind w:left="360" w:hanging="360"/>
      </w:pPr>
      <w:r w:rsidRPr="0052315D">
        <w:t>patients whose risk of VTE outweighs their risk of bleeding:</w:t>
      </w:r>
    </w:p>
    <w:p w14:paraId="14F5155A" w14:textId="77777777" w:rsidR="00BA3D40" w:rsidRPr="0052315D" w:rsidRDefault="00BA3D40" w:rsidP="0052315D">
      <w:pPr>
        <w:pStyle w:val="Bulletparagraph"/>
        <w:numPr>
          <w:ilvl w:val="0"/>
          <w:numId w:val="0"/>
        </w:numPr>
        <w:ind w:left="360" w:hanging="360"/>
      </w:pPr>
    </w:p>
    <w:p w14:paraId="1738D36D" w14:textId="15B8A208" w:rsidR="0052315D" w:rsidRPr="0052315D" w:rsidRDefault="0052315D" w:rsidP="0052315D">
      <w:pPr>
        <w:pStyle w:val="Bulletparagraph"/>
      </w:pPr>
      <w:r w:rsidRPr="0052315D">
        <w:lastRenderedPageBreak/>
        <w:t xml:space="preserve">Use </w:t>
      </w:r>
      <w:hyperlink r:id="rId63" w:history="1">
        <w:r w:rsidRPr="00041DC8">
          <w:rPr>
            <w:rStyle w:val="Hyperlink"/>
          </w:rPr>
          <w:t>LMWH</w:t>
        </w:r>
      </w:hyperlink>
      <w:r w:rsidR="000030E8">
        <w:rPr>
          <w:vertAlign w:val="superscript"/>
        </w:rPr>
        <w:t xml:space="preserve"> </w:t>
      </w:r>
      <w:r w:rsidRPr="0052315D">
        <w:t>as first-line treatment.</w:t>
      </w:r>
    </w:p>
    <w:p w14:paraId="62EC2A6B" w14:textId="24AD4EBF" w:rsidR="00B15F22" w:rsidRPr="0043703F" w:rsidRDefault="0052315D" w:rsidP="0037450E">
      <w:pPr>
        <w:pStyle w:val="Bulletparagraph"/>
      </w:pPr>
      <w:r w:rsidRPr="0052315D">
        <w:t xml:space="preserve">If </w:t>
      </w:r>
      <w:hyperlink r:id="rId64" w:history="1">
        <w:r w:rsidRPr="00041DC8">
          <w:rPr>
            <w:rStyle w:val="Hyperlink"/>
          </w:rPr>
          <w:t>LMWH</w:t>
        </w:r>
      </w:hyperlink>
      <w:r w:rsidRPr="0052315D">
        <w:t> </w:t>
      </w:r>
      <w:r w:rsidR="000030E8">
        <w:t>i</w:t>
      </w:r>
      <w:r w:rsidRPr="0052315D">
        <w:t xml:space="preserve">s contraindicated, use </w:t>
      </w:r>
      <w:hyperlink r:id="rId65" w:history="1">
        <w:r w:rsidRPr="00041DC8">
          <w:rPr>
            <w:rStyle w:val="Hyperlink"/>
          </w:rPr>
          <w:t>fondaparinux sodium</w:t>
        </w:r>
      </w:hyperlink>
      <w:r w:rsidRPr="0052315D">
        <w:t>. </w:t>
      </w:r>
      <w:r w:rsidRPr="0052315D">
        <w:rPr>
          <w:b/>
          <w:bCs/>
        </w:rPr>
        <w:t>[2018]</w:t>
      </w:r>
    </w:p>
    <w:p w14:paraId="02EFDFD7" w14:textId="65DCCE88" w:rsidR="0037450E" w:rsidRDefault="0037450E" w:rsidP="0037450E">
      <w:pPr>
        <w:pStyle w:val="Paragraph"/>
        <w:rPr>
          <w:u w:val="single"/>
        </w:rPr>
      </w:pPr>
      <w:r w:rsidRPr="0037450E">
        <w:rPr>
          <w:u w:val="single"/>
        </w:rPr>
        <w:t>NICE NG158 Recommendation</w:t>
      </w:r>
      <w:r>
        <w:rPr>
          <w:u w:val="single"/>
        </w:rPr>
        <w:t xml:space="preserve"> 1.8.1</w:t>
      </w:r>
    </w:p>
    <w:p w14:paraId="25E711DE" w14:textId="3769FD05" w:rsidR="0037450E" w:rsidRPr="0037450E" w:rsidRDefault="0037450E" w:rsidP="0037450E">
      <w:pPr>
        <w:pStyle w:val="Paragraph"/>
      </w:pPr>
      <w:r w:rsidRPr="0037450E">
        <w:t>For people with </w:t>
      </w:r>
      <w:hyperlink r:id="rId66" w:anchor="unprovoked-dvt-or-pe" w:tgtFrame="_top" w:history="1">
        <w:r w:rsidRPr="0037450E">
          <w:rPr>
            <w:rStyle w:val="Hyperlink"/>
          </w:rPr>
          <w:t>unprovoked DVT or PE</w:t>
        </w:r>
      </w:hyperlink>
      <w:r w:rsidRPr="0037450E">
        <w:t> who are not known to have cancer, review the medical history and baseline blood test results including full blood count, renal and hepatic function, PT and APTT, and offer a physical examination. </w:t>
      </w:r>
      <w:r w:rsidRPr="0037450E">
        <w:rPr>
          <w:b/>
          <w:bCs/>
        </w:rPr>
        <w:t>[2020]</w:t>
      </w:r>
    </w:p>
    <w:p w14:paraId="19B6907C" w14:textId="77777777" w:rsidR="005C54A0" w:rsidRDefault="005C54A0" w:rsidP="0037450E">
      <w:pPr>
        <w:pStyle w:val="Paragraph"/>
        <w:rPr>
          <w:u w:val="single"/>
        </w:rPr>
      </w:pPr>
    </w:p>
    <w:p w14:paraId="0583BAEE" w14:textId="34A42F47" w:rsidR="0037450E" w:rsidRPr="0037450E" w:rsidRDefault="0037450E" w:rsidP="0037450E">
      <w:pPr>
        <w:pStyle w:val="Paragraph"/>
        <w:rPr>
          <w:u w:val="single"/>
        </w:rPr>
      </w:pPr>
      <w:r w:rsidRPr="0037450E">
        <w:rPr>
          <w:u w:val="single"/>
        </w:rPr>
        <w:t>NICE NG158 Recommendation 1.8.2</w:t>
      </w:r>
    </w:p>
    <w:p w14:paraId="0544E24B" w14:textId="27B2B155" w:rsidR="005C54A0" w:rsidRPr="0043703F" w:rsidRDefault="0037450E" w:rsidP="000A1A67">
      <w:pPr>
        <w:pStyle w:val="Paragraph"/>
        <w:rPr>
          <w:b/>
          <w:bCs/>
        </w:rPr>
      </w:pPr>
      <w:r w:rsidRPr="0037450E">
        <w:t>Do not offer further investigations for cancer to people with unprovoked DVT or PE unless they have relevant clinical symptoms or signs (for further information see the </w:t>
      </w:r>
      <w:hyperlink r:id="rId67" w:tgtFrame="_top" w:history="1">
        <w:r w:rsidRPr="0037450E">
          <w:rPr>
            <w:rStyle w:val="Hyperlink"/>
          </w:rPr>
          <w:t>NICE guideline on suspected cancer</w:t>
        </w:r>
      </w:hyperlink>
      <w:r w:rsidRPr="0037450E">
        <w:t>).</w:t>
      </w:r>
      <w:r w:rsidRPr="0037450E">
        <w:rPr>
          <w:b/>
          <w:bCs/>
        </w:rPr>
        <w:t> [2020]</w:t>
      </w:r>
      <w:bookmarkEnd w:id="86"/>
    </w:p>
    <w:p w14:paraId="04161CD6" w14:textId="0BD1A8C9" w:rsidR="000A1A67" w:rsidRDefault="000A1A67" w:rsidP="000A1A67">
      <w:pPr>
        <w:pStyle w:val="Paragraph"/>
        <w:rPr>
          <w:u w:val="single"/>
        </w:rPr>
      </w:pPr>
      <w:r w:rsidRPr="006D4956">
        <w:rPr>
          <w:u w:val="single"/>
        </w:rPr>
        <w:t>NICE NG158</w:t>
      </w:r>
      <w:r>
        <w:rPr>
          <w:u w:val="single"/>
        </w:rPr>
        <w:t xml:space="preserve"> </w:t>
      </w:r>
      <w:r w:rsidRPr="006D4956">
        <w:rPr>
          <w:u w:val="single"/>
        </w:rPr>
        <w:t>Recommendation</w:t>
      </w:r>
      <w:r w:rsidR="0037450E">
        <w:rPr>
          <w:u w:val="single"/>
        </w:rPr>
        <w:t xml:space="preserve"> 1.9.1</w:t>
      </w:r>
    </w:p>
    <w:p w14:paraId="1A8FE238" w14:textId="1CC1E41F" w:rsidR="005C54A0" w:rsidRPr="00E52914" w:rsidRDefault="0037450E" w:rsidP="0037450E">
      <w:pPr>
        <w:pStyle w:val="Paragraph"/>
        <w:rPr>
          <w:b/>
          <w:bCs/>
        </w:rPr>
      </w:pPr>
      <w:r w:rsidRPr="0037450E">
        <w:t>Do not offer testing for hereditary thrombophilia to people who are continuing anticoagulation treatment.</w:t>
      </w:r>
      <w:r w:rsidRPr="0037450E">
        <w:rPr>
          <w:b/>
          <w:bCs/>
        </w:rPr>
        <w:t> [2012, amended 2020]</w:t>
      </w:r>
    </w:p>
    <w:p w14:paraId="3D153893" w14:textId="3EA9FE5C" w:rsidR="0037450E" w:rsidRPr="0037450E" w:rsidRDefault="0037450E" w:rsidP="0037450E">
      <w:pPr>
        <w:pStyle w:val="Paragraph"/>
        <w:rPr>
          <w:u w:val="single"/>
        </w:rPr>
      </w:pPr>
      <w:r w:rsidRPr="0037450E">
        <w:rPr>
          <w:u w:val="single"/>
        </w:rPr>
        <w:t>NICE NG158 Recommendation 1.9.</w:t>
      </w:r>
      <w:r>
        <w:rPr>
          <w:u w:val="single"/>
        </w:rPr>
        <w:t>2</w:t>
      </w:r>
    </w:p>
    <w:p w14:paraId="4A2B47C2" w14:textId="55593966" w:rsidR="005C54A0" w:rsidRPr="00E52914" w:rsidRDefault="0037450E" w:rsidP="000A1A67">
      <w:pPr>
        <w:pStyle w:val="Paragraph"/>
        <w:rPr>
          <w:b/>
          <w:bCs/>
        </w:rPr>
      </w:pPr>
      <w:r w:rsidRPr="0037450E">
        <w:t>Do not offer thrombophilia testing to people who have had </w:t>
      </w:r>
      <w:hyperlink r:id="rId68" w:anchor="active-cancer" w:tgtFrame="_top" w:history="1">
        <w:r w:rsidRPr="0037450E">
          <w:rPr>
            <w:rStyle w:val="Hyperlink"/>
          </w:rPr>
          <w:t>provoked DVT or PE</w:t>
        </w:r>
      </w:hyperlink>
      <w:r w:rsidRPr="0037450E">
        <w:t>. </w:t>
      </w:r>
      <w:r w:rsidRPr="005E0299">
        <w:rPr>
          <w:b/>
          <w:bCs/>
        </w:rPr>
        <w:t>[2012]</w:t>
      </w:r>
    </w:p>
    <w:p w14:paraId="3E3F4255" w14:textId="1CE64D2C" w:rsidR="0037450E" w:rsidRPr="0037450E" w:rsidRDefault="0037450E" w:rsidP="000A1A67">
      <w:pPr>
        <w:pStyle w:val="Paragraph"/>
        <w:rPr>
          <w:u w:val="single"/>
        </w:rPr>
      </w:pPr>
      <w:r w:rsidRPr="0037450E">
        <w:rPr>
          <w:u w:val="single"/>
        </w:rPr>
        <w:t>NICE NG158 Recommendation 1.9.</w:t>
      </w:r>
      <w:r>
        <w:rPr>
          <w:u w:val="single"/>
        </w:rPr>
        <w:t>5</w:t>
      </w:r>
    </w:p>
    <w:p w14:paraId="447BF5ED" w14:textId="4674448D" w:rsidR="0037450E" w:rsidRPr="000A1A67" w:rsidRDefault="0037450E" w:rsidP="000A1A67">
      <w:pPr>
        <w:pStyle w:val="Paragraph"/>
        <w:rPr>
          <w:b/>
          <w:bCs/>
        </w:rPr>
      </w:pPr>
      <w:r w:rsidRPr="0037450E">
        <w:t>Do not routinely offer thrombophilia testing to first</w:t>
      </w:r>
      <w:r w:rsidRPr="0037450E">
        <w:noBreakHyphen/>
        <w:t>degree relatives of people with a history of DVT or PE and thrombophilia.</w:t>
      </w:r>
      <w:r w:rsidRPr="0037450E">
        <w:rPr>
          <w:b/>
          <w:bCs/>
        </w:rPr>
        <w:t> [2012]</w:t>
      </w:r>
    </w:p>
    <w:p w14:paraId="38226DCC" w14:textId="292D15E9" w:rsidR="000A1A67" w:rsidRPr="00F22EF7" w:rsidRDefault="000A1A67" w:rsidP="007F298D">
      <w:pPr>
        <w:pStyle w:val="Numberedheading3"/>
        <w:numPr>
          <w:ilvl w:val="2"/>
          <w:numId w:val="6"/>
        </w:numPr>
      </w:pPr>
      <w:r>
        <w:t>Current UK practice</w:t>
      </w:r>
    </w:p>
    <w:p w14:paraId="1C17499D" w14:textId="0435959D" w:rsidR="000A1A67" w:rsidRPr="00F1763A" w:rsidRDefault="000A1A67" w:rsidP="000A1A67">
      <w:pPr>
        <w:pStyle w:val="Paragraph"/>
        <w:rPr>
          <w:b/>
          <w:bCs/>
        </w:rPr>
      </w:pPr>
      <w:r w:rsidRPr="00F1763A">
        <w:rPr>
          <w:b/>
          <w:bCs/>
        </w:rPr>
        <w:t>Mechanical interventions</w:t>
      </w:r>
    </w:p>
    <w:p w14:paraId="2287073C" w14:textId="64EA76E1" w:rsidR="00F1763A" w:rsidRPr="00F1763A" w:rsidRDefault="00F1763A" w:rsidP="000A1A67">
      <w:pPr>
        <w:pStyle w:val="Paragraph"/>
      </w:pPr>
      <w:r w:rsidRPr="00F1763A">
        <w:t xml:space="preserve">The 2019 National Confidential Enquiry into Patient Outcome and Death </w:t>
      </w:r>
      <w:hyperlink r:id="rId69" w:history="1">
        <w:r w:rsidRPr="00F1763A">
          <w:rPr>
            <w:rStyle w:val="Hyperlink"/>
          </w:rPr>
          <w:t>Pulmonary embolism: Know the score</w:t>
        </w:r>
      </w:hyperlink>
      <w:r w:rsidRPr="00F1763A">
        <w:t xml:space="preserve"> reported that least 786 temporary IVC filters and 318 permanent filters were inserted in the UK in 2017. </w:t>
      </w:r>
      <w:r w:rsidR="00CF0A18">
        <w:t xml:space="preserve">The </w:t>
      </w:r>
      <w:r w:rsidR="00CF0A18">
        <w:lastRenderedPageBreak/>
        <w:t>report concluded that this</w:t>
      </w:r>
      <w:r w:rsidRPr="00F1763A">
        <w:t xml:space="preserve"> suggests a </w:t>
      </w:r>
      <w:r w:rsidR="001B248D">
        <w:t>likely</w:t>
      </w:r>
      <w:r w:rsidRPr="00F1763A">
        <w:t xml:space="preserve"> </w:t>
      </w:r>
      <w:r>
        <w:t>increase in</w:t>
      </w:r>
      <w:r w:rsidRPr="00F1763A">
        <w:t xml:space="preserve"> use of IVC filters overall and temporary IVC filters </w:t>
      </w:r>
      <w:r w:rsidR="00CF0A18">
        <w:t>compared to historical data</w:t>
      </w:r>
      <w:r w:rsidRPr="00F1763A">
        <w:t xml:space="preserve">. </w:t>
      </w:r>
    </w:p>
    <w:p w14:paraId="16B95C43" w14:textId="3AF34ABD" w:rsidR="00E91003" w:rsidRDefault="00E91003" w:rsidP="000A1A67">
      <w:pPr>
        <w:pStyle w:val="Paragraph"/>
        <w:rPr>
          <w:b/>
          <w:bCs/>
        </w:rPr>
      </w:pPr>
      <w:bookmarkStart w:id="89" w:name="_Hlk50460671"/>
      <w:r w:rsidRPr="00F1763A">
        <w:t xml:space="preserve">The 2019 National Confidential Enquiry into Patient Outcome and Death </w:t>
      </w:r>
      <w:hyperlink r:id="rId70" w:history="1">
        <w:r w:rsidRPr="00F1763A">
          <w:rPr>
            <w:rStyle w:val="Hyperlink"/>
          </w:rPr>
          <w:t>Pulmonary embolism: Know the score</w:t>
        </w:r>
      </w:hyperlink>
      <w:r w:rsidRPr="00F1763A">
        <w:t xml:space="preserve"> reported </w:t>
      </w:r>
      <w:bookmarkEnd w:id="89"/>
      <w:r w:rsidRPr="00F1763A">
        <w:t>approximately 79% of hospitals prescribed anti-embolism stockings.</w:t>
      </w:r>
      <w:r>
        <w:t xml:space="preserve"> </w:t>
      </w:r>
    </w:p>
    <w:p w14:paraId="40C2A570" w14:textId="3DA74AB7" w:rsidR="000A1A67" w:rsidRDefault="006A60F0" w:rsidP="000A1A67">
      <w:pPr>
        <w:pStyle w:val="Paragraph"/>
        <w:rPr>
          <w:b/>
          <w:bCs/>
        </w:rPr>
      </w:pPr>
      <w:r w:rsidRPr="002C34CC">
        <w:rPr>
          <w:b/>
          <w:bCs/>
        </w:rPr>
        <w:t>Investigati</w:t>
      </w:r>
      <w:r w:rsidR="00E55D72" w:rsidRPr="002C34CC">
        <w:rPr>
          <w:b/>
          <w:bCs/>
        </w:rPr>
        <w:t>ng the causes of DVT and PE</w:t>
      </w:r>
      <w:r>
        <w:rPr>
          <w:b/>
          <w:bCs/>
        </w:rPr>
        <w:t xml:space="preserve"> </w:t>
      </w:r>
    </w:p>
    <w:p w14:paraId="3AFF0DFD" w14:textId="20101382" w:rsidR="00AA04F1" w:rsidRDefault="00AA04F1" w:rsidP="000A1A67">
      <w:pPr>
        <w:pStyle w:val="Paragraph"/>
      </w:pPr>
      <w:r w:rsidRPr="00F1763A">
        <w:t xml:space="preserve">The 2019 National Confidential Enquiry into Patient Outcome and Death </w:t>
      </w:r>
      <w:hyperlink r:id="rId71" w:history="1">
        <w:r w:rsidRPr="00F1763A">
          <w:rPr>
            <w:rStyle w:val="Hyperlink"/>
          </w:rPr>
          <w:t>Pulmonary embolism: Know the score</w:t>
        </w:r>
      </w:hyperlink>
      <w:r w:rsidRPr="00F1763A">
        <w:t xml:space="preserve"> reported</w:t>
      </w:r>
      <w:r>
        <w:t xml:space="preserve"> </w:t>
      </w:r>
      <w:r w:rsidRPr="00AA04F1">
        <w:rPr>
          <w:bCs/>
        </w:rPr>
        <w:t>Thrombophilia testing</w:t>
      </w:r>
      <w:r>
        <w:rPr>
          <w:bCs/>
        </w:rPr>
        <w:t xml:space="preserve"> was undertaken in 104</w:t>
      </w:r>
      <w:r w:rsidR="001B248D">
        <w:rPr>
          <w:bCs/>
        </w:rPr>
        <w:t xml:space="preserve"> out </w:t>
      </w:r>
      <w:r w:rsidR="00272BBC">
        <w:rPr>
          <w:bCs/>
        </w:rPr>
        <w:t xml:space="preserve">147 </w:t>
      </w:r>
      <w:r>
        <w:rPr>
          <w:bCs/>
        </w:rPr>
        <w:t>hospitals (70.7%) as part of routine follow-up.</w:t>
      </w:r>
    </w:p>
    <w:p w14:paraId="5CF801CE" w14:textId="3A23BB0C" w:rsidR="0045225D" w:rsidRPr="0045225D" w:rsidRDefault="0045225D" w:rsidP="007F298D">
      <w:pPr>
        <w:pStyle w:val="Numberedheading3"/>
        <w:numPr>
          <w:ilvl w:val="2"/>
          <w:numId w:val="6"/>
        </w:numPr>
      </w:pPr>
      <w:bookmarkStart w:id="90" w:name="_Hlk50376865"/>
      <w:r w:rsidRPr="0045225D">
        <w:t>Committee discussion</w:t>
      </w:r>
    </w:p>
    <w:p w14:paraId="316A2423" w14:textId="77777777" w:rsidR="0045225D" w:rsidRPr="00AB5D35" w:rsidRDefault="0045225D" w:rsidP="0045225D">
      <w:pPr>
        <w:pStyle w:val="Paragraph"/>
        <w:rPr>
          <w:b/>
          <w:bCs/>
        </w:rPr>
      </w:pPr>
      <w:r w:rsidRPr="00AB5D35">
        <w:rPr>
          <w:b/>
          <w:bCs/>
        </w:rPr>
        <w:t>For discussion</w:t>
      </w:r>
    </w:p>
    <w:p w14:paraId="4FF9268F" w14:textId="77777777" w:rsidR="0045225D" w:rsidRPr="00AB5D35" w:rsidRDefault="0045225D" w:rsidP="0045225D">
      <w:pPr>
        <w:pStyle w:val="Bulletparagraph"/>
      </w:pPr>
      <w:r w:rsidRPr="00AB5D35">
        <w:t>What is the priority for improvement?</w:t>
      </w:r>
    </w:p>
    <w:p w14:paraId="24491F9B" w14:textId="77777777" w:rsidR="0045225D" w:rsidRPr="00AB5D35" w:rsidRDefault="0045225D" w:rsidP="0045225D">
      <w:pPr>
        <w:pStyle w:val="Bulletparagraph"/>
      </w:pPr>
      <w:r w:rsidRPr="00AB5D35">
        <w:t>What is the key action that will lead to improvement?</w:t>
      </w:r>
    </w:p>
    <w:p w14:paraId="244E471D" w14:textId="77777777" w:rsidR="0045225D" w:rsidRDefault="0045225D" w:rsidP="0045225D">
      <w:pPr>
        <w:pStyle w:val="Bulletparagraph"/>
      </w:pPr>
      <w:r w:rsidRPr="00AB5D35">
        <w:t>Can we develop a specific, measurable statement?</w:t>
      </w:r>
    </w:p>
    <w:p w14:paraId="6A0AFA26" w14:textId="77777777" w:rsidR="0045225D" w:rsidRPr="00AB5D35" w:rsidRDefault="0045225D" w:rsidP="0045225D">
      <w:pPr>
        <w:pStyle w:val="Paragraph"/>
        <w:rPr>
          <w:b/>
          <w:bCs/>
        </w:rPr>
      </w:pPr>
      <w:r w:rsidRPr="00AB5D35">
        <w:rPr>
          <w:b/>
          <w:bCs/>
        </w:rPr>
        <w:t>For decision</w:t>
      </w:r>
    </w:p>
    <w:p w14:paraId="60F010C3" w14:textId="77777777" w:rsidR="007676C0" w:rsidRPr="007676C0" w:rsidRDefault="007676C0" w:rsidP="007F298D">
      <w:pPr>
        <w:pStyle w:val="Paragraph"/>
        <w:numPr>
          <w:ilvl w:val="0"/>
          <w:numId w:val="4"/>
        </w:numPr>
      </w:pPr>
      <w:r w:rsidRPr="007676C0">
        <w:t>Should any of these areas be prioritised for inclusion in the quality standard?</w:t>
      </w:r>
    </w:p>
    <w:bookmarkEnd w:id="90"/>
    <w:p w14:paraId="5E5E3FED" w14:textId="7DCBA930" w:rsidR="0045225D" w:rsidRDefault="004067F2" w:rsidP="004067F2">
      <w:pPr>
        <w:rPr>
          <w:rFonts w:ascii="Arial" w:hAnsi="Arial" w:cs="Arial"/>
          <w:b/>
          <w:bCs/>
          <w:sz w:val="26"/>
          <w:highlight w:val="yellow"/>
        </w:rPr>
      </w:pPr>
      <w:r>
        <w:rPr>
          <w:rFonts w:ascii="Arial" w:hAnsi="Arial" w:cs="Arial"/>
          <w:b/>
          <w:bCs/>
          <w:sz w:val="26"/>
          <w:highlight w:val="yellow"/>
        </w:rPr>
        <w:br w:type="page"/>
      </w:r>
    </w:p>
    <w:p w14:paraId="1FF385EC" w14:textId="70836173" w:rsidR="00FB73AC" w:rsidRPr="00433117" w:rsidRDefault="00B53050" w:rsidP="00FB73AC">
      <w:pPr>
        <w:pStyle w:val="Numberedheading2"/>
      </w:pPr>
      <w:r>
        <w:lastRenderedPageBreak/>
        <w:t>4.5</w:t>
      </w:r>
      <w:r>
        <w:tab/>
      </w:r>
      <w:r w:rsidR="00FB73AC">
        <w:t>Information and support</w:t>
      </w:r>
    </w:p>
    <w:p w14:paraId="5C656907" w14:textId="1E787A23" w:rsidR="00FB73AC" w:rsidRPr="00E70992" w:rsidRDefault="00B53050" w:rsidP="00FB73AC">
      <w:pPr>
        <w:pStyle w:val="Numberedheading3"/>
      </w:pPr>
      <w:r>
        <w:t>4.5.1</w:t>
      </w:r>
      <w:r>
        <w:tab/>
      </w:r>
      <w:r w:rsidR="00FB73AC" w:rsidRPr="00E70992">
        <w:t>Summary of suggestions</w:t>
      </w:r>
    </w:p>
    <w:bookmarkEnd w:id="82"/>
    <w:p w14:paraId="042335EB" w14:textId="1AB2BCB7" w:rsidR="00C077C4" w:rsidRPr="00685B78" w:rsidRDefault="00C077C4" w:rsidP="00C077C4">
      <w:pPr>
        <w:pStyle w:val="Paragraph"/>
        <w:rPr>
          <w:b/>
          <w:bCs/>
        </w:rPr>
      </w:pPr>
      <w:r w:rsidRPr="00685B78">
        <w:rPr>
          <w:b/>
          <w:bCs/>
        </w:rPr>
        <w:t xml:space="preserve">Outpatient treatment </w:t>
      </w:r>
      <w:r w:rsidR="00FF2669">
        <w:rPr>
          <w:b/>
          <w:bCs/>
        </w:rPr>
        <w:t>for low-risk PE</w:t>
      </w:r>
    </w:p>
    <w:p w14:paraId="7D548FBC" w14:textId="5F391779" w:rsidR="00FE4D7E" w:rsidRDefault="00FE4D7E" w:rsidP="00C077C4">
      <w:pPr>
        <w:pStyle w:val="Paragraph"/>
      </w:pPr>
      <w:r w:rsidRPr="00FE4D7E">
        <w:t xml:space="preserve">Stakeholders supported </w:t>
      </w:r>
      <w:r>
        <w:t xml:space="preserve">the shift </w:t>
      </w:r>
      <w:r w:rsidR="00FF3436">
        <w:t xml:space="preserve">in service delivery </w:t>
      </w:r>
      <w:r>
        <w:t xml:space="preserve">of outpatient treatment to community and primary care settings </w:t>
      </w:r>
      <w:r w:rsidRPr="00FE4D7E">
        <w:t xml:space="preserve">for low-risk PE as </w:t>
      </w:r>
      <w:r w:rsidR="00FF3436">
        <w:t xml:space="preserve">being </w:t>
      </w:r>
      <w:r>
        <w:t xml:space="preserve">cost </w:t>
      </w:r>
      <w:r w:rsidRPr="00FE4D7E">
        <w:t>effective</w:t>
      </w:r>
      <w:r w:rsidR="00FF3436">
        <w:t>.</w:t>
      </w:r>
    </w:p>
    <w:p w14:paraId="62179DB7" w14:textId="2B04B03C" w:rsidR="000219EC" w:rsidRPr="00E70992" w:rsidRDefault="00FE4D7E" w:rsidP="000219EC">
      <w:pPr>
        <w:pStyle w:val="Paragraph"/>
      </w:pPr>
      <w:r>
        <w:t xml:space="preserve">The use </w:t>
      </w:r>
      <w:r w:rsidR="00AA69A7">
        <w:t xml:space="preserve">of </w:t>
      </w:r>
      <w:r w:rsidR="00C077C4" w:rsidRPr="00C077C4">
        <w:t>a validated risk stratification tool to determine the suitability of outpatient treatment</w:t>
      </w:r>
      <w:r>
        <w:t xml:space="preserve"> plus monitoring plans </w:t>
      </w:r>
      <w:r w:rsidRPr="00FE4D7E">
        <w:t xml:space="preserve">and </w:t>
      </w:r>
      <w:r w:rsidR="007676C0">
        <w:t xml:space="preserve">provision of </w:t>
      </w:r>
      <w:r w:rsidRPr="00FE4D7E">
        <w:t xml:space="preserve">direct healthcare professional contact details </w:t>
      </w:r>
      <w:r w:rsidR="00CF2B10">
        <w:t>were all</w:t>
      </w:r>
      <w:r>
        <w:t xml:space="preserve"> supported</w:t>
      </w:r>
      <w:r w:rsidR="00C077C4" w:rsidRPr="00C077C4">
        <w:t>. However</w:t>
      </w:r>
      <w:r w:rsidR="00FF3436">
        <w:t xml:space="preserve">, </w:t>
      </w:r>
      <w:r w:rsidR="00C077C4" w:rsidRPr="00C077C4">
        <w:t>24</w:t>
      </w:r>
      <w:r w:rsidR="007676C0">
        <w:t xml:space="preserve"> hour</w:t>
      </w:r>
      <w:r w:rsidR="00C077C4" w:rsidRPr="00C077C4">
        <w:t xml:space="preserve">/7 </w:t>
      </w:r>
      <w:r w:rsidR="007676C0">
        <w:t xml:space="preserve">days a week service delivery </w:t>
      </w:r>
      <w:r w:rsidR="00FF3436">
        <w:t>was reported as</w:t>
      </w:r>
      <w:r w:rsidR="00C077C4" w:rsidRPr="00C077C4">
        <w:t xml:space="preserve"> </w:t>
      </w:r>
      <w:r w:rsidR="00CF2B10">
        <w:t xml:space="preserve">being </w:t>
      </w:r>
      <w:r w:rsidR="00C077C4" w:rsidRPr="00C077C4">
        <w:t>very challenging</w:t>
      </w:r>
      <w:r w:rsidR="00CF2B10">
        <w:t xml:space="preserve"> as w</w:t>
      </w:r>
      <w:r w:rsidR="00C077C4" w:rsidRPr="00C077C4">
        <w:t>ithin AAU units</w:t>
      </w:r>
      <w:r w:rsidR="005677C2">
        <w:t>,</w:t>
      </w:r>
      <w:r w:rsidR="00C077C4" w:rsidRPr="00C077C4">
        <w:t xml:space="preserve"> contact details can be given but many of these are not 24 hour </w:t>
      </w:r>
      <w:r w:rsidR="007676C0">
        <w:t>so</w:t>
      </w:r>
      <w:r w:rsidR="00C077C4" w:rsidRPr="00C077C4">
        <w:t xml:space="preserve"> it is unclear how this criteria </w:t>
      </w:r>
      <w:r>
        <w:t>will be</w:t>
      </w:r>
      <w:r w:rsidR="00C077C4" w:rsidRPr="00C077C4">
        <w:t xml:space="preserve"> met. </w:t>
      </w:r>
      <w:r w:rsidR="007676C0">
        <w:t>Contact d</w:t>
      </w:r>
      <w:r w:rsidR="00C077C4" w:rsidRPr="00C077C4">
        <w:t xml:space="preserve">etails during working hours and an out of hours emergency service </w:t>
      </w:r>
      <w:r w:rsidR="00652A99">
        <w:t xml:space="preserve">was felt to be </w:t>
      </w:r>
      <w:r w:rsidR="00C077C4" w:rsidRPr="00C077C4">
        <w:t xml:space="preserve">a more achievable aim.  </w:t>
      </w:r>
    </w:p>
    <w:p w14:paraId="18AD1280" w14:textId="77777777" w:rsidR="005B78C1" w:rsidRPr="005B78C1" w:rsidRDefault="005B78C1" w:rsidP="005B78C1">
      <w:pPr>
        <w:pStyle w:val="Paragraph"/>
        <w:rPr>
          <w:b/>
          <w:bCs/>
        </w:rPr>
      </w:pPr>
      <w:r w:rsidRPr="005B78C1">
        <w:rPr>
          <w:b/>
          <w:bCs/>
        </w:rPr>
        <w:t>Shared decision making and supporting adherence</w:t>
      </w:r>
    </w:p>
    <w:p w14:paraId="31079421" w14:textId="06A44574" w:rsidR="005B78C1" w:rsidRDefault="005B78C1" w:rsidP="000219EC">
      <w:pPr>
        <w:pStyle w:val="Paragraph"/>
      </w:pPr>
      <w:r w:rsidRPr="005B78C1">
        <w:t>Shared decision making between healthcare professionals and patients was supported by stakeholders with significant variation reported. Patients should be enabled to make an informed choice based on the risks and benefits of the appropriate treatment. These decisions should be recorded within the patient notes.</w:t>
      </w:r>
    </w:p>
    <w:p w14:paraId="09B44CEA" w14:textId="30928AB9" w:rsidR="000219EC" w:rsidRPr="00E123CE" w:rsidRDefault="00E2590A" w:rsidP="000219EC">
      <w:pPr>
        <w:pStyle w:val="Paragraph"/>
      </w:pPr>
      <w:r>
        <w:t xml:space="preserve">Stakeholders </w:t>
      </w:r>
      <w:r w:rsidR="007676C0">
        <w:t xml:space="preserve">also </w:t>
      </w:r>
      <w:r>
        <w:t>highlighted how p</w:t>
      </w:r>
      <w:r w:rsidR="000219EC" w:rsidRPr="00E123CE">
        <w:t xml:space="preserve">eople have a choice of anticoagulation and </w:t>
      </w:r>
      <w:r w:rsidR="005677C2">
        <w:t xml:space="preserve">therefore </w:t>
      </w:r>
      <w:r w:rsidR="000219EC" w:rsidRPr="00E123CE">
        <w:t>should be informed of their choices</w:t>
      </w:r>
      <w:r w:rsidR="00833D79">
        <w:t xml:space="preserve"> to ensure </w:t>
      </w:r>
      <w:r w:rsidR="000219EC" w:rsidRPr="00E123CE">
        <w:t>compliance and adherence</w:t>
      </w:r>
      <w:r w:rsidR="00833D79">
        <w:t xml:space="preserve">. </w:t>
      </w:r>
      <w:r w:rsidR="00833D79" w:rsidRPr="00833D79">
        <w:t xml:space="preserve">Use of an alert card </w:t>
      </w:r>
      <w:r w:rsidR="00833D79">
        <w:t>was also supported by stakeholders to</w:t>
      </w:r>
      <w:r w:rsidR="00833D79" w:rsidRPr="00833D79">
        <w:t xml:space="preserve"> increase public awareness of incidence and highlight </w:t>
      </w:r>
      <w:r w:rsidR="00833D79">
        <w:t>risk in emergency events.</w:t>
      </w:r>
    </w:p>
    <w:p w14:paraId="762BB67D" w14:textId="6CDC36CC" w:rsidR="00E123CE" w:rsidRPr="007B1C0E" w:rsidRDefault="00B53050" w:rsidP="00E123CE">
      <w:pPr>
        <w:pStyle w:val="Numberedheading3"/>
      </w:pPr>
      <w:bookmarkStart w:id="91" w:name="_Hlk49693198"/>
      <w:bookmarkStart w:id="92" w:name="_Hlk49688097"/>
      <w:r>
        <w:t>4.5.2</w:t>
      </w:r>
      <w:r>
        <w:tab/>
      </w:r>
      <w:r w:rsidR="00E123CE">
        <w:t>S</w:t>
      </w:r>
      <w:r w:rsidR="00E123CE" w:rsidRPr="00CD3D03">
        <w:t>elected recommendations from development source</w:t>
      </w:r>
    </w:p>
    <w:p w14:paraId="001510B4" w14:textId="57EFC512" w:rsidR="00E123CE" w:rsidRPr="00913701" w:rsidRDefault="00E123CE" w:rsidP="00E123CE">
      <w:pPr>
        <w:pStyle w:val="Paragraph"/>
      </w:pPr>
      <w:r>
        <w:t xml:space="preserve">Table </w:t>
      </w:r>
      <w:r w:rsidR="005C54A0">
        <w:t>7</w:t>
      </w:r>
      <w:r>
        <w:t xml:space="preserve"> below highlights </w:t>
      </w:r>
      <w:r w:rsidRPr="00913701">
        <w:t xml:space="preserve">recommendations that have been provisionally selected from the development </w:t>
      </w:r>
      <w:r w:rsidRPr="00F2333B">
        <w:t>source</w:t>
      </w:r>
      <w:r w:rsidRPr="00913701">
        <w:t xml:space="preserve"> </w:t>
      </w:r>
      <w:r>
        <w:t>that may</w:t>
      </w:r>
      <w:r w:rsidRPr="00913701">
        <w:t xml:space="preserve"> support potential statement development.</w:t>
      </w:r>
      <w:r>
        <w:t xml:space="preserve"> These are presented in full after table </w:t>
      </w:r>
      <w:r w:rsidR="005C54A0">
        <w:t>7</w:t>
      </w:r>
      <w:r>
        <w:t xml:space="preserve"> to help inform the committee’s discussion.</w:t>
      </w:r>
    </w:p>
    <w:p w14:paraId="432E8389" w14:textId="139A9125" w:rsidR="00E123CE" w:rsidRPr="00F45FBA" w:rsidRDefault="00E123CE" w:rsidP="00E123CE">
      <w:pPr>
        <w:pStyle w:val="Heading3"/>
      </w:pPr>
      <w:r>
        <w:t xml:space="preserve">Table </w:t>
      </w:r>
      <w:r w:rsidR="005C54A0">
        <w:t>7</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E123CE" w:rsidRPr="00FD3FF6" w14:paraId="72302671" w14:textId="77777777" w:rsidTr="0006541D">
        <w:trPr>
          <w:trHeight w:val="321"/>
        </w:trPr>
        <w:tc>
          <w:tcPr>
            <w:tcW w:w="4113" w:type="dxa"/>
            <w:shd w:val="clear" w:color="auto" w:fill="auto"/>
            <w:hideMark/>
          </w:tcPr>
          <w:p w14:paraId="6A78F6CF" w14:textId="77777777" w:rsidR="00E123CE" w:rsidRPr="009C32E3" w:rsidRDefault="00E123CE" w:rsidP="0006541D">
            <w:pPr>
              <w:pStyle w:val="Tabletitle"/>
              <w:rPr>
                <w:highlight w:val="lightGray"/>
              </w:rPr>
            </w:pPr>
            <w:bookmarkStart w:id="93" w:name="_Hlk50138092"/>
            <w:r w:rsidRPr="00F2333B">
              <w:t>Sug</w:t>
            </w:r>
            <w:r>
              <w:t>gested quality improvement area</w:t>
            </w:r>
            <w:r w:rsidRPr="009C32E3">
              <w:rPr>
                <w:highlight w:val="lightGray"/>
              </w:rPr>
              <w:t xml:space="preserve"> </w:t>
            </w:r>
          </w:p>
        </w:tc>
        <w:tc>
          <w:tcPr>
            <w:tcW w:w="4395" w:type="dxa"/>
            <w:shd w:val="clear" w:color="auto" w:fill="auto"/>
            <w:hideMark/>
          </w:tcPr>
          <w:p w14:paraId="3DA15B16" w14:textId="77777777" w:rsidR="00E123CE" w:rsidRPr="009C32E3" w:rsidRDefault="00E123CE" w:rsidP="0006541D">
            <w:pPr>
              <w:pStyle w:val="Tabletitle"/>
              <w:rPr>
                <w:highlight w:val="lightGray"/>
              </w:rPr>
            </w:pPr>
            <w:r w:rsidRPr="00F2333B">
              <w:t>Selected source guidance recommendations</w:t>
            </w:r>
          </w:p>
        </w:tc>
      </w:tr>
      <w:tr w:rsidR="00FD4045" w:rsidRPr="005E5E3B" w14:paraId="48BD4492" w14:textId="77777777" w:rsidTr="00E55D72">
        <w:trPr>
          <w:trHeight w:val="714"/>
        </w:trPr>
        <w:tc>
          <w:tcPr>
            <w:tcW w:w="4113" w:type="dxa"/>
            <w:shd w:val="clear" w:color="auto" w:fill="auto"/>
          </w:tcPr>
          <w:p w14:paraId="3C3FB9E2" w14:textId="46CA5E0D" w:rsidR="00FD4045" w:rsidRPr="004D71BE" w:rsidRDefault="00FD4045" w:rsidP="00FD4045">
            <w:pPr>
              <w:pStyle w:val="Tabletext"/>
            </w:pPr>
            <w:bookmarkStart w:id="94" w:name="_Hlk49691909"/>
            <w:bookmarkEnd w:id="91"/>
            <w:r w:rsidRPr="00E70992">
              <w:t xml:space="preserve">Outpatient treatment </w:t>
            </w:r>
            <w:bookmarkEnd w:id="94"/>
            <w:r>
              <w:t>for low-risk PE</w:t>
            </w:r>
          </w:p>
        </w:tc>
        <w:tc>
          <w:tcPr>
            <w:tcW w:w="4395" w:type="dxa"/>
            <w:shd w:val="clear" w:color="auto" w:fill="auto"/>
          </w:tcPr>
          <w:p w14:paraId="73CADE40" w14:textId="009A62A4" w:rsidR="00FD4045" w:rsidRPr="004D71BE" w:rsidRDefault="00473E39" w:rsidP="00FD4045">
            <w:pPr>
              <w:pStyle w:val="Tabletext"/>
            </w:pPr>
            <w:hyperlink r:id="rId72" w:anchor="outpatient-treatment-for-low-risk-pe" w:history="1">
              <w:r w:rsidR="00FD4045">
                <w:rPr>
                  <w:rStyle w:val="Hyperlink"/>
                </w:rPr>
                <w:t>NICE NG158 Recommendation</w:t>
              </w:r>
            </w:hyperlink>
            <w:r w:rsidR="00FD4045" w:rsidRPr="004D71BE">
              <w:t xml:space="preserve"> 1.</w:t>
            </w:r>
            <w:r w:rsidR="00FD4045">
              <w:t>2.4</w:t>
            </w:r>
          </w:p>
        </w:tc>
      </w:tr>
      <w:tr w:rsidR="005B78C1" w:rsidRPr="005E5E3B" w14:paraId="02FE811C" w14:textId="77777777" w:rsidTr="00E55D72">
        <w:trPr>
          <w:trHeight w:val="714"/>
        </w:trPr>
        <w:tc>
          <w:tcPr>
            <w:tcW w:w="4113" w:type="dxa"/>
            <w:shd w:val="clear" w:color="auto" w:fill="auto"/>
          </w:tcPr>
          <w:p w14:paraId="2F359854" w14:textId="77777777" w:rsidR="005B78C1" w:rsidRPr="00FD4045" w:rsidRDefault="005B78C1" w:rsidP="005B78C1">
            <w:pPr>
              <w:pStyle w:val="Tabletitle"/>
              <w:rPr>
                <w:b w:val="0"/>
                <w:bCs/>
              </w:rPr>
            </w:pPr>
            <w:r w:rsidRPr="00FD4045">
              <w:rPr>
                <w:b w:val="0"/>
                <w:bCs/>
              </w:rPr>
              <w:lastRenderedPageBreak/>
              <w:t>Shared decision making and supporting adherence</w:t>
            </w:r>
          </w:p>
          <w:p w14:paraId="3CEAB292" w14:textId="77777777" w:rsidR="005B78C1" w:rsidRPr="00E70992" w:rsidRDefault="005B78C1" w:rsidP="005B78C1">
            <w:pPr>
              <w:pStyle w:val="Tabletext"/>
            </w:pPr>
          </w:p>
        </w:tc>
        <w:tc>
          <w:tcPr>
            <w:tcW w:w="4395" w:type="dxa"/>
            <w:shd w:val="clear" w:color="auto" w:fill="auto"/>
          </w:tcPr>
          <w:p w14:paraId="69DFCFC3" w14:textId="58F0F617" w:rsidR="005B78C1" w:rsidRDefault="00473E39" w:rsidP="005B78C1">
            <w:pPr>
              <w:pStyle w:val="Tabletext"/>
            </w:pPr>
            <w:hyperlink r:id="rId73" w:anchor="anticoagulation-treatment-for-suspected-or-confirmed-dvt-or-pe" w:history="1">
              <w:r w:rsidR="00B86157">
                <w:rPr>
                  <w:rStyle w:val="Hyperlink"/>
                </w:rPr>
                <w:t>NICE NG158 Recommendations</w:t>
              </w:r>
            </w:hyperlink>
            <w:r w:rsidR="005B78C1" w:rsidRPr="005B78C1">
              <w:t xml:space="preserve"> 1.3.1</w:t>
            </w:r>
            <w:r w:rsidR="00B86157">
              <w:t>,</w:t>
            </w:r>
          </w:p>
          <w:p w14:paraId="12D15033" w14:textId="3FECC390" w:rsidR="00CF2B10" w:rsidRPr="005B78C1" w:rsidRDefault="00CF2B10" w:rsidP="005B78C1">
            <w:pPr>
              <w:pStyle w:val="Tabletext"/>
            </w:pPr>
            <w:bookmarkStart w:id="95" w:name="_Hlk49692177"/>
            <w:r w:rsidRPr="00CF2B10">
              <w:t>1.5.1 and 1.5.2</w:t>
            </w:r>
            <w:bookmarkEnd w:id="95"/>
          </w:p>
        </w:tc>
      </w:tr>
    </w:tbl>
    <w:p w14:paraId="0BA8D326" w14:textId="6534D249" w:rsidR="00B124AC" w:rsidRPr="00B124AC" w:rsidRDefault="00B124AC" w:rsidP="00E123CE">
      <w:pPr>
        <w:pStyle w:val="Heading40"/>
        <w:rPr>
          <w:b/>
          <w:bCs/>
          <w:u w:val="none"/>
        </w:rPr>
      </w:pPr>
      <w:bookmarkStart w:id="96" w:name="_Hlk49686917"/>
      <w:bookmarkEnd w:id="92"/>
      <w:bookmarkEnd w:id="93"/>
      <w:r w:rsidRPr="00B124AC">
        <w:rPr>
          <w:b/>
          <w:bCs/>
          <w:u w:val="none"/>
        </w:rPr>
        <w:t xml:space="preserve">Outpatient treatment </w:t>
      </w:r>
      <w:r w:rsidR="00EB2585">
        <w:rPr>
          <w:b/>
          <w:bCs/>
          <w:u w:val="none"/>
        </w:rPr>
        <w:t>for low-risk PE</w:t>
      </w:r>
    </w:p>
    <w:p w14:paraId="51BB8C3F" w14:textId="1D1FE369" w:rsidR="00E123CE" w:rsidRPr="006D4956" w:rsidRDefault="00E123CE" w:rsidP="00E123CE">
      <w:pPr>
        <w:pStyle w:val="Paragraph"/>
        <w:rPr>
          <w:u w:val="single"/>
        </w:rPr>
      </w:pPr>
      <w:bookmarkStart w:id="97" w:name="_Hlk49690390"/>
      <w:bookmarkEnd w:id="96"/>
      <w:r w:rsidRPr="006D4956">
        <w:rPr>
          <w:u w:val="single"/>
        </w:rPr>
        <w:t>NICE NG158</w:t>
      </w:r>
      <w:r w:rsidR="0036452E">
        <w:rPr>
          <w:u w:val="single"/>
        </w:rPr>
        <w:t xml:space="preserve"> </w:t>
      </w:r>
      <w:r w:rsidRPr="006D4956">
        <w:rPr>
          <w:u w:val="single"/>
        </w:rPr>
        <w:t xml:space="preserve">Recommendation 1.2.4 </w:t>
      </w:r>
    </w:p>
    <w:bookmarkEnd w:id="97"/>
    <w:p w14:paraId="23001D23" w14:textId="77777777" w:rsidR="00E123CE" w:rsidRPr="006D4956" w:rsidRDefault="00E123CE" w:rsidP="00E123CE">
      <w:pPr>
        <w:pStyle w:val="Paragraph"/>
      </w:pPr>
      <w:r w:rsidRPr="006D4956">
        <w:t>Agree a plan for monitoring and follow-up with people having outpatient treatment for suspected or confirmed low-risk PE. Give them:</w:t>
      </w:r>
    </w:p>
    <w:p w14:paraId="566A8FCB" w14:textId="77777777" w:rsidR="00E123CE" w:rsidRPr="006D4956" w:rsidRDefault="00E123CE" w:rsidP="00685B78">
      <w:pPr>
        <w:pStyle w:val="Bulletparagraph"/>
      </w:pPr>
      <w:r w:rsidRPr="006D4956">
        <w:t>written information on symptoms and signs to look out for, including the potential complications of thrombosis and of treatment</w:t>
      </w:r>
    </w:p>
    <w:p w14:paraId="511B54E8" w14:textId="77777777" w:rsidR="00E123CE" w:rsidRPr="006D4956" w:rsidRDefault="00E123CE" w:rsidP="00685B78">
      <w:pPr>
        <w:pStyle w:val="Bulletparagraph"/>
      </w:pPr>
      <w:r w:rsidRPr="006D4956">
        <w:t>direct contact details of a healthcare professional or team with expertise in thrombosis who can discuss any new symptoms or signs, or other concerns</w:t>
      </w:r>
    </w:p>
    <w:p w14:paraId="20953348" w14:textId="2F1DA34D" w:rsidR="00E123CE" w:rsidRDefault="00E123CE" w:rsidP="00685B78">
      <w:pPr>
        <w:pStyle w:val="Bulletparagraph"/>
        <w:rPr>
          <w:b/>
          <w:bCs/>
        </w:rPr>
      </w:pPr>
      <w:r w:rsidRPr="006D4956">
        <w:t>information about out-of-hours services they can contact when their healthcare team is not available.</w:t>
      </w:r>
      <w:r w:rsidRPr="006D4956">
        <w:rPr>
          <w:b/>
          <w:bCs/>
        </w:rPr>
        <w:t> [2020]</w:t>
      </w:r>
    </w:p>
    <w:p w14:paraId="1F0E9DBC" w14:textId="77777777" w:rsidR="00B86157" w:rsidRDefault="00B86157" w:rsidP="00B86157">
      <w:pPr>
        <w:pStyle w:val="Bulletparagraph"/>
        <w:numPr>
          <w:ilvl w:val="0"/>
          <w:numId w:val="0"/>
        </w:numPr>
        <w:ind w:left="360"/>
        <w:rPr>
          <w:b/>
          <w:bCs/>
        </w:rPr>
      </w:pPr>
    </w:p>
    <w:p w14:paraId="65D3C965" w14:textId="77777777" w:rsidR="00882F29" w:rsidRPr="001F0D5F" w:rsidRDefault="00882F29" w:rsidP="00882F29">
      <w:pPr>
        <w:pStyle w:val="Heading40"/>
        <w:rPr>
          <w:b/>
          <w:bCs/>
          <w:u w:val="none"/>
        </w:rPr>
      </w:pPr>
      <w:bookmarkStart w:id="98" w:name="_Hlk50377974"/>
      <w:r w:rsidRPr="001F0D5F">
        <w:rPr>
          <w:b/>
          <w:bCs/>
          <w:u w:val="none"/>
        </w:rPr>
        <w:t>Shared decision making and supporting adherence</w:t>
      </w:r>
    </w:p>
    <w:p w14:paraId="08E2129E" w14:textId="77777777" w:rsidR="00882F29" w:rsidRPr="006A4A64" w:rsidRDefault="00882F29" w:rsidP="00882F29">
      <w:pPr>
        <w:pStyle w:val="Paragraph"/>
        <w:rPr>
          <w:u w:val="single"/>
        </w:rPr>
      </w:pPr>
      <w:bookmarkStart w:id="99" w:name="_Hlk49755444"/>
      <w:bookmarkEnd w:id="98"/>
      <w:r w:rsidRPr="006A4A64">
        <w:rPr>
          <w:u w:val="single"/>
        </w:rPr>
        <w:t>NICE NG158 Recommendation 1.3.1</w:t>
      </w:r>
    </w:p>
    <w:p w14:paraId="63F0F297" w14:textId="77777777" w:rsidR="00882F29" w:rsidRDefault="00882F29" w:rsidP="00882F29">
      <w:pPr>
        <w:pStyle w:val="Bulletparagraph"/>
        <w:numPr>
          <w:ilvl w:val="0"/>
          <w:numId w:val="0"/>
        </w:numPr>
        <w:ind w:left="360" w:hanging="360"/>
      </w:pPr>
      <w:r w:rsidRPr="006A4A64">
        <w:t xml:space="preserve">When offering anticoagulation treatment follow the recommendations on shared </w:t>
      </w:r>
    </w:p>
    <w:p w14:paraId="2D9777BA" w14:textId="21FDF3E7" w:rsidR="00882F29" w:rsidRDefault="00882F29" w:rsidP="00882F29">
      <w:pPr>
        <w:pStyle w:val="Bulletparagraph"/>
        <w:numPr>
          <w:ilvl w:val="0"/>
          <w:numId w:val="0"/>
        </w:numPr>
        <w:ind w:left="360" w:hanging="360"/>
      </w:pPr>
      <w:r w:rsidRPr="006A4A64">
        <w:t>decision making and supporting adherence in the NICE guidelines on:</w:t>
      </w:r>
    </w:p>
    <w:p w14:paraId="26829C97" w14:textId="77777777" w:rsidR="00502580" w:rsidRPr="006A4A64" w:rsidRDefault="00502580" w:rsidP="00882F29">
      <w:pPr>
        <w:pStyle w:val="Bulletparagraph"/>
        <w:numPr>
          <w:ilvl w:val="0"/>
          <w:numId w:val="0"/>
        </w:numPr>
        <w:ind w:left="360" w:hanging="360"/>
      </w:pPr>
    </w:p>
    <w:p w14:paraId="26D8F17D" w14:textId="77777777" w:rsidR="00882F29" w:rsidRPr="006A4A64" w:rsidRDefault="00473E39" w:rsidP="00882F29">
      <w:pPr>
        <w:pStyle w:val="Bulletparagraph"/>
      </w:pPr>
      <w:hyperlink r:id="rId74" w:tgtFrame="_top" w:history="1">
        <w:r w:rsidR="00882F29" w:rsidRPr="006A4A64">
          <w:rPr>
            <w:rStyle w:val="Hyperlink"/>
          </w:rPr>
          <w:t>medicines optimisation</w:t>
        </w:r>
      </w:hyperlink>
    </w:p>
    <w:p w14:paraId="6BB516DC" w14:textId="77777777" w:rsidR="00882F29" w:rsidRPr="006A4A64" w:rsidRDefault="00473E39" w:rsidP="00882F29">
      <w:pPr>
        <w:pStyle w:val="Bulletparagraph"/>
      </w:pPr>
      <w:hyperlink r:id="rId75" w:tgtFrame="_top" w:history="1">
        <w:r w:rsidR="00882F29" w:rsidRPr="006A4A64">
          <w:rPr>
            <w:rStyle w:val="Hyperlink"/>
          </w:rPr>
          <w:t>medicines adherence</w:t>
        </w:r>
      </w:hyperlink>
    </w:p>
    <w:p w14:paraId="1D3AD695" w14:textId="77777777" w:rsidR="00882F29" w:rsidRPr="006A4A64" w:rsidRDefault="00473E39" w:rsidP="00882F29">
      <w:pPr>
        <w:pStyle w:val="Bulletparagraph"/>
      </w:pPr>
      <w:hyperlink r:id="rId76" w:tgtFrame="_top" w:history="1">
        <w:r w:rsidR="00882F29" w:rsidRPr="006A4A64">
          <w:rPr>
            <w:rStyle w:val="Hyperlink"/>
          </w:rPr>
          <w:t>patient experience in adult NHS services</w:t>
        </w:r>
      </w:hyperlink>
      <w:r w:rsidR="00882F29" w:rsidRPr="006A4A64">
        <w:t>. </w:t>
      </w:r>
      <w:r w:rsidR="00882F29" w:rsidRPr="007676C0">
        <w:rPr>
          <w:b/>
          <w:bCs/>
        </w:rPr>
        <w:t>[2020]</w:t>
      </w:r>
    </w:p>
    <w:bookmarkEnd w:id="99"/>
    <w:p w14:paraId="777BDD3B" w14:textId="77777777" w:rsidR="00882F29" w:rsidRDefault="00882F29" w:rsidP="00882F29">
      <w:pPr>
        <w:pStyle w:val="Bulletparagraph"/>
        <w:numPr>
          <w:ilvl w:val="0"/>
          <w:numId w:val="0"/>
        </w:numPr>
        <w:rPr>
          <w:b/>
          <w:bCs/>
        </w:rPr>
      </w:pPr>
    </w:p>
    <w:p w14:paraId="646F08F8" w14:textId="387082DF" w:rsidR="00B124AC" w:rsidRDefault="00B124AC" w:rsidP="00B124AC">
      <w:pPr>
        <w:pStyle w:val="Paragraph"/>
        <w:rPr>
          <w:u w:val="single"/>
        </w:rPr>
      </w:pPr>
      <w:bookmarkStart w:id="100" w:name="_Hlk49692279"/>
      <w:r w:rsidRPr="00B124AC">
        <w:rPr>
          <w:u w:val="single"/>
        </w:rPr>
        <w:t>NICE NG158</w:t>
      </w:r>
      <w:r w:rsidR="00EB616D">
        <w:rPr>
          <w:u w:val="single"/>
        </w:rPr>
        <w:t xml:space="preserve"> </w:t>
      </w:r>
      <w:r w:rsidRPr="00B124AC">
        <w:rPr>
          <w:u w:val="single"/>
        </w:rPr>
        <w:t>Recommendation 1.5.1</w:t>
      </w:r>
    </w:p>
    <w:bookmarkEnd w:id="100"/>
    <w:p w14:paraId="15326A68" w14:textId="77777777" w:rsidR="00B124AC" w:rsidRPr="00B124AC" w:rsidRDefault="00B124AC" w:rsidP="00B124AC">
      <w:pPr>
        <w:pStyle w:val="Paragraph"/>
      </w:pPr>
      <w:r w:rsidRPr="00B124AC">
        <w:t>Give people having anticoagulation treatment verbal and written information about:</w:t>
      </w:r>
    </w:p>
    <w:p w14:paraId="4A28D60C" w14:textId="77777777" w:rsidR="00B124AC" w:rsidRPr="00B124AC" w:rsidRDefault="00B124AC" w:rsidP="00685B78">
      <w:pPr>
        <w:pStyle w:val="Bulletparagraph"/>
      </w:pPr>
      <w:r w:rsidRPr="00B124AC">
        <w:t>how to use anticoagulants</w:t>
      </w:r>
    </w:p>
    <w:p w14:paraId="1BA86207" w14:textId="77777777" w:rsidR="00B124AC" w:rsidRPr="00B124AC" w:rsidRDefault="00B124AC" w:rsidP="00685B78">
      <w:pPr>
        <w:pStyle w:val="Bulletparagraph"/>
      </w:pPr>
      <w:r w:rsidRPr="00B124AC">
        <w:t>how long to take anticoagulants</w:t>
      </w:r>
    </w:p>
    <w:p w14:paraId="25C56DF4" w14:textId="77777777" w:rsidR="00B124AC" w:rsidRPr="00B124AC" w:rsidRDefault="00B124AC" w:rsidP="00685B78">
      <w:pPr>
        <w:pStyle w:val="Bulletparagraph"/>
      </w:pPr>
      <w:r w:rsidRPr="00B124AC">
        <w:t>possible side effects of anticoagulants and what to do if these occur</w:t>
      </w:r>
    </w:p>
    <w:p w14:paraId="2217E117" w14:textId="77777777" w:rsidR="00B124AC" w:rsidRPr="00B124AC" w:rsidRDefault="00B124AC" w:rsidP="00685B78">
      <w:pPr>
        <w:pStyle w:val="Bulletparagraph"/>
      </w:pPr>
      <w:r w:rsidRPr="00B124AC">
        <w:t>how other medications, foods and alcohol can affect oral anticoagulation treatment</w:t>
      </w:r>
    </w:p>
    <w:p w14:paraId="0922F2B8" w14:textId="77777777" w:rsidR="00B124AC" w:rsidRPr="00B124AC" w:rsidRDefault="00B124AC" w:rsidP="00685B78">
      <w:pPr>
        <w:pStyle w:val="Bulletparagraph"/>
      </w:pPr>
      <w:r w:rsidRPr="00B124AC">
        <w:t>any monitoring needed for their anticoagulant treatment</w:t>
      </w:r>
    </w:p>
    <w:p w14:paraId="1CC63BA3" w14:textId="77777777" w:rsidR="00B124AC" w:rsidRPr="00B124AC" w:rsidRDefault="00B124AC" w:rsidP="00685B78">
      <w:pPr>
        <w:pStyle w:val="Bulletparagraph"/>
      </w:pPr>
      <w:r w:rsidRPr="00B124AC">
        <w:t>how anticoagulants may affect their dental treatment</w:t>
      </w:r>
    </w:p>
    <w:p w14:paraId="7BEA97EE" w14:textId="77777777" w:rsidR="00B124AC" w:rsidRPr="00B124AC" w:rsidRDefault="00B124AC" w:rsidP="00685B78">
      <w:pPr>
        <w:pStyle w:val="Bulletparagraph"/>
      </w:pPr>
      <w:r w:rsidRPr="00B124AC">
        <w:t>taking anticoagulants if they are planning pregnancy or become pregnant</w:t>
      </w:r>
    </w:p>
    <w:p w14:paraId="71D37CBE" w14:textId="77777777" w:rsidR="00B124AC" w:rsidRPr="00B124AC" w:rsidRDefault="00B124AC" w:rsidP="00685B78">
      <w:pPr>
        <w:pStyle w:val="Bulletparagraph"/>
      </w:pPr>
      <w:r w:rsidRPr="00B124AC">
        <w:lastRenderedPageBreak/>
        <w:t>how anticoagulants may affect activities such as sports and travel</w:t>
      </w:r>
    </w:p>
    <w:p w14:paraId="59658BD1" w14:textId="34674B29" w:rsidR="00B124AC" w:rsidRPr="00B124AC" w:rsidRDefault="00B124AC" w:rsidP="00685B78">
      <w:pPr>
        <w:pStyle w:val="Bulletparagraph"/>
      </w:pPr>
      <w:r w:rsidRPr="00B124AC">
        <w:t>when and how to seek medical help. </w:t>
      </w:r>
      <w:r w:rsidRPr="00B124AC">
        <w:rPr>
          <w:b/>
          <w:bCs/>
        </w:rPr>
        <w:t>[2012]</w:t>
      </w:r>
    </w:p>
    <w:p w14:paraId="79908862" w14:textId="7390672B" w:rsidR="00B124AC" w:rsidRDefault="00B124AC" w:rsidP="00B124AC">
      <w:pPr>
        <w:pStyle w:val="Paragraph"/>
        <w:rPr>
          <w:u w:val="single"/>
        </w:rPr>
      </w:pPr>
      <w:bookmarkStart w:id="101" w:name="_Hlk49693707"/>
      <w:r w:rsidRPr="00B124AC">
        <w:rPr>
          <w:u w:val="single"/>
        </w:rPr>
        <w:t>NICE NG158</w:t>
      </w:r>
      <w:r w:rsidR="0036452E">
        <w:rPr>
          <w:u w:val="single"/>
        </w:rPr>
        <w:t xml:space="preserve"> </w:t>
      </w:r>
      <w:r w:rsidRPr="00B124AC">
        <w:rPr>
          <w:u w:val="single"/>
        </w:rPr>
        <w:t>Recommendation 1.5.</w:t>
      </w:r>
      <w:r>
        <w:rPr>
          <w:u w:val="single"/>
        </w:rPr>
        <w:t>2</w:t>
      </w:r>
    </w:p>
    <w:bookmarkEnd w:id="101"/>
    <w:p w14:paraId="117A8FC7" w14:textId="7B8FBE50" w:rsidR="00B124AC" w:rsidRPr="000219EC" w:rsidRDefault="000219EC" w:rsidP="00B124AC">
      <w:pPr>
        <w:pStyle w:val="Paragraph"/>
      </w:pPr>
      <w:r w:rsidRPr="000219EC">
        <w:t>Give people who are having anticoagulation treatment information and an 'anticoagulant alert card' that is specific to their treatment. Advise them to carry the 'anticoagulant alert card' at all times. </w:t>
      </w:r>
      <w:r w:rsidRPr="000219EC">
        <w:rPr>
          <w:b/>
          <w:bCs/>
        </w:rPr>
        <w:t>[2012]</w:t>
      </w:r>
    </w:p>
    <w:p w14:paraId="4101F589" w14:textId="0BB95BB8" w:rsidR="00E123CE" w:rsidRDefault="00B53050" w:rsidP="00E123CE">
      <w:pPr>
        <w:pStyle w:val="Numberedheading3"/>
      </w:pPr>
      <w:bookmarkStart w:id="102" w:name="_Hlk49693806"/>
      <w:r>
        <w:t>4.5.3</w:t>
      </w:r>
      <w:r>
        <w:tab/>
      </w:r>
      <w:r w:rsidR="00E123CE">
        <w:t>Current UK practice</w:t>
      </w:r>
    </w:p>
    <w:bookmarkEnd w:id="102"/>
    <w:p w14:paraId="78F475E0" w14:textId="5336F72F" w:rsidR="000219EC" w:rsidRPr="00DD138B" w:rsidRDefault="000219EC" w:rsidP="000219EC">
      <w:pPr>
        <w:pStyle w:val="Paragraph"/>
        <w:rPr>
          <w:b/>
          <w:bCs/>
        </w:rPr>
      </w:pPr>
      <w:r w:rsidRPr="00DD138B">
        <w:rPr>
          <w:b/>
          <w:bCs/>
        </w:rPr>
        <w:t xml:space="preserve">Outpatient treatment </w:t>
      </w:r>
      <w:r w:rsidR="00FF2669" w:rsidRPr="00DD138B">
        <w:rPr>
          <w:b/>
          <w:bCs/>
        </w:rPr>
        <w:t>for low-risk PE</w:t>
      </w:r>
    </w:p>
    <w:p w14:paraId="7EB595A5" w14:textId="3994EB88" w:rsidR="00DD138B" w:rsidRPr="00DD138B" w:rsidRDefault="00BB009A" w:rsidP="000219EC">
      <w:pPr>
        <w:pStyle w:val="Paragraph"/>
      </w:pPr>
      <w:r w:rsidRPr="00BB009A">
        <w:t xml:space="preserve">The 2019 National Confidential Enquiry into Patient Outcome and Death </w:t>
      </w:r>
      <w:hyperlink r:id="rId77" w:history="1">
        <w:r w:rsidRPr="00BB009A">
          <w:rPr>
            <w:rStyle w:val="Hyperlink"/>
          </w:rPr>
          <w:t>Pulmonary embolism: Know the score</w:t>
        </w:r>
      </w:hyperlink>
      <w:r w:rsidRPr="00BB009A">
        <w:t xml:space="preserve"> reported </w:t>
      </w:r>
      <w:r>
        <w:t>o</w:t>
      </w:r>
      <w:r w:rsidR="00DD138B" w:rsidRPr="00DD138B">
        <w:t>utpatient follow-up was not routinely arranged following a PE diagnosis in 32</w:t>
      </w:r>
      <w:r w:rsidR="001B248D">
        <w:t xml:space="preserve"> out of </w:t>
      </w:r>
      <w:r w:rsidR="00DD138B" w:rsidRPr="00DD138B">
        <w:t xml:space="preserve">179 (17.9%) hospitals. </w:t>
      </w:r>
    </w:p>
    <w:p w14:paraId="40B79970" w14:textId="0425EBE3" w:rsidR="008A5783" w:rsidRDefault="008A5783" w:rsidP="00BE67AD">
      <w:pPr>
        <w:pStyle w:val="Paragraph"/>
        <w:rPr>
          <w:b/>
          <w:bCs/>
        </w:rPr>
      </w:pPr>
      <w:r w:rsidRPr="00DD138B">
        <w:rPr>
          <w:b/>
          <w:bCs/>
        </w:rPr>
        <w:t>Shared decision making and supporting adherence</w:t>
      </w:r>
    </w:p>
    <w:p w14:paraId="3DD7210E" w14:textId="4C5C8BA9" w:rsidR="007A6DEE" w:rsidRDefault="001E17F0" w:rsidP="00BE67AD">
      <w:pPr>
        <w:pStyle w:val="Paragraph"/>
        <w:rPr>
          <w:b/>
          <w:bCs/>
        </w:rPr>
      </w:pPr>
      <w:r w:rsidRPr="001E17F0">
        <w:t xml:space="preserve">The 2019 National Confidential Enquiry into Patient Outcome and Death </w:t>
      </w:r>
      <w:hyperlink r:id="rId78" w:history="1">
        <w:r w:rsidRPr="001E17F0">
          <w:rPr>
            <w:rStyle w:val="Hyperlink"/>
          </w:rPr>
          <w:t>Pulmonary embolism: Know the score</w:t>
        </w:r>
      </w:hyperlink>
      <w:r w:rsidRPr="001E17F0">
        <w:t xml:space="preserve"> reported 112</w:t>
      </w:r>
      <w:r w:rsidR="001B248D">
        <w:t xml:space="preserve"> out of </w:t>
      </w:r>
      <w:r w:rsidRPr="001E17F0">
        <w:t>167 (67.1%) hospitals provided specific information and education about PE, with 62 hospitals providing it at discharge. However, treating clinicians were unable to determine whether 336</w:t>
      </w:r>
      <w:r w:rsidR="001B248D">
        <w:t xml:space="preserve"> out of </w:t>
      </w:r>
      <w:r w:rsidRPr="001E17F0">
        <w:t xml:space="preserve">600 (56.0%) patients were given this information. There was </w:t>
      </w:r>
      <w:r>
        <w:t xml:space="preserve">also </w:t>
      </w:r>
      <w:r w:rsidRPr="001E17F0">
        <w:t xml:space="preserve">little difference between inpatients and ambulatory patients. </w:t>
      </w:r>
    </w:p>
    <w:p w14:paraId="79588721" w14:textId="030B1824" w:rsidR="004067F2" w:rsidRPr="0045225D" w:rsidRDefault="004067F2" w:rsidP="004067F2">
      <w:pPr>
        <w:pStyle w:val="Numberedheading3"/>
      </w:pPr>
      <w:bookmarkStart w:id="103" w:name="_Hlk49697161"/>
      <w:r>
        <w:t>4.5.</w:t>
      </w:r>
      <w:r w:rsidR="008C4468">
        <w:t>4</w:t>
      </w:r>
      <w:r>
        <w:t xml:space="preserve">   </w:t>
      </w:r>
      <w:r w:rsidRPr="0045225D">
        <w:t>Committee discussion</w:t>
      </w:r>
    </w:p>
    <w:p w14:paraId="5444EDFB" w14:textId="77777777" w:rsidR="004067F2" w:rsidRPr="00AB5D35" w:rsidRDefault="004067F2" w:rsidP="004067F2">
      <w:pPr>
        <w:pStyle w:val="Paragraph"/>
        <w:rPr>
          <w:b/>
          <w:bCs/>
        </w:rPr>
      </w:pPr>
      <w:r w:rsidRPr="00AB5D35">
        <w:rPr>
          <w:b/>
          <w:bCs/>
        </w:rPr>
        <w:t>For discussion</w:t>
      </w:r>
    </w:p>
    <w:p w14:paraId="736A8CB9" w14:textId="77777777" w:rsidR="004067F2" w:rsidRPr="00AB5D35" w:rsidRDefault="004067F2" w:rsidP="004067F2">
      <w:pPr>
        <w:pStyle w:val="Bulletparagraph"/>
      </w:pPr>
      <w:r w:rsidRPr="00AB5D35">
        <w:t>What is the priority for improvement?</w:t>
      </w:r>
    </w:p>
    <w:p w14:paraId="59A58D8A" w14:textId="77777777" w:rsidR="004067F2" w:rsidRPr="00AB5D35" w:rsidRDefault="004067F2" w:rsidP="004067F2">
      <w:pPr>
        <w:pStyle w:val="Bulletparagraph"/>
      </w:pPr>
      <w:r w:rsidRPr="00AB5D35">
        <w:t>What is the key action that will lead to improvement?</w:t>
      </w:r>
    </w:p>
    <w:p w14:paraId="3F33DC8C" w14:textId="77777777" w:rsidR="004067F2" w:rsidRDefault="004067F2" w:rsidP="004067F2">
      <w:pPr>
        <w:pStyle w:val="Bulletparagraph"/>
      </w:pPr>
      <w:r w:rsidRPr="00AB5D35">
        <w:t>Can we develop a specific, measurable statement?</w:t>
      </w:r>
    </w:p>
    <w:p w14:paraId="43A0B289" w14:textId="77777777" w:rsidR="004067F2" w:rsidRPr="00AB5D35" w:rsidRDefault="004067F2" w:rsidP="004067F2">
      <w:pPr>
        <w:pStyle w:val="Paragraph"/>
        <w:rPr>
          <w:b/>
          <w:bCs/>
        </w:rPr>
      </w:pPr>
      <w:r w:rsidRPr="00AB5D35">
        <w:rPr>
          <w:b/>
          <w:bCs/>
        </w:rPr>
        <w:t>For decision</w:t>
      </w:r>
    </w:p>
    <w:p w14:paraId="30238DC9" w14:textId="0628D904" w:rsidR="004067F2" w:rsidRPr="00B45641" w:rsidRDefault="00B86157" w:rsidP="00B45641">
      <w:pPr>
        <w:pStyle w:val="Paragraph"/>
        <w:numPr>
          <w:ilvl w:val="0"/>
          <w:numId w:val="4"/>
        </w:numPr>
      </w:pPr>
      <w:r w:rsidRPr="007676C0">
        <w:t>Should any of these areas be prioritised for inclusion in the quality standard?</w:t>
      </w:r>
    </w:p>
    <w:bookmarkEnd w:id="103"/>
    <w:p w14:paraId="4DE93151" w14:textId="687C0193" w:rsidR="005E0409" w:rsidRPr="00675CEE" w:rsidRDefault="000219EC" w:rsidP="00675CEE">
      <w:pPr>
        <w:rPr>
          <w:rFonts w:ascii="Arial" w:hAnsi="Arial"/>
        </w:rPr>
      </w:pPr>
      <w:r>
        <w:br w:type="page"/>
      </w:r>
    </w:p>
    <w:p w14:paraId="2686B6B9" w14:textId="7D5B83AD" w:rsidR="00626943" w:rsidRPr="00427135" w:rsidRDefault="00B53050" w:rsidP="00427135">
      <w:pPr>
        <w:pStyle w:val="Numberedheading2"/>
      </w:pPr>
      <w:r>
        <w:lastRenderedPageBreak/>
        <w:t xml:space="preserve">4.6 </w:t>
      </w:r>
      <w:r w:rsidR="00626943" w:rsidRPr="00427135">
        <w:t xml:space="preserve">Additional areas </w:t>
      </w:r>
    </w:p>
    <w:p w14:paraId="191C90FB" w14:textId="77777777" w:rsidR="00626943" w:rsidRPr="00E80EE3" w:rsidRDefault="00626943" w:rsidP="00427135">
      <w:pPr>
        <w:pStyle w:val="Heading3"/>
      </w:pPr>
      <w:r w:rsidRPr="00E80EE3">
        <w:t>Summary of suggestions</w:t>
      </w:r>
    </w:p>
    <w:p w14:paraId="77F2A261"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rsidR="00DD0BD8">
        <w:t>need</w:t>
      </w:r>
      <w:r w:rsidRPr="00E80EE3">
        <w:t xml:space="preserve"> further discussion by the </w:t>
      </w:r>
      <w:r w:rsidR="00C92D69">
        <w:t>c</w:t>
      </w:r>
      <w:r w:rsidRPr="00E80EE3">
        <w:t xml:space="preserve">ommittee to establish potential for statement development. </w:t>
      </w:r>
    </w:p>
    <w:p w14:paraId="324C6218" w14:textId="33F58B56" w:rsidR="00626943" w:rsidRPr="00E80EE3" w:rsidRDefault="00626943" w:rsidP="00427135">
      <w:pPr>
        <w:pStyle w:val="Paragraph"/>
      </w:pPr>
      <w:r w:rsidRPr="00E80EE3">
        <w:t xml:space="preserve">There will be an opportunity for the </w:t>
      </w:r>
      <w:r w:rsidR="00C92D69">
        <w:t>committee</w:t>
      </w:r>
      <w:r w:rsidRPr="00E80EE3">
        <w:t xml:space="preserve"> to discuss these areas at the end of the session on </w:t>
      </w:r>
      <w:r w:rsidR="00EC2A86">
        <w:t>16 September</w:t>
      </w:r>
      <w:r w:rsidRPr="00E80EE3">
        <w:t>.</w:t>
      </w:r>
    </w:p>
    <w:p w14:paraId="2F5048EA" w14:textId="715CAFA2" w:rsidR="00381146" w:rsidRPr="007A4ED6" w:rsidRDefault="00381146" w:rsidP="00EC2A86">
      <w:pPr>
        <w:pStyle w:val="Paragraph"/>
        <w:rPr>
          <w:b/>
          <w:bCs/>
          <w:highlight w:val="lightGray"/>
        </w:rPr>
      </w:pPr>
      <w:bookmarkStart w:id="104" w:name="_Toc404063922"/>
      <w:bookmarkStart w:id="105" w:name="_Toc404587493"/>
      <w:bookmarkStart w:id="106" w:name="_Toc432164930"/>
      <w:bookmarkStart w:id="107" w:name="_Toc467141920"/>
      <w:bookmarkStart w:id="108" w:name="_Toc467141971"/>
      <w:r w:rsidRPr="007A4ED6">
        <w:rPr>
          <w:b/>
          <w:bCs/>
          <w:highlight w:val="lightGray"/>
        </w:rPr>
        <w:t xml:space="preserve">Access to more complex therapies </w:t>
      </w:r>
    </w:p>
    <w:p w14:paraId="70DDF09A" w14:textId="0891568A" w:rsidR="003D4ED3" w:rsidRPr="007A4ED6" w:rsidRDefault="003D4ED3" w:rsidP="00EC2A86">
      <w:pPr>
        <w:pStyle w:val="Paragraph"/>
        <w:rPr>
          <w:highlight w:val="lightGray"/>
        </w:rPr>
      </w:pPr>
      <w:r w:rsidRPr="007A4ED6">
        <w:rPr>
          <w:highlight w:val="lightGray"/>
        </w:rPr>
        <w:t>NICE</w:t>
      </w:r>
      <w:r w:rsidR="006D1003" w:rsidRPr="007A4ED6">
        <w:rPr>
          <w:highlight w:val="lightGray"/>
        </w:rPr>
        <w:t xml:space="preserve">’s </w:t>
      </w:r>
      <w:r w:rsidR="001B248D" w:rsidRPr="007A4ED6">
        <w:rPr>
          <w:highlight w:val="lightGray"/>
        </w:rPr>
        <w:t xml:space="preserve">2015 </w:t>
      </w:r>
      <w:r w:rsidRPr="007A4ED6">
        <w:rPr>
          <w:highlight w:val="lightGray"/>
        </w:rPr>
        <w:t>interventional procedures guidance</w:t>
      </w:r>
      <w:r w:rsidR="004067F2" w:rsidRPr="007A4ED6">
        <w:rPr>
          <w:highlight w:val="lightGray"/>
        </w:rPr>
        <w:t xml:space="preserve"> (IPG53)</w:t>
      </w:r>
      <w:r w:rsidRPr="007A4ED6">
        <w:rPr>
          <w:highlight w:val="lightGray"/>
        </w:rPr>
        <w:t xml:space="preserve"> on </w:t>
      </w:r>
      <w:hyperlink r:id="rId79" w:tgtFrame="_top" w:history="1">
        <w:r w:rsidRPr="007A4ED6">
          <w:rPr>
            <w:rStyle w:val="Hyperlink"/>
            <w:highlight w:val="lightGray"/>
          </w:rPr>
          <w:t>ultrasound-enhanced, catheter-directed thrombolysis for deep vein thrombosis</w:t>
        </w:r>
      </w:hyperlink>
      <w:r w:rsidR="00AE05C4" w:rsidRPr="007A4ED6">
        <w:rPr>
          <w:highlight w:val="lightGray"/>
        </w:rPr>
        <w:t xml:space="preserve"> was suggested as an additional</w:t>
      </w:r>
      <w:r w:rsidR="00AE05C4" w:rsidRPr="007A4ED6">
        <w:rPr>
          <w:rFonts w:cs="Arial"/>
          <w:sz w:val="22"/>
          <w:szCs w:val="20"/>
          <w:highlight w:val="lightGray"/>
        </w:rPr>
        <w:t xml:space="preserve"> </w:t>
      </w:r>
      <w:r w:rsidR="00AE05C4" w:rsidRPr="007A4ED6">
        <w:rPr>
          <w:highlight w:val="lightGray"/>
        </w:rPr>
        <w:t>developmental area of emergent practice.</w:t>
      </w:r>
    </w:p>
    <w:p w14:paraId="61C98567" w14:textId="529B1F1A" w:rsidR="00EC2A86" w:rsidRPr="007A4ED6" w:rsidRDefault="00EC2A86" w:rsidP="00EC2A86">
      <w:pPr>
        <w:pStyle w:val="Paragraph"/>
        <w:rPr>
          <w:b/>
          <w:bCs/>
          <w:highlight w:val="lightGray"/>
        </w:rPr>
      </w:pPr>
      <w:r w:rsidRPr="007A4ED6">
        <w:rPr>
          <w:b/>
          <w:bCs/>
          <w:highlight w:val="lightGray"/>
        </w:rPr>
        <w:t>COVID-19</w:t>
      </w:r>
    </w:p>
    <w:p w14:paraId="73C2836F" w14:textId="42159D03" w:rsidR="00EC2A86" w:rsidRPr="007A4ED6" w:rsidRDefault="00EC2A86" w:rsidP="00EC2A86">
      <w:pPr>
        <w:pStyle w:val="Paragraph"/>
        <w:rPr>
          <w:highlight w:val="lightGray"/>
        </w:rPr>
      </w:pPr>
      <w:bookmarkStart w:id="109" w:name="_Hlk50453804"/>
      <w:r w:rsidRPr="007A4ED6">
        <w:rPr>
          <w:highlight w:val="lightGray"/>
        </w:rPr>
        <w:t>At topic engagement</w:t>
      </w:r>
      <w:r w:rsidR="002643EE" w:rsidRPr="007A4ED6">
        <w:rPr>
          <w:highlight w:val="lightGray"/>
        </w:rPr>
        <w:t>,</w:t>
      </w:r>
      <w:r w:rsidRPr="007A4ED6">
        <w:rPr>
          <w:highlight w:val="lightGray"/>
        </w:rPr>
        <w:t xml:space="preserve"> stakeholders </w:t>
      </w:r>
      <w:r w:rsidR="007109C9" w:rsidRPr="007A4ED6">
        <w:rPr>
          <w:highlight w:val="lightGray"/>
        </w:rPr>
        <w:t>highlighted</w:t>
      </w:r>
      <w:r w:rsidRPr="007A4ED6">
        <w:rPr>
          <w:highlight w:val="lightGray"/>
        </w:rPr>
        <w:t xml:space="preserve"> </w:t>
      </w:r>
      <w:r w:rsidR="007109C9" w:rsidRPr="007A4ED6">
        <w:rPr>
          <w:highlight w:val="lightGray"/>
        </w:rPr>
        <w:t>a number</w:t>
      </w:r>
      <w:r w:rsidR="00B86157" w:rsidRPr="007A4ED6">
        <w:rPr>
          <w:highlight w:val="lightGray"/>
        </w:rPr>
        <w:t xml:space="preserve"> of</w:t>
      </w:r>
      <w:r w:rsidR="007109C9" w:rsidRPr="007A4ED6">
        <w:rPr>
          <w:highlight w:val="lightGray"/>
        </w:rPr>
        <w:t xml:space="preserve"> </w:t>
      </w:r>
      <w:r w:rsidRPr="007A4ED6">
        <w:rPr>
          <w:highlight w:val="lightGray"/>
        </w:rPr>
        <w:t xml:space="preserve">issues relating to COVID-19 that we should take into account when developing this quality standard. Some of the issues have already been highlighted as particularly relevant to areas for quality improvement discussed earlier in the paper. However, there were also additional themes highlighted by stakeholders that are not currently covered by NICE guidelines: </w:t>
      </w:r>
    </w:p>
    <w:bookmarkEnd w:id="109"/>
    <w:p w14:paraId="6F08F979" w14:textId="65891389" w:rsidR="007109C9" w:rsidRPr="007A4ED6" w:rsidRDefault="007109C9" w:rsidP="005C54A0">
      <w:pPr>
        <w:pStyle w:val="Bulletparagraph"/>
        <w:rPr>
          <w:highlight w:val="lightGray"/>
        </w:rPr>
      </w:pPr>
      <w:r w:rsidRPr="007A4ED6">
        <w:rPr>
          <w:highlight w:val="lightGray"/>
        </w:rPr>
        <w:t>Significant increase in VTE patients due to C</w:t>
      </w:r>
      <w:r w:rsidR="00C142A8" w:rsidRPr="007A4ED6">
        <w:rPr>
          <w:highlight w:val="lightGray"/>
        </w:rPr>
        <w:t>OVID</w:t>
      </w:r>
      <w:r w:rsidRPr="007A4ED6">
        <w:rPr>
          <w:highlight w:val="lightGray"/>
        </w:rPr>
        <w:t>-19</w:t>
      </w:r>
      <w:r w:rsidR="00E52914">
        <w:rPr>
          <w:highlight w:val="lightGray"/>
        </w:rPr>
        <w:t>.</w:t>
      </w:r>
    </w:p>
    <w:p w14:paraId="2185DCBD" w14:textId="667CD46B" w:rsidR="00EC2A86" w:rsidRPr="007A4ED6" w:rsidRDefault="00EC2A86" w:rsidP="005C54A0">
      <w:pPr>
        <w:pStyle w:val="Bulletparagraph"/>
        <w:rPr>
          <w:highlight w:val="lightGray"/>
        </w:rPr>
      </w:pPr>
      <w:r w:rsidRPr="007A4ED6">
        <w:rPr>
          <w:highlight w:val="lightGray"/>
        </w:rPr>
        <w:t>D</w:t>
      </w:r>
      <w:r w:rsidR="007109C9" w:rsidRPr="007A4ED6">
        <w:rPr>
          <w:highlight w:val="lightGray"/>
        </w:rPr>
        <w:t>-dimer</w:t>
      </w:r>
      <w:r w:rsidRPr="007A4ED6">
        <w:rPr>
          <w:highlight w:val="lightGray"/>
        </w:rPr>
        <w:t xml:space="preserve"> </w:t>
      </w:r>
      <w:r w:rsidR="00466E99" w:rsidRPr="007A4ED6">
        <w:rPr>
          <w:highlight w:val="lightGray"/>
        </w:rPr>
        <w:t>testing</w:t>
      </w:r>
      <w:r w:rsidRPr="007A4ED6">
        <w:rPr>
          <w:highlight w:val="lightGray"/>
        </w:rPr>
        <w:t xml:space="preserve"> </w:t>
      </w:r>
      <w:r w:rsidR="007109C9" w:rsidRPr="007A4ED6">
        <w:rPr>
          <w:highlight w:val="lightGray"/>
        </w:rPr>
        <w:t xml:space="preserve">used </w:t>
      </w:r>
      <w:r w:rsidRPr="007A4ED6">
        <w:rPr>
          <w:highlight w:val="lightGray"/>
        </w:rPr>
        <w:t>to stratify intensity of th</w:t>
      </w:r>
      <w:r w:rsidR="0028007E" w:rsidRPr="007A4ED6">
        <w:rPr>
          <w:highlight w:val="lightGray"/>
        </w:rPr>
        <w:t>r</w:t>
      </w:r>
      <w:r w:rsidRPr="007A4ED6">
        <w:rPr>
          <w:highlight w:val="lightGray"/>
        </w:rPr>
        <w:t>omboprophylaxis with anticoagulation.</w:t>
      </w:r>
    </w:p>
    <w:p w14:paraId="296802E4" w14:textId="36D9378A" w:rsidR="00EC2A86" w:rsidRPr="007A4ED6" w:rsidRDefault="007109C9" w:rsidP="005C54A0">
      <w:pPr>
        <w:pStyle w:val="Bulletparagraph"/>
        <w:rPr>
          <w:highlight w:val="lightGray"/>
        </w:rPr>
      </w:pPr>
      <w:r w:rsidRPr="007A4ED6">
        <w:rPr>
          <w:highlight w:val="lightGray"/>
        </w:rPr>
        <w:t>M</w:t>
      </w:r>
      <w:r w:rsidR="00EC2A86" w:rsidRPr="007A4ED6">
        <w:rPr>
          <w:highlight w:val="lightGray"/>
        </w:rPr>
        <w:t xml:space="preserve">anagement of </w:t>
      </w:r>
      <w:bookmarkStart w:id="110" w:name="_Hlk50449262"/>
      <w:r w:rsidR="00C142A8" w:rsidRPr="007A4ED6">
        <w:rPr>
          <w:highlight w:val="lightGray"/>
        </w:rPr>
        <w:t>COVID</w:t>
      </w:r>
      <w:r w:rsidR="0028007E" w:rsidRPr="007A4ED6">
        <w:rPr>
          <w:highlight w:val="lightGray"/>
        </w:rPr>
        <w:t xml:space="preserve">-19 </w:t>
      </w:r>
      <w:bookmarkEnd w:id="110"/>
      <w:r w:rsidRPr="007A4ED6">
        <w:rPr>
          <w:highlight w:val="lightGray"/>
        </w:rPr>
        <w:t xml:space="preserve">and </w:t>
      </w:r>
      <w:r w:rsidR="00EC2A86" w:rsidRPr="007A4ED6">
        <w:rPr>
          <w:highlight w:val="lightGray"/>
        </w:rPr>
        <w:t xml:space="preserve">VTE </w:t>
      </w:r>
      <w:r w:rsidRPr="007A4ED6">
        <w:rPr>
          <w:highlight w:val="lightGray"/>
        </w:rPr>
        <w:t xml:space="preserve">overlaps </w:t>
      </w:r>
      <w:r w:rsidR="00EC2A86" w:rsidRPr="007A4ED6">
        <w:rPr>
          <w:highlight w:val="lightGray"/>
        </w:rPr>
        <w:t xml:space="preserve">in </w:t>
      </w:r>
      <w:r w:rsidRPr="007A4ED6">
        <w:rPr>
          <w:highlight w:val="lightGray"/>
        </w:rPr>
        <w:t xml:space="preserve">the </w:t>
      </w:r>
      <w:r w:rsidR="00EC2A86" w:rsidRPr="007A4ED6">
        <w:rPr>
          <w:highlight w:val="lightGray"/>
        </w:rPr>
        <w:t>community</w:t>
      </w:r>
      <w:r w:rsidR="00E52914">
        <w:rPr>
          <w:highlight w:val="lightGray"/>
        </w:rPr>
        <w:t>.</w:t>
      </w:r>
      <w:r w:rsidR="00EC2A86" w:rsidRPr="007A4ED6">
        <w:rPr>
          <w:highlight w:val="lightGray"/>
        </w:rPr>
        <w:t xml:space="preserve"> </w:t>
      </w:r>
    </w:p>
    <w:p w14:paraId="438212F9" w14:textId="46347569" w:rsidR="00EC2A86" w:rsidRPr="007A4ED6" w:rsidRDefault="00EC2A86" w:rsidP="005C54A0">
      <w:pPr>
        <w:pStyle w:val="Bulletparagraph"/>
        <w:rPr>
          <w:highlight w:val="lightGray"/>
        </w:rPr>
      </w:pPr>
      <w:r w:rsidRPr="007A4ED6">
        <w:rPr>
          <w:highlight w:val="lightGray"/>
        </w:rPr>
        <w:t>Rapid increase in number of patients on anticoagulation</w:t>
      </w:r>
      <w:r w:rsidR="00466E99" w:rsidRPr="007A4ED6">
        <w:rPr>
          <w:highlight w:val="lightGray"/>
        </w:rPr>
        <w:t xml:space="preserve"> and DOACs</w:t>
      </w:r>
      <w:r w:rsidR="00E52914">
        <w:rPr>
          <w:highlight w:val="lightGray"/>
        </w:rPr>
        <w:t>.</w:t>
      </w:r>
    </w:p>
    <w:p w14:paraId="07124043" w14:textId="62BC0568" w:rsidR="00E74B1E" w:rsidRPr="007A4ED6" w:rsidRDefault="0028007E" w:rsidP="00E74B1E">
      <w:pPr>
        <w:pStyle w:val="Bulletparagraph"/>
        <w:rPr>
          <w:highlight w:val="lightGray"/>
        </w:rPr>
      </w:pPr>
      <w:r w:rsidRPr="007A4ED6">
        <w:rPr>
          <w:highlight w:val="lightGray"/>
        </w:rPr>
        <w:t>The need for c</w:t>
      </w:r>
      <w:r w:rsidR="00C56256" w:rsidRPr="007A4ED6">
        <w:rPr>
          <w:highlight w:val="lightGray"/>
        </w:rPr>
        <w:t xml:space="preserve">omprehensive patient information </w:t>
      </w:r>
      <w:r w:rsidRPr="007A4ED6">
        <w:rPr>
          <w:highlight w:val="lightGray"/>
        </w:rPr>
        <w:t xml:space="preserve">and psychological support about VTE risk </w:t>
      </w:r>
      <w:r w:rsidR="00C56256" w:rsidRPr="007A4ED6">
        <w:rPr>
          <w:highlight w:val="lightGray"/>
        </w:rPr>
        <w:t xml:space="preserve">post </w:t>
      </w:r>
      <w:r w:rsidR="00C142A8" w:rsidRPr="007A4ED6">
        <w:rPr>
          <w:highlight w:val="lightGray"/>
        </w:rPr>
        <w:t>COVID</w:t>
      </w:r>
      <w:r w:rsidRPr="007A4ED6">
        <w:rPr>
          <w:highlight w:val="lightGray"/>
        </w:rPr>
        <w:t>-19</w:t>
      </w:r>
      <w:r w:rsidR="005C54A0" w:rsidRPr="007A4ED6">
        <w:rPr>
          <w:highlight w:val="lightGray"/>
        </w:rPr>
        <w:t>.</w:t>
      </w:r>
    </w:p>
    <w:p w14:paraId="36DF5348" w14:textId="487B13D1" w:rsidR="00E74B1E" w:rsidRPr="007A4ED6" w:rsidRDefault="00E74B1E" w:rsidP="00E74B1E">
      <w:pPr>
        <w:pStyle w:val="Paragraph"/>
        <w:rPr>
          <w:highlight w:val="lightGray"/>
        </w:rPr>
      </w:pPr>
      <w:r w:rsidRPr="007A4ED6">
        <w:rPr>
          <w:highlight w:val="lightGray"/>
        </w:rPr>
        <w:t xml:space="preserve">These suggestions have not been progressed as evidence-based </w:t>
      </w:r>
      <w:r w:rsidR="001B248D" w:rsidRPr="007A4ED6">
        <w:rPr>
          <w:highlight w:val="lightGray"/>
        </w:rPr>
        <w:t>guidance</w:t>
      </w:r>
      <w:r w:rsidRPr="007A4ED6">
        <w:rPr>
          <w:highlight w:val="lightGray"/>
        </w:rPr>
        <w:t xml:space="preserve"> need to be developed before specific quality statements can be considered.</w:t>
      </w:r>
    </w:p>
    <w:p w14:paraId="01F98AE1" w14:textId="02272193" w:rsidR="00097970" w:rsidRPr="00E52914" w:rsidRDefault="00097970" w:rsidP="00097970">
      <w:pPr>
        <w:pStyle w:val="Paragraph"/>
        <w:rPr>
          <w:b/>
          <w:bCs/>
        </w:rPr>
      </w:pPr>
      <w:r w:rsidRPr="00E52914">
        <w:rPr>
          <w:b/>
          <w:bCs/>
        </w:rPr>
        <w:t>Equality considerations</w:t>
      </w:r>
    </w:p>
    <w:p w14:paraId="323FA6DF" w14:textId="0289C7BC" w:rsidR="00097970" w:rsidRPr="00E52914" w:rsidRDefault="00466E99" w:rsidP="00097970">
      <w:pPr>
        <w:pStyle w:val="Paragraph"/>
      </w:pPr>
      <w:r w:rsidRPr="00E52914">
        <w:t>A stakeholder highlighted that p</w:t>
      </w:r>
      <w:r w:rsidR="00097970" w:rsidRPr="00E52914">
        <w:t>sychological support</w:t>
      </w:r>
      <w:r w:rsidRPr="00E52914">
        <w:t xml:space="preserve"> is needed as a number of patients suffer from anxiety after they have developed a VTE. </w:t>
      </w:r>
      <w:r w:rsidR="00FD2A12" w:rsidRPr="00E52914">
        <w:t>Another stakeholder also highlighted the need for equal care access for people often disadvantaged by system such as the homeless and intravenous drug users.</w:t>
      </w:r>
    </w:p>
    <w:p w14:paraId="2F17AA30" w14:textId="5D11342D" w:rsidR="006D1003" w:rsidRPr="00E52914" w:rsidRDefault="006D1003" w:rsidP="00097970">
      <w:pPr>
        <w:pStyle w:val="Paragraph"/>
      </w:pPr>
      <w:r w:rsidRPr="00E52914">
        <w:lastRenderedPageBreak/>
        <w:t xml:space="preserve">Equality and diversity issues will be considered for each quality statement in the quality standard, including the issues which have been raised by these stakeholders. In addition, an equality impact analysis is updated at different stages throughout quality standard development. </w:t>
      </w:r>
    </w:p>
    <w:p w14:paraId="0DC9B1C7" w14:textId="77777777" w:rsidR="00B85EFA" w:rsidRPr="007A4ED6" w:rsidRDefault="00B85EFA" w:rsidP="00B85EFA">
      <w:pPr>
        <w:pStyle w:val="Paragraph"/>
        <w:rPr>
          <w:b/>
          <w:bCs/>
          <w:highlight w:val="lightGray"/>
        </w:rPr>
      </w:pPr>
      <w:r w:rsidRPr="007A4ED6">
        <w:rPr>
          <w:b/>
          <w:bCs/>
          <w:highlight w:val="lightGray"/>
        </w:rPr>
        <w:t>Scope</w:t>
      </w:r>
    </w:p>
    <w:p w14:paraId="5E88300F" w14:textId="4E7C644E" w:rsidR="00B85EFA" w:rsidRPr="007A4ED6" w:rsidRDefault="00B85EFA" w:rsidP="00097970">
      <w:pPr>
        <w:pStyle w:val="Paragraph"/>
        <w:rPr>
          <w:highlight w:val="lightGray"/>
        </w:rPr>
      </w:pPr>
      <w:r w:rsidRPr="007A4ED6">
        <w:rPr>
          <w:highlight w:val="lightGray"/>
        </w:rPr>
        <w:t>A number of stakeholders highlighted young people under 16 years and people with superficial thrombophlebitis. These are out of scope of this quality standard.</w:t>
      </w:r>
    </w:p>
    <w:p w14:paraId="4A2FF6FA" w14:textId="4BF70503" w:rsidR="001F2352" w:rsidRPr="007A4ED6" w:rsidRDefault="001F2352" w:rsidP="00097970">
      <w:pPr>
        <w:pStyle w:val="Paragraph"/>
        <w:rPr>
          <w:b/>
          <w:bCs/>
          <w:highlight w:val="lightGray"/>
        </w:rPr>
      </w:pPr>
      <w:r w:rsidRPr="007A4ED6">
        <w:rPr>
          <w:b/>
          <w:bCs/>
          <w:highlight w:val="lightGray"/>
        </w:rPr>
        <w:t>Service delivery</w:t>
      </w:r>
    </w:p>
    <w:p w14:paraId="00706F2E" w14:textId="45CB19C4" w:rsidR="00466E99" w:rsidRPr="007A4ED6" w:rsidRDefault="00466E99" w:rsidP="00097970">
      <w:pPr>
        <w:pStyle w:val="Paragraph"/>
        <w:rPr>
          <w:highlight w:val="lightGray"/>
        </w:rPr>
      </w:pPr>
      <w:r w:rsidRPr="007A4ED6">
        <w:rPr>
          <w:highlight w:val="lightGray"/>
        </w:rPr>
        <w:t>A number of stakeholders highlighted the need for standardised care pathways across primary, secondary and tertiary settings with joint working collaboration by multidisciplinary teams and regional network</w:t>
      </w:r>
      <w:r w:rsidR="0028007E" w:rsidRPr="007A4ED6">
        <w:rPr>
          <w:highlight w:val="lightGray"/>
        </w:rPr>
        <w:t>s</w:t>
      </w:r>
      <w:r w:rsidRPr="007A4ED6">
        <w:rPr>
          <w:highlight w:val="lightGray"/>
        </w:rPr>
        <w:t xml:space="preserve"> to support local service delivery of VTE care. </w:t>
      </w:r>
      <w:r w:rsidR="006D1003" w:rsidRPr="007A4ED6">
        <w:rPr>
          <w:bCs/>
          <w:highlight w:val="lightGray"/>
        </w:rPr>
        <w:t>These suggestions have not been progressed as there are no recommendations on these areas.</w:t>
      </w:r>
    </w:p>
    <w:p w14:paraId="1BB6A707" w14:textId="77777777" w:rsidR="004706E6" w:rsidRPr="007A4ED6" w:rsidRDefault="004706E6" w:rsidP="004706E6">
      <w:pPr>
        <w:pStyle w:val="Paragraph"/>
        <w:rPr>
          <w:b/>
          <w:bCs/>
          <w:highlight w:val="lightGray"/>
        </w:rPr>
      </w:pPr>
      <w:r w:rsidRPr="007A4ED6">
        <w:rPr>
          <w:b/>
          <w:bCs/>
          <w:highlight w:val="lightGray"/>
        </w:rPr>
        <w:t xml:space="preserve">Training and development </w:t>
      </w:r>
    </w:p>
    <w:p w14:paraId="49326879" w14:textId="10A8422D" w:rsidR="004706E6" w:rsidRPr="007A4ED6" w:rsidRDefault="006D1003" w:rsidP="004706E6">
      <w:pPr>
        <w:pStyle w:val="Paragraph"/>
        <w:rPr>
          <w:highlight w:val="lightGray"/>
        </w:rPr>
      </w:pPr>
      <w:r w:rsidRPr="007A4ED6">
        <w:rPr>
          <w:highlight w:val="lightGray"/>
        </w:rPr>
        <w:t>Training</w:t>
      </w:r>
      <w:r w:rsidR="004706E6" w:rsidRPr="007A4ED6">
        <w:rPr>
          <w:highlight w:val="lightGray"/>
        </w:rPr>
        <w:t xml:space="preserve"> of staff </w:t>
      </w:r>
      <w:r w:rsidR="000729BA" w:rsidRPr="007A4ED6">
        <w:rPr>
          <w:highlight w:val="lightGray"/>
        </w:rPr>
        <w:t xml:space="preserve">conducting risk assessments </w:t>
      </w:r>
      <w:r w:rsidR="004706E6" w:rsidRPr="007A4ED6">
        <w:rPr>
          <w:highlight w:val="lightGray"/>
        </w:rPr>
        <w:t>was suggested as an area of quality improvement.</w:t>
      </w:r>
    </w:p>
    <w:p w14:paraId="2349522A" w14:textId="0A7D621E" w:rsidR="00EC2A86" w:rsidRPr="00EC2A86" w:rsidRDefault="004706E6" w:rsidP="00EC2A86">
      <w:pPr>
        <w:pStyle w:val="Paragraph"/>
      </w:pPr>
      <w:r w:rsidRPr="007A4ED6">
        <w:rPr>
          <w:highlight w:val="lightGray"/>
        </w:rPr>
        <w:t>This suggestion has not been progressed. Quality statements focus on actions that demonstrate high quality care or support, not the training that enables the actions to take place. The committee should consider which parts of care and support would be improved by increased training. Training may be referred to in the audience descriptors.</w:t>
      </w:r>
    </w:p>
    <w:bookmarkEnd w:id="104"/>
    <w:bookmarkEnd w:id="105"/>
    <w:bookmarkEnd w:id="106"/>
    <w:bookmarkEnd w:id="107"/>
    <w:bookmarkEnd w:id="108"/>
    <w:p w14:paraId="0550A889" w14:textId="3D87510D" w:rsidR="008D5584" w:rsidRPr="00E80EE3" w:rsidRDefault="008D5584" w:rsidP="00A813F7">
      <w:pPr>
        <w:pStyle w:val="Paragraph"/>
      </w:pPr>
      <w:r w:rsidRPr="00A813F7">
        <w:t xml:space="preserve">© NICE </w:t>
      </w:r>
      <w:r w:rsidR="00B840F4">
        <w:t>2020</w:t>
      </w:r>
      <w:r w:rsidRPr="00A813F7">
        <w:t xml:space="preserve">. All rights reserved. </w:t>
      </w:r>
      <w:r w:rsidR="008A5E6E" w:rsidRPr="00A813F7">
        <w:t xml:space="preserve">Subject to </w:t>
      </w:r>
      <w:hyperlink r:id="rId80" w:anchor="notice-of-rights" w:history="1">
        <w:r w:rsidR="008A5E6E">
          <w:rPr>
            <w:rStyle w:val="Hyperlink"/>
            <w:rFonts w:cs="Arial"/>
          </w:rPr>
          <w:t>Notice of rights</w:t>
        </w:r>
      </w:hyperlink>
      <w:r w:rsidRPr="00A813F7">
        <w:t>.</w:t>
      </w:r>
    </w:p>
    <w:p w14:paraId="025E30AB" w14:textId="768E11BB" w:rsidR="00F20713" w:rsidRDefault="000E401D" w:rsidP="00993F21">
      <w:pPr>
        <w:pStyle w:val="Heading1"/>
      </w:pPr>
      <w:r>
        <w:br w:type="page"/>
      </w:r>
      <w:bookmarkStart w:id="111" w:name="_Hlk50233412"/>
      <w:bookmarkStart w:id="112" w:name="_Toc50469738"/>
      <w:r w:rsidR="00F20713" w:rsidRPr="00F20713">
        <w:lastRenderedPageBreak/>
        <w:t>Appendix 1</w:t>
      </w:r>
      <w:r w:rsidR="0001392D">
        <w:t xml:space="preserve">: </w:t>
      </w:r>
      <w:bookmarkEnd w:id="111"/>
      <w:r w:rsidR="00C14E34">
        <w:t>Glossary</w:t>
      </w:r>
      <w:bookmarkEnd w:id="112"/>
    </w:p>
    <w:p w14:paraId="1ABB7A9F" w14:textId="76BB4712" w:rsidR="00630DBE" w:rsidRPr="00630DBE" w:rsidRDefault="00630DBE" w:rsidP="00435EA3">
      <w:pPr>
        <w:pStyle w:val="Paragraph"/>
      </w:pPr>
      <w:r w:rsidRPr="00630DBE">
        <w:t xml:space="preserve">Terms used in </w:t>
      </w:r>
      <w:r>
        <w:t>NICE</w:t>
      </w:r>
      <w:r w:rsidRPr="00630DBE">
        <w:t xml:space="preserve"> guideline</w:t>
      </w:r>
      <w:r w:rsidR="007C45A7">
        <w:t>s</w:t>
      </w:r>
      <w:r>
        <w:t xml:space="preserve"> </w:t>
      </w:r>
      <w:hyperlink r:id="rId81" w:history="1">
        <w:r w:rsidRPr="007C45A7">
          <w:rPr>
            <w:rStyle w:val="Hyperlink"/>
          </w:rPr>
          <w:t>NG89</w:t>
        </w:r>
      </w:hyperlink>
      <w:r>
        <w:t xml:space="preserve"> and </w:t>
      </w:r>
      <w:hyperlink r:id="rId82" w:history="1">
        <w:r w:rsidRPr="007C45A7">
          <w:rPr>
            <w:rStyle w:val="Hyperlink"/>
          </w:rPr>
          <w:t>NG158</w:t>
        </w:r>
      </w:hyperlink>
    </w:p>
    <w:p w14:paraId="76883F02" w14:textId="77777777" w:rsidR="00630DBE" w:rsidRPr="00630DBE" w:rsidRDefault="00630DBE" w:rsidP="00630DBE">
      <w:pPr>
        <w:pStyle w:val="Paragraph"/>
        <w:rPr>
          <w:b/>
          <w:bCs/>
        </w:rPr>
      </w:pPr>
      <w:r w:rsidRPr="00630DBE">
        <w:rPr>
          <w:b/>
          <w:bCs/>
        </w:rPr>
        <w:t>Active cancer</w:t>
      </w:r>
    </w:p>
    <w:p w14:paraId="63E62763" w14:textId="7E0742FF" w:rsidR="00630DBE" w:rsidRDefault="00630DBE" w:rsidP="00630DBE">
      <w:pPr>
        <w:pStyle w:val="Paragraph"/>
      </w:pPr>
      <w:r w:rsidRPr="00630DBE">
        <w:t>Receiving active antimitotic treatment; or diagnosed within the past 6 months; or recurrent or metastatic; or inoperable. Excludes squamous skin cancer and basal cell carcinoma.</w:t>
      </w:r>
    </w:p>
    <w:p w14:paraId="4A91AA26" w14:textId="77777777" w:rsidR="005622CE" w:rsidRPr="005622CE" w:rsidRDefault="005622CE" w:rsidP="005622CE">
      <w:pPr>
        <w:pStyle w:val="Paragraph"/>
        <w:rPr>
          <w:b/>
          <w:bCs/>
        </w:rPr>
      </w:pPr>
      <w:r w:rsidRPr="005622CE">
        <w:rPr>
          <w:b/>
          <w:bCs/>
        </w:rPr>
        <w:t>Admission</w:t>
      </w:r>
    </w:p>
    <w:p w14:paraId="5139501E" w14:textId="5FE836D2" w:rsidR="005622CE" w:rsidRDefault="005622CE" w:rsidP="005622CE">
      <w:pPr>
        <w:pStyle w:val="Paragraph"/>
      </w:pPr>
      <w:r w:rsidRPr="005622CE">
        <w:t>Admission in the context of this guideline refers to admission as an inpatient, where a bed is provided for 1 or more nights, or admission as a day patient, where a bed is provided for a procedure including surgery or chemotherapy but not for an overnight stay.</w:t>
      </w:r>
    </w:p>
    <w:p w14:paraId="6A8BECD4" w14:textId="732B9C67" w:rsidR="00482B8E" w:rsidRPr="00482B8E" w:rsidRDefault="00482B8E" w:rsidP="005622CE">
      <w:pPr>
        <w:pStyle w:val="Paragraph"/>
        <w:rPr>
          <w:b/>
          <w:bCs/>
        </w:rPr>
      </w:pPr>
      <w:r w:rsidRPr="00482B8E">
        <w:rPr>
          <w:b/>
          <w:bCs/>
        </w:rPr>
        <w:t>CTPA</w:t>
      </w:r>
    </w:p>
    <w:p w14:paraId="2E3DA627" w14:textId="2C2C44D3" w:rsidR="00482B8E" w:rsidRPr="005622CE" w:rsidRDefault="00482B8E" w:rsidP="005622CE">
      <w:pPr>
        <w:pStyle w:val="Paragraph"/>
      </w:pPr>
      <w:r>
        <w:t>C</w:t>
      </w:r>
      <w:r w:rsidRPr="00482B8E">
        <w:t>omputed tomography pulmonary angiogram</w:t>
      </w:r>
    </w:p>
    <w:p w14:paraId="1BF8968B" w14:textId="77777777" w:rsidR="005622CE" w:rsidRPr="005622CE" w:rsidRDefault="005622CE" w:rsidP="005622CE">
      <w:pPr>
        <w:pStyle w:val="Paragraph"/>
        <w:rPr>
          <w:b/>
          <w:bCs/>
        </w:rPr>
      </w:pPr>
      <w:r w:rsidRPr="005622CE">
        <w:rPr>
          <w:b/>
          <w:bCs/>
        </w:rPr>
        <w:t>Discharge</w:t>
      </w:r>
    </w:p>
    <w:p w14:paraId="0E8707CB" w14:textId="39591650" w:rsidR="00482B8E" w:rsidRPr="005622CE" w:rsidRDefault="005622CE" w:rsidP="005622CE">
      <w:pPr>
        <w:pStyle w:val="Paragraph"/>
      </w:pPr>
      <w:r w:rsidRPr="005622CE">
        <w:t>Discharge in the context of this guideline refers to discharge from hospital as an inpatient or after a day procedure.</w:t>
      </w:r>
    </w:p>
    <w:p w14:paraId="30F061D8" w14:textId="77777777" w:rsidR="005622CE" w:rsidRPr="005622CE" w:rsidRDefault="005622CE" w:rsidP="005622CE">
      <w:pPr>
        <w:pStyle w:val="Paragraph"/>
        <w:rPr>
          <w:b/>
          <w:bCs/>
        </w:rPr>
      </w:pPr>
      <w:r w:rsidRPr="005622CE">
        <w:rPr>
          <w:b/>
          <w:bCs/>
        </w:rPr>
        <w:t>Lower limb immobilisation</w:t>
      </w:r>
    </w:p>
    <w:p w14:paraId="62E5CBDD" w14:textId="44CC7358" w:rsidR="00630DBE" w:rsidRPr="00630DBE" w:rsidRDefault="005622CE" w:rsidP="00630DBE">
      <w:pPr>
        <w:pStyle w:val="Paragraph"/>
      </w:pPr>
      <w:r w:rsidRPr="005622CE">
        <w:t>Any clinical decision taken to manage the affected limb in a way that would prevent normal weight-bearing status or use of that limb, or both.</w:t>
      </w:r>
    </w:p>
    <w:p w14:paraId="0F81DDF4" w14:textId="77777777" w:rsidR="00630DBE" w:rsidRPr="00630DBE" w:rsidRDefault="00630DBE" w:rsidP="00630DBE">
      <w:pPr>
        <w:pStyle w:val="Paragraph"/>
        <w:rPr>
          <w:b/>
          <w:bCs/>
        </w:rPr>
      </w:pPr>
      <w:r w:rsidRPr="00630DBE">
        <w:rPr>
          <w:b/>
          <w:bCs/>
        </w:rPr>
        <w:t>Provoked DVT or PE</w:t>
      </w:r>
    </w:p>
    <w:p w14:paraId="042C9D14" w14:textId="77777777" w:rsidR="00630DBE" w:rsidRPr="00630DBE" w:rsidRDefault="00630DBE" w:rsidP="00630DBE">
      <w:pPr>
        <w:pStyle w:val="Paragraph"/>
      </w:pPr>
      <w:r w:rsidRPr="00630DBE">
        <w:t>DVT or PE in a person with a recent (within 3 months) and transient major clinical risk factor for VTE, such as surgery, trauma, significant immobility (bedbound, unable to walk unaided or likely to spend a substantial proportion of the day in bed or in a chair), pregnancy or puerperium – or in a person who is having hormonal therapy (combined oral contraceptive pill or hormone replacement therapy).</w:t>
      </w:r>
    </w:p>
    <w:p w14:paraId="3E92CE06" w14:textId="77777777" w:rsidR="00630DBE" w:rsidRPr="00630DBE" w:rsidRDefault="00630DBE" w:rsidP="00630DBE">
      <w:pPr>
        <w:pStyle w:val="Paragraph"/>
        <w:rPr>
          <w:b/>
          <w:bCs/>
        </w:rPr>
      </w:pPr>
      <w:r w:rsidRPr="00630DBE">
        <w:rPr>
          <w:b/>
          <w:bCs/>
        </w:rPr>
        <w:t>Proximal DVT</w:t>
      </w:r>
    </w:p>
    <w:p w14:paraId="20F69A24" w14:textId="7271E111" w:rsidR="00630DBE" w:rsidRDefault="00630DBE" w:rsidP="00630DBE">
      <w:pPr>
        <w:pStyle w:val="Paragraph"/>
      </w:pPr>
      <w:r w:rsidRPr="00630DBE">
        <w:t>DVT at or above the level of the popliteal trifurcation area.</w:t>
      </w:r>
    </w:p>
    <w:p w14:paraId="0AEE0D7B" w14:textId="77777777" w:rsidR="005622CE" w:rsidRPr="005622CE" w:rsidRDefault="005622CE" w:rsidP="005622CE">
      <w:pPr>
        <w:pStyle w:val="Paragraph"/>
        <w:rPr>
          <w:b/>
          <w:bCs/>
        </w:rPr>
      </w:pPr>
      <w:r w:rsidRPr="005622CE">
        <w:rPr>
          <w:b/>
          <w:bCs/>
        </w:rPr>
        <w:t>Renal impairment</w:t>
      </w:r>
    </w:p>
    <w:p w14:paraId="6987DDB4" w14:textId="77777777" w:rsidR="005622CE" w:rsidRPr="005622CE" w:rsidRDefault="005622CE" w:rsidP="005622CE">
      <w:pPr>
        <w:pStyle w:val="Paragraph"/>
      </w:pPr>
      <w:r w:rsidRPr="005622CE">
        <w:lastRenderedPageBreak/>
        <w:t>People with an estimated glomerular filtration rate (eGFR) of less than 30 ml/min/1.73 m</w:t>
      </w:r>
      <w:r w:rsidRPr="005622CE">
        <w:rPr>
          <w:vertAlign w:val="superscript"/>
        </w:rPr>
        <w:t>2</w:t>
      </w:r>
      <w:r w:rsidRPr="005622CE">
        <w:t>. For more detailed information on renal impairment, see NICE's guideline on </w:t>
      </w:r>
      <w:hyperlink r:id="rId83" w:tgtFrame="_top" w:history="1">
        <w:r w:rsidRPr="005622CE">
          <w:rPr>
            <w:rStyle w:val="Hyperlink"/>
          </w:rPr>
          <w:t>chronic kidney disease in adults</w:t>
        </w:r>
      </w:hyperlink>
      <w:r w:rsidRPr="005622CE">
        <w:t>.</w:t>
      </w:r>
    </w:p>
    <w:p w14:paraId="1C51412C" w14:textId="77777777" w:rsidR="005622CE" w:rsidRPr="005622CE" w:rsidRDefault="005622CE" w:rsidP="005622CE">
      <w:pPr>
        <w:pStyle w:val="Paragraph"/>
        <w:rPr>
          <w:b/>
          <w:bCs/>
        </w:rPr>
      </w:pPr>
      <w:r w:rsidRPr="005622CE">
        <w:rPr>
          <w:b/>
          <w:bCs/>
        </w:rPr>
        <w:t>Significantly reduced mobility</w:t>
      </w:r>
    </w:p>
    <w:p w14:paraId="15D42ACF" w14:textId="1E155DAD" w:rsidR="005622CE" w:rsidRPr="00630DBE" w:rsidRDefault="005622CE" w:rsidP="00630DBE">
      <w:pPr>
        <w:pStyle w:val="Paragraph"/>
      </w:pPr>
      <w:r w:rsidRPr="005622CE">
        <w:t>People who are bed bound, unable to walk unaided or likely to spend a substantial proportion of their day in bed or in a chair.</w:t>
      </w:r>
    </w:p>
    <w:p w14:paraId="2F842860" w14:textId="77777777" w:rsidR="00630DBE" w:rsidRPr="00630DBE" w:rsidRDefault="00630DBE" w:rsidP="00630DBE">
      <w:pPr>
        <w:pStyle w:val="Paragraph"/>
        <w:rPr>
          <w:b/>
          <w:bCs/>
        </w:rPr>
      </w:pPr>
      <w:r w:rsidRPr="00630DBE">
        <w:rPr>
          <w:b/>
          <w:bCs/>
        </w:rPr>
        <w:t>Unprovoked DVT or PE</w:t>
      </w:r>
    </w:p>
    <w:p w14:paraId="7C0DC7C8" w14:textId="77777777" w:rsidR="00630DBE" w:rsidRPr="00630DBE" w:rsidRDefault="00630DBE" w:rsidP="00630DBE">
      <w:pPr>
        <w:pStyle w:val="Paragraph"/>
      </w:pPr>
      <w:r w:rsidRPr="00630DBE">
        <w:t>DVT or PE in a person with no recent major clinical risk factor for VTE (see provoked DVT or PE) who is not having hormonal therapy (combined oral contraceptive pill or hormone replacement therapy).</w:t>
      </w:r>
    </w:p>
    <w:p w14:paraId="37B64CDA" w14:textId="77777777" w:rsidR="00630DBE" w:rsidRPr="00630DBE" w:rsidRDefault="00630DBE" w:rsidP="00630DBE">
      <w:pPr>
        <w:pStyle w:val="Paragraph"/>
        <w:rPr>
          <w:b/>
          <w:bCs/>
        </w:rPr>
      </w:pPr>
      <w:r w:rsidRPr="00630DBE">
        <w:rPr>
          <w:b/>
          <w:bCs/>
        </w:rPr>
        <w:t>Wells score</w:t>
      </w:r>
    </w:p>
    <w:p w14:paraId="67AF1126" w14:textId="77777777" w:rsidR="00630DBE" w:rsidRPr="00630DBE" w:rsidRDefault="00630DBE" w:rsidP="00630DBE">
      <w:pPr>
        <w:pStyle w:val="Paragraph"/>
      </w:pPr>
      <w:r w:rsidRPr="00630DBE">
        <w:t>Clinical prediction rule for estimating the probability of DVT or PE. There are a number of versions of Wells scores available. This guideline recommends the 2</w:t>
      </w:r>
      <w:r w:rsidRPr="00630DBE">
        <w:noBreakHyphen/>
        <w:t>level DVT Wells score and the 2-level PE Wells score.</w:t>
      </w:r>
    </w:p>
    <w:p w14:paraId="7E83067E" w14:textId="03FBE8AF" w:rsidR="00404869" w:rsidRPr="001F2352" w:rsidRDefault="00350B5E" w:rsidP="001F2352">
      <w:pPr>
        <w:rPr>
          <w:highlight w:val="cyan"/>
        </w:rPr>
      </w:pPr>
      <w:r>
        <w:rPr>
          <w:highlight w:val="cyan"/>
        </w:rPr>
        <w:br w:type="page"/>
      </w:r>
      <w:bookmarkStart w:id="113" w:name="_Hlk50233551"/>
    </w:p>
    <w:p w14:paraId="358D288C" w14:textId="703E9EBD" w:rsidR="00FA61CA" w:rsidRDefault="0001392D" w:rsidP="0001392D">
      <w:pPr>
        <w:pStyle w:val="Heading1"/>
      </w:pPr>
      <w:bookmarkStart w:id="114" w:name="_Toc50469739"/>
      <w:r w:rsidRPr="00FC11EC">
        <w:lastRenderedPageBreak/>
        <w:t>Appendix</w:t>
      </w:r>
      <w:r>
        <w:t xml:space="preserve"> </w:t>
      </w:r>
      <w:r w:rsidR="001F2352">
        <w:t>2</w:t>
      </w:r>
      <w:r>
        <w:t xml:space="preserve">: </w:t>
      </w:r>
      <w:r w:rsidR="00FA61CA">
        <w:t>Review flowchart</w:t>
      </w:r>
      <w:bookmarkEnd w:id="114"/>
    </w:p>
    <w:bookmarkEnd w:id="113"/>
    <w:p w14:paraId="2E9AD576" w14:textId="3B96BDDE" w:rsidR="00277952" w:rsidRPr="00065914" w:rsidRDefault="00277952" w:rsidP="00DD0BD8">
      <w:pPr>
        <w:pStyle w:val="Paragraph"/>
      </w:pPr>
    </w:p>
    <w:p w14:paraId="04FBEBF5" w14:textId="20FECF48" w:rsidR="00277952" w:rsidRPr="00065914" w:rsidRDefault="008C4468" w:rsidP="00A813F7">
      <w:pPr>
        <w:pStyle w:val="Paragraph"/>
      </w:pPr>
      <w:r>
        <w:rPr>
          <w:noProof/>
          <w:lang w:eastAsia="en-GB"/>
        </w:rPr>
        <mc:AlternateContent>
          <mc:Choice Requires="wps">
            <w:drawing>
              <wp:anchor distT="0" distB="0" distL="114300" distR="114300" simplePos="0" relativeHeight="251662336" behindDoc="0" locked="0" layoutInCell="1" allowOverlap="1" wp14:anchorId="5B669641" wp14:editId="0C7C29AD">
                <wp:simplePos x="0" y="0"/>
                <wp:positionH relativeFrom="column">
                  <wp:posOffset>4108450</wp:posOffset>
                </wp:positionH>
                <wp:positionV relativeFrom="paragraph">
                  <wp:posOffset>12065</wp:posOffset>
                </wp:positionV>
                <wp:extent cx="2061845" cy="685800"/>
                <wp:effectExtent l="0" t="0" r="14605" b="1905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685800"/>
                        </a:xfrm>
                        <a:prstGeom prst="rect">
                          <a:avLst/>
                        </a:prstGeom>
                        <a:solidFill>
                          <a:srgbClr val="FFFFFF"/>
                        </a:solidFill>
                        <a:ln w="9525">
                          <a:solidFill>
                            <a:srgbClr val="000000"/>
                          </a:solidFill>
                          <a:miter lim="800000"/>
                          <a:headEnd/>
                          <a:tailEnd/>
                        </a:ln>
                      </wps:spPr>
                      <wps:txbx>
                        <w:txbxContent>
                          <w:p w14:paraId="36EBC5B6" w14:textId="7CD395AA" w:rsidR="00FF197F" w:rsidRDefault="00FF197F"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22]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69641" id="Rectangle 20" o:spid="_x0000_s1026" style="position:absolute;margin-left:323.5pt;margin-top:.95pt;width:162.3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">
                <v:textbox inset=",7.2pt,,7.2pt">
                  <w:txbxContent>
                    <w:p w14:paraId="36EBC5B6" w14:textId="7CD395AA" w:rsidR="00FF197F" w:rsidRDefault="00FF197F"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22]</w:t>
                      </w:r>
                    </w:p>
                  </w:txbxContent>
                </v:textbox>
              </v:rect>
            </w:pict>
          </mc:Fallback>
        </mc:AlternateContent>
      </w:r>
      <w:r w:rsidR="00516718">
        <w:rPr>
          <w:noProof/>
          <w:lang w:eastAsia="en-GB"/>
        </w:rPr>
        <mc:AlternateContent>
          <mc:Choice Requires="wps">
            <w:drawing>
              <wp:anchor distT="0" distB="0" distL="114300" distR="114300" simplePos="0" relativeHeight="251661312" behindDoc="0" locked="0" layoutInCell="1" allowOverlap="1" wp14:anchorId="3790CE9B" wp14:editId="4952E3B4">
                <wp:simplePos x="0" y="0"/>
                <wp:positionH relativeFrom="column">
                  <wp:posOffset>1739900</wp:posOffset>
                </wp:positionH>
                <wp:positionV relativeFrom="paragraph">
                  <wp:posOffset>-9525</wp:posOffset>
                </wp:positionV>
                <wp:extent cx="2228850" cy="685800"/>
                <wp:effectExtent l="0" t="0" r="19050" b="19050"/>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17523FAA" w14:textId="56A8BA16" w:rsidR="00FF197F" w:rsidRDefault="00FF197F"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850647">
                              <w:rPr>
                                <w:rFonts w:ascii="Calibri" w:hAnsi="Calibri"/>
                                <w:sz w:val="22"/>
                                <w:szCs w:val="22"/>
                              </w:rPr>
                              <w:t>n =</w:t>
                            </w:r>
                            <w:r>
                              <w:rPr>
                                <w:rFonts w:ascii="Calibri" w:hAnsi="Calibri"/>
                                <w:sz w:val="22"/>
                                <w:szCs w:val="22"/>
                              </w:rPr>
                              <w:t>30]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0CE9B" id="Rectangle 19" o:spid="_x0000_s1027" style="position:absolute;margin-left:137pt;margin-top:-.75pt;width:175.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">
                <v:textbox inset=",7.2pt,,7.2pt">
                  <w:txbxContent>
                    <w:p w14:paraId="17523FAA" w14:textId="56A8BA16" w:rsidR="00FF197F" w:rsidRDefault="00FF197F"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850647">
                        <w:rPr>
                          <w:rFonts w:ascii="Calibri" w:hAnsi="Calibri"/>
                          <w:sz w:val="22"/>
                          <w:szCs w:val="22"/>
                        </w:rPr>
                        <w:t>n =</w:t>
                      </w:r>
                      <w:r>
                        <w:rPr>
                          <w:rFonts w:ascii="Calibri" w:hAnsi="Calibri"/>
                          <w:sz w:val="22"/>
                          <w:szCs w:val="22"/>
                        </w:rPr>
                        <w:t>30]</w:t>
                      </w:r>
                    </w:p>
                  </w:txbxContent>
                </v:textbox>
              </v:rect>
            </w:pict>
          </mc:Fallback>
        </mc:AlternateContent>
      </w:r>
      <w:r w:rsidR="00516718">
        <w:rPr>
          <w:noProof/>
          <w:lang w:eastAsia="en-GB"/>
        </w:rPr>
        <mc:AlternateContent>
          <mc:Choice Requires="wps">
            <w:drawing>
              <wp:anchor distT="0" distB="0" distL="114300" distR="114300" simplePos="0" relativeHeight="251660288" behindDoc="0" locked="0" layoutInCell="1" allowOverlap="1" wp14:anchorId="0BF6509A" wp14:editId="037EE01E">
                <wp:simplePos x="0" y="0"/>
                <wp:positionH relativeFrom="column">
                  <wp:posOffset>-596900</wp:posOffset>
                </wp:positionH>
                <wp:positionV relativeFrom="paragraph">
                  <wp:posOffset>-6350</wp:posOffset>
                </wp:positionV>
                <wp:extent cx="2228850" cy="682625"/>
                <wp:effectExtent l="0" t="0" r="19050" b="22225"/>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2A822D70" w14:textId="05E7D427" w:rsidR="00FF197F" w:rsidRDefault="00FF197F"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1865]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6509A" id="Rectangle 18" o:spid="_x0000_s1028" style="position:absolute;margin-left:-47pt;margin-top:-.5pt;width:175.5pt;height: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">
                <v:textbox inset=",7.2pt,,7.2pt">
                  <w:txbxContent>
                    <w:p w14:paraId="2A822D70" w14:textId="05E7D427" w:rsidR="00FF197F" w:rsidRDefault="00FF197F"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1865]</w:t>
                      </w:r>
                    </w:p>
                  </w:txbxContent>
                </v:textbox>
              </v:rect>
            </w:pict>
          </mc:Fallback>
        </mc:AlternateContent>
      </w:r>
    </w:p>
    <w:p w14:paraId="4F97D28C" w14:textId="11DA9598" w:rsidR="00277952" w:rsidRDefault="00AA3A48" w:rsidP="00A813F7">
      <w:pPr>
        <w:pStyle w:val="Paragraph"/>
      </w:pPr>
      <w:r>
        <w:rPr>
          <w:noProof/>
          <w:lang w:eastAsia="en-GB"/>
        </w:rPr>
        <mc:AlternateContent>
          <mc:Choice Requires="wps">
            <w:drawing>
              <wp:anchor distT="0" distB="0" distL="114300" distR="114300" simplePos="0" relativeHeight="251676672" behindDoc="0" locked="0" layoutInCell="1" allowOverlap="1" wp14:anchorId="35688CE8" wp14:editId="06F267FE">
                <wp:simplePos x="0" y="0"/>
                <wp:positionH relativeFrom="column">
                  <wp:posOffset>2743200</wp:posOffset>
                </wp:positionH>
                <wp:positionV relativeFrom="paragraph">
                  <wp:posOffset>319243</wp:posOffset>
                </wp:positionV>
                <wp:extent cx="2374900" cy="331470"/>
                <wp:effectExtent l="0" t="0" r="25400" b="30480"/>
                <wp:wrapNone/>
                <wp:docPr id="31"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74900" cy="331470"/>
                        </a:xfrm>
                        <a:prstGeom prst="bentConnector3">
                          <a:avLst>
                            <a:gd name="adj1" fmla="val 80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013EB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3in;margin-top:25.15pt;width:187pt;height:26.1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" adj="173"/>
            </w:pict>
          </mc:Fallback>
        </mc:AlternateContent>
      </w:r>
      <w:r>
        <w:rPr>
          <w:noProof/>
          <w:lang w:eastAsia="en-GB"/>
        </w:rPr>
        <mc:AlternateContent>
          <mc:Choice Requires="wps">
            <w:drawing>
              <wp:anchor distT="0" distB="0" distL="114300" distR="114300" simplePos="0" relativeHeight="251675648" behindDoc="0" locked="0" layoutInCell="1" allowOverlap="1" wp14:anchorId="1C8C283C" wp14:editId="47F038AC">
                <wp:simplePos x="0" y="0"/>
                <wp:positionH relativeFrom="column">
                  <wp:posOffset>469900</wp:posOffset>
                </wp:positionH>
                <wp:positionV relativeFrom="paragraph">
                  <wp:posOffset>318770</wp:posOffset>
                </wp:positionV>
                <wp:extent cx="2273300" cy="331470"/>
                <wp:effectExtent l="19050" t="0" r="12700" b="30480"/>
                <wp:wrapNone/>
                <wp:docPr id="30"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331470"/>
                        </a:xfrm>
                        <a:prstGeom prst="bentConnector3">
                          <a:avLst>
                            <a:gd name="adj1" fmla="val -8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13716" id="Elbow Connector 16" o:spid="_x0000_s1026" type="#_x0000_t34" style="position:absolute;margin-left:37pt;margin-top:25.1pt;width:179pt;height:2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" adj="-181"/>
            </w:pict>
          </mc:Fallback>
        </mc:AlternateContent>
      </w:r>
      <w:r>
        <w:rPr>
          <w:noProof/>
          <w:lang w:eastAsia="en-GB"/>
        </w:rPr>
        <mc:AlternateContent>
          <mc:Choice Requires="wps">
            <w:drawing>
              <wp:anchor distT="0" distB="0" distL="114298" distR="114298" simplePos="0" relativeHeight="251674624" behindDoc="0" locked="0" layoutInCell="1" allowOverlap="1" wp14:anchorId="65BB0522" wp14:editId="52C0E3B5">
                <wp:simplePos x="0" y="0"/>
                <wp:positionH relativeFrom="column">
                  <wp:posOffset>2742565</wp:posOffset>
                </wp:positionH>
                <wp:positionV relativeFrom="paragraph">
                  <wp:posOffset>298288</wp:posOffset>
                </wp:positionV>
                <wp:extent cx="0" cy="561975"/>
                <wp:effectExtent l="76200" t="0" r="57150" b="47625"/>
                <wp:wrapNone/>
                <wp:docPr id="2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D1698" id="_x0000_t32" coordsize="21600,21600" o:spt="32" o:oned="t" path="m,l21600,21600e" filled="f">
                <v:path arrowok="t" fillok="f" o:connecttype="none"/>
                <o:lock v:ext="edit" shapetype="t"/>
              </v:shapetype>
              <v:shape id="Straight Arrow Connector 15" o:spid="_x0000_s1026" type="#_x0000_t32" style="position:absolute;margin-left:215.95pt;margin-top:23.5pt;width:0;height:44.2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">
                <v:stroke endarrow="block"/>
              </v:shape>
            </w:pict>
          </mc:Fallback>
        </mc:AlternateContent>
      </w:r>
    </w:p>
    <w:p w14:paraId="0E7515B6" w14:textId="77777777" w:rsidR="00277952" w:rsidRPr="00065914" w:rsidRDefault="00277952" w:rsidP="00A813F7">
      <w:pPr>
        <w:pStyle w:val="Paragraph"/>
      </w:pPr>
    </w:p>
    <w:p w14:paraId="3CCE9A38"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64384" behindDoc="0" locked="0" layoutInCell="1" allowOverlap="1" wp14:anchorId="4CEC8858" wp14:editId="29377FE5">
                <wp:simplePos x="0" y="0"/>
                <wp:positionH relativeFrom="column">
                  <wp:posOffset>4229100</wp:posOffset>
                </wp:positionH>
                <wp:positionV relativeFrom="paragraph">
                  <wp:posOffset>220183</wp:posOffset>
                </wp:positionV>
                <wp:extent cx="1714500" cy="571500"/>
                <wp:effectExtent l="0" t="0" r="19050" b="1905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670396DF" w14:textId="37F8C665" w:rsidR="00FF197F" w:rsidRDefault="00FF197F"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1897</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C8858" id="Rectangle 14" o:spid="_x0000_s1029" style="position:absolute;margin-left:333pt;margin-top:17.35pt;width:1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nE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">
                <v:textbox inset=",7.2pt,,7.2pt">
                  <w:txbxContent>
                    <w:p w14:paraId="670396DF" w14:textId="37F8C665" w:rsidR="00FF197F" w:rsidRDefault="00FF197F"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1897</w:t>
                      </w:r>
                      <w:r w:rsidRPr="00B64536">
                        <w:rPr>
                          <w:rFonts w:ascii="Calibri" w:hAnsi="Calibri"/>
                          <w:sz w:val="22"/>
                          <w:szCs w:val="22"/>
                        </w:rPr>
                        <w:t>]</w:t>
                      </w:r>
                    </w:p>
                  </w:txbxContent>
                </v:textbox>
              </v:rect>
            </w:pict>
          </mc:Fallback>
        </mc:AlternateContent>
      </w:r>
      <w:r w:rsidR="00DD0BD8">
        <w:rPr>
          <w:noProof/>
          <w:lang w:eastAsia="en-GB"/>
        </w:rPr>
        <mc:AlternateContent>
          <mc:Choice Requires="wps">
            <w:drawing>
              <wp:anchor distT="0" distB="0" distL="114300" distR="114300" simplePos="0" relativeHeight="251663360" behindDoc="0" locked="0" layoutInCell="1" allowOverlap="1" wp14:anchorId="51324B8F" wp14:editId="11897ED9">
                <wp:simplePos x="0" y="0"/>
                <wp:positionH relativeFrom="column">
                  <wp:posOffset>1908175</wp:posOffset>
                </wp:positionH>
                <wp:positionV relativeFrom="paragraph">
                  <wp:posOffset>192243</wp:posOffset>
                </wp:positionV>
                <wp:extent cx="1670050" cy="571500"/>
                <wp:effectExtent l="0" t="0" r="25400" b="19050"/>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4DC7D2A8" w14:textId="4C080F18" w:rsidR="00FF197F" w:rsidRDefault="00FF197F"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1917]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24B8F" id="Rectangle 13" o:spid="_x0000_s1030" style="position:absolute;margin-left:150.25pt;margin-top:15.15pt;width:131.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uCKAIAAFAEAAAOAAAAZHJzL2Uyb0RvYy54bWysVMGO0zAQvSPxD5bvNElp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">
                <v:textbox inset=",7.2pt,,7.2pt">
                  <w:txbxContent>
                    <w:p w14:paraId="4DC7D2A8" w14:textId="4C080F18" w:rsidR="00FF197F" w:rsidRDefault="00FF197F"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1917]</w:t>
                      </w:r>
                    </w:p>
                  </w:txbxContent>
                </v:textbox>
              </v:rect>
            </w:pict>
          </mc:Fallback>
        </mc:AlternateContent>
      </w:r>
    </w:p>
    <w:p w14:paraId="5CFF2B89" w14:textId="77777777" w:rsidR="00277952" w:rsidRPr="00065914" w:rsidRDefault="00307736" w:rsidP="00A813F7">
      <w:pPr>
        <w:pStyle w:val="Paragraph"/>
      </w:pPr>
      <w:r>
        <w:rPr>
          <w:noProof/>
          <w:lang w:eastAsia="en-GB"/>
        </w:rPr>
        <mc:AlternateContent>
          <mc:Choice Requires="wps">
            <w:drawing>
              <wp:anchor distT="36575" distB="36575" distL="36576" distR="36576" simplePos="0" relativeHeight="251670528" behindDoc="0" locked="0" layoutInCell="1" allowOverlap="1" wp14:anchorId="62D412C3" wp14:editId="7CE0AB10">
                <wp:simplePos x="0" y="0"/>
                <wp:positionH relativeFrom="column">
                  <wp:posOffset>3578225</wp:posOffset>
                </wp:positionH>
                <wp:positionV relativeFrom="paragraph">
                  <wp:posOffset>121447</wp:posOffset>
                </wp:positionV>
                <wp:extent cx="650875" cy="0"/>
                <wp:effectExtent l="0" t="76200" r="15875" b="95250"/>
                <wp:wrapNone/>
                <wp:docPr id="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C08F3B" id="Straight Arrow Connector 12" o:spid="_x0000_s1026" type="#_x0000_t32" style="position:absolute;margin-left:281.75pt;margin-top:9.55pt;width:51.25pt;height:0;z-index:25167052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">
                <v:stroke endarrow="block"/>
                <v:shadow color="#ccc"/>
              </v:shape>
            </w:pict>
          </mc:Fallback>
        </mc:AlternateContent>
      </w:r>
    </w:p>
    <w:p w14:paraId="443614C4"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72576" behindDoc="0" locked="0" layoutInCell="1" allowOverlap="1" wp14:anchorId="520F780D" wp14:editId="367D72A6">
                <wp:simplePos x="0" y="0"/>
                <wp:positionH relativeFrom="column">
                  <wp:posOffset>-538480</wp:posOffset>
                </wp:positionH>
                <wp:positionV relativeFrom="paragraph">
                  <wp:posOffset>418303</wp:posOffset>
                </wp:positionV>
                <wp:extent cx="1812925" cy="685800"/>
                <wp:effectExtent l="0" t="0" r="158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5800"/>
                        </a:xfrm>
                        <a:prstGeom prst="rect">
                          <a:avLst/>
                        </a:prstGeom>
                        <a:solidFill>
                          <a:srgbClr val="FFFFFF"/>
                        </a:solidFill>
                        <a:ln w="9525">
                          <a:solidFill>
                            <a:srgbClr val="000000"/>
                          </a:solidFill>
                          <a:miter lim="800000"/>
                          <a:headEnd/>
                          <a:tailEnd/>
                        </a:ln>
                      </wps:spPr>
                      <wps:txbx>
                        <w:txbxContent>
                          <w:p w14:paraId="624C12A1" w14:textId="77777777" w:rsidR="00FF197F" w:rsidRPr="001519AA" w:rsidRDefault="00FF197F" w:rsidP="00277952">
                            <w:pPr>
                              <w:jc w:val="center"/>
                              <w:rPr>
                                <w:rFonts w:ascii="Calibri" w:hAnsi="Calibri"/>
                                <w:sz w:val="22"/>
                                <w:szCs w:val="22"/>
                              </w:rPr>
                            </w:pPr>
                            <w:r w:rsidRPr="001519AA">
                              <w:rPr>
                                <w:rFonts w:ascii="Calibri" w:hAnsi="Calibri"/>
                                <w:sz w:val="22"/>
                                <w:szCs w:val="22"/>
                              </w:rPr>
                              <w:t>Citation searching or snowballing</w:t>
                            </w:r>
                          </w:p>
                          <w:p w14:paraId="1B73A7FF" w14:textId="3AB850FF" w:rsidR="00FF197F" w:rsidRPr="001519AA" w:rsidRDefault="00FF197F" w:rsidP="00277952">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 xml:space="preserve"> 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F780D" id="_x0000_t202" coordsize="21600,21600" o:spt="202" path="m,l,21600r21600,l21600,xe">
                <v:stroke joinstyle="miter"/>
                <v:path gradientshapeok="t" o:connecttype="rect"/>
              </v:shapetype>
              <v:shape id="Text Box 9" o:spid="_x0000_s1031" type="#_x0000_t202" style="position:absolute;margin-left:-42.4pt;margin-top:32.95pt;width:142.7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">
                <v:textbox>
                  <w:txbxContent>
                    <w:p w14:paraId="624C12A1" w14:textId="77777777" w:rsidR="00FF197F" w:rsidRPr="001519AA" w:rsidRDefault="00FF197F" w:rsidP="00277952">
                      <w:pPr>
                        <w:jc w:val="center"/>
                        <w:rPr>
                          <w:rFonts w:ascii="Calibri" w:hAnsi="Calibri"/>
                          <w:sz w:val="22"/>
                          <w:szCs w:val="22"/>
                        </w:rPr>
                      </w:pPr>
                      <w:r w:rsidRPr="001519AA">
                        <w:rPr>
                          <w:rFonts w:ascii="Calibri" w:hAnsi="Calibri"/>
                          <w:sz w:val="22"/>
                          <w:szCs w:val="22"/>
                        </w:rPr>
                        <w:t>Citation searching or snowballing</w:t>
                      </w:r>
                    </w:p>
                    <w:p w14:paraId="1B73A7FF" w14:textId="3AB850FF" w:rsidR="00FF197F" w:rsidRPr="001519AA" w:rsidRDefault="00FF197F" w:rsidP="00277952">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 xml:space="preserve"> 35]</w:t>
                      </w:r>
                    </w:p>
                  </w:txbxContent>
                </v:textbox>
              </v:shape>
            </w:pict>
          </mc:Fallback>
        </mc:AlternateContent>
      </w:r>
      <w:r w:rsidR="00AA3A48">
        <w:rPr>
          <w:noProof/>
          <w:lang w:eastAsia="en-GB"/>
        </w:rPr>
        <mc:AlternateContent>
          <mc:Choice Requires="wps">
            <w:drawing>
              <wp:anchor distT="36576" distB="36576" distL="36575" distR="36575" simplePos="0" relativeHeight="251668480" behindDoc="0" locked="0" layoutInCell="1" allowOverlap="1" wp14:anchorId="05A421AD" wp14:editId="04AC9563">
                <wp:simplePos x="0" y="0"/>
                <wp:positionH relativeFrom="column">
                  <wp:posOffset>2742565</wp:posOffset>
                </wp:positionH>
                <wp:positionV relativeFrom="paragraph">
                  <wp:posOffset>41748</wp:posOffset>
                </wp:positionV>
                <wp:extent cx="0" cy="355600"/>
                <wp:effectExtent l="76200" t="0" r="76200" b="63500"/>
                <wp:wrapNone/>
                <wp:docPr id="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4D3555" id="Straight Arrow Connector 11" o:spid="_x0000_s1026" type="#_x0000_t32" style="position:absolute;margin-left:215.95pt;margin-top:3.3pt;width:0;height:28pt;z-index:25166848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">
                <v:stroke endarrow="block"/>
                <v:shadow color="#ccc"/>
              </v:shape>
            </w:pict>
          </mc:Fallback>
        </mc:AlternateContent>
      </w:r>
    </w:p>
    <w:p w14:paraId="69C76F8E" w14:textId="77777777" w:rsidR="00277952" w:rsidRDefault="00307736" w:rsidP="00A813F7">
      <w:pPr>
        <w:pStyle w:val="Paragraph"/>
      </w:pPr>
      <w:r>
        <w:rPr>
          <w:noProof/>
          <w:lang w:eastAsia="en-GB"/>
        </w:rPr>
        <mc:AlternateContent>
          <mc:Choice Requires="wps">
            <w:drawing>
              <wp:anchor distT="0" distB="0" distL="114300" distR="114300" simplePos="0" relativeHeight="251666432" behindDoc="0" locked="0" layoutInCell="1" allowOverlap="1" wp14:anchorId="6BEB9888" wp14:editId="484781A2">
                <wp:simplePos x="0" y="0"/>
                <wp:positionH relativeFrom="column">
                  <wp:posOffset>4229100</wp:posOffset>
                </wp:positionH>
                <wp:positionV relativeFrom="paragraph">
                  <wp:posOffset>69053</wp:posOffset>
                </wp:positionV>
                <wp:extent cx="1714500" cy="685800"/>
                <wp:effectExtent l="0" t="0" r="19050"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15D25AC9" w14:textId="3BB1461F" w:rsidR="00FF197F" w:rsidRDefault="00FF197F"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 xml:space="preserve">n </w:t>
                            </w:r>
                            <w:r>
                              <w:rPr>
                                <w:rFonts w:ascii="Calibri" w:hAnsi="Calibri"/>
                                <w:sz w:val="22"/>
                                <w:szCs w:val="22"/>
                              </w:rPr>
                              <w:t>52</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B9888" id="Rectangle 10" o:spid="_x0000_s1032" style="position:absolute;margin-left:333pt;margin-top:5.45pt;width:1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">
                <v:textbox inset=",7.2pt,,7.2pt">
                  <w:txbxContent>
                    <w:p w14:paraId="15D25AC9" w14:textId="3BB1461F" w:rsidR="00FF197F" w:rsidRDefault="00FF197F"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 xml:space="preserve">n </w:t>
                      </w:r>
                      <w:r>
                        <w:rPr>
                          <w:rFonts w:ascii="Calibri" w:hAnsi="Calibri"/>
                          <w:sz w:val="22"/>
                          <w:szCs w:val="22"/>
                        </w:rPr>
                        <w:t>52</w:t>
                      </w:r>
                      <w:r w:rsidRPr="00B64536">
                        <w:rPr>
                          <w:rFonts w:ascii="Calibri" w:hAnsi="Calibri"/>
                          <w:sz w:val="22"/>
                          <w:szCs w:val="22"/>
                        </w:rPr>
                        <w:t>]</w:t>
                      </w:r>
                    </w:p>
                  </w:txbxContent>
                </v:textbox>
              </v:rect>
            </w:pict>
          </mc:Fallback>
        </mc:AlternateContent>
      </w:r>
      <w:r w:rsidR="00AA3A48">
        <w:rPr>
          <w:noProof/>
          <w:lang w:eastAsia="en-GB"/>
        </w:rPr>
        <mc:AlternateContent>
          <mc:Choice Requires="wps">
            <w:drawing>
              <wp:anchor distT="0" distB="0" distL="114300" distR="114300" simplePos="0" relativeHeight="251665408" behindDoc="0" locked="0" layoutInCell="1" allowOverlap="1" wp14:anchorId="7A44F0CD" wp14:editId="41D6D738">
                <wp:simplePos x="0" y="0"/>
                <wp:positionH relativeFrom="column">
                  <wp:posOffset>1885950</wp:posOffset>
                </wp:positionH>
                <wp:positionV relativeFrom="paragraph">
                  <wp:posOffset>67472</wp:posOffset>
                </wp:positionV>
                <wp:extent cx="1714500" cy="685800"/>
                <wp:effectExtent l="0" t="0" r="19050" b="1905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6B7196EA" w14:textId="2B1533F4" w:rsidR="00FF197F" w:rsidRDefault="00FF197F"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55</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4F0CD" id="Rectangle 8" o:spid="_x0000_s1033" style="position:absolute;margin-left:148.5pt;margin-top:5.3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">
                <v:textbox inset=",7.2pt,,7.2pt">
                  <w:txbxContent>
                    <w:p w14:paraId="6B7196EA" w14:textId="2B1533F4" w:rsidR="00FF197F" w:rsidRDefault="00FF197F"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55</w:t>
                      </w:r>
                      <w:r w:rsidRPr="00B64536">
                        <w:rPr>
                          <w:rFonts w:ascii="Calibri" w:hAnsi="Calibri"/>
                          <w:sz w:val="22"/>
                          <w:szCs w:val="22"/>
                        </w:rPr>
                        <w:t>]</w:t>
                      </w:r>
                    </w:p>
                  </w:txbxContent>
                </v:textbox>
              </v:rect>
            </w:pict>
          </mc:Fallback>
        </mc:AlternateContent>
      </w:r>
    </w:p>
    <w:p w14:paraId="230F77F3" w14:textId="77777777" w:rsidR="00277952" w:rsidRPr="00065914" w:rsidRDefault="00307736" w:rsidP="00A813F7">
      <w:pPr>
        <w:pStyle w:val="Paragraph"/>
      </w:pPr>
      <w:r>
        <w:rPr>
          <w:noProof/>
          <w:lang w:eastAsia="en-GB"/>
        </w:rPr>
        <mc:AlternateContent>
          <mc:Choice Requires="wps">
            <w:drawing>
              <wp:anchor distT="4294967294" distB="4294967294" distL="114300" distR="114300" simplePos="0" relativeHeight="251673600" behindDoc="0" locked="0" layoutInCell="1" allowOverlap="1" wp14:anchorId="6A0B44CD" wp14:editId="4D5B54EC">
                <wp:simplePos x="0" y="0"/>
                <wp:positionH relativeFrom="column">
                  <wp:posOffset>1268730</wp:posOffset>
                </wp:positionH>
                <wp:positionV relativeFrom="paragraph">
                  <wp:posOffset>58582</wp:posOffset>
                </wp:positionV>
                <wp:extent cx="611505" cy="0"/>
                <wp:effectExtent l="0" t="76200" r="17145" b="9525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90DC3" id="Straight Arrow Connector 6" o:spid="_x0000_s1026" type="#_x0000_t32" style="position:absolute;margin-left:99.9pt;margin-top:4.6pt;width:48.1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">
                <v:stroke endarrow="block"/>
              </v:shape>
            </w:pict>
          </mc:Fallback>
        </mc:AlternateContent>
      </w:r>
      <w:r>
        <w:rPr>
          <w:noProof/>
          <w:lang w:eastAsia="en-GB"/>
        </w:rPr>
        <mc:AlternateContent>
          <mc:Choice Requires="wps">
            <w:drawing>
              <wp:anchor distT="36575" distB="36575" distL="36576" distR="36576" simplePos="0" relativeHeight="251671552" behindDoc="0" locked="0" layoutInCell="1" allowOverlap="1" wp14:anchorId="43D5C384" wp14:editId="7ABA7A5D">
                <wp:simplePos x="0" y="0"/>
                <wp:positionH relativeFrom="column">
                  <wp:posOffset>3600450</wp:posOffset>
                </wp:positionH>
                <wp:positionV relativeFrom="paragraph">
                  <wp:posOffset>50003</wp:posOffset>
                </wp:positionV>
                <wp:extent cx="628650" cy="0"/>
                <wp:effectExtent l="0" t="76200" r="19050" b="95250"/>
                <wp:wrapNone/>
                <wp:docPr id="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20442B" id="Straight Arrow Connector 7" o:spid="_x0000_s1026" type="#_x0000_t32" style="position:absolute;margin-left:283.5pt;margin-top:3.95pt;width:49.5pt;height:0;z-index:25167155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">
                <v:stroke endarrow="block"/>
                <v:shadow color="#ccc"/>
              </v:shape>
            </w:pict>
          </mc:Fallback>
        </mc:AlternateContent>
      </w:r>
    </w:p>
    <w:p w14:paraId="23796531" w14:textId="77777777" w:rsidR="00277952" w:rsidRDefault="00AA3A48" w:rsidP="00A813F7">
      <w:pPr>
        <w:pStyle w:val="Paragraph"/>
      </w:pPr>
      <w:r>
        <w:rPr>
          <w:noProof/>
          <w:lang w:eastAsia="en-GB"/>
        </w:rPr>
        <mc:AlternateContent>
          <mc:Choice Requires="wps">
            <w:drawing>
              <wp:anchor distT="36576" distB="36576" distL="36575" distR="36575" simplePos="0" relativeHeight="251669504" behindDoc="0" locked="0" layoutInCell="1" allowOverlap="1" wp14:anchorId="5EF532B3" wp14:editId="7FA6F309">
                <wp:simplePos x="0" y="0"/>
                <wp:positionH relativeFrom="column">
                  <wp:posOffset>2742565</wp:posOffset>
                </wp:positionH>
                <wp:positionV relativeFrom="paragraph">
                  <wp:posOffset>52543</wp:posOffset>
                </wp:positionV>
                <wp:extent cx="0" cy="329565"/>
                <wp:effectExtent l="76200" t="0" r="76200" b="514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A74219" id="Straight Arrow Connector 5" o:spid="_x0000_s1026" type="#_x0000_t32" style="position:absolute;margin-left:215.95pt;margin-top:4.15pt;width:0;height:25.95pt;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">
                <v:stroke endarrow="block"/>
                <v:shadow color="#ccc"/>
              </v:shape>
            </w:pict>
          </mc:Fallback>
        </mc:AlternateContent>
      </w:r>
    </w:p>
    <w:p w14:paraId="032BE052" w14:textId="77777777" w:rsidR="00307736" w:rsidRDefault="00307736" w:rsidP="00A813F7">
      <w:pPr>
        <w:pStyle w:val="Paragraph"/>
      </w:pPr>
      <w:r>
        <w:rPr>
          <w:noProof/>
          <w:lang w:eastAsia="en-GB"/>
        </w:rPr>
        <mc:AlternateContent>
          <mc:Choice Requires="wps">
            <w:drawing>
              <wp:anchor distT="0" distB="0" distL="114300" distR="114300" simplePos="0" relativeHeight="251667456" behindDoc="0" locked="0" layoutInCell="1" allowOverlap="1" wp14:anchorId="42C6A3B2" wp14:editId="5982AE37">
                <wp:simplePos x="0" y="0"/>
                <wp:positionH relativeFrom="column">
                  <wp:posOffset>1885950</wp:posOffset>
                </wp:positionH>
                <wp:positionV relativeFrom="paragraph">
                  <wp:posOffset>60487</wp:posOffset>
                </wp:positionV>
                <wp:extent cx="1714500" cy="86487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64870"/>
                        </a:xfrm>
                        <a:prstGeom prst="rect">
                          <a:avLst/>
                        </a:prstGeom>
                        <a:solidFill>
                          <a:srgbClr val="FFFFFF"/>
                        </a:solidFill>
                        <a:ln w="9525">
                          <a:solidFill>
                            <a:srgbClr val="000000"/>
                          </a:solidFill>
                          <a:miter lim="800000"/>
                          <a:headEnd/>
                          <a:tailEnd/>
                        </a:ln>
                      </wps:spPr>
                      <wps:txbx>
                        <w:txbxContent>
                          <w:p w14:paraId="3FD87E1F" w14:textId="0197F3CF" w:rsidR="00FF197F" w:rsidRPr="004C6931" w:rsidRDefault="00FF197F"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3</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6A3B2" id="Rectangle 2" o:spid="_x0000_s1034" style="position:absolute;margin-left:148.5pt;margin-top:4.75pt;width:135pt;height:6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">
                <v:textbox inset=",7.2pt,,7.2pt">
                  <w:txbxContent>
                    <w:p w14:paraId="3FD87E1F" w14:textId="0197F3CF" w:rsidR="00FF197F" w:rsidRPr="004C6931" w:rsidRDefault="00FF197F"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3</w:t>
                      </w:r>
                      <w:r w:rsidRPr="00B64536">
                        <w:rPr>
                          <w:rFonts w:ascii="Calibri" w:hAnsi="Calibri"/>
                          <w:sz w:val="22"/>
                          <w:szCs w:val="22"/>
                        </w:rPr>
                        <w:t>]</w:t>
                      </w:r>
                    </w:p>
                  </w:txbxContent>
                </v:textbox>
              </v:rect>
            </w:pict>
          </mc:Fallback>
        </mc:AlternateContent>
      </w:r>
    </w:p>
    <w:p w14:paraId="45496342" w14:textId="77777777" w:rsidR="00307736" w:rsidRDefault="00307736" w:rsidP="00A813F7">
      <w:pPr>
        <w:pStyle w:val="Paragraph"/>
      </w:pPr>
    </w:p>
    <w:p w14:paraId="2B71C108" w14:textId="77777777" w:rsidR="00AA3A48" w:rsidRDefault="00AA3A48" w:rsidP="00A813F7">
      <w:pPr>
        <w:pStyle w:val="Paragraph"/>
      </w:pPr>
    </w:p>
    <w:p w14:paraId="46072985" w14:textId="77777777" w:rsidR="00277952" w:rsidRDefault="00277952" w:rsidP="00A813F7">
      <w:pPr>
        <w:pStyle w:val="Paragraph"/>
      </w:pPr>
    </w:p>
    <w:p w14:paraId="1976B687" w14:textId="77777777" w:rsidR="0001392D" w:rsidRDefault="0001392D" w:rsidP="0088696C">
      <w:pPr>
        <w:pStyle w:val="Paragraph"/>
      </w:pPr>
    </w:p>
    <w:p w14:paraId="7A45161B" w14:textId="77777777" w:rsidR="0001392D" w:rsidRPr="0001392D" w:rsidRDefault="0001392D" w:rsidP="0001392D">
      <w:pPr>
        <w:pStyle w:val="Paragraph"/>
        <w:sectPr w:rsidR="0001392D" w:rsidRPr="0001392D" w:rsidSect="00491FE4">
          <w:footerReference w:type="default" r:id="rId84"/>
          <w:footerReference w:type="first" r:id="rId85"/>
          <w:pgSz w:w="11906" w:h="16838"/>
          <w:pgMar w:top="1440" w:right="1440" w:bottom="1440" w:left="1440" w:header="708" w:footer="708" w:gutter="0"/>
          <w:cols w:space="708"/>
          <w:titlePg/>
          <w:docGrid w:linePitch="360"/>
        </w:sectPr>
      </w:pPr>
    </w:p>
    <w:p w14:paraId="5F1B3BE4" w14:textId="20CC0A1A" w:rsidR="00DC2522" w:rsidRDefault="005C6F10" w:rsidP="00C14E34">
      <w:pPr>
        <w:pStyle w:val="Heading1"/>
      </w:pPr>
      <w:bookmarkStart w:id="115" w:name="_Toc50469740"/>
      <w:r w:rsidRPr="00FC11EC">
        <w:lastRenderedPageBreak/>
        <w:t xml:space="preserve">Appendix </w:t>
      </w:r>
      <w:r w:rsidR="00E9784F">
        <w:t>3</w:t>
      </w:r>
      <w:r w:rsidR="00603263">
        <w:t xml:space="preserve">: </w:t>
      </w:r>
      <w:r w:rsidR="002C296A" w:rsidRPr="00FC11EC">
        <w:t>Suggestions from stakeholder engagement exercise</w:t>
      </w:r>
      <w:r w:rsidR="00626943">
        <w:t xml:space="preserve"> – registered stakeholders</w:t>
      </w:r>
      <w:bookmarkEnd w:id="1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071"/>
        <w:gridCol w:w="2761"/>
        <w:gridCol w:w="3118"/>
        <w:gridCol w:w="3686"/>
        <w:gridCol w:w="3474"/>
      </w:tblGrid>
      <w:tr w:rsidR="00F27622" w:rsidRPr="00315CD2" w14:paraId="5A35F8C5" w14:textId="77777777" w:rsidTr="00E52914">
        <w:trPr>
          <w:tblHeader/>
        </w:trPr>
        <w:tc>
          <w:tcPr>
            <w:tcW w:w="558" w:type="dxa"/>
            <w:shd w:val="clear" w:color="auto" w:fill="E6E6E6"/>
          </w:tcPr>
          <w:p w14:paraId="32D58D4B" w14:textId="77777777" w:rsidR="00F27622" w:rsidRPr="00315CD2" w:rsidRDefault="00F27622" w:rsidP="00DD0BD8">
            <w:pPr>
              <w:pStyle w:val="Tabletitle"/>
              <w:rPr>
                <w:rFonts w:asciiTheme="minorHAnsi" w:hAnsiTheme="minorHAnsi"/>
                <w:szCs w:val="22"/>
              </w:rPr>
            </w:pPr>
            <w:r w:rsidRPr="00315CD2">
              <w:rPr>
                <w:rFonts w:asciiTheme="minorHAnsi" w:hAnsiTheme="minorHAnsi"/>
                <w:szCs w:val="22"/>
              </w:rPr>
              <w:t>ID</w:t>
            </w:r>
          </w:p>
        </w:tc>
        <w:tc>
          <w:tcPr>
            <w:tcW w:w="1071" w:type="dxa"/>
            <w:shd w:val="clear" w:color="auto" w:fill="E6E6E6"/>
          </w:tcPr>
          <w:p w14:paraId="459A4C90" w14:textId="77777777" w:rsidR="00F27622" w:rsidRPr="00315CD2" w:rsidRDefault="00F27622" w:rsidP="00DD0BD8">
            <w:pPr>
              <w:pStyle w:val="Tabletitle"/>
              <w:rPr>
                <w:rFonts w:asciiTheme="minorHAnsi" w:hAnsiTheme="minorHAnsi"/>
                <w:szCs w:val="22"/>
              </w:rPr>
            </w:pPr>
            <w:r w:rsidRPr="00315CD2">
              <w:rPr>
                <w:rFonts w:asciiTheme="minorHAnsi" w:hAnsiTheme="minorHAnsi"/>
                <w:szCs w:val="22"/>
              </w:rPr>
              <w:t>Stakeholder</w:t>
            </w:r>
          </w:p>
        </w:tc>
        <w:tc>
          <w:tcPr>
            <w:tcW w:w="2761" w:type="dxa"/>
            <w:shd w:val="clear" w:color="auto" w:fill="E6E6E6"/>
          </w:tcPr>
          <w:p w14:paraId="4B7813BE" w14:textId="77777777" w:rsidR="00F27622" w:rsidRPr="00315CD2" w:rsidRDefault="00F27622" w:rsidP="00DD0BD8">
            <w:pPr>
              <w:pStyle w:val="Tabletitle"/>
              <w:rPr>
                <w:rFonts w:asciiTheme="minorHAnsi" w:hAnsiTheme="minorHAnsi"/>
                <w:szCs w:val="22"/>
              </w:rPr>
            </w:pPr>
            <w:r w:rsidRPr="00315CD2">
              <w:rPr>
                <w:rFonts w:asciiTheme="minorHAnsi" w:hAnsiTheme="minorHAnsi"/>
                <w:szCs w:val="22"/>
              </w:rPr>
              <w:t>Suggested key area for quality improvement</w:t>
            </w:r>
          </w:p>
        </w:tc>
        <w:tc>
          <w:tcPr>
            <w:tcW w:w="3118" w:type="dxa"/>
            <w:shd w:val="clear" w:color="auto" w:fill="E6E6E6"/>
          </w:tcPr>
          <w:p w14:paraId="589A3B49" w14:textId="77777777" w:rsidR="00F27622" w:rsidRPr="00315CD2" w:rsidRDefault="00F27622" w:rsidP="00DD0BD8">
            <w:pPr>
              <w:pStyle w:val="Tabletitle"/>
              <w:rPr>
                <w:rFonts w:asciiTheme="minorHAnsi" w:hAnsiTheme="minorHAnsi"/>
                <w:szCs w:val="22"/>
              </w:rPr>
            </w:pPr>
            <w:r w:rsidRPr="00315CD2">
              <w:rPr>
                <w:rFonts w:asciiTheme="minorHAnsi" w:hAnsiTheme="minorHAnsi"/>
                <w:szCs w:val="22"/>
              </w:rPr>
              <w:t>Why is this important?</w:t>
            </w:r>
          </w:p>
        </w:tc>
        <w:tc>
          <w:tcPr>
            <w:tcW w:w="3686" w:type="dxa"/>
            <w:shd w:val="clear" w:color="auto" w:fill="E6E6E6"/>
          </w:tcPr>
          <w:p w14:paraId="2FE14280" w14:textId="77777777" w:rsidR="00F27622" w:rsidRPr="00315CD2" w:rsidRDefault="00F27622" w:rsidP="00DD0BD8">
            <w:pPr>
              <w:pStyle w:val="Tabletitle"/>
              <w:rPr>
                <w:rFonts w:asciiTheme="minorHAnsi" w:hAnsiTheme="minorHAnsi"/>
                <w:szCs w:val="22"/>
              </w:rPr>
            </w:pPr>
            <w:r w:rsidRPr="00315CD2">
              <w:rPr>
                <w:rFonts w:asciiTheme="minorHAnsi" w:hAnsiTheme="minorHAnsi"/>
                <w:szCs w:val="22"/>
              </w:rPr>
              <w:t>Why is this a key area for quality improvement?</w:t>
            </w:r>
          </w:p>
        </w:tc>
        <w:tc>
          <w:tcPr>
            <w:tcW w:w="3474" w:type="dxa"/>
            <w:shd w:val="clear" w:color="auto" w:fill="E6E6E6"/>
          </w:tcPr>
          <w:p w14:paraId="6FC10050" w14:textId="77777777" w:rsidR="00F27622" w:rsidRPr="00315CD2" w:rsidRDefault="00F27622" w:rsidP="00DD0BD8">
            <w:pPr>
              <w:pStyle w:val="Tabletitle"/>
              <w:rPr>
                <w:rFonts w:asciiTheme="minorHAnsi" w:hAnsiTheme="minorHAnsi"/>
                <w:szCs w:val="22"/>
              </w:rPr>
            </w:pPr>
            <w:r w:rsidRPr="00315CD2">
              <w:rPr>
                <w:rFonts w:asciiTheme="minorHAnsi" w:hAnsiTheme="minorHAnsi"/>
                <w:szCs w:val="22"/>
              </w:rPr>
              <w:t>Supporting information</w:t>
            </w:r>
          </w:p>
        </w:tc>
      </w:tr>
      <w:tr w:rsidR="00F27622" w:rsidRPr="00315CD2" w14:paraId="61900920" w14:textId="77777777" w:rsidTr="00C156BC">
        <w:trPr>
          <w:trHeight w:val="282"/>
        </w:trPr>
        <w:tc>
          <w:tcPr>
            <w:tcW w:w="14668" w:type="dxa"/>
            <w:gridSpan w:val="6"/>
          </w:tcPr>
          <w:p w14:paraId="659D609B" w14:textId="7CF49159" w:rsidR="00F27622" w:rsidRPr="00315CD2" w:rsidRDefault="003D77AF" w:rsidP="001B248D">
            <w:pPr>
              <w:pStyle w:val="Tabletitle"/>
              <w:rPr>
                <w:rFonts w:asciiTheme="minorHAnsi" w:hAnsiTheme="minorHAnsi"/>
                <w:szCs w:val="22"/>
              </w:rPr>
            </w:pPr>
            <w:r w:rsidRPr="00315CD2">
              <w:rPr>
                <w:rFonts w:asciiTheme="minorHAnsi" w:hAnsiTheme="minorHAnsi"/>
                <w:szCs w:val="22"/>
              </w:rPr>
              <w:t>Reducing risk in hospital patients</w:t>
            </w:r>
          </w:p>
        </w:tc>
      </w:tr>
      <w:tr w:rsidR="007C2BA7" w:rsidRPr="00315CD2" w14:paraId="0E006060" w14:textId="77777777" w:rsidTr="00E52914">
        <w:trPr>
          <w:trHeight w:val="282"/>
        </w:trPr>
        <w:tc>
          <w:tcPr>
            <w:tcW w:w="558" w:type="dxa"/>
          </w:tcPr>
          <w:p w14:paraId="6DBB0343" w14:textId="77777777" w:rsidR="007C2BA7" w:rsidRPr="00315CD2" w:rsidRDefault="007C2BA7" w:rsidP="007C2BA7">
            <w:pPr>
              <w:pStyle w:val="Tabletext"/>
              <w:rPr>
                <w:rFonts w:asciiTheme="minorHAnsi" w:hAnsiTheme="minorHAnsi"/>
                <w:szCs w:val="22"/>
              </w:rPr>
            </w:pPr>
            <w:r w:rsidRPr="00315CD2">
              <w:rPr>
                <w:rFonts w:asciiTheme="minorHAnsi" w:hAnsiTheme="minorHAnsi"/>
                <w:szCs w:val="22"/>
                <w:lang w:eastAsia="en-GB"/>
              </w:rPr>
              <w:t>1</w:t>
            </w:r>
          </w:p>
        </w:tc>
        <w:tc>
          <w:tcPr>
            <w:tcW w:w="1071" w:type="dxa"/>
          </w:tcPr>
          <w:p w14:paraId="3A791E19" w14:textId="3F3C53C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All Party Parliamentary Group on Vascular and Venous Disease</w:t>
            </w:r>
          </w:p>
        </w:tc>
        <w:tc>
          <w:tcPr>
            <w:tcW w:w="2761" w:type="dxa"/>
          </w:tcPr>
          <w:p w14:paraId="0865E191"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Diagnosis and treatment of venous thromboembolism</w:t>
            </w:r>
          </w:p>
          <w:p w14:paraId="53846931" w14:textId="40090877" w:rsidR="007C2BA7" w:rsidRPr="00315CD2" w:rsidRDefault="007C2BA7" w:rsidP="007C2BA7">
            <w:pPr>
              <w:pStyle w:val="Tabletext"/>
              <w:rPr>
                <w:rFonts w:asciiTheme="minorHAnsi" w:hAnsiTheme="minorHAnsi"/>
                <w:szCs w:val="22"/>
              </w:rPr>
            </w:pPr>
          </w:p>
        </w:tc>
        <w:tc>
          <w:tcPr>
            <w:tcW w:w="3118" w:type="dxa"/>
          </w:tcPr>
          <w:p w14:paraId="19C45AEA" w14:textId="478B31F8" w:rsidR="007C2BA7" w:rsidRPr="00315CD2" w:rsidRDefault="007C2BA7" w:rsidP="007C2BA7">
            <w:pPr>
              <w:pStyle w:val="Tabletext"/>
              <w:rPr>
                <w:rFonts w:asciiTheme="minorHAnsi" w:hAnsiTheme="minorHAnsi"/>
                <w:szCs w:val="22"/>
              </w:rPr>
            </w:pPr>
            <w:bookmarkStart w:id="116" w:name="_Hlk49845780"/>
            <w:r w:rsidRPr="00315CD2">
              <w:rPr>
                <w:rFonts w:asciiTheme="minorHAnsi" w:hAnsiTheme="minorHAnsi" w:cs="Arial"/>
                <w:szCs w:val="22"/>
              </w:rPr>
              <w:t>Role of thrombophilia assessment – further clarity and guidance would be helpful (still significant inconsistency).</w:t>
            </w:r>
            <w:bookmarkEnd w:id="116"/>
          </w:p>
        </w:tc>
        <w:tc>
          <w:tcPr>
            <w:tcW w:w="3686" w:type="dxa"/>
          </w:tcPr>
          <w:p w14:paraId="4208DD12" w14:textId="77777777" w:rsidR="007C2BA7" w:rsidRPr="00315CD2" w:rsidRDefault="007C2BA7" w:rsidP="007C2BA7">
            <w:pPr>
              <w:pStyle w:val="ListParagraph"/>
              <w:ind w:left="0"/>
              <w:rPr>
                <w:rFonts w:asciiTheme="minorHAnsi" w:hAnsiTheme="minorHAnsi" w:cs="Arial"/>
                <w:sz w:val="22"/>
                <w:szCs w:val="22"/>
              </w:rPr>
            </w:pPr>
            <w:r w:rsidRPr="00315CD2">
              <w:rPr>
                <w:rFonts w:asciiTheme="minorHAnsi" w:hAnsiTheme="minorHAnsi" w:cs="Arial"/>
                <w:sz w:val="22"/>
                <w:szCs w:val="22"/>
              </w:rPr>
              <w:t>Inconsistency and variation in practice.</w:t>
            </w:r>
          </w:p>
          <w:p w14:paraId="1CE07BE1" w14:textId="66523C30" w:rsidR="007C2BA7" w:rsidRPr="00315CD2" w:rsidRDefault="007C2BA7" w:rsidP="007C2BA7">
            <w:pPr>
              <w:pStyle w:val="Tabletext"/>
              <w:rPr>
                <w:rFonts w:asciiTheme="minorHAnsi" w:hAnsiTheme="minorHAnsi"/>
                <w:szCs w:val="22"/>
              </w:rPr>
            </w:pPr>
          </w:p>
        </w:tc>
        <w:tc>
          <w:tcPr>
            <w:tcW w:w="3474" w:type="dxa"/>
          </w:tcPr>
          <w:p w14:paraId="6915DD8B" w14:textId="77777777" w:rsidR="007C2BA7" w:rsidRPr="00315CD2" w:rsidRDefault="007C2BA7" w:rsidP="007C2BA7">
            <w:pPr>
              <w:pStyle w:val="ListParagraph"/>
              <w:ind w:left="0"/>
              <w:rPr>
                <w:rFonts w:asciiTheme="minorHAnsi" w:hAnsiTheme="minorHAnsi" w:cs="Arial"/>
                <w:sz w:val="22"/>
                <w:szCs w:val="22"/>
              </w:rPr>
            </w:pPr>
            <w:r w:rsidRPr="00315CD2">
              <w:rPr>
                <w:rFonts w:asciiTheme="minorHAnsi" w:hAnsiTheme="minorHAnsi" w:cs="Arial"/>
                <w:sz w:val="22"/>
                <w:szCs w:val="22"/>
              </w:rPr>
              <w:t xml:space="preserve">Reference (1) Croles et al., Pregnancy, thrombophilia, and risk of a first venous thrombosis: systematic review and Bayesian meta-analysis. BMJ 2017, Oct 26:359; reference (2): Tsantes et al., Association between the plasminogen activator inhibitor-1 4G/5G polymorphism and venous thrombosis. A meta-analysis. Thromb Haemost 2007 Jun;97(6)907-13; reference (3) Anecdotal feedback from healthcare professionals.    </w:t>
            </w:r>
          </w:p>
          <w:p w14:paraId="28CAFAB3" w14:textId="7BDBE104" w:rsidR="007C2BA7" w:rsidRPr="00315CD2" w:rsidRDefault="007C2BA7" w:rsidP="007C2BA7">
            <w:pPr>
              <w:pStyle w:val="Tabletext"/>
              <w:rPr>
                <w:rFonts w:asciiTheme="minorHAnsi" w:hAnsiTheme="minorHAnsi"/>
                <w:szCs w:val="22"/>
              </w:rPr>
            </w:pPr>
          </w:p>
        </w:tc>
      </w:tr>
      <w:tr w:rsidR="007C2BA7" w:rsidRPr="00315CD2" w14:paraId="0EDA8BBD" w14:textId="77777777" w:rsidTr="00E52914">
        <w:trPr>
          <w:trHeight w:val="282"/>
        </w:trPr>
        <w:tc>
          <w:tcPr>
            <w:tcW w:w="558" w:type="dxa"/>
          </w:tcPr>
          <w:p w14:paraId="4D11E1B7" w14:textId="712F9312"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2</w:t>
            </w:r>
          </w:p>
        </w:tc>
        <w:tc>
          <w:tcPr>
            <w:tcW w:w="1071" w:type="dxa"/>
          </w:tcPr>
          <w:p w14:paraId="420CFA8E" w14:textId="06E10DD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British Thoracic Society </w:t>
            </w:r>
          </w:p>
        </w:tc>
        <w:tc>
          <w:tcPr>
            <w:tcW w:w="2761" w:type="dxa"/>
          </w:tcPr>
          <w:p w14:paraId="06F4E199" w14:textId="02DBC91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3</w:t>
            </w:r>
          </w:p>
        </w:tc>
        <w:tc>
          <w:tcPr>
            <w:tcW w:w="3118" w:type="dxa"/>
          </w:tcPr>
          <w:p w14:paraId="7B7F4D0C" w14:textId="44BF549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Further risk assessment to identify patients who may benefit from reperfusion therapy (blood pressure and radiological and biochemical markers of right ventricular dysfunction).</w:t>
            </w:r>
          </w:p>
        </w:tc>
        <w:tc>
          <w:tcPr>
            <w:tcW w:w="3686" w:type="dxa"/>
          </w:tcPr>
          <w:p w14:paraId="5DBBB47A" w14:textId="77777777" w:rsidR="007C2BA7" w:rsidRPr="00315CD2" w:rsidRDefault="007C2BA7" w:rsidP="007C2BA7">
            <w:pPr>
              <w:pStyle w:val="Tabletext"/>
              <w:rPr>
                <w:rFonts w:asciiTheme="minorHAnsi" w:hAnsiTheme="minorHAnsi"/>
                <w:szCs w:val="22"/>
              </w:rPr>
            </w:pPr>
          </w:p>
        </w:tc>
        <w:tc>
          <w:tcPr>
            <w:tcW w:w="3474" w:type="dxa"/>
          </w:tcPr>
          <w:p w14:paraId="0507948D" w14:textId="77777777" w:rsidR="007C2BA7" w:rsidRPr="00315CD2" w:rsidRDefault="007C2BA7" w:rsidP="007C2BA7">
            <w:pPr>
              <w:pStyle w:val="Tabletext"/>
              <w:rPr>
                <w:rFonts w:asciiTheme="minorHAnsi" w:hAnsiTheme="minorHAnsi"/>
                <w:szCs w:val="22"/>
              </w:rPr>
            </w:pPr>
          </w:p>
        </w:tc>
      </w:tr>
      <w:tr w:rsidR="007C2BA7" w:rsidRPr="00315CD2" w14:paraId="4D049B63" w14:textId="77777777" w:rsidTr="00E52914">
        <w:trPr>
          <w:trHeight w:val="282"/>
        </w:trPr>
        <w:tc>
          <w:tcPr>
            <w:tcW w:w="558" w:type="dxa"/>
          </w:tcPr>
          <w:p w14:paraId="7C538D35" w14:textId="492A0955"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3</w:t>
            </w:r>
          </w:p>
        </w:tc>
        <w:tc>
          <w:tcPr>
            <w:tcW w:w="1071" w:type="dxa"/>
          </w:tcPr>
          <w:p w14:paraId="2C5D23CA" w14:textId="7B1D3D1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SCM7</w:t>
            </w:r>
          </w:p>
        </w:tc>
        <w:tc>
          <w:tcPr>
            <w:tcW w:w="2761" w:type="dxa"/>
            <w:shd w:val="clear" w:color="auto" w:fill="FFFFFF"/>
          </w:tcPr>
          <w:p w14:paraId="2BBE4F9D" w14:textId="77777777" w:rsidR="007C2BA7" w:rsidRPr="00315CD2" w:rsidRDefault="007C2BA7" w:rsidP="007C2BA7">
            <w:pPr>
              <w:pStyle w:val="TableText1"/>
              <w:rPr>
                <w:rFonts w:asciiTheme="minorHAnsi" w:hAnsiTheme="minorHAnsi" w:cs="Arial"/>
                <w:szCs w:val="22"/>
              </w:rPr>
            </w:pPr>
          </w:p>
          <w:p w14:paraId="3F00F800"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The following patient groups (16 years and above) have their risk of VTE and bleeding assessed using </w:t>
            </w:r>
            <w:r w:rsidRPr="00315CD2">
              <w:rPr>
                <w:rFonts w:asciiTheme="minorHAnsi" w:hAnsiTheme="minorHAnsi" w:cs="Arial"/>
                <w:szCs w:val="22"/>
              </w:rPr>
              <w:lastRenderedPageBreak/>
              <w:t>published tool as soon as possible after admission to the hospital or by the time of the first consultant review and re-assessed if their clinical condition changes:</w:t>
            </w:r>
          </w:p>
          <w:p w14:paraId="2336FA28" w14:textId="77777777" w:rsidR="007C2BA7" w:rsidRPr="00315CD2" w:rsidRDefault="007C2BA7" w:rsidP="007C2BA7">
            <w:pPr>
              <w:pStyle w:val="TableText1"/>
              <w:numPr>
                <w:ilvl w:val="0"/>
                <w:numId w:val="11"/>
              </w:numPr>
              <w:rPr>
                <w:rFonts w:asciiTheme="minorHAnsi" w:hAnsiTheme="minorHAnsi" w:cs="Arial"/>
                <w:szCs w:val="22"/>
              </w:rPr>
            </w:pPr>
            <w:r w:rsidRPr="00315CD2">
              <w:rPr>
                <w:rFonts w:asciiTheme="minorHAnsi" w:hAnsiTheme="minorHAnsi" w:cs="Arial"/>
                <w:szCs w:val="22"/>
              </w:rPr>
              <w:t xml:space="preserve">Medical </w:t>
            </w:r>
          </w:p>
          <w:p w14:paraId="0F27A86D" w14:textId="77777777" w:rsidR="007C2BA7" w:rsidRPr="00315CD2" w:rsidRDefault="007C2BA7" w:rsidP="007C2BA7">
            <w:pPr>
              <w:pStyle w:val="TableText1"/>
              <w:numPr>
                <w:ilvl w:val="0"/>
                <w:numId w:val="11"/>
              </w:numPr>
              <w:rPr>
                <w:rFonts w:asciiTheme="minorHAnsi" w:hAnsiTheme="minorHAnsi" w:cs="Arial"/>
                <w:szCs w:val="22"/>
              </w:rPr>
            </w:pPr>
            <w:r w:rsidRPr="00315CD2">
              <w:rPr>
                <w:rFonts w:asciiTheme="minorHAnsi" w:hAnsiTheme="minorHAnsi" w:cs="Arial"/>
                <w:szCs w:val="22"/>
              </w:rPr>
              <w:t>Surgical</w:t>
            </w:r>
          </w:p>
          <w:p w14:paraId="7F75138B" w14:textId="77777777" w:rsidR="007C2BA7" w:rsidRPr="00315CD2" w:rsidRDefault="007C2BA7" w:rsidP="007C2BA7">
            <w:pPr>
              <w:pStyle w:val="TableText1"/>
              <w:numPr>
                <w:ilvl w:val="0"/>
                <w:numId w:val="11"/>
              </w:numPr>
              <w:rPr>
                <w:rFonts w:asciiTheme="minorHAnsi" w:hAnsiTheme="minorHAnsi" w:cs="Arial"/>
                <w:szCs w:val="22"/>
              </w:rPr>
            </w:pPr>
            <w:r w:rsidRPr="00315CD2">
              <w:rPr>
                <w:rFonts w:asciiTheme="minorHAnsi" w:hAnsiTheme="minorHAnsi" w:cs="Arial"/>
                <w:szCs w:val="22"/>
              </w:rPr>
              <w:t>Trauma</w:t>
            </w:r>
          </w:p>
          <w:p w14:paraId="497BB34E" w14:textId="77777777" w:rsidR="007C2BA7" w:rsidRPr="00315CD2" w:rsidRDefault="007C2BA7" w:rsidP="007C2BA7">
            <w:pPr>
              <w:pStyle w:val="TableText1"/>
              <w:numPr>
                <w:ilvl w:val="0"/>
                <w:numId w:val="11"/>
              </w:numPr>
              <w:rPr>
                <w:rFonts w:asciiTheme="minorHAnsi" w:hAnsiTheme="minorHAnsi" w:cs="Arial"/>
                <w:szCs w:val="22"/>
              </w:rPr>
            </w:pPr>
            <w:r w:rsidRPr="00315CD2">
              <w:rPr>
                <w:rFonts w:asciiTheme="minorHAnsi" w:hAnsiTheme="minorHAnsi" w:cs="Arial"/>
                <w:szCs w:val="22"/>
              </w:rPr>
              <w:t>Patients in critical care</w:t>
            </w:r>
          </w:p>
          <w:p w14:paraId="299AA243" w14:textId="77777777" w:rsidR="007C2BA7" w:rsidRPr="00315CD2" w:rsidRDefault="007C2BA7" w:rsidP="007C2BA7">
            <w:pPr>
              <w:pStyle w:val="TableText1"/>
              <w:numPr>
                <w:ilvl w:val="0"/>
                <w:numId w:val="11"/>
              </w:numPr>
              <w:rPr>
                <w:rFonts w:asciiTheme="minorHAnsi" w:hAnsiTheme="minorHAnsi" w:cs="Arial"/>
                <w:szCs w:val="22"/>
              </w:rPr>
            </w:pPr>
            <w:r w:rsidRPr="00315CD2">
              <w:rPr>
                <w:rFonts w:asciiTheme="minorHAnsi" w:hAnsiTheme="minorHAnsi" w:cs="Arial"/>
                <w:szCs w:val="22"/>
              </w:rPr>
              <w:t>Psychiatric illness</w:t>
            </w:r>
          </w:p>
          <w:p w14:paraId="0C32C7D7" w14:textId="48BA51D2" w:rsidR="007C2BA7" w:rsidRPr="00E52914" w:rsidRDefault="007C2BA7" w:rsidP="007C2BA7">
            <w:pPr>
              <w:pStyle w:val="TableText1"/>
              <w:numPr>
                <w:ilvl w:val="0"/>
                <w:numId w:val="11"/>
              </w:numPr>
              <w:rPr>
                <w:rFonts w:asciiTheme="minorHAnsi" w:hAnsiTheme="minorHAnsi" w:cs="Arial"/>
                <w:szCs w:val="22"/>
              </w:rPr>
            </w:pPr>
            <w:r w:rsidRPr="00315CD2">
              <w:rPr>
                <w:rFonts w:asciiTheme="minorHAnsi" w:hAnsiTheme="minorHAnsi" w:cs="Arial"/>
                <w:szCs w:val="22"/>
              </w:rPr>
              <w:t>Pregnant women and women who gave birth or had a miscarriage or termination of pregnancy in the past 6 weeks</w:t>
            </w:r>
          </w:p>
        </w:tc>
        <w:tc>
          <w:tcPr>
            <w:tcW w:w="3118" w:type="dxa"/>
            <w:shd w:val="clear" w:color="auto" w:fill="FFFFFF"/>
          </w:tcPr>
          <w:p w14:paraId="38BBE8DB"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lastRenderedPageBreak/>
              <w:t xml:space="preserve">VTE risk assessment tool identifies which patients are at risk of developing VTE and require pharmacological/ mechanical  </w:t>
            </w:r>
            <w:r w:rsidRPr="00315CD2">
              <w:rPr>
                <w:rFonts w:asciiTheme="minorHAnsi" w:hAnsiTheme="minorHAnsi" w:cs="Arial"/>
                <w:szCs w:val="22"/>
              </w:rPr>
              <w:lastRenderedPageBreak/>
              <w:t xml:space="preserve">thromboprophylaxis.  Continuing this high standard in risk assessment is a crucial part of the overall VTE management.  </w:t>
            </w:r>
          </w:p>
          <w:p w14:paraId="1BE0FBA4" w14:textId="77777777" w:rsidR="007C2BA7" w:rsidRPr="00315CD2" w:rsidRDefault="007C2BA7" w:rsidP="007C2BA7">
            <w:pPr>
              <w:pStyle w:val="TableText1"/>
              <w:rPr>
                <w:rFonts w:asciiTheme="minorHAnsi" w:hAnsiTheme="minorHAnsi" w:cs="Arial"/>
                <w:szCs w:val="22"/>
              </w:rPr>
            </w:pPr>
          </w:p>
          <w:p w14:paraId="13293336" w14:textId="2122938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Completion of VTE risk assessment is recommended within NICE, with the last 3 specific groups being new subcategories as well as the new age group from 16 years and above in the guideline (NG89) update in 2018.  </w:t>
            </w:r>
          </w:p>
        </w:tc>
        <w:tc>
          <w:tcPr>
            <w:tcW w:w="3686" w:type="dxa"/>
            <w:shd w:val="clear" w:color="auto" w:fill="FFFFFF"/>
          </w:tcPr>
          <w:p w14:paraId="2E9E699F" w14:textId="468175E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 xml:space="preserve">There is a variation of VTE risk assessment being complete from 70-95%.  </w:t>
            </w:r>
          </w:p>
        </w:tc>
        <w:tc>
          <w:tcPr>
            <w:tcW w:w="3474" w:type="dxa"/>
            <w:shd w:val="clear" w:color="auto" w:fill="FFFFFF"/>
          </w:tcPr>
          <w:p w14:paraId="6F9622E5"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The All-Party Parliamentary Thrombosis Group (2019) highlights the VTE remains one of the most common forms of hospital mortality which is preventable through VTE </w:t>
            </w:r>
            <w:r w:rsidRPr="00315CD2">
              <w:rPr>
                <w:rFonts w:asciiTheme="minorHAnsi" w:hAnsiTheme="minorHAnsi" w:cs="Arial"/>
                <w:szCs w:val="22"/>
              </w:rPr>
              <w:lastRenderedPageBreak/>
              <w:t>risk assessment and the administration</w:t>
            </w:r>
          </w:p>
          <w:p w14:paraId="6DC5998F"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of appropriate thromboprophylaxis.  </w:t>
            </w:r>
          </w:p>
          <w:p w14:paraId="50A0F238" w14:textId="77777777" w:rsidR="007C2BA7" w:rsidRPr="00315CD2" w:rsidRDefault="00473E39" w:rsidP="007C2BA7">
            <w:pPr>
              <w:pStyle w:val="TableText1"/>
              <w:rPr>
                <w:rFonts w:asciiTheme="minorHAnsi" w:hAnsiTheme="minorHAnsi" w:cs="Arial"/>
                <w:szCs w:val="22"/>
              </w:rPr>
            </w:pPr>
            <w:hyperlink r:id="rId86" w:history="1">
              <w:r w:rsidR="007C2BA7" w:rsidRPr="00315CD2">
                <w:rPr>
                  <w:rStyle w:val="Hyperlink"/>
                  <w:rFonts w:asciiTheme="minorHAnsi" w:hAnsiTheme="minorHAnsi" w:cs="Arial"/>
                  <w:szCs w:val="22"/>
                </w:rPr>
                <w:t>https://thrombosisuk.org/downloads/APPTG%20Annual%20Review%202019%20100320.pdf</w:t>
              </w:r>
            </w:hyperlink>
          </w:p>
          <w:p w14:paraId="0E46CBC9" w14:textId="77777777" w:rsidR="007C2BA7" w:rsidRPr="00315CD2" w:rsidRDefault="007C2BA7" w:rsidP="007C2BA7">
            <w:pPr>
              <w:pStyle w:val="Tabletext"/>
              <w:rPr>
                <w:rFonts w:asciiTheme="minorHAnsi" w:hAnsiTheme="minorHAnsi"/>
                <w:szCs w:val="22"/>
              </w:rPr>
            </w:pPr>
          </w:p>
        </w:tc>
      </w:tr>
      <w:tr w:rsidR="007C2BA7" w:rsidRPr="00315CD2" w14:paraId="0DF17A4F" w14:textId="77777777" w:rsidTr="00E52914">
        <w:trPr>
          <w:trHeight w:val="282"/>
        </w:trPr>
        <w:tc>
          <w:tcPr>
            <w:tcW w:w="558" w:type="dxa"/>
          </w:tcPr>
          <w:p w14:paraId="464D6195" w14:textId="6CB4DC04"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lastRenderedPageBreak/>
              <w:t>4</w:t>
            </w:r>
          </w:p>
        </w:tc>
        <w:tc>
          <w:tcPr>
            <w:tcW w:w="1071" w:type="dxa"/>
          </w:tcPr>
          <w:p w14:paraId="21A55996" w14:textId="49791E2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SCM7</w:t>
            </w:r>
          </w:p>
        </w:tc>
        <w:tc>
          <w:tcPr>
            <w:tcW w:w="2761" w:type="dxa"/>
            <w:shd w:val="clear" w:color="auto" w:fill="FFFFFF"/>
          </w:tcPr>
          <w:p w14:paraId="46863613" w14:textId="77777777" w:rsidR="007C2BA7" w:rsidRPr="00315CD2" w:rsidRDefault="007C2BA7" w:rsidP="007C2BA7">
            <w:pPr>
              <w:pStyle w:val="TableText1"/>
              <w:rPr>
                <w:rFonts w:asciiTheme="minorHAnsi" w:hAnsiTheme="minorHAnsi" w:cs="Arial"/>
                <w:b/>
                <w:szCs w:val="22"/>
              </w:rPr>
            </w:pPr>
            <w:r w:rsidRPr="00315CD2">
              <w:rPr>
                <w:rFonts w:asciiTheme="minorHAnsi" w:hAnsiTheme="minorHAnsi" w:cs="Arial"/>
                <w:b/>
                <w:szCs w:val="22"/>
              </w:rPr>
              <w:t>Key area for quality improvement 2:</w:t>
            </w:r>
          </w:p>
          <w:p w14:paraId="25D55F6E" w14:textId="77777777" w:rsidR="007C2BA7" w:rsidRPr="00315CD2" w:rsidRDefault="007C2BA7" w:rsidP="007C2BA7">
            <w:pPr>
              <w:pStyle w:val="TableText1"/>
              <w:rPr>
                <w:rFonts w:asciiTheme="minorHAnsi" w:hAnsiTheme="minorHAnsi" w:cs="Arial"/>
                <w:b/>
                <w:szCs w:val="22"/>
              </w:rPr>
            </w:pPr>
          </w:p>
          <w:p w14:paraId="5F6A9BC5" w14:textId="05BAC15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Patients assessed to be at risk of VTE are offered VTE prophylaxis in accordance with NICE guidance.  </w:t>
            </w:r>
          </w:p>
        </w:tc>
        <w:tc>
          <w:tcPr>
            <w:tcW w:w="3118" w:type="dxa"/>
            <w:shd w:val="clear" w:color="auto" w:fill="FFFFFF"/>
          </w:tcPr>
          <w:p w14:paraId="68984A9F"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VTE risk assessment</w:t>
            </w:r>
          </w:p>
          <w:p w14:paraId="17E6AAF6" w14:textId="3573A70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isn’t enough if the treatment needed to prevent fatalities isn’t given.</w:t>
            </w:r>
          </w:p>
        </w:tc>
        <w:tc>
          <w:tcPr>
            <w:tcW w:w="3686" w:type="dxa"/>
            <w:shd w:val="clear" w:color="auto" w:fill="FFFFFF"/>
          </w:tcPr>
          <w:p w14:paraId="30DC9024" w14:textId="77777777" w:rsidR="007C2BA7" w:rsidRPr="00315CD2" w:rsidRDefault="007C2BA7" w:rsidP="007C2BA7">
            <w:pPr>
              <w:rPr>
                <w:rFonts w:asciiTheme="minorHAnsi" w:hAnsiTheme="minorHAnsi" w:cs="Arial"/>
                <w:sz w:val="22"/>
                <w:szCs w:val="22"/>
              </w:rPr>
            </w:pPr>
            <w:r w:rsidRPr="00315CD2">
              <w:rPr>
                <w:rFonts w:asciiTheme="minorHAnsi" w:hAnsiTheme="minorHAnsi" w:cs="Arial"/>
                <w:sz w:val="22"/>
                <w:szCs w:val="22"/>
              </w:rPr>
              <w:t xml:space="preserve">39% of HAT cases were in patients who were not receiving thromboprophylaxis prior to developing HAT, a 20% increase on the previous year’s findings.  </w:t>
            </w:r>
          </w:p>
          <w:p w14:paraId="18927691" w14:textId="77777777" w:rsidR="007C2BA7" w:rsidRPr="00315CD2" w:rsidRDefault="007C2BA7" w:rsidP="007C2BA7">
            <w:pPr>
              <w:rPr>
                <w:rFonts w:asciiTheme="minorHAnsi" w:hAnsiTheme="minorHAnsi" w:cs="Arial"/>
                <w:sz w:val="22"/>
                <w:szCs w:val="22"/>
              </w:rPr>
            </w:pPr>
          </w:p>
          <w:p w14:paraId="45DB6913" w14:textId="77777777" w:rsidR="007C2BA7" w:rsidRPr="00315CD2" w:rsidRDefault="007C2BA7" w:rsidP="007C2BA7">
            <w:pPr>
              <w:rPr>
                <w:rFonts w:asciiTheme="minorHAnsi" w:hAnsiTheme="minorHAnsi" w:cs="Arial"/>
                <w:sz w:val="22"/>
                <w:szCs w:val="22"/>
              </w:rPr>
            </w:pPr>
            <w:r w:rsidRPr="00315CD2">
              <w:rPr>
                <w:rFonts w:asciiTheme="minorHAnsi" w:hAnsiTheme="minorHAnsi" w:cs="Arial"/>
                <w:sz w:val="22"/>
                <w:szCs w:val="22"/>
              </w:rPr>
              <w:t xml:space="preserve">There were 13 trusts in which 50% or more of recorded HAT cases were in patients who were not receiving thromboprophylaxis prior to HAT, </w:t>
            </w:r>
            <w:r w:rsidRPr="00315CD2">
              <w:rPr>
                <w:rFonts w:asciiTheme="minorHAnsi" w:hAnsiTheme="minorHAnsi" w:cs="Arial"/>
                <w:sz w:val="22"/>
                <w:szCs w:val="22"/>
              </w:rPr>
              <w:lastRenderedPageBreak/>
              <w:t xml:space="preserve">more than double previous year’s figure. </w:t>
            </w:r>
          </w:p>
          <w:p w14:paraId="0D5AD3EC" w14:textId="77777777" w:rsidR="007C2BA7" w:rsidRPr="00315CD2" w:rsidRDefault="007C2BA7" w:rsidP="007C2BA7">
            <w:pPr>
              <w:rPr>
                <w:rFonts w:asciiTheme="minorHAnsi" w:hAnsiTheme="minorHAnsi" w:cs="Arial"/>
                <w:sz w:val="22"/>
                <w:szCs w:val="22"/>
              </w:rPr>
            </w:pPr>
          </w:p>
          <w:p w14:paraId="07396368" w14:textId="2EE1B35E" w:rsidR="007C2BA7" w:rsidRPr="00E52914" w:rsidRDefault="007C2BA7" w:rsidP="00E52914">
            <w:pPr>
              <w:rPr>
                <w:rFonts w:asciiTheme="minorHAnsi" w:hAnsiTheme="minorHAnsi" w:cs="Arial"/>
                <w:sz w:val="22"/>
                <w:szCs w:val="22"/>
              </w:rPr>
            </w:pPr>
            <w:r w:rsidRPr="00315CD2">
              <w:rPr>
                <w:rFonts w:asciiTheme="minorHAnsi" w:hAnsiTheme="minorHAnsi" w:cs="Arial"/>
                <w:sz w:val="22"/>
                <w:szCs w:val="22"/>
              </w:rPr>
              <w:t xml:space="preserve">The regional picture varies.  </w:t>
            </w:r>
          </w:p>
        </w:tc>
        <w:tc>
          <w:tcPr>
            <w:tcW w:w="3474" w:type="dxa"/>
            <w:shd w:val="clear" w:color="auto" w:fill="FFFFFF"/>
          </w:tcPr>
          <w:p w14:paraId="22E5E81F"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lastRenderedPageBreak/>
              <w:t xml:space="preserve">The All-Party Parliamentary Thrombosis Group (2019) </w:t>
            </w:r>
            <w:hyperlink r:id="rId87" w:history="1">
              <w:r w:rsidRPr="00315CD2">
                <w:rPr>
                  <w:rStyle w:val="Hyperlink"/>
                  <w:rFonts w:asciiTheme="minorHAnsi" w:hAnsiTheme="minorHAnsi" w:cs="Arial"/>
                  <w:szCs w:val="22"/>
                </w:rPr>
                <w:t>https://thrombosisuk.org/downloads/APPTG%20Annual%20Review%202019%20100320.pdf</w:t>
              </w:r>
            </w:hyperlink>
          </w:p>
          <w:p w14:paraId="3FA73D8F" w14:textId="77777777" w:rsidR="007C2BA7" w:rsidRPr="00315CD2" w:rsidRDefault="007C2BA7" w:rsidP="007C2BA7">
            <w:pPr>
              <w:pStyle w:val="Tabletext"/>
              <w:rPr>
                <w:rFonts w:asciiTheme="minorHAnsi" w:hAnsiTheme="minorHAnsi"/>
                <w:szCs w:val="22"/>
              </w:rPr>
            </w:pPr>
          </w:p>
        </w:tc>
      </w:tr>
      <w:tr w:rsidR="007C2BA7" w:rsidRPr="00315CD2" w14:paraId="61E877E3" w14:textId="77777777" w:rsidTr="00E52914">
        <w:trPr>
          <w:trHeight w:val="282"/>
        </w:trPr>
        <w:tc>
          <w:tcPr>
            <w:tcW w:w="558" w:type="dxa"/>
          </w:tcPr>
          <w:p w14:paraId="2F57CB67" w14:textId="716972FF"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5</w:t>
            </w:r>
          </w:p>
        </w:tc>
        <w:tc>
          <w:tcPr>
            <w:tcW w:w="1071" w:type="dxa"/>
          </w:tcPr>
          <w:p w14:paraId="5623093B" w14:textId="6906BAB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SCM4</w:t>
            </w:r>
          </w:p>
        </w:tc>
        <w:tc>
          <w:tcPr>
            <w:tcW w:w="2761" w:type="dxa"/>
            <w:shd w:val="clear" w:color="auto" w:fill="FFFFFF"/>
          </w:tcPr>
          <w:p w14:paraId="4236B775" w14:textId="77777777" w:rsidR="007C2BA7" w:rsidRPr="00315CD2" w:rsidRDefault="007C2BA7" w:rsidP="007C2BA7">
            <w:pPr>
              <w:pStyle w:val="TableText1"/>
              <w:rPr>
                <w:rFonts w:asciiTheme="minorHAnsi" w:hAnsiTheme="minorHAnsi" w:cs="Arial"/>
                <w:b/>
                <w:szCs w:val="22"/>
              </w:rPr>
            </w:pPr>
            <w:r w:rsidRPr="00315CD2">
              <w:rPr>
                <w:rFonts w:asciiTheme="minorHAnsi" w:hAnsiTheme="minorHAnsi" w:cs="Arial"/>
                <w:b/>
                <w:szCs w:val="22"/>
              </w:rPr>
              <w:t>Key area for quality improvement 1</w:t>
            </w:r>
          </w:p>
          <w:p w14:paraId="1925FBF8" w14:textId="4828D25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Adoption of a National Standardised Validated Assessment Tool for VTE </w:t>
            </w:r>
          </w:p>
        </w:tc>
        <w:tc>
          <w:tcPr>
            <w:tcW w:w="3118" w:type="dxa"/>
            <w:shd w:val="clear" w:color="auto" w:fill="FFFFFF"/>
          </w:tcPr>
          <w:p w14:paraId="61402345" w14:textId="6119BDA6" w:rsidR="007C2BA7" w:rsidRPr="00315CD2" w:rsidRDefault="007C2BA7" w:rsidP="007C2BA7">
            <w:pPr>
              <w:pStyle w:val="Tabletext"/>
              <w:rPr>
                <w:rFonts w:asciiTheme="minorHAnsi" w:hAnsiTheme="minorHAnsi"/>
                <w:szCs w:val="22"/>
              </w:rPr>
            </w:pPr>
            <w:bookmarkStart w:id="117" w:name="_Hlk50308741"/>
            <w:r w:rsidRPr="00315CD2">
              <w:rPr>
                <w:rFonts w:asciiTheme="minorHAnsi" w:hAnsiTheme="minorHAnsi" w:cs="Arial"/>
                <w:szCs w:val="22"/>
              </w:rPr>
              <w:t xml:space="preserve">There is evidence that in addition to the national tool a number of different tools are currently in use I understand that national tool has not been validated or tested against other tools   </w:t>
            </w:r>
            <w:r w:rsidRPr="00315CD2">
              <w:rPr>
                <w:rFonts w:asciiTheme="minorHAnsi" w:hAnsiTheme="minorHAnsi"/>
                <w:szCs w:val="22"/>
              </w:rPr>
              <w:t>to evaluate its diagnostic accuracy or effectiveness at correctly identifying people at risk of VTE.</w:t>
            </w:r>
            <w:bookmarkEnd w:id="117"/>
          </w:p>
        </w:tc>
        <w:tc>
          <w:tcPr>
            <w:tcW w:w="3686" w:type="dxa"/>
            <w:shd w:val="clear" w:color="auto" w:fill="FFFFFF"/>
          </w:tcPr>
          <w:p w14:paraId="74960786" w14:textId="6C9F09F3" w:rsidR="007C2BA7" w:rsidRPr="00E52914" w:rsidRDefault="007C2BA7" w:rsidP="00E52914">
            <w:pPr>
              <w:autoSpaceDE w:val="0"/>
              <w:autoSpaceDN w:val="0"/>
              <w:adjustRightInd w:val="0"/>
              <w:rPr>
                <w:rFonts w:asciiTheme="minorHAnsi" w:hAnsiTheme="minorHAnsi"/>
                <w:sz w:val="22"/>
                <w:szCs w:val="22"/>
              </w:rPr>
            </w:pPr>
            <w:r w:rsidRPr="00315CD2">
              <w:rPr>
                <w:rFonts w:asciiTheme="minorHAnsi" w:hAnsiTheme="minorHAnsi"/>
                <w:sz w:val="22"/>
                <w:szCs w:val="22"/>
              </w:rPr>
              <w:t xml:space="preserve">I understand that a lack of validation gives rise to a   concern that the national tool may not accurately identify those who are most likely to get VTE. </w:t>
            </w:r>
          </w:p>
        </w:tc>
        <w:tc>
          <w:tcPr>
            <w:tcW w:w="3474" w:type="dxa"/>
            <w:shd w:val="clear" w:color="auto" w:fill="FFFFFF"/>
          </w:tcPr>
          <w:p w14:paraId="4363C04D" w14:textId="77777777" w:rsidR="007C2BA7" w:rsidRPr="00315CD2" w:rsidRDefault="007C2BA7" w:rsidP="007C2BA7">
            <w:pPr>
              <w:pStyle w:val="TableText1"/>
              <w:rPr>
                <w:rFonts w:asciiTheme="minorHAnsi" w:hAnsiTheme="minorHAnsi"/>
                <w:szCs w:val="22"/>
              </w:rPr>
            </w:pPr>
            <w:r w:rsidRPr="00315CD2">
              <w:rPr>
                <w:rFonts w:asciiTheme="minorHAnsi" w:hAnsiTheme="minorHAnsi"/>
                <w:szCs w:val="22"/>
              </w:rPr>
              <w:t xml:space="preserve">Please refer NG 89 </w:t>
            </w:r>
          </w:p>
          <w:p w14:paraId="64D5143A" w14:textId="77777777" w:rsidR="007C2BA7" w:rsidRPr="00315CD2" w:rsidRDefault="007C2BA7" w:rsidP="007C2BA7">
            <w:pPr>
              <w:pStyle w:val="TableText1"/>
              <w:rPr>
                <w:rFonts w:asciiTheme="minorHAnsi" w:hAnsiTheme="minorHAnsi"/>
                <w:szCs w:val="22"/>
              </w:rPr>
            </w:pPr>
            <w:r w:rsidRPr="00315CD2">
              <w:rPr>
                <w:rFonts w:asciiTheme="minorHAnsi" w:hAnsiTheme="minorHAnsi"/>
                <w:szCs w:val="22"/>
              </w:rPr>
              <w:t xml:space="preserve">According to national figures, over 70% of medical patients in the UK have prophylaxis when the national tool has been used, with some trusts offering prophylaxis to over 90% of medical patients. Around 40% of medical patients have prophylaxis in largely US-based populations when other tools are used (although this may partially relate to different indications for hospital admission). It is not known if this means that the national tool identifies too many people or the other tools do not identify enough. The potential impact of giving unnecessary prophylaxis is that people may be at increased risk of bleeding and discomfort through repeated injections. There is also the potential for reducing the cost of thromboprophylaxis by better defining 'at risk' populations, so that the number of those given thromboprophylaxis is reduced </w:t>
            </w:r>
          </w:p>
          <w:p w14:paraId="5D75CF22" w14:textId="77777777" w:rsidR="007C2BA7" w:rsidRPr="00315CD2" w:rsidRDefault="007C2BA7" w:rsidP="007C2BA7">
            <w:pPr>
              <w:pStyle w:val="TableText1"/>
              <w:rPr>
                <w:rFonts w:asciiTheme="minorHAnsi" w:hAnsiTheme="minorHAnsi"/>
                <w:szCs w:val="22"/>
              </w:rPr>
            </w:pPr>
            <w:r w:rsidRPr="00315CD2">
              <w:rPr>
                <w:rFonts w:asciiTheme="minorHAnsi" w:hAnsiTheme="minorHAnsi"/>
                <w:szCs w:val="22"/>
              </w:rPr>
              <w:t xml:space="preserve">See also </w:t>
            </w:r>
          </w:p>
          <w:p w14:paraId="3AAB8A61" w14:textId="0B9831EF" w:rsidR="007C2BA7" w:rsidRPr="00315CD2" w:rsidRDefault="007C2BA7" w:rsidP="007C2BA7">
            <w:pPr>
              <w:pStyle w:val="Tabletext"/>
              <w:rPr>
                <w:rFonts w:asciiTheme="minorHAnsi" w:hAnsiTheme="minorHAnsi"/>
                <w:szCs w:val="22"/>
              </w:rPr>
            </w:pPr>
            <w:r w:rsidRPr="00315CD2">
              <w:rPr>
                <w:rStyle w:val="Strong"/>
                <w:rFonts w:asciiTheme="minorHAnsi" w:hAnsiTheme="minorHAnsi" w:cs="Arial"/>
                <w:b w:val="0"/>
                <w:color w:val="0A0A0A"/>
                <w:szCs w:val="22"/>
              </w:rPr>
              <w:lastRenderedPageBreak/>
              <w:t xml:space="preserve">The Royal College of Emergency Medicine’s </w:t>
            </w:r>
            <w:hyperlink r:id="rId88" w:history="1">
              <w:r w:rsidRPr="00315CD2">
                <w:rPr>
                  <w:rStyle w:val="Hyperlink"/>
                  <w:rFonts w:asciiTheme="minorHAnsi" w:hAnsiTheme="minorHAnsi" w:cs="Arial"/>
                  <w:b/>
                  <w:bCs/>
                  <w:szCs w:val="22"/>
                </w:rPr>
                <w:t>2018/9 national quality improvement project (QIP) of Venous Thromboembolism (VTE) risk in lower limb immobilisation</w:t>
              </w:r>
            </w:hyperlink>
            <w:r w:rsidRPr="00315CD2">
              <w:rPr>
                <w:rStyle w:val="Strong"/>
                <w:rFonts w:asciiTheme="minorHAnsi" w:hAnsiTheme="minorHAnsi" w:cs="Arial"/>
                <w:b w:val="0"/>
                <w:color w:val="0A0A0A"/>
                <w:szCs w:val="22"/>
              </w:rPr>
              <w:t xml:space="preserve"> has found that Emergency Departments (EDs) have made significant progress against RCEM standards</w:t>
            </w:r>
          </w:p>
        </w:tc>
      </w:tr>
      <w:tr w:rsidR="007C2BA7" w:rsidRPr="00315CD2" w14:paraId="005DD9E8" w14:textId="77777777" w:rsidTr="00E52914">
        <w:trPr>
          <w:trHeight w:val="282"/>
        </w:trPr>
        <w:tc>
          <w:tcPr>
            <w:tcW w:w="558" w:type="dxa"/>
          </w:tcPr>
          <w:p w14:paraId="11E6AC27" w14:textId="756D900D"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lastRenderedPageBreak/>
              <w:t>6</w:t>
            </w:r>
          </w:p>
        </w:tc>
        <w:tc>
          <w:tcPr>
            <w:tcW w:w="1071" w:type="dxa"/>
          </w:tcPr>
          <w:p w14:paraId="59671AC0" w14:textId="68C0447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SCM6</w:t>
            </w:r>
          </w:p>
        </w:tc>
        <w:tc>
          <w:tcPr>
            <w:tcW w:w="2761" w:type="dxa"/>
          </w:tcPr>
          <w:p w14:paraId="637A15A2" w14:textId="33103EC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Failure to identify candidates for thrombolysis and also </w:t>
            </w:r>
            <w:bookmarkStart w:id="118" w:name="_Hlk50308466"/>
            <w:r w:rsidRPr="00315CD2">
              <w:rPr>
                <w:rFonts w:asciiTheme="minorHAnsi" w:hAnsiTheme="minorHAnsi" w:cs="Arial"/>
                <w:szCs w:val="22"/>
              </w:rPr>
              <w:t>Failure to offer thrombolysis to appropriate cases</w:t>
            </w:r>
            <w:bookmarkEnd w:id="118"/>
          </w:p>
        </w:tc>
        <w:tc>
          <w:tcPr>
            <w:tcW w:w="3118" w:type="dxa"/>
          </w:tcPr>
          <w:p w14:paraId="5D9CD88B" w14:textId="1144800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Increased risk of PTS</w:t>
            </w:r>
          </w:p>
        </w:tc>
        <w:tc>
          <w:tcPr>
            <w:tcW w:w="3686" w:type="dxa"/>
          </w:tcPr>
          <w:p w14:paraId="652C2D87" w14:textId="77777777" w:rsidR="007C2BA7" w:rsidRPr="00315CD2" w:rsidRDefault="007C2BA7" w:rsidP="007C2BA7">
            <w:pPr>
              <w:pStyle w:val="Tabletext"/>
              <w:rPr>
                <w:rFonts w:asciiTheme="minorHAnsi" w:hAnsiTheme="minorHAnsi"/>
                <w:szCs w:val="22"/>
              </w:rPr>
            </w:pPr>
          </w:p>
        </w:tc>
        <w:tc>
          <w:tcPr>
            <w:tcW w:w="3474" w:type="dxa"/>
          </w:tcPr>
          <w:p w14:paraId="6ADB767F" w14:textId="0BF0676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Failure to identify candidates for thrombolysis and also Failure to offer thrombolysis to appropriate cases</w:t>
            </w:r>
          </w:p>
        </w:tc>
      </w:tr>
      <w:tr w:rsidR="007C2BA7" w:rsidRPr="00315CD2" w14:paraId="21CCD07E" w14:textId="77777777" w:rsidTr="00E52914">
        <w:trPr>
          <w:trHeight w:val="282"/>
        </w:trPr>
        <w:tc>
          <w:tcPr>
            <w:tcW w:w="558" w:type="dxa"/>
          </w:tcPr>
          <w:p w14:paraId="56D1B6DF" w14:textId="358913D5" w:rsidR="007C2BA7" w:rsidRPr="00315CD2" w:rsidRDefault="00171590" w:rsidP="007C2BA7">
            <w:pPr>
              <w:pStyle w:val="Tabletext"/>
              <w:rPr>
                <w:rFonts w:asciiTheme="minorHAnsi" w:hAnsiTheme="minorHAnsi"/>
                <w:szCs w:val="22"/>
                <w:lang w:eastAsia="en-GB"/>
              </w:rPr>
            </w:pPr>
            <w:r>
              <w:rPr>
                <w:rFonts w:asciiTheme="minorHAnsi" w:hAnsiTheme="minorHAnsi"/>
                <w:szCs w:val="22"/>
                <w:lang w:eastAsia="en-GB"/>
              </w:rPr>
              <w:t>7</w:t>
            </w:r>
          </w:p>
        </w:tc>
        <w:tc>
          <w:tcPr>
            <w:tcW w:w="1071" w:type="dxa"/>
          </w:tcPr>
          <w:p w14:paraId="46616E64" w14:textId="2D8929FB"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SCM2</w:t>
            </w:r>
          </w:p>
        </w:tc>
        <w:tc>
          <w:tcPr>
            <w:tcW w:w="2761" w:type="dxa"/>
            <w:shd w:val="clear" w:color="auto" w:fill="FFFFFF"/>
          </w:tcPr>
          <w:p w14:paraId="22D4C2F4" w14:textId="021C465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PERC tool in standard practice</w:t>
            </w:r>
          </w:p>
        </w:tc>
        <w:tc>
          <w:tcPr>
            <w:tcW w:w="3118" w:type="dxa"/>
            <w:shd w:val="clear" w:color="auto" w:fill="FFFFFF"/>
          </w:tcPr>
          <w:p w14:paraId="11C4693B" w14:textId="77777777" w:rsidR="007C2BA7" w:rsidRPr="00315CD2" w:rsidRDefault="007C2BA7" w:rsidP="007C2BA7">
            <w:pPr>
              <w:pStyle w:val="TableText1"/>
              <w:rPr>
                <w:rFonts w:asciiTheme="minorHAnsi" w:hAnsiTheme="minorHAnsi" w:cs="Arial"/>
                <w:szCs w:val="22"/>
              </w:rPr>
            </w:pPr>
            <w:bookmarkStart w:id="119" w:name="_Hlk50471239"/>
            <w:r w:rsidRPr="00315CD2">
              <w:rPr>
                <w:rFonts w:asciiTheme="minorHAnsi" w:hAnsiTheme="minorHAnsi" w:cs="Arial"/>
                <w:szCs w:val="22"/>
              </w:rPr>
              <w:t>Consideration of the PERC rule out tool is recommended within NICE guidance.</w:t>
            </w:r>
          </w:p>
          <w:p w14:paraId="5747CF33" w14:textId="3705B13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Wells score, D-Dimmer and ultrasound are well established standard practice – PERC tool should be highlighted for quality improvement</w:t>
            </w:r>
            <w:bookmarkEnd w:id="119"/>
            <w:r w:rsidRPr="00315CD2">
              <w:rPr>
                <w:rFonts w:asciiTheme="minorHAnsi" w:hAnsiTheme="minorHAnsi" w:cs="Arial"/>
                <w:szCs w:val="22"/>
              </w:rPr>
              <w:t>.</w:t>
            </w:r>
          </w:p>
        </w:tc>
        <w:tc>
          <w:tcPr>
            <w:tcW w:w="3686" w:type="dxa"/>
            <w:shd w:val="clear" w:color="auto" w:fill="FFFFFF"/>
          </w:tcPr>
          <w:p w14:paraId="706B441E" w14:textId="77777777" w:rsidR="007C2BA7" w:rsidRPr="00315CD2" w:rsidRDefault="007C2BA7" w:rsidP="007C2BA7">
            <w:pPr>
              <w:pStyle w:val="TableText1"/>
              <w:rPr>
                <w:rFonts w:asciiTheme="minorHAnsi" w:hAnsiTheme="minorHAnsi" w:cs="Arial"/>
                <w:szCs w:val="22"/>
              </w:rPr>
            </w:pPr>
            <w:bookmarkStart w:id="120" w:name="_Hlk50471261"/>
            <w:r w:rsidRPr="00315CD2">
              <w:rPr>
                <w:rFonts w:asciiTheme="minorHAnsi" w:hAnsiTheme="minorHAnsi" w:cs="Arial"/>
                <w:szCs w:val="22"/>
              </w:rPr>
              <w:t>Use of the PERC rule out tool may have an impact to patient management where there is low suspicion of pulmonary embolism – it may help to reduce the need for avoidable clinical imaging, D-Dimmer and interim anticoagulation. There is potential for significant impact (quality improvement) to patient safety, cost and clinical efficiency – therefore should be highlighted in quality standard advice.</w:t>
            </w:r>
          </w:p>
          <w:bookmarkEnd w:id="120"/>
          <w:p w14:paraId="78E4B915" w14:textId="77777777" w:rsidR="007C2BA7" w:rsidRPr="00315CD2" w:rsidRDefault="007C2BA7" w:rsidP="007C2BA7">
            <w:pPr>
              <w:pStyle w:val="Tabletext"/>
              <w:rPr>
                <w:rFonts w:asciiTheme="minorHAnsi" w:hAnsiTheme="minorHAnsi"/>
                <w:szCs w:val="22"/>
              </w:rPr>
            </w:pPr>
          </w:p>
        </w:tc>
        <w:tc>
          <w:tcPr>
            <w:tcW w:w="3474" w:type="dxa"/>
            <w:shd w:val="clear" w:color="auto" w:fill="FFFFFF"/>
          </w:tcPr>
          <w:p w14:paraId="799D477F" w14:textId="3A45031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Summarised evidence - </w:t>
            </w:r>
            <w:r w:rsidRPr="00315CD2">
              <w:rPr>
                <w:rFonts w:asciiTheme="minorHAnsi" w:hAnsiTheme="minorHAnsi"/>
                <w:szCs w:val="22"/>
              </w:rPr>
              <w:t>Evidence review for the use of the pulmonary embolism rule-out criteria for diagnosis of pulmonary embolism – NICE</w:t>
            </w:r>
          </w:p>
        </w:tc>
      </w:tr>
      <w:tr w:rsidR="007C2BA7" w:rsidRPr="00315CD2" w14:paraId="1D59433C" w14:textId="77777777" w:rsidTr="00E52914">
        <w:trPr>
          <w:trHeight w:val="282"/>
        </w:trPr>
        <w:tc>
          <w:tcPr>
            <w:tcW w:w="558" w:type="dxa"/>
          </w:tcPr>
          <w:p w14:paraId="0E5E4EDB" w14:textId="092F2728" w:rsidR="007C2BA7" w:rsidRPr="00315CD2" w:rsidRDefault="00171590" w:rsidP="007C2BA7">
            <w:pPr>
              <w:pStyle w:val="Tabletext"/>
              <w:rPr>
                <w:rFonts w:asciiTheme="minorHAnsi" w:hAnsiTheme="minorHAnsi"/>
                <w:szCs w:val="22"/>
                <w:lang w:eastAsia="en-GB"/>
              </w:rPr>
            </w:pPr>
            <w:r>
              <w:rPr>
                <w:rFonts w:asciiTheme="minorHAnsi" w:hAnsiTheme="minorHAnsi"/>
                <w:szCs w:val="22"/>
                <w:lang w:eastAsia="en-GB"/>
              </w:rPr>
              <w:t>8</w:t>
            </w:r>
          </w:p>
        </w:tc>
        <w:tc>
          <w:tcPr>
            <w:tcW w:w="1071" w:type="dxa"/>
          </w:tcPr>
          <w:p w14:paraId="5303EFF0" w14:textId="0495065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FSRH CEU</w:t>
            </w:r>
          </w:p>
        </w:tc>
        <w:tc>
          <w:tcPr>
            <w:tcW w:w="2761" w:type="dxa"/>
          </w:tcPr>
          <w:p w14:paraId="64200D4B" w14:textId="77777777" w:rsidR="007C2BA7" w:rsidRPr="00315CD2" w:rsidRDefault="007C2BA7" w:rsidP="007C2BA7">
            <w:pPr>
              <w:rPr>
                <w:rFonts w:asciiTheme="minorHAnsi" w:hAnsiTheme="minorHAnsi" w:cs="Arial"/>
                <w:sz w:val="22"/>
                <w:szCs w:val="22"/>
              </w:rPr>
            </w:pPr>
            <w:r w:rsidRPr="00315CD2">
              <w:rPr>
                <w:rFonts w:asciiTheme="minorHAnsi" w:hAnsiTheme="minorHAnsi" w:cs="Arial"/>
                <w:sz w:val="22"/>
                <w:szCs w:val="22"/>
              </w:rPr>
              <w:t>Key area for quality improvement 1</w:t>
            </w:r>
          </w:p>
          <w:p w14:paraId="5918B5DC" w14:textId="3CAAD51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Hospital admissions </w:t>
            </w:r>
          </w:p>
        </w:tc>
        <w:tc>
          <w:tcPr>
            <w:tcW w:w="3118" w:type="dxa"/>
          </w:tcPr>
          <w:p w14:paraId="00BE4501" w14:textId="77777777" w:rsidR="007C2BA7" w:rsidRPr="00315CD2" w:rsidRDefault="007C2BA7" w:rsidP="007C2BA7">
            <w:pPr>
              <w:rPr>
                <w:rFonts w:asciiTheme="minorHAnsi" w:hAnsiTheme="minorHAnsi" w:cs="Arial"/>
                <w:sz w:val="22"/>
                <w:szCs w:val="22"/>
              </w:rPr>
            </w:pPr>
            <w:r w:rsidRPr="00315CD2">
              <w:rPr>
                <w:rFonts w:asciiTheme="minorHAnsi" w:hAnsiTheme="minorHAnsi" w:cs="Arial"/>
                <w:sz w:val="22"/>
                <w:szCs w:val="22"/>
              </w:rPr>
              <w:t xml:space="preserve">General comment: - during hospital admissions, as part of risk assessment for VTE, use of </w:t>
            </w:r>
            <w:r w:rsidRPr="00315CD2">
              <w:rPr>
                <w:rFonts w:asciiTheme="minorHAnsi" w:hAnsiTheme="minorHAnsi" w:cs="Arial"/>
                <w:sz w:val="22"/>
                <w:szCs w:val="22"/>
              </w:rPr>
              <w:lastRenderedPageBreak/>
              <w:t>combined hormonal contraception should be identified and alternative effective contraception that is not associated with increased risk of VTE initiated if CHC is discontinued.</w:t>
            </w:r>
          </w:p>
          <w:p w14:paraId="24059370" w14:textId="77777777" w:rsidR="007C2BA7" w:rsidRPr="00315CD2" w:rsidRDefault="007C2BA7" w:rsidP="007C2BA7">
            <w:pPr>
              <w:pStyle w:val="Tabletext"/>
              <w:rPr>
                <w:rFonts w:asciiTheme="minorHAnsi" w:hAnsiTheme="minorHAnsi"/>
                <w:szCs w:val="22"/>
              </w:rPr>
            </w:pPr>
          </w:p>
        </w:tc>
        <w:tc>
          <w:tcPr>
            <w:tcW w:w="3686" w:type="dxa"/>
            <w:shd w:val="clear" w:color="auto" w:fill="FFFFFF"/>
          </w:tcPr>
          <w:p w14:paraId="04F5F35A" w14:textId="77777777" w:rsidR="007C2BA7" w:rsidRPr="00315CD2" w:rsidRDefault="007C2BA7" w:rsidP="007C2BA7">
            <w:pPr>
              <w:pStyle w:val="Tabletext"/>
              <w:rPr>
                <w:rFonts w:asciiTheme="minorHAnsi" w:hAnsiTheme="minorHAnsi"/>
                <w:szCs w:val="22"/>
              </w:rPr>
            </w:pPr>
          </w:p>
        </w:tc>
        <w:tc>
          <w:tcPr>
            <w:tcW w:w="3474" w:type="dxa"/>
            <w:shd w:val="clear" w:color="auto" w:fill="FFFFFF"/>
          </w:tcPr>
          <w:p w14:paraId="6A8577FE" w14:textId="77777777" w:rsidR="007C2BA7" w:rsidRPr="00315CD2" w:rsidRDefault="007C2BA7" w:rsidP="007C2BA7">
            <w:pPr>
              <w:pStyle w:val="Tabletext"/>
              <w:rPr>
                <w:rFonts w:asciiTheme="minorHAnsi" w:hAnsiTheme="minorHAnsi"/>
                <w:szCs w:val="22"/>
              </w:rPr>
            </w:pPr>
          </w:p>
        </w:tc>
      </w:tr>
      <w:tr w:rsidR="007C2BA7" w:rsidRPr="00315CD2" w14:paraId="4B54EF6E" w14:textId="77777777" w:rsidTr="00E52914">
        <w:trPr>
          <w:trHeight w:val="282"/>
        </w:trPr>
        <w:tc>
          <w:tcPr>
            <w:tcW w:w="558" w:type="dxa"/>
          </w:tcPr>
          <w:p w14:paraId="30E7844B" w14:textId="55E0A9BA" w:rsidR="007C2BA7" w:rsidRPr="00315CD2" w:rsidRDefault="00171590" w:rsidP="007C2BA7">
            <w:pPr>
              <w:pStyle w:val="Tabletext"/>
              <w:rPr>
                <w:rFonts w:asciiTheme="minorHAnsi" w:hAnsiTheme="minorHAnsi"/>
                <w:szCs w:val="22"/>
                <w:lang w:eastAsia="en-GB"/>
              </w:rPr>
            </w:pPr>
            <w:r>
              <w:rPr>
                <w:rFonts w:asciiTheme="minorHAnsi" w:hAnsiTheme="minorHAnsi"/>
                <w:szCs w:val="22"/>
                <w:lang w:eastAsia="en-GB"/>
              </w:rPr>
              <w:t>9</w:t>
            </w:r>
          </w:p>
        </w:tc>
        <w:tc>
          <w:tcPr>
            <w:tcW w:w="1071" w:type="dxa"/>
          </w:tcPr>
          <w:p w14:paraId="3CCAFCA0" w14:textId="43632D5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Clinical Leaders of Thrombosis</w:t>
            </w:r>
          </w:p>
        </w:tc>
        <w:tc>
          <w:tcPr>
            <w:tcW w:w="2761" w:type="dxa"/>
          </w:tcPr>
          <w:p w14:paraId="4ECE31A0" w14:textId="77777777" w:rsidR="007C2BA7" w:rsidRPr="00315CD2" w:rsidRDefault="007C2BA7" w:rsidP="007C2BA7">
            <w:pPr>
              <w:pStyle w:val="Paragraphnonumbers"/>
              <w:spacing w:after="120"/>
              <w:rPr>
                <w:rFonts w:asciiTheme="minorHAnsi" w:hAnsiTheme="minorHAnsi" w:cs="Arial"/>
                <w:sz w:val="22"/>
                <w:szCs w:val="22"/>
              </w:rPr>
            </w:pPr>
            <w:r w:rsidRPr="00315CD2">
              <w:rPr>
                <w:rFonts w:asciiTheme="minorHAnsi" w:hAnsiTheme="minorHAnsi" w:cs="Arial"/>
                <w:sz w:val="22"/>
                <w:szCs w:val="22"/>
              </w:rPr>
              <w:t>Key area for quality improvement 1</w:t>
            </w:r>
          </w:p>
          <w:p w14:paraId="57529F9D" w14:textId="77777777" w:rsidR="007C2BA7" w:rsidRPr="00315CD2" w:rsidRDefault="007C2BA7" w:rsidP="007C2BA7">
            <w:pPr>
              <w:pStyle w:val="Paragraphnonumbers"/>
              <w:spacing w:after="120"/>
              <w:rPr>
                <w:rFonts w:asciiTheme="minorHAnsi" w:hAnsiTheme="minorHAnsi" w:cs="Arial"/>
                <w:sz w:val="22"/>
                <w:szCs w:val="22"/>
              </w:rPr>
            </w:pPr>
          </w:p>
          <w:p w14:paraId="524A55A0" w14:textId="17C237B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Use of anti-embolic stockings as venous thromboembolism (VTE) prophylaxis in hospitalised patients</w:t>
            </w:r>
          </w:p>
        </w:tc>
        <w:tc>
          <w:tcPr>
            <w:tcW w:w="3118" w:type="dxa"/>
          </w:tcPr>
          <w:p w14:paraId="08C3AA41" w14:textId="10E0D7C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Previous NICE guidance NG89 has recommended the use of either anti embolic stockings (AES) or intermittent pneumatic compression in surgical patients. A randomised control trial looked at AES to see if they offered any additional benefit when used with low molecular weight heparin (LMWH) compared with LMWH alone. This study showed LWH alone was non-inferior to AES and LMWH. The use of AES is associated with patient harm around skin damage and falls so to look at reducing their use would be a patient safety benefit.</w:t>
            </w:r>
          </w:p>
        </w:tc>
        <w:tc>
          <w:tcPr>
            <w:tcW w:w="3686" w:type="dxa"/>
          </w:tcPr>
          <w:p w14:paraId="1CC2B4C7"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The cost to NHS England for AES was £63 million despite no evidence they prevent death or PE and this study shows only patients contra-indicated LMWH would need AES</w:t>
            </w:r>
          </w:p>
          <w:p w14:paraId="749DF4B5" w14:textId="77777777" w:rsidR="007C2BA7" w:rsidRPr="00315CD2" w:rsidRDefault="007C2BA7" w:rsidP="007C2BA7">
            <w:pPr>
              <w:pStyle w:val="Paragraphnonumbers"/>
              <w:rPr>
                <w:rFonts w:asciiTheme="minorHAnsi" w:hAnsiTheme="minorHAnsi" w:cs="Arial"/>
                <w:sz w:val="22"/>
                <w:szCs w:val="22"/>
              </w:rPr>
            </w:pPr>
          </w:p>
          <w:p w14:paraId="55672BE5" w14:textId="6AC1A95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National guidance on the use of AES would reduce the harm associated with this product, it is already contra-indicated in stroke patients due to evidence of harm, and it would only be used where chemical prophylaxis cannot be used</w:t>
            </w:r>
          </w:p>
        </w:tc>
        <w:tc>
          <w:tcPr>
            <w:tcW w:w="3474" w:type="dxa"/>
          </w:tcPr>
          <w:p w14:paraId="720BD771" w14:textId="228AED9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Please see the GAPS study published in the BMJ </w:t>
            </w:r>
            <w:hyperlink r:id="rId89" w:history="1">
              <w:r w:rsidRPr="00315CD2">
                <w:rPr>
                  <w:rFonts w:asciiTheme="minorHAnsi" w:hAnsiTheme="minorHAnsi"/>
                  <w:color w:val="0000FF"/>
                  <w:szCs w:val="22"/>
                  <w:u w:val="single"/>
                </w:rPr>
                <w:t>https://www.bmj.com/content/369/bmj.m1309</w:t>
              </w:r>
            </w:hyperlink>
          </w:p>
        </w:tc>
      </w:tr>
      <w:tr w:rsidR="007C2BA7" w:rsidRPr="00315CD2" w14:paraId="07179A17" w14:textId="77777777" w:rsidTr="00E52914">
        <w:trPr>
          <w:trHeight w:val="282"/>
        </w:trPr>
        <w:tc>
          <w:tcPr>
            <w:tcW w:w="558" w:type="dxa"/>
          </w:tcPr>
          <w:p w14:paraId="46440393" w14:textId="5D7266B0" w:rsidR="007C2BA7" w:rsidRPr="00315CD2" w:rsidRDefault="00171590" w:rsidP="007C2BA7">
            <w:pPr>
              <w:pStyle w:val="Tabletext"/>
              <w:rPr>
                <w:rFonts w:asciiTheme="minorHAnsi" w:hAnsiTheme="minorHAnsi"/>
                <w:szCs w:val="22"/>
                <w:lang w:eastAsia="en-GB"/>
              </w:rPr>
            </w:pPr>
            <w:r>
              <w:rPr>
                <w:rFonts w:asciiTheme="minorHAnsi" w:hAnsiTheme="minorHAnsi"/>
                <w:szCs w:val="22"/>
                <w:lang w:eastAsia="en-GB"/>
              </w:rPr>
              <w:lastRenderedPageBreak/>
              <w:t>10</w:t>
            </w:r>
          </w:p>
        </w:tc>
        <w:tc>
          <w:tcPr>
            <w:tcW w:w="1071" w:type="dxa"/>
          </w:tcPr>
          <w:p w14:paraId="3A49F6E5" w14:textId="46C9720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Thrombosis UK</w:t>
            </w:r>
          </w:p>
        </w:tc>
        <w:tc>
          <w:tcPr>
            <w:tcW w:w="2761" w:type="dxa"/>
          </w:tcPr>
          <w:p w14:paraId="42917686" w14:textId="39293F6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Additional developmental areas of emergent practice</w:t>
            </w:r>
          </w:p>
        </w:tc>
        <w:tc>
          <w:tcPr>
            <w:tcW w:w="3118" w:type="dxa"/>
          </w:tcPr>
          <w:p w14:paraId="7E7234B8" w14:textId="77777777" w:rsidR="007C2BA7" w:rsidRPr="00315CD2" w:rsidRDefault="007C2BA7" w:rsidP="007C2BA7">
            <w:pPr>
              <w:rPr>
                <w:rFonts w:asciiTheme="minorHAnsi" w:hAnsiTheme="minorHAnsi" w:cs="Calibri"/>
                <w:sz w:val="22"/>
                <w:szCs w:val="22"/>
              </w:rPr>
            </w:pPr>
            <w:r w:rsidRPr="00315CD2">
              <w:rPr>
                <w:rFonts w:asciiTheme="minorHAnsi" w:hAnsiTheme="minorHAnsi" w:cs="Calibri"/>
                <w:sz w:val="22"/>
                <w:szCs w:val="22"/>
              </w:rPr>
              <w:t>There is new clinical trial evidence in the ineffectiveness of graduated compression stockings (GCS).</w:t>
            </w:r>
          </w:p>
          <w:p w14:paraId="7E5D8308" w14:textId="77777777" w:rsidR="007C2BA7" w:rsidRPr="00315CD2" w:rsidRDefault="007C2BA7" w:rsidP="007C2BA7">
            <w:pPr>
              <w:rPr>
                <w:rFonts w:asciiTheme="minorHAnsi" w:hAnsiTheme="minorHAnsi" w:cs="Calibri"/>
                <w:sz w:val="22"/>
                <w:szCs w:val="22"/>
              </w:rPr>
            </w:pPr>
          </w:p>
          <w:p w14:paraId="6478C46A" w14:textId="77777777" w:rsidR="007C2BA7" w:rsidRPr="00315CD2" w:rsidRDefault="007C2BA7" w:rsidP="007C2BA7">
            <w:pPr>
              <w:rPr>
                <w:rFonts w:asciiTheme="minorHAnsi" w:hAnsiTheme="minorHAnsi" w:cs="Calibri"/>
                <w:sz w:val="22"/>
                <w:szCs w:val="22"/>
              </w:rPr>
            </w:pPr>
            <w:r w:rsidRPr="00315CD2">
              <w:rPr>
                <w:rFonts w:asciiTheme="minorHAnsi" w:hAnsiTheme="minorHAnsi" w:cs="Calibri"/>
                <w:sz w:val="22"/>
                <w:szCs w:val="22"/>
              </w:rPr>
              <w:t>Summary:</w:t>
            </w:r>
          </w:p>
          <w:p w14:paraId="0813EFC0" w14:textId="77777777" w:rsidR="007C2BA7" w:rsidRPr="00315CD2" w:rsidRDefault="007C2BA7" w:rsidP="007C2BA7">
            <w:pPr>
              <w:rPr>
                <w:rFonts w:asciiTheme="minorHAnsi" w:hAnsiTheme="minorHAnsi" w:cs="Calibri"/>
                <w:sz w:val="22"/>
                <w:szCs w:val="22"/>
              </w:rPr>
            </w:pPr>
            <w:r w:rsidRPr="00315CD2">
              <w:rPr>
                <w:rFonts w:asciiTheme="minorHAnsi" w:hAnsiTheme="minorHAnsi" w:cs="Calibri"/>
                <w:i/>
                <w:iCs/>
                <w:sz w:val="22"/>
                <w:szCs w:val="22"/>
              </w:rPr>
              <w:t>“for patients who have elective surgery and are at moderate or high risk of venous thromboembolism, administration of pharmaco-thromboprophylaxis alone is non-inferior to a combination of pharmacothromboprophylaxis and GCS.”</w:t>
            </w:r>
            <w:r w:rsidRPr="00315CD2">
              <w:rPr>
                <w:rFonts w:asciiTheme="minorHAnsi" w:hAnsiTheme="minorHAnsi" w:cs="Calibri"/>
                <w:sz w:val="22"/>
                <w:szCs w:val="22"/>
              </w:rPr>
              <w:t xml:space="preserve"> compression stockings</w:t>
            </w:r>
          </w:p>
          <w:p w14:paraId="617CC985" w14:textId="7FE15909" w:rsidR="007C2BA7" w:rsidRPr="00315CD2" w:rsidRDefault="007C2BA7" w:rsidP="007C2BA7">
            <w:pPr>
              <w:pStyle w:val="Tabletext"/>
              <w:rPr>
                <w:rFonts w:asciiTheme="minorHAnsi" w:hAnsiTheme="minorHAnsi"/>
                <w:szCs w:val="22"/>
              </w:rPr>
            </w:pPr>
            <w:r w:rsidRPr="00315CD2">
              <w:rPr>
                <w:rFonts w:asciiTheme="minorHAnsi" w:hAnsiTheme="minorHAnsi" w:cs="Calibri"/>
                <w:szCs w:val="22"/>
              </w:rPr>
              <w:t>Ref: GAPS Trial 2020</w:t>
            </w:r>
          </w:p>
        </w:tc>
        <w:tc>
          <w:tcPr>
            <w:tcW w:w="3686" w:type="dxa"/>
          </w:tcPr>
          <w:p w14:paraId="0321A8A2"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 xml:space="preserve">GCS cost the NHS in excess of £60m pa. </w:t>
            </w:r>
          </w:p>
          <w:p w14:paraId="0B4BE12A" w14:textId="3D4EF3CB" w:rsidR="007C2BA7" w:rsidRPr="00315CD2" w:rsidRDefault="007C2BA7" w:rsidP="007C2BA7">
            <w:pPr>
              <w:pStyle w:val="Tabletext"/>
              <w:rPr>
                <w:rFonts w:asciiTheme="minorHAnsi" w:hAnsiTheme="minorHAnsi"/>
                <w:szCs w:val="22"/>
              </w:rPr>
            </w:pPr>
            <w:r w:rsidRPr="00315CD2">
              <w:rPr>
                <w:rFonts w:asciiTheme="minorHAnsi" w:hAnsiTheme="minorHAnsi" w:cs="Calibri"/>
                <w:szCs w:val="22"/>
              </w:rPr>
              <w:t xml:space="preserve">Many are poorly fitted and causing patients discomfort and worry. Trial evidence now indicates they are unnecessary in patients who have elective surgery and prescribed pharmaco-thromboprophylaxis. </w:t>
            </w:r>
          </w:p>
        </w:tc>
        <w:tc>
          <w:tcPr>
            <w:tcW w:w="3474" w:type="dxa"/>
          </w:tcPr>
          <w:p w14:paraId="18EB7B48"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Practice should now be updated and encouraged to no longer prescribe GCS in these settings.</w:t>
            </w:r>
          </w:p>
          <w:p w14:paraId="1CE53D0B" w14:textId="77777777" w:rsidR="007C2BA7" w:rsidRPr="00315CD2" w:rsidRDefault="007C2BA7" w:rsidP="007C2BA7">
            <w:pPr>
              <w:rPr>
                <w:rFonts w:asciiTheme="minorHAnsi" w:hAnsiTheme="minorHAnsi"/>
                <w:sz w:val="22"/>
                <w:szCs w:val="22"/>
              </w:rPr>
            </w:pPr>
            <w:r w:rsidRPr="00315CD2">
              <w:rPr>
                <w:rFonts w:asciiTheme="minorHAnsi" w:hAnsiTheme="minorHAnsi" w:cs="Calibri"/>
                <w:sz w:val="22"/>
                <w:szCs w:val="22"/>
              </w:rPr>
              <w:t xml:space="preserve">Ref: GAPS Trial 2020   </w:t>
            </w:r>
            <w:hyperlink r:id="rId90" w:history="1">
              <w:r w:rsidRPr="00315CD2">
                <w:rPr>
                  <w:rStyle w:val="Hyperlink"/>
                  <w:rFonts w:asciiTheme="minorHAnsi" w:hAnsiTheme="minorHAnsi"/>
                  <w:sz w:val="22"/>
                  <w:szCs w:val="22"/>
                </w:rPr>
                <w:t>https://thrombosisuk.org/downloads/bmj.m1309.pdf</w:t>
              </w:r>
            </w:hyperlink>
          </w:p>
          <w:p w14:paraId="7909C6AC" w14:textId="77777777" w:rsidR="007C2BA7" w:rsidRPr="00315CD2" w:rsidRDefault="007C2BA7" w:rsidP="007C2BA7">
            <w:pPr>
              <w:pStyle w:val="Tabletext"/>
              <w:rPr>
                <w:rFonts w:asciiTheme="minorHAnsi" w:hAnsiTheme="minorHAnsi"/>
                <w:szCs w:val="22"/>
              </w:rPr>
            </w:pPr>
          </w:p>
        </w:tc>
      </w:tr>
      <w:tr w:rsidR="007C2BA7" w:rsidRPr="00315CD2" w14:paraId="69B9F0A9" w14:textId="77777777" w:rsidTr="00E52914">
        <w:trPr>
          <w:trHeight w:val="282"/>
        </w:trPr>
        <w:tc>
          <w:tcPr>
            <w:tcW w:w="558" w:type="dxa"/>
          </w:tcPr>
          <w:p w14:paraId="36674BB3" w14:textId="01DCC3F5" w:rsidR="007C2BA7" w:rsidRPr="00315CD2" w:rsidRDefault="00171590" w:rsidP="007C2BA7">
            <w:pPr>
              <w:pStyle w:val="Tabletext"/>
              <w:rPr>
                <w:rFonts w:asciiTheme="minorHAnsi" w:hAnsiTheme="minorHAnsi"/>
                <w:szCs w:val="22"/>
                <w:lang w:eastAsia="en-GB"/>
              </w:rPr>
            </w:pPr>
            <w:r>
              <w:rPr>
                <w:rFonts w:asciiTheme="minorHAnsi" w:hAnsiTheme="minorHAnsi"/>
                <w:szCs w:val="22"/>
                <w:lang w:eastAsia="en-GB"/>
              </w:rPr>
              <w:t>11</w:t>
            </w:r>
          </w:p>
        </w:tc>
        <w:tc>
          <w:tcPr>
            <w:tcW w:w="1071" w:type="dxa"/>
          </w:tcPr>
          <w:p w14:paraId="33CFEFC4" w14:textId="456265E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SCM3</w:t>
            </w:r>
          </w:p>
        </w:tc>
        <w:tc>
          <w:tcPr>
            <w:tcW w:w="2761" w:type="dxa"/>
            <w:shd w:val="clear" w:color="auto" w:fill="FFFFFF"/>
          </w:tcPr>
          <w:p w14:paraId="6AEBC2DA"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Provision of VTE risk information at the point of discharge </w:t>
            </w:r>
          </w:p>
          <w:p w14:paraId="719F1C07" w14:textId="77777777" w:rsidR="007C2BA7" w:rsidRPr="00315CD2" w:rsidRDefault="007C2BA7" w:rsidP="007C2BA7">
            <w:pPr>
              <w:pStyle w:val="TableText1"/>
              <w:rPr>
                <w:rFonts w:asciiTheme="minorHAnsi" w:hAnsiTheme="minorHAnsi" w:cs="Arial"/>
                <w:szCs w:val="22"/>
              </w:rPr>
            </w:pPr>
          </w:p>
          <w:p w14:paraId="4B2DEE98" w14:textId="00033C0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NG 89 Rec 1.2.4</w:t>
            </w:r>
          </w:p>
        </w:tc>
        <w:tc>
          <w:tcPr>
            <w:tcW w:w="3118" w:type="dxa"/>
            <w:shd w:val="clear" w:color="auto" w:fill="FFFFFF"/>
          </w:tcPr>
          <w:p w14:paraId="17234372"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It is often incorrectly assumed that provision of information about VTE risk </w:t>
            </w:r>
            <w:r w:rsidRPr="00315CD2">
              <w:rPr>
                <w:rFonts w:asciiTheme="minorHAnsi" w:hAnsiTheme="minorHAnsi" w:cs="Arial"/>
                <w:b/>
                <w:szCs w:val="22"/>
              </w:rPr>
              <w:t>on admission</w:t>
            </w:r>
            <w:r w:rsidRPr="00315CD2">
              <w:rPr>
                <w:rFonts w:asciiTheme="minorHAnsi" w:hAnsiTheme="minorHAnsi" w:cs="Arial"/>
                <w:szCs w:val="22"/>
              </w:rPr>
              <w:t xml:space="preserve"> will be recalled by patients/carers, and covers the requirement to provide discharge information. </w:t>
            </w:r>
          </w:p>
          <w:p w14:paraId="3EDF30E6" w14:textId="77777777" w:rsidR="007C2BA7" w:rsidRPr="00315CD2" w:rsidRDefault="007C2BA7" w:rsidP="007C2BA7">
            <w:pPr>
              <w:pStyle w:val="TableText1"/>
              <w:rPr>
                <w:rFonts w:asciiTheme="minorHAnsi" w:hAnsiTheme="minorHAnsi" w:cs="Arial"/>
                <w:szCs w:val="22"/>
              </w:rPr>
            </w:pPr>
          </w:p>
          <w:p w14:paraId="1363CFF8"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Unfortunately, we still see patients returning late with hospital acquired thrombosis because they are not adequately informed of the potential risks of VTE.</w:t>
            </w:r>
          </w:p>
          <w:p w14:paraId="772E282B" w14:textId="77777777" w:rsidR="007C2BA7" w:rsidRPr="00315CD2" w:rsidRDefault="007C2BA7" w:rsidP="007C2BA7">
            <w:pPr>
              <w:pStyle w:val="TableText1"/>
              <w:rPr>
                <w:rFonts w:asciiTheme="minorHAnsi" w:hAnsiTheme="minorHAnsi" w:cs="Arial"/>
                <w:szCs w:val="22"/>
              </w:rPr>
            </w:pPr>
          </w:p>
          <w:p w14:paraId="3C27267E" w14:textId="40C7F9F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This has been a particular concern of the PPI group regarding a recent research project, NIHR127454</w:t>
            </w:r>
          </w:p>
        </w:tc>
        <w:tc>
          <w:tcPr>
            <w:tcW w:w="3686" w:type="dxa"/>
            <w:shd w:val="clear" w:color="auto" w:fill="FFFFFF"/>
          </w:tcPr>
          <w:p w14:paraId="52CDA524"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lastRenderedPageBreak/>
              <w:t xml:space="preserve">To my knowledge, there have been limited reports published on this previous QS, to evaluate compliance. Although recent evidence from NHS England would suggest hospital acquired thrombosis is reducing overall, there remain a significant number of cases. </w:t>
            </w:r>
          </w:p>
          <w:p w14:paraId="36452E32" w14:textId="77777777" w:rsidR="007C2BA7" w:rsidRPr="00315CD2" w:rsidRDefault="007C2BA7" w:rsidP="007C2BA7">
            <w:pPr>
              <w:pStyle w:val="TableText1"/>
              <w:rPr>
                <w:rFonts w:asciiTheme="minorHAnsi" w:hAnsiTheme="minorHAnsi" w:cs="Arial"/>
                <w:szCs w:val="22"/>
              </w:rPr>
            </w:pPr>
          </w:p>
          <w:p w14:paraId="1709FF05"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Late presentation runs a higher risk of death and has also been associated with increased rate of poor long term outcomes. </w:t>
            </w:r>
          </w:p>
          <w:p w14:paraId="758927E6" w14:textId="77777777" w:rsidR="007C2BA7" w:rsidRPr="00315CD2" w:rsidRDefault="007C2BA7" w:rsidP="007C2BA7">
            <w:pPr>
              <w:pStyle w:val="TableText1"/>
              <w:rPr>
                <w:rFonts w:asciiTheme="minorHAnsi" w:hAnsiTheme="minorHAnsi" w:cs="Arial"/>
                <w:szCs w:val="22"/>
              </w:rPr>
            </w:pPr>
          </w:p>
          <w:p w14:paraId="44FC917B" w14:textId="29CC8E8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 xml:space="preserve">It is essential that patients have this information and are informed how to access acute services if they suspect VTE </w:t>
            </w:r>
          </w:p>
        </w:tc>
        <w:tc>
          <w:tcPr>
            <w:tcW w:w="3474" w:type="dxa"/>
            <w:shd w:val="clear" w:color="auto" w:fill="FFFFFF"/>
          </w:tcPr>
          <w:p w14:paraId="2784A125"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lastRenderedPageBreak/>
              <w:t>Hospital acquired thrombosis BMJ editorial</w:t>
            </w:r>
          </w:p>
          <w:p w14:paraId="2626C296" w14:textId="77777777" w:rsidR="007C2BA7" w:rsidRPr="00315CD2" w:rsidRDefault="00473E39" w:rsidP="007C2BA7">
            <w:pPr>
              <w:pStyle w:val="TableText1"/>
              <w:rPr>
                <w:rFonts w:asciiTheme="minorHAnsi" w:hAnsiTheme="minorHAnsi" w:cs="Arial"/>
                <w:szCs w:val="22"/>
              </w:rPr>
            </w:pPr>
            <w:hyperlink r:id="rId91" w:history="1">
              <w:r w:rsidR="007C2BA7" w:rsidRPr="00315CD2">
                <w:rPr>
                  <w:rStyle w:val="Hyperlink"/>
                  <w:rFonts w:asciiTheme="minorHAnsi" w:hAnsiTheme="minorHAnsi" w:cs="Arial"/>
                  <w:szCs w:val="22"/>
                </w:rPr>
                <w:t>https://www.bmj.com/content/365/bmj.l4239</w:t>
              </w:r>
            </w:hyperlink>
          </w:p>
          <w:p w14:paraId="3803CC89" w14:textId="77777777" w:rsidR="007C2BA7" w:rsidRPr="00315CD2" w:rsidRDefault="007C2BA7" w:rsidP="007C2BA7">
            <w:pPr>
              <w:pStyle w:val="TableText1"/>
              <w:rPr>
                <w:rFonts w:asciiTheme="minorHAnsi" w:hAnsiTheme="minorHAnsi" w:cs="Arial"/>
                <w:szCs w:val="22"/>
              </w:rPr>
            </w:pPr>
          </w:p>
          <w:p w14:paraId="04CA67A9"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Post thrombotic syndrome related to deep vein thrombosis</w:t>
            </w:r>
          </w:p>
          <w:p w14:paraId="63F7613C" w14:textId="77777777" w:rsidR="007C2BA7" w:rsidRPr="00315CD2" w:rsidRDefault="00473E39" w:rsidP="007C2BA7">
            <w:pPr>
              <w:pStyle w:val="TableText1"/>
              <w:rPr>
                <w:rFonts w:asciiTheme="minorHAnsi" w:hAnsiTheme="minorHAnsi" w:cs="Arial"/>
                <w:szCs w:val="22"/>
              </w:rPr>
            </w:pPr>
            <w:hyperlink r:id="rId92" w:history="1">
              <w:r w:rsidR="007C2BA7" w:rsidRPr="00315CD2">
                <w:rPr>
                  <w:rStyle w:val="Hyperlink"/>
                  <w:rFonts w:asciiTheme="minorHAnsi" w:hAnsiTheme="minorHAnsi" w:cs="Arial"/>
                  <w:szCs w:val="22"/>
                </w:rPr>
                <w:t>https://jamanetwork.com/journals/jamainternalmedicine/fullarticle/216501</w:t>
              </w:r>
            </w:hyperlink>
          </w:p>
          <w:p w14:paraId="2865F021" w14:textId="77777777" w:rsidR="007C2BA7" w:rsidRPr="00315CD2" w:rsidRDefault="007C2BA7" w:rsidP="007C2BA7">
            <w:pPr>
              <w:pStyle w:val="Tabletext"/>
              <w:rPr>
                <w:rFonts w:asciiTheme="minorHAnsi" w:hAnsiTheme="minorHAnsi"/>
                <w:szCs w:val="22"/>
              </w:rPr>
            </w:pPr>
          </w:p>
        </w:tc>
      </w:tr>
      <w:tr w:rsidR="007C2BA7" w:rsidRPr="00315CD2" w14:paraId="2DCCD614" w14:textId="77777777" w:rsidTr="00E52914">
        <w:trPr>
          <w:trHeight w:val="282"/>
        </w:trPr>
        <w:tc>
          <w:tcPr>
            <w:tcW w:w="558" w:type="dxa"/>
          </w:tcPr>
          <w:p w14:paraId="4DC18232" w14:textId="131FAB8B" w:rsidR="007C2BA7" w:rsidRPr="00315CD2" w:rsidRDefault="00171590" w:rsidP="007C2BA7">
            <w:pPr>
              <w:pStyle w:val="Tabletext"/>
              <w:rPr>
                <w:rFonts w:asciiTheme="minorHAnsi" w:hAnsiTheme="minorHAnsi"/>
                <w:szCs w:val="22"/>
                <w:lang w:eastAsia="en-GB"/>
              </w:rPr>
            </w:pPr>
            <w:r>
              <w:rPr>
                <w:rFonts w:asciiTheme="minorHAnsi" w:hAnsiTheme="minorHAnsi"/>
                <w:szCs w:val="22"/>
                <w:lang w:eastAsia="en-GB"/>
              </w:rPr>
              <w:t>12</w:t>
            </w:r>
          </w:p>
        </w:tc>
        <w:tc>
          <w:tcPr>
            <w:tcW w:w="1071" w:type="dxa"/>
          </w:tcPr>
          <w:p w14:paraId="13AC9527" w14:textId="245A266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SCM5</w:t>
            </w:r>
          </w:p>
        </w:tc>
        <w:tc>
          <w:tcPr>
            <w:tcW w:w="2761" w:type="dxa"/>
          </w:tcPr>
          <w:p w14:paraId="5EE2BC9A" w14:textId="317FC43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2</w:t>
            </w:r>
          </w:p>
        </w:tc>
        <w:tc>
          <w:tcPr>
            <w:tcW w:w="3118" w:type="dxa"/>
          </w:tcPr>
          <w:p w14:paraId="3B6A4C11" w14:textId="0D981FF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Verbal and Written information discharge</w:t>
            </w:r>
          </w:p>
        </w:tc>
        <w:tc>
          <w:tcPr>
            <w:tcW w:w="3686" w:type="dxa"/>
          </w:tcPr>
          <w:p w14:paraId="77F50622" w14:textId="200E3AD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Further work to be done to minimise risk of post discharge HAT by increasing patient/ carer awareness </w:t>
            </w:r>
          </w:p>
        </w:tc>
        <w:tc>
          <w:tcPr>
            <w:tcW w:w="3474" w:type="dxa"/>
          </w:tcPr>
          <w:p w14:paraId="0DF93E04" w14:textId="77777777" w:rsidR="007C2BA7" w:rsidRPr="00315CD2" w:rsidRDefault="007C2BA7" w:rsidP="007C2BA7">
            <w:pPr>
              <w:pStyle w:val="Tabletext"/>
              <w:rPr>
                <w:rFonts w:asciiTheme="minorHAnsi" w:hAnsiTheme="minorHAnsi"/>
                <w:szCs w:val="22"/>
              </w:rPr>
            </w:pPr>
          </w:p>
        </w:tc>
      </w:tr>
      <w:tr w:rsidR="007C2BA7" w:rsidRPr="00315CD2" w14:paraId="0BF14227" w14:textId="77777777" w:rsidTr="00E52914">
        <w:trPr>
          <w:trHeight w:val="282"/>
        </w:trPr>
        <w:tc>
          <w:tcPr>
            <w:tcW w:w="558" w:type="dxa"/>
          </w:tcPr>
          <w:p w14:paraId="343DAFF7" w14:textId="24C9FB5A" w:rsidR="007C2BA7" w:rsidRPr="00315CD2" w:rsidRDefault="00171590" w:rsidP="007C2BA7">
            <w:pPr>
              <w:pStyle w:val="Tabletext"/>
              <w:rPr>
                <w:rFonts w:asciiTheme="minorHAnsi" w:hAnsiTheme="minorHAnsi"/>
                <w:szCs w:val="22"/>
                <w:lang w:eastAsia="en-GB"/>
              </w:rPr>
            </w:pPr>
            <w:r>
              <w:rPr>
                <w:rFonts w:asciiTheme="minorHAnsi" w:hAnsiTheme="minorHAnsi"/>
                <w:szCs w:val="22"/>
                <w:lang w:eastAsia="en-GB"/>
              </w:rPr>
              <w:t>13</w:t>
            </w:r>
          </w:p>
        </w:tc>
        <w:tc>
          <w:tcPr>
            <w:tcW w:w="1071" w:type="dxa"/>
          </w:tcPr>
          <w:p w14:paraId="3D9470B8" w14:textId="660697D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SCM8</w:t>
            </w:r>
          </w:p>
        </w:tc>
        <w:tc>
          <w:tcPr>
            <w:tcW w:w="2761" w:type="dxa"/>
            <w:shd w:val="clear" w:color="auto" w:fill="FFFFFF"/>
          </w:tcPr>
          <w:p w14:paraId="25FCC544"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NG89 1.2.4/5 and 8</w:t>
            </w:r>
          </w:p>
          <w:p w14:paraId="02B52275" w14:textId="6D287C3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Information given to the person at time of discharge from hospital regarding verbal and written information on DVT/PE; correct administration of thromboprophylaxis and disposal of needles and syringes safely; and notification of GPs regarding thromboprophylaxis, expected duration</w:t>
            </w:r>
          </w:p>
        </w:tc>
        <w:tc>
          <w:tcPr>
            <w:tcW w:w="3118" w:type="dxa"/>
            <w:shd w:val="clear" w:color="auto" w:fill="FFFFFF"/>
          </w:tcPr>
          <w:p w14:paraId="79F78D49" w14:textId="45326B3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Important to record discussion with person prior to discharge, ensure that contact numbers are given for reassurance and advice, and ensure thromboprophylaxis will be adhered to, and administered appropriately</w:t>
            </w:r>
          </w:p>
        </w:tc>
        <w:tc>
          <w:tcPr>
            <w:tcW w:w="3686" w:type="dxa"/>
            <w:shd w:val="clear" w:color="auto" w:fill="FFFFFF"/>
          </w:tcPr>
          <w:p w14:paraId="28F41EDC" w14:textId="3A4865B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Thromboprophylaxis has a financial cost, so important that those selected to have thromboprophylaxis receive advice to ensure adherence and understand rationale</w:t>
            </w:r>
          </w:p>
        </w:tc>
        <w:tc>
          <w:tcPr>
            <w:tcW w:w="3474" w:type="dxa"/>
          </w:tcPr>
          <w:p w14:paraId="3850B9B6" w14:textId="77777777" w:rsidR="007C2BA7" w:rsidRPr="00315CD2" w:rsidRDefault="007C2BA7" w:rsidP="007C2BA7">
            <w:pPr>
              <w:pStyle w:val="Tabletext"/>
              <w:rPr>
                <w:rFonts w:asciiTheme="minorHAnsi" w:hAnsiTheme="minorHAnsi"/>
                <w:szCs w:val="22"/>
              </w:rPr>
            </w:pPr>
          </w:p>
        </w:tc>
      </w:tr>
      <w:tr w:rsidR="007C2BA7" w:rsidRPr="00315CD2" w14:paraId="794E36BB" w14:textId="77777777" w:rsidTr="00E52914">
        <w:trPr>
          <w:trHeight w:val="282"/>
        </w:trPr>
        <w:tc>
          <w:tcPr>
            <w:tcW w:w="558" w:type="dxa"/>
          </w:tcPr>
          <w:p w14:paraId="58920FF5" w14:textId="39BE8F46" w:rsidR="007C2BA7" w:rsidRPr="00315CD2" w:rsidRDefault="00171590" w:rsidP="007C2BA7">
            <w:pPr>
              <w:pStyle w:val="Tabletext"/>
              <w:rPr>
                <w:rFonts w:asciiTheme="minorHAnsi" w:hAnsiTheme="minorHAnsi"/>
                <w:szCs w:val="22"/>
                <w:lang w:eastAsia="en-GB"/>
              </w:rPr>
            </w:pPr>
            <w:r>
              <w:rPr>
                <w:rFonts w:asciiTheme="minorHAnsi" w:hAnsiTheme="minorHAnsi"/>
                <w:szCs w:val="22"/>
                <w:lang w:eastAsia="en-GB"/>
              </w:rPr>
              <w:t>14</w:t>
            </w:r>
          </w:p>
        </w:tc>
        <w:tc>
          <w:tcPr>
            <w:tcW w:w="1071" w:type="dxa"/>
          </w:tcPr>
          <w:p w14:paraId="767B0DCE" w14:textId="0672E89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Bayer Plc</w:t>
            </w:r>
          </w:p>
        </w:tc>
        <w:tc>
          <w:tcPr>
            <w:tcW w:w="2761" w:type="dxa"/>
          </w:tcPr>
          <w:p w14:paraId="01508FF1" w14:textId="77777777" w:rsidR="007C2BA7" w:rsidRPr="00315CD2" w:rsidRDefault="007C2BA7" w:rsidP="007C2BA7">
            <w:pPr>
              <w:pStyle w:val="Paragraphnonumbers"/>
              <w:spacing w:before="120" w:after="120" w:line="240" w:lineRule="auto"/>
              <w:rPr>
                <w:rFonts w:asciiTheme="minorHAnsi" w:hAnsiTheme="minorHAnsi" w:cs="Arial"/>
                <w:sz w:val="22"/>
                <w:szCs w:val="22"/>
              </w:rPr>
            </w:pPr>
            <w:r w:rsidRPr="00315CD2">
              <w:rPr>
                <w:rFonts w:asciiTheme="minorHAnsi" w:hAnsiTheme="minorHAnsi" w:cs="Arial"/>
                <w:sz w:val="22"/>
                <w:szCs w:val="22"/>
              </w:rPr>
              <w:t>Key area for quality improvement 2</w:t>
            </w:r>
          </w:p>
          <w:p w14:paraId="0AAEC9CD" w14:textId="77777777" w:rsidR="007C2BA7" w:rsidRPr="00315CD2" w:rsidRDefault="007C2BA7" w:rsidP="007C2BA7">
            <w:pPr>
              <w:pStyle w:val="Paragraphnonumbers"/>
              <w:spacing w:before="120" w:after="120" w:line="240" w:lineRule="auto"/>
              <w:rPr>
                <w:rFonts w:asciiTheme="minorHAnsi" w:hAnsiTheme="minorHAnsi" w:cs="Arial"/>
                <w:sz w:val="22"/>
                <w:szCs w:val="22"/>
              </w:rPr>
            </w:pPr>
            <w:r w:rsidRPr="00315CD2">
              <w:rPr>
                <w:rFonts w:asciiTheme="minorHAnsi" w:hAnsiTheme="minorHAnsi"/>
                <w:sz w:val="22"/>
                <w:szCs w:val="22"/>
              </w:rPr>
              <w:t xml:space="preserve">Patients/carers should be offered verbal and written information on VTE prevention as part of the discharge process, including advice on therapy where </w:t>
            </w:r>
            <w:r w:rsidRPr="00315CD2">
              <w:rPr>
                <w:rFonts w:asciiTheme="minorHAnsi" w:hAnsiTheme="minorHAnsi"/>
                <w:sz w:val="22"/>
                <w:szCs w:val="22"/>
              </w:rPr>
              <w:lastRenderedPageBreak/>
              <w:t>appropriate and importance of adherence.</w:t>
            </w:r>
          </w:p>
          <w:p w14:paraId="69CD95F0" w14:textId="6E80684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w:t>
            </w:r>
            <w:hyperlink r:id="rId93">
              <w:r w:rsidRPr="00315CD2">
                <w:rPr>
                  <w:rStyle w:val="Hyperlink"/>
                  <w:rFonts w:asciiTheme="minorHAnsi" w:hAnsiTheme="minorHAnsi" w:cs="Arial"/>
                  <w:szCs w:val="22"/>
                </w:rPr>
                <w:t>QS3 - Quality statement 6</w:t>
              </w:r>
            </w:hyperlink>
            <w:r w:rsidRPr="00315CD2">
              <w:rPr>
                <w:rStyle w:val="Hyperlink"/>
                <w:rFonts w:asciiTheme="minorHAnsi" w:hAnsiTheme="minorHAnsi" w:cs="Arial"/>
                <w:szCs w:val="22"/>
              </w:rPr>
              <w:t xml:space="preserve"> – information for patients and carers</w:t>
            </w:r>
            <w:r w:rsidRPr="00315CD2">
              <w:rPr>
                <w:rFonts w:asciiTheme="minorHAnsi" w:hAnsiTheme="minorHAnsi" w:cs="Arial"/>
                <w:szCs w:val="22"/>
              </w:rPr>
              <w:t>]</w:t>
            </w:r>
          </w:p>
        </w:tc>
        <w:tc>
          <w:tcPr>
            <w:tcW w:w="3118" w:type="dxa"/>
          </w:tcPr>
          <w:p w14:paraId="4F2C8674" w14:textId="77777777" w:rsidR="007C2BA7" w:rsidRPr="00315CD2" w:rsidRDefault="007C2BA7" w:rsidP="007C2BA7">
            <w:pPr>
              <w:pStyle w:val="Paragraphnonumbers"/>
              <w:spacing w:before="120" w:after="120" w:line="240" w:lineRule="auto"/>
              <w:rPr>
                <w:rFonts w:asciiTheme="minorHAnsi" w:hAnsiTheme="minorHAnsi" w:cs="Arial"/>
                <w:sz w:val="22"/>
                <w:szCs w:val="22"/>
              </w:rPr>
            </w:pPr>
            <w:r w:rsidRPr="00315CD2">
              <w:rPr>
                <w:rFonts w:asciiTheme="minorHAnsi" w:hAnsiTheme="minorHAnsi" w:cs="Arial"/>
                <w:sz w:val="22"/>
                <w:szCs w:val="22"/>
              </w:rPr>
              <w:lastRenderedPageBreak/>
              <w:t>The All-Party Parliamentary Thrombosis Group Annual Survey of NHS Trusts has repeatedly highlighted patients experiencing “disjointed” and “fragmented” care after being discharged from hospital, putting them at risk of harm.</w:t>
            </w:r>
          </w:p>
          <w:p w14:paraId="0EFE0D01" w14:textId="77777777" w:rsidR="007C2BA7" w:rsidRPr="00315CD2" w:rsidRDefault="007C2BA7" w:rsidP="007C2BA7">
            <w:pPr>
              <w:pStyle w:val="Tabletext"/>
              <w:rPr>
                <w:rFonts w:asciiTheme="minorHAnsi" w:hAnsiTheme="minorHAnsi"/>
                <w:szCs w:val="22"/>
              </w:rPr>
            </w:pPr>
          </w:p>
        </w:tc>
        <w:tc>
          <w:tcPr>
            <w:tcW w:w="3686" w:type="dxa"/>
          </w:tcPr>
          <w:p w14:paraId="7A2EE388" w14:textId="77777777" w:rsidR="007C2BA7" w:rsidRPr="00315CD2" w:rsidRDefault="007C2BA7" w:rsidP="007C2BA7">
            <w:pPr>
              <w:pStyle w:val="Paragraphnonumbers"/>
              <w:spacing w:before="120" w:after="120" w:line="240" w:lineRule="auto"/>
              <w:rPr>
                <w:rFonts w:asciiTheme="minorHAnsi" w:hAnsiTheme="minorHAnsi"/>
                <w:sz w:val="22"/>
                <w:szCs w:val="22"/>
              </w:rPr>
            </w:pPr>
            <w:r w:rsidRPr="00315CD2">
              <w:rPr>
                <w:rFonts w:asciiTheme="minorHAnsi" w:hAnsiTheme="minorHAnsi"/>
                <w:sz w:val="22"/>
                <w:szCs w:val="22"/>
              </w:rPr>
              <w:lastRenderedPageBreak/>
              <w:t xml:space="preserve">This quality statement should be retained. </w:t>
            </w:r>
          </w:p>
          <w:p w14:paraId="73DBDEFA" w14:textId="77777777" w:rsidR="007C2BA7" w:rsidRPr="00315CD2" w:rsidRDefault="007C2BA7" w:rsidP="007C2BA7">
            <w:pPr>
              <w:pStyle w:val="Paragraphnonumbers"/>
              <w:spacing w:before="120" w:after="120" w:line="240" w:lineRule="auto"/>
              <w:rPr>
                <w:rFonts w:asciiTheme="minorHAnsi" w:hAnsiTheme="minorHAnsi"/>
                <w:sz w:val="22"/>
                <w:szCs w:val="22"/>
              </w:rPr>
            </w:pPr>
            <w:r w:rsidRPr="00315CD2">
              <w:rPr>
                <w:rFonts w:asciiTheme="minorHAnsi" w:hAnsiTheme="minorHAnsi"/>
                <w:sz w:val="22"/>
                <w:szCs w:val="22"/>
              </w:rPr>
              <w:t>In the most recent report from</w:t>
            </w:r>
            <w:r w:rsidRPr="00315CD2">
              <w:rPr>
                <w:rFonts w:asciiTheme="minorHAnsi" w:hAnsiTheme="minorHAnsi" w:cs="Arial"/>
                <w:sz w:val="22"/>
                <w:szCs w:val="22"/>
              </w:rPr>
              <w:t xml:space="preserve"> </w:t>
            </w:r>
            <w:r w:rsidRPr="00315CD2">
              <w:rPr>
                <w:rFonts w:asciiTheme="minorHAnsi" w:hAnsiTheme="minorHAnsi"/>
                <w:sz w:val="22"/>
                <w:szCs w:val="22"/>
              </w:rPr>
              <w:t xml:space="preserve">The All-Party Parliamentary Thrombosis Group Annual Survey of NHS Trusts, it highlighted that while the vast majority of trusts provide their own information leaflet to patients on VTE; </w:t>
            </w:r>
            <w:r w:rsidRPr="00315CD2">
              <w:rPr>
                <w:rFonts w:asciiTheme="minorHAnsi" w:hAnsiTheme="minorHAnsi"/>
                <w:sz w:val="22"/>
                <w:szCs w:val="22"/>
              </w:rPr>
              <w:lastRenderedPageBreak/>
              <w:t>less than half (48%) indicated that a documented discussion between an HCP and patient takes place at discharge regarding their ongoing management.</w:t>
            </w:r>
          </w:p>
          <w:p w14:paraId="434599A8" w14:textId="5505FF5A" w:rsidR="007C2BA7" w:rsidRPr="00315CD2" w:rsidRDefault="007C2BA7" w:rsidP="007C2BA7">
            <w:pPr>
              <w:pStyle w:val="Tabletext"/>
              <w:rPr>
                <w:rFonts w:asciiTheme="minorHAnsi" w:hAnsiTheme="minorHAnsi"/>
                <w:szCs w:val="22"/>
              </w:rPr>
            </w:pPr>
            <w:r w:rsidRPr="00315CD2">
              <w:rPr>
                <w:rFonts w:asciiTheme="minorHAnsi" w:hAnsiTheme="minorHAnsi"/>
                <w:szCs w:val="22"/>
              </w:rPr>
              <w:t>Discharge planning should be tailored to each person's needs and equip them with realistic strategies they can implement once discharged from hospital.  This should include appropriate information and advice on VTE prevention which covers prescribed therapies, duration of treatment and possible side effects.</w:t>
            </w:r>
          </w:p>
        </w:tc>
        <w:tc>
          <w:tcPr>
            <w:tcW w:w="3474" w:type="dxa"/>
          </w:tcPr>
          <w:p w14:paraId="6221F423" w14:textId="77777777" w:rsidR="007C2BA7" w:rsidRPr="00315CD2" w:rsidRDefault="007C2BA7" w:rsidP="007C2BA7">
            <w:pPr>
              <w:pStyle w:val="Paragraphnonumbers"/>
              <w:spacing w:before="120" w:after="120" w:line="240" w:lineRule="auto"/>
              <w:rPr>
                <w:rFonts w:asciiTheme="minorHAnsi" w:hAnsiTheme="minorHAnsi" w:cs="Arial"/>
                <w:sz w:val="22"/>
                <w:szCs w:val="22"/>
              </w:rPr>
            </w:pPr>
            <w:r w:rsidRPr="00315CD2">
              <w:rPr>
                <w:rFonts w:asciiTheme="minorHAnsi" w:hAnsiTheme="minorHAnsi" w:cs="Arial"/>
                <w:sz w:val="22"/>
                <w:szCs w:val="22"/>
              </w:rPr>
              <w:lastRenderedPageBreak/>
              <w:t xml:space="preserve">APPTG Annual Survey 2019: </w:t>
            </w:r>
            <w:hyperlink r:id="rId94" w:history="1">
              <w:r w:rsidRPr="00315CD2">
                <w:rPr>
                  <w:rStyle w:val="Hyperlink"/>
                  <w:rFonts w:asciiTheme="minorHAnsi" w:hAnsiTheme="minorHAnsi" w:cs="Arial"/>
                  <w:sz w:val="22"/>
                  <w:szCs w:val="22"/>
                </w:rPr>
                <w:t>https://thrombosisuk.org/downloads/APPTG%20Annual%20Review%202019%20100320.pdf</w:t>
              </w:r>
            </w:hyperlink>
          </w:p>
          <w:p w14:paraId="6024A802" w14:textId="77777777" w:rsidR="007C2BA7" w:rsidRPr="00315CD2" w:rsidRDefault="007C2BA7" w:rsidP="007C2BA7">
            <w:pPr>
              <w:pStyle w:val="Tabletext"/>
              <w:rPr>
                <w:rFonts w:asciiTheme="minorHAnsi" w:hAnsiTheme="minorHAnsi"/>
                <w:szCs w:val="22"/>
              </w:rPr>
            </w:pPr>
          </w:p>
        </w:tc>
      </w:tr>
      <w:tr w:rsidR="007C2BA7" w:rsidRPr="00315CD2" w14:paraId="40E98049" w14:textId="77777777" w:rsidTr="00E52914">
        <w:trPr>
          <w:trHeight w:val="282"/>
        </w:trPr>
        <w:tc>
          <w:tcPr>
            <w:tcW w:w="558" w:type="dxa"/>
          </w:tcPr>
          <w:p w14:paraId="1A91E639" w14:textId="39548019" w:rsidR="007C2BA7" w:rsidRPr="00315CD2" w:rsidRDefault="00171590" w:rsidP="007C2BA7">
            <w:pPr>
              <w:pStyle w:val="Tabletext"/>
              <w:rPr>
                <w:rFonts w:asciiTheme="minorHAnsi" w:hAnsiTheme="minorHAnsi"/>
                <w:szCs w:val="22"/>
                <w:lang w:eastAsia="en-GB"/>
              </w:rPr>
            </w:pPr>
            <w:r>
              <w:rPr>
                <w:rFonts w:asciiTheme="minorHAnsi" w:hAnsiTheme="minorHAnsi"/>
                <w:szCs w:val="22"/>
                <w:lang w:eastAsia="en-GB"/>
              </w:rPr>
              <w:t>15</w:t>
            </w:r>
          </w:p>
        </w:tc>
        <w:tc>
          <w:tcPr>
            <w:tcW w:w="1071" w:type="dxa"/>
          </w:tcPr>
          <w:p w14:paraId="6A39D2C6" w14:textId="4B9FD7C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Thrombosis UK</w:t>
            </w:r>
          </w:p>
        </w:tc>
        <w:tc>
          <w:tcPr>
            <w:tcW w:w="2761" w:type="dxa"/>
          </w:tcPr>
          <w:p w14:paraId="4757ED5E" w14:textId="4E24D65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5</w:t>
            </w:r>
          </w:p>
        </w:tc>
        <w:tc>
          <w:tcPr>
            <w:tcW w:w="3118" w:type="dxa"/>
          </w:tcPr>
          <w:p w14:paraId="763E94AC"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Information &amp; communication with all patients:</w:t>
            </w:r>
          </w:p>
          <w:p w14:paraId="59DA93FA"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 xml:space="preserve">while being investigated </w:t>
            </w:r>
          </w:p>
          <w:p w14:paraId="316BC3A6"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 xml:space="preserve">on diagnosis </w:t>
            </w:r>
          </w:p>
          <w:p w14:paraId="1339F728" w14:textId="0E3D8B61" w:rsidR="007C2BA7" w:rsidRPr="00315CD2" w:rsidRDefault="007C2BA7" w:rsidP="007C2BA7">
            <w:pPr>
              <w:pStyle w:val="Tabletext"/>
              <w:rPr>
                <w:rFonts w:asciiTheme="minorHAnsi" w:hAnsiTheme="minorHAnsi"/>
                <w:szCs w:val="22"/>
              </w:rPr>
            </w:pPr>
            <w:r w:rsidRPr="00315CD2">
              <w:rPr>
                <w:rFonts w:asciiTheme="minorHAnsi" w:hAnsiTheme="minorHAnsi" w:cs="Calibri"/>
                <w:szCs w:val="22"/>
              </w:rPr>
              <w:t>post discharge</w:t>
            </w:r>
          </w:p>
        </w:tc>
        <w:tc>
          <w:tcPr>
            <w:tcW w:w="3686" w:type="dxa"/>
          </w:tcPr>
          <w:p w14:paraId="6A18B412"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Too often little or no information and as a result struggles to understand (i) tests for diagnosis (ii) medication (iii) what to expect post discharge during recovery (iv) future management and risk factors/ changes in life eg pregnancy, they need to be aware of and discuss with an HCP.</w:t>
            </w:r>
          </w:p>
          <w:p w14:paraId="31CB825D" w14:textId="50C0FA58" w:rsidR="007C2BA7" w:rsidRPr="00315CD2" w:rsidRDefault="007C2BA7" w:rsidP="007C2BA7">
            <w:pPr>
              <w:pStyle w:val="Tabletext"/>
              <w:rPr>
                <w:rFonts w:asciiTheme="minorHAnsi" w:hAnsiTheme="minorHAnsi"/>
                <w:szCs w:val="22"/>
              </w:rPr>
            </w:pPr>
            <w:r w:rsidRPr="00315CD2">
              <w:rPr>
                <w:rFonts w:asciiTheme="minorHAnsi" w:hAnsiTheme="minorHAnsi" w:cs="Calibri"/>
                <w:szCs w:val="22"/>
              </w:rPr>
              <w:t xml:space="preserve">Few patients are given a contact name or number should any queries arise post-discharge, as more patients are prescribed DOAC therapy, there is less opportunity to have follow-up opportunities to raise queries, worries </w:t>
            </w:r>
            <w:r w:rsidRPr="00315CD2">
              <w:rPr>
                <w:rFonts w:asciiTheme="minorHAnsi" w:hAnsiTheme="minorHAnsi" w:cs="Calibri"/>
                <w:szCs w:val="22"/>
              </w:rPr>
              <w:lastRenderedPageBreak/>
              <w:t>and uncertainties with an informed point of care HCP.</w:t>
            </w:r>
          </w:p>
        </w:tc>
        <w:tc>
          <w:tcPr>
            <w:tcW w:w="3474" w:type="dxa"/>
          </w:tcPr>
          <w:p w14:paraId="1650D9B6"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lastRenderedPageBreak/>
              <w:t>Information needs to include:</w:t>
            </w:r>
          </w:p>
          <w:p w14:paraId="36BCE97E" w14:textId="77777777" w:rsidR="007C2BA7" w:rsidRPr="00315CD2" w:rsidRDefault="007C2BA7" w:rsidP="007C2BA7">
            <w:pPr>
              <w:pStyle w:val="Paragraphnonumbers"/>
              <w:numPr>
                <w:ilvl w:val="0"/>
                <w:numId w:val="12"/>
              </w:numPr>
              <w:rPr>
                <w:rFonts w:asciiTheme="minorHAnsi" w:hAnsiTheme="minorHAnsi" w:cs="Calibri"/>
                <w:sz w:val="22"/>
                <w:szCs w:val="22"/>
              </w:rPr>
            </w:pPr>
            <w:r w:rsidRPr="00315CD2">
              <w:rPr>
                <w:rFonts w:asciiTheme="minorHAnsi" w:hAnsiTheme="minorHAnsi" w:cs="Calibri"/>
                <w:sz w:val="22"/>
                <w:szCs w:val="22"/>
              </w:rPr>
              <w:t>Information about tests likely to be carried out</w:t>
            </w:r>
          </w:p>
          <w:p w14:paraId="08566077" w14:textId="77777777" w:rsidR="007C2BA7" w:rsidRPr="00315CD2" w:rsidRDefault="007C2BA7" w:rsidP="007C2BA7">
            <w:pPr>
              <w:pStyle w:val="Paragraphnonumbers"/>
              <w:numPr>
                <w:ilvl w:val="0"/>
                <w:numId w:val="12"/>
              </w:numPr>
              <w:rPr>
                <w:rFonts w:asciiTheme="minorHAnsi" w:hAnsiTheme="minorHAnsi" w:cs="Calibri"/>
                <w:sz w:val="22"/>
                <w:szCs w:val="22"/>
              </w:rPr>
            </w:pPr>
            <w:r w:rsidRPr="00315CD2">
              <w:rPr>
                <w:rFonts w:asciiTheme="minorHAnsi" w:hAnsiTheme="minorHAnsi" w:cs="Calibri"/>
                <w:sz w:val="22"/>
                <w:szCs w:val="22"/>
              </w:rPr>
              <w:t xml:space="preserve">Signs and symptoms of a VTE </w:t>
            </w:r>
          </w:p>
          <w:p w14:paraId="74BF78F6" w14:textId="77777777" w:rsidR="007C2BA7" w:rsidRPr="00315CD2" w:rsidRDefault="007C2BA7" w:rsidP="007C2BA7">
            <w:pPr>
              <w:pStyle w:val="Paragraphnonumbers"/>
              <w:numPr>
                <w:ilvl w:val="0"/>
                <w:numId w:val="12"/>
              </w:numPr>
              <w:rPr>
                <w:rFonts w:asciiTheme="minorHAnsi" w:hAnsiTheme="minorHAnsi" w:cs="Calibri"/>
                <w:sz w:val="22"/>
                <w:szCs w:val="22"/>
              </w:rPr>
            </w:pPr>
            <w:r w:rsidRPr="00315CD2">
              <w:rPr>
                <w:rFonts w:asciiTheme="minorHAnsi" w:hAnsiTheme="minorHAnsi" w:cs="Calibri"/>
                <w:sz w:val="22"/>
                <w:szCs w:val="22"/>
              </w:rPr>
              <w:t>Therapy treatment options, how they work and need to be taken. Expected length of time the patient will need to take the medication</w:t>
            </w:r>
          </w:p>
          <w:p w14:paraId="70907D5C" w14:textId="77777777" w:rsidR="007C2BA7" w:rsidRPr="00315CD2" w:rsidRDefault="007C2BA7" w:rsidP="007C2BA7">
            <w:pPr>
              <w:pStyle w:val="Paragraphnonumbers"/>
              <w:numPr>
                <w:ilvl w:val="0"/>
                <w:numId w:val="12"/>
              </w:numPr>
              <w:rPr>
                <w:rFonts w:asciiTheme="minorHAnsi" w:hAnsiTheme="minorHAnsi" w:cs="Calibri"/>
                <w:sz w:val="22"/>
                <w:szCs w:val="22"/>
              </w:rPr>
            </w:pPr>
            <w:r w:rsidRPr="00315CD2">
              <w:rPr>
                <w:rFonts w:asciiTheme="minorHAnsi" w:hAnsiTheme="minorHAnsi" w:cs="Calibri"/>
                <w:sz w:val="22"/>
                <w:szCs w:val="22"/>
              </w:rPr>
              <w:lastRenderedPageBreak/>
              <w:t>Risk factors and how some can be reduced by the individual</w:t>
            </w:r>
          </w:p>
          <w:p w14:paraId="72262655" w14:textId="77777777" w:rsidR="007C2BA7" w:rsidRPr="00315CD2" w:rsidRDefault="007C2BA7" w:rsidP="007C2BA7">
            <w:pPr>
              <w:pStyle w:val="Paragraphnonumbers"/>
              <w:numPr>
                <w:ilvl w:val="0"/>
                <w:numId w:val="12"/>
              </w:numPr>
              <w:rPr>
                <w:rFonts w:asciiTheme="minorHAnsi" w:hAnsiTheme="minorHAnsi" w:cs="Calibri"/>
                <w:sz w:val="22"/>
                <w:szCs w:val="22"/>
              </w:rPr>
            </w:pPr>
            <w:r w:rsidRPr="00315CD2">
              <w:rPr>
                <w:rFonts w:asciiTheme="minorHAnsi" w:hAnsiTheme="minorHAnsi" w:cs="Calibri"/>
                <w:sz w:val="22"/>
                <w:szCs w:val="22"/>
              </w:rPr>
              <w:t>Call backs and follow up you should receive an indication of time frame</w:t>
            </w:r>
          </w:p>
          <w:p w14:paraId="3C998B15" w14:textId="77777777" w:rsidR="007C2BA7" w:rsidRPr="00315CD2" w:rsidRDefault="007C2BA7" w:rsidP="007C2BA7">
            <w:pPr>
              <w:pStyle w:val="Paragraphnonumbers"/>
              <w:numPr>
                <w:ilvl w:val="0"/>
                <w:numId w:val="12"/>
              </w:numPr>
              <w:rPr>
                <w:rFonts w:asciiTheme="minorHAnsi" w:hAnsiTheme="minorHAnsi" w:cs="Calibri"/>
                <w:sz w:val="22"/>
                <w:szCs w:val="22"/>
              </w:rPr>
            </w:pPr>
            <w:r w:rsidRPr="00315CD2">
              <w:rPr>
                <w:rFonts w:asciiTheme="minorHAnsi" w:hAnsiTheme="minorHAnsi" w:cs="Calibri"/>
                <w:sz w:val="22"/>
                <w:szCs w:val="22"/>
              </w:rPr>
              <w:t>Contact details of where an individual can seek further information including counselling services</w:t>
            </w:r>
          </w:p>
          <w:p w14:paraId="69797660"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Please see short summary of accounts in Point 1 to illustrate frequent lack of information.</w:t>
            </w:r>
          </w:p>
          <w:p w14:paraId="73BF213B"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Please see short films made with VTE survivors of the impact of VTE and the need for standard provision for investigation, sharing information and follow-up communication.</w:t>
            </w:r>
          </w:p>
          <w:p w14:paraId="066AC4E8" w14:textId="77777777" w:rsidR="007C2BA7" w:rsidRPr="00315CD2" w:rsidRDefault="007C2BA7" w:rsidP="007C2BA7">
            <w:pPr>
              <w:rPr>
                <w:rFonts w:asciiTheme="minorHAnsi" w:hAnsiTheme="minorHAnsi" w:cs="Calibri"/>
                <w:sz w:val="22"/>
                <w:szCs w:val="22"/>
              </w:rPr>
            </w:pPr>
            <w:r w:rsidRPr="00315CD2">
              <w:rPr>
                <w:rFonts w:asciiTheme="minorHAnsi" w:hAnsiTheme="minorHAnsi" w:cs="Calibri"/>
                <w:sz w:val="22"/>
                <w:szCs w:val="22"/>
              </w:rPr>
              <w:t xml:space="preserve">Ref: </w:t>
            </w:r>
            <w:hyperlink r:id="rId95" w:history="1">
              <w:r w:rsidRPr="00315CD2">
                <w:rPr>
                  <w:rStyle w:val="Hyperlink"/>
                  <w:rFonts w:asciiTheme="minorHAnsi" w:hAnsiTheme="minorHAnsi" w:cs="Calibri"/>
                  <w:sz w:val="22"/>
                  <w:szCs w:val="22"/>
                </w:rPr>
                <w:t>https://thrombosisuk.org/media-patient-films.php</w:t>
              </w:r>
            </w:hyperlink>
          </w:p>
          <w:p w14:paraId="6754F28A" w14:textId="77777777" w:rsidR="007C2BA7" w:rsidRPr="00315CD2" w:rsidRDefault="007C2BA7" w:rsidP="007C2BA7">
            <w:pPr>
              <w:pStyle w:val="Tabletext"/>
              <w:rPr>
                <w:rFonts w:asciiTheme="minorHAnsi" w:hAnsiTheme="minorHAnsi"/>
                <w:szCs w:val="22"/>
              </w:rPr>
            </w:pPr>
          </w:p>
        </w:tc>
      </w:tr>
      <w:tr w:rsidR="007C2BA7" w:rsidRPr="00315CD2" w14:paraId="5D5F832D" w14:textId="77777777" w:rsidTr="00E52914">
        <w:trPr>
          <w:trHeight w:val="282"/>
        </w:trPr>
        <w:tc>
          <w:tcPr>
            <w:tcW w:w="558" w:type="dxa"/>
          </w:tcPr>
          <w:p w14:paraId="0E376211" w14:textId="37F8B77F" w:rsidR="007C2BA7" w:rsidRPr="00315CD2" w:rsidRDefault="00171590" w:rsidP="007C2BA7">
            <w:pPr>
              <w:pStyle w:val="Tabletext"/>
              <w:rPr>
                <w:rFonts w:asciiTheme="minorHAnsi" w:hAnsiTheme="minorHAnsi"/>
                <w:szCs w:val="22"/>
                <w:lang w:eastAsia="en-GB"/>
              </w:rPr>
            </w:pPr>
            <w:r>
              <w:rPr>
                <w:rFonts w:asciiTheme="minorHAnsi" w:hAnsiTheme="minorHAnsi"/>
                <w:szCs w:val="22"/>
                <w:lang w:eastAsia="en-GB"/>
              </w:rPr>
              <w:lastRenderedPageBreak/>
              <w:t>16</w:t>
            </w:r>
          </w:p>
        </w:tc>
        <w:tc>
          <w:tcPr>
            <w:tcW w:w="1071" w:type="dxa"/>
          </w:tcPr>
          <w:p w14:paraId="7DB9CD23" w14:textId="49109E1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SCM4</w:t>
            </w:r>
          </w:p>
        </w:tc>
        <w:tc>
          <w:tcPr>
            <w:tcW w:w="2761" w:type="dxa"/>
            <w:shd w:val="clear" w:color="auto" w:fill="FFFFFF"/>
          </w:tcPr>
          <w:p w14:paraId="1D8EDAB0" w14:textId="77777777" w:rsidR="007C2BA7" w:rsidRPr="00315CD2" w:rsidRDefault="007C2BA7" w:rsidP="007C2BA7">
            <w:pPr>
              <w:pStyle w:val="TableText1"/>
              <w:rPr>
                <w:rFonts w:asciiTheme="minorHAnsi" w:hAnsiTheme="minorHAnsi" w:cs="Arial"/>
                <w:b/>
                <w:szCs w:val="22"/>
              </w:rPr>
            </w:pPr>
            <w:r w:rsidRPr="00315CD2">
              <w:rPr>
                <w:rFonts w:asciiTheme="minorHAnsi" w:hAnsiTheme="minorHAnsi" w:cs="Arial"/>
                <w:b/>
                <w:szCs w:val="22"/>
              </w:rPr>
              <w:t>Key area for quality improvement 2</w:t>
            </w:r>
          </w:p>
          <w:p w14:paraId="5BFFA2F0" w14:textId="0C685A1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Information for patients and carers available at all points in the pathway and suitable for use in hospital and community settings including in the regulated care sector. Develop the widespread use of an ‘anticoagulant alert ‘card </w:t>
            </w:r>
          </w:p>
        </w:tc>
        <w:tc>
          <w:tcPr>
            <w:tcW w:w="3118" w:type="dxa"/>
            <w:shd w:val="clear" w:color="auto" w:fill="FFFFFF"/>
          </w:tcPr>
          <w:p w14:paraId="791AA853" w14:textId="1A55217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Clarity and consistency of information is key to building awareness of the condition and where possible prevention,</w:t>
            </w:r>
          </w:p>
        </w:tc>
        <w:tc>
          <w:tcPr>
            <w:tcW w:w="3686" w:type="dxa"/>
            <w:shd w:val="clear" w:color="auto" w:fill="FFFFFF"/>
          </w:tcPr>
          <w:p w14:paraId="4EF278EC"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Patients who are discharged from a clinical setting will be comprehensively supported to maintain progress in ongoing management of the condition particularly those cohorts of patients whose lifestyle predisposes them to VTE.</w:t>
            </w:r>
          </w:p>
          <w:p w14:paraId="0EB881E0" w14:textId="4715DEA2" w:rsidR="007C2BA7" w:rsidRPr="00315CD2" w:rsidRDefault="007C2BA7" w:rsidP="007C2BA7">
            <w:pPr>
              <w:pStyle w:val="Tabletext"/>
              <w:rPr>
                <w:rFonts w:asciiTheme="minorHAnsi" w:hAnsiTheme="minorHAnsi"/>
                <w:szCs w:val="22"/>
              </w:rPr>
            </w:pPr>
            <w:bookmarkStart w:id="121" w:name="_Hlk50356668"/>
            <w:r w:rsidRPr="00315CD2">
              <w:rPr>
                <w:rFonts w:asciiTheme="minorHAnsi" w:hAnsiTheme="minorHAnsi" w:cs="Arial"/>
                <w:szCs w:val="22"/>
              </w:rPr>
              <w:t>Use of an alert card would increase public awareness of incidence and highlight attendant risks in emergency circumstances</w:t>
            </w:r>
            <w:bookmarkEnd w:id="121"/>
          </w:p>
        </w:tc>
        <w:tc>
          <w:tcPr>
            <w:tcW w:w="3474" w:type="dxa"/>
            <w:shd w:val="clear" w:color="auto" w:fill="FFFFFF"/>
          </w:tcPr>
          <w:p w14:paraId="2D0AD215"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Please refer  NG 158</w:t>
            </w:r>
          </w:p>
          <w:p w14:paraId="132A3251"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Recommendation 1.5</w:t>
            </w:r>
          </w:p>
          <w:p w14:paraId="54D91A3A"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And NG 89 </w:t>
            </w:r>
          </w:p>
          <w:p w14:paraId="575B1C74" w14:textId="27D003E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Recommendation 1.2</w:t>
            </w:r>
          </w:p>
        </w:tc>
      </w:tr>
      <w:tr w:rsidR="007C2BA7" w:rsidRPr="00315CD2" w14:paraId="42D3ADFF" w14:textId="77777777" w:rsidTr="00E52914">
        <w:trPr>
          <w:trHeight w:val="282"/>
        </w:trPr>
        <w:tc>
          <w:tcPr>
            <w:tcW w:w="558" w:type="dxa"/>
          </w:tcPr>
          <w:p w14:paraId="51D1BF9B" w14:textId="18771BB5" w:rsidR="007C2BA7" w:rsidRPr="00315CD2" w:rsidRDefault="00171590" w:rsidP="007C2BA7">
            <w:pPr>
              <w:pStyle w:val="Tabletext"/>
              <w:rPr>
                <w:rFonts w:asciiTheme="minorHAnsi" w:hAnsiTheme="minorHAnsi"/>
                <w:szCs w:val="22"/>
                <w:lang w:eastAsia="en-GB"/>
              </w:rPr>
            </w:pPr>
            <w:r>
              <w:rPr>
                <w:rFonts w:asciiTheme="minorHAnsi" w:hAnsiTheme="minorHAnsi"/>
                <w:szCs w:val="22"/>
                <w:lang w:eastAsia="en-GB"/>
              </w:rPr>
              <w:t>17</w:t>
            </w:r>
          </w:p>
        </w:tc>
        <w:tc>
          <w:tcPr>
            <w:tcW w:w="1071" w:type="dxa"/>
          </w:tcPr>
          <w:p w14:paraId="76B0775F" w14:textId="72319C4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Bayer Plc</w:t>
            </w:r>
          </w:p>
        </w:tc>
        <w:tc>
          <w:tcPr>
            <w:tcW w:w="2761" w:type="dxa"/>
          </w:tcPr>
          <w:p w14:paraId="74459CA5" w14:textId="77777777" w:rsidR="007C2BA7" w:rsidRPr="00315CD2" w:rsidRDefault="007C2BA7" w:rsidP="007C2BA7">
            <w:pPr>
              <w:pStyle w:val="Paragraphnonumbers"/>
              <w:spacing w:before="120" w:after="120" w:line="240" w:lineRule="auto"/>
              <w:rPr>
                <w:rFonts w:asciiTheme="minorHAnsi" w:hAnsiTheme="minorHAnsi" w:cs="Arial"/>
                <w:sz w:val="22"/>
                <w:szCs w:val="22"/>
              </w:rPr>
            </w:pPr>
            <w:r w:rsidRPr="00315CD2">
              <w:rPr>
                <w:rFonts w:asciiTheme="minorHAnsi" w:hAnsiTheme="minorHAnsi" w:cs="Arial"/>
                <w:sz w:val="22"/>
                <w:szCs w:val="22"/>
              </w:rPr>
              <w:t>Key area for quality improvement 1</w:t>
            </w:r>
          </w:p>
          <w:p w14:paraId="2D975729" w14:textId="77777777" w:rsidR="007C2BA7" w:rsidRPr="00315CD2" w:rsidRDefault="007C2BA7" w:rsidP="007C2BA7">
            <w:pPr>
              <w:pStyle w:val="Paragraphnonumbers"/>
              <w:spacing w:before="120" w:after="120" w:line="240" w:lineRule="auto"/>
              <w:rPr>
                <w:rFonts w:asciiTheme="minorHAnsi" w:hAnsiTheme="minorHAnsi"/>
                <w:sz w:val="22"/>
                <w:szCs w:val="22"/>
              </w:rPr>
            </w:pPr>
            <w:r w:rsidRPr="00315CD2">
              <w:rPr>
                <w:rFonts w:asciiTheme="minorHAnsi" w:hAnsiTheme="minorHAnsi"/>
                <w:sz w:val="22"/>
                <w:szCs w:val="22"/>
              </w:rPr>
              <w:t xml:space="preserve">Patients should be routinely offered extended (post hospital) VTE prophylaxis as clinically appropriate in accordance with </w:t>
            </w:r>
            <w:hyperlink r:id="rId96" w:history="1">
              <w:r w:rsidRPr="00315CD2">
                <w:rPr>
                  <w:rStyle w:val="Hyperlink"/>
                  <w:rFonts w:asciiTheme="minorHAnsi" w:hAnsiTheme="minorHAnsi"/>
                  <w:sz w:val="22"/>
                  <w:szCs w:val="22"/>
                </w:rPr>
                <w:t>NICE clinical guidelines</w:t>
              </w:r>
            </w:hyperlink>
            <w:r w:rsidRPr="00315CD2">
              <w:rPr>
                <w:rFonts w:asciiTheme="minorHAnsi" w:hAnsiTheme="minorHAnsi"/>
                <w:sz w:val="22"/>
                <w:szCs w:val="22"/>
              </w:rPr>
              <w:t>.</w:t>
            </w:r>
          </w:p>
          <w:p w14:paraId="6AE05E16" w14:textId="21F7850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[QS3 – Quality statement 7 - </w:t>
            </w:r>
            <w:hyperlink r:id="rId97" w:history="1">
              <w:r w:rsidRPr="00315CD2">
                <w:rPr>
                  <w:rStyle w:val="Hyperlink"/>
                  <w:rFonts w:asciiTheme="minorHAnsi" w:hAnsiTheme="minorHAnsi" w:cs="Arial"/>
                  <w:szCs w:val="22"/>
                </w:rPr>
                <w:t>Extended VTE prophylaxis</w:t>
              </w:r>
            </w:hyperlink>
            <w:r w:rsidRPr="00315CD2">
              <w:rPr>
                <w:rFonts w:asciiTheme="minorHAnsi" w:hAnsiTheme="minorHAnsi" w:cs="Arial"/>
                <w:szCs w:val="22"/>
              </w:rPr>
              <w:t>]</w:t>
            </w:r>
          </w:p>
        </w:tc>
        <w:tc>
          <w:tcPr>
            <w:tcW w:w="3118" w:type="dxa"/>
          </w:tcPr>
          <w:p w14:paraId="3C866575" w14:textId="2FB836AA" w:rsidR="007C2BA7" w:rsidRPr="00315CD2" w:rsidRDefault="007C2BA7" w:rsidP="007C2BA7">
            <w:pPr>
              <w:pStyle w:val="Tabletext"/>
              <w:rPr>
                <w:rFonts w:asciiTheme="minorHAnsi" w:hAnsiTheme="minorHAnsi"/>
                <w:szCs w:val="22"/>
              </w:rPr>
            </w:pPr>
            <w:r w:rsidRPr="00315CD2">
              <w:rPr>
                <w:rFonts w:asciiTheme="minorHAnsi" w:hAnsiTheme="minorHAnsi"/>
                <w:szCs w:val="22"/>
              </w:rPr>
              <w:t>In 2018/19, 57 deaths recorded from venous thromboembolism (VTE) related events within 90 days post discharge from hospital per 100,000 adult hospital admissions.</w:t>
            </w:r>
          </w:p>
        </w:tc>
        <w:tc>
          <w:tcPr>
            <w:tcW w:w="3686" w:type="dxa"/>
          </w:tcPr>
          <w:p w14:paraId="0AEF0FE6" w14:textId="4915E3A9" w:rsidR="007C2BA7" w:rsidRPr="00315CD2" w:rsidRDefault="007C2BA7" w:rsidP="007C2BA7">
            <w:pPr>
              <w:pStyle w:val="Tabletext"/>
              <w:rPr>
                <w:rFonts w:asciiTheme="minorHAnsi" w:hAnsiTheme="minorHAnsi"/>
                <w:szCs w:val="22"/>
              </w:rPr>
            </w:pPr>
            <w:r w:rsidRPr="00315CD2">
              <w:rPr>
                <w:rFonts w:asciiTheme="minorHAnsi" w:hAnsiTheme="minorHAnsi"/>
                <w:szCs w:val="22"/>
              </w:rPr>
              <w:t xml:space="preserve">A key patient safety priority for hospitals and an indicator within the NHS Outcomes Framework. </w:t>
            </w:r>
            <w:r w:rsidRPr="00315CD2">
              <w:rPr>
                <w:rFonts w:asciiTheme="minorHAnsi" w:hAnsiTheme="minorHAnsi" w:cs="Arial"/>
                <w:szCs w:val="22"/>
              </w:rPr>
              <w:t>By linking deaths from VTE to a recent hospitalisation, the indicator captures where an omission of prophylaxis or errors in diagnosis or treatment are likely to contribute to the outcome.</w:t>
            </w:r>
          </w:p>
        </w:tc>
        <w:tc>
          <w:tcPr>
            <w:tcW w:w="3474" w:type="dxa"/>
          </w:tcPr>
          <w:p w14:paraId="67CBA44E" w14:textId="77777777" w:rsidR="007C2BA7" w:rsidRPr="00315CD2" w:rsidRDefault="007C2BA7" w:rsidP="007C2BA7">
            <w:pPr>
              <w:pStyle w:val="Paragraphnonumbers"/>
              <w:spacing w:before="120" w:after="120" w:line="240" w:lineRule="auto"/>
              <w:rPr>
                <w:rFonts w:asciiTheme="minorHAnsi" w:hAnsiTheme="minorHAnsi"/>
                <w:sz w:val="22"/>
                <w:szCs w:val="22"/>
              </w:rPr>
            </w:pPr>
            <w:r w:rsidRPr="00315CD2">
              <w:rPr>
                <w:rFonts w:asciiTheme="minorHAnsi" w:hAnsiTheme="minorHAnsi"/>
                <w:sz w:val="22"/>
                <w:szCs w:val="22"/>
              </w:rPr>
              <w:t>See NHS Outcomes Framework indicator 5.1, Deaths from venous thromboembolism (VTE) related events within 90 days post discharge from hospital.</w:t>
            </w:r>
          </w:p>
          <w:p w14:paraId="0A6B4358" w14:textId="77777777" w:rsidR="007C2BA7" w:rsidRPr="00315CD2" w:rsidRDefault="00473E39" w:rsidP="007C2BA7">
            <w:pPr>
              <w:pStyle w:val="Paragraphnonumbers"/>
              <w:spacing w:before="120" w:after="120" w:line="240" w:lineRule="auto"/>
              <w:rPr>
                <w:rStyle w:val="Hyperlink"/>
                <w:rFonts w:asciiTheme="minorHAnsi" w:hAnsiTheme="minorHAnsi" w:cs="Arial"/>
                <w:sz w:val="22"/>
                <w:szCs w:val="22"/>
              </w:rPr>
            </w:pPr>
            <w:hyperlink r:id="rId98" w:history="1">
              <w:r w:rsidR="007C2BA7" w:rsidRPr="00315CD2">
                <w:rPr>
                  <w:rStyle w:val="Hyperlink"/>
                  <w:rFonts w:asciiTheme="minorHAnsi" w:hAnsiTheme="minorHAnsi" w:cs="Arial"/>
                  <w:sz w:val="22"/>
                  <w:szCs w:val="22"/>
                </w:rPr>
                <w:t>https://digital.nhs.uk/data-and-information/publications/statistical/nhs-outcomes-framework/may-2020/domain-5-treating-and-caring-for-people-in-a-safe-environment-and-protecting-them-from-avoidable-harm-nof/5-1-deaths-from-venous-thromboembolism-vte-related-events-within-90-days-post-discharge-from-hospital</w:t>
              </w:r>
            </w:hyperlink>
          </w:p>
          <w:p w14:paraId="1041AE98" w14:textId="500335E0" w:rsidR="007C2BA7" w:rsidRPr="00315CD2" w:rsidRDefault="00473E39" w:rsidP="007C2BA7">
            <w:pPr>
              <w:pStyle w:val="Tabletext"/>
              <w:rPr>
                <w:rFonts w:asciiTheme="minorHAnsi" w:hAnsiTheme="minorHAnsi"/>
                <w:szCs w:val="22"/>
              </w:rPr>
            </w:pPr>
            <w:hyperlink r:id="rId99" w:history="1">
              <w:r w:rsidR="007C2BA7" w:rsidRPr="00315CD2">
                <w:rPr>
                  <w:rStyle w:val="Hyperlink"/>
                  <w:rFonts w:asciiTheme="minorHAnsi" w:hAnsiTheme="minorHAnsi" w:cs="Arial"/>
                  <w:szCs w:val="22"/>
                </w:rPr>
                <w:t>https://files.digital.nhs.uk/E3/5E254F/NHSOF_5.1_I00675_Q.pdf</w:t>
              </w:r>
            </w:hyperlink>
          </w:p>
        </w:tc>
      </w:tr>
      <w:tr w:rsidR="00315CD2" w:rsidRPr="00315CD2" w14:paraId="7AB83743" w14:textId="77777777" w:rsidTr="00E52914">
        <w:trPr>
          <w:trHeight w:val="282"/>
        </w:trPr>
        <w:tc>
          <w:tcPr>
            <w:tcW w:w="558" w:type="dxa"/>
          </w:tcPr>
          <w:p w14:paraId="34A28A8D" w14:textId="7798DDE4" w:rsidR="007C2BA7" w:rsidRPr="00315CD2" w:rsidRDefault="00171590" w:rsidP="007C2BA7">
            <w:pPr>
              <w:pStyle w:val="Tabletext"/>
              <w:rPr>
                <w:rFonts w:asciiTheme="minorHAnsi" w:hAnsiTheme="minorHAnsi"/>
                <w:szCs w:val="22"/>
                <w:lang w:eastAsia="en-GB"/>
              </w:rPr>
            </w:pPr>
            <w:r>
              <w:rPr>
                <w:rFonts w:asciiTheme="minorHAnsi" w:hAnsiTheme="minorHAnsi"/>
                <w:szCs w:val="22"/>
                <w:lang w:eastAsia="en-GB"/>
              </w:rPr>
              <w:lastRenderedPageBreak/>
              <w:t>18</w:t>
            </w:r>
          </w:p>
        </w:tc>
        <w:tc>
          <w:tcPr>
            <w:tcW w:w="1071" w:type="dxa"/>
          </w:tcPr>
          <w:p w14:paraId="5AAA157E" w14:textId="2636A0F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SCM3</w:t>
            </w:r>
          </w:p>
        </w:tc>
        <w:tc>
          <w:tcPr>
            <w:tcW w:w="2761" w:type="dxa"/>
          </w:tcPr>
          <w:p w14:paraId="18CA5F0E"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Thromboprophylaxis in lower limb immobilisation </w:t>
            </w:r>
          </w:p>
          <w:p w14:paraId="26AD5376" w14:textId="77777777" w:rsidR="007C2BA7" w:rsidRPr="00315CD2" w:rsidRDefault="007C2BA7" w:rsidP="007C2BA7">
            <w:pPr>
              <w:pStyle w:val="TableText1"/>
              <w:rPr>
                <w:rFonts w:asciiTheme="minorHAnsi" w:hAnsiTheme="minorHAnsi" w:cs="Arial"/>
                <w:szCs w:val="22"/>
              </w:rPr>
            </w:pPr>
          </w:p>
          <w:p w14:paraId="4A076D8C" w14:textId="6267924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NG89 Rec 1.11.1</w:t>
            </w:r>
          </w:p>
        </w:tc>
        <w:tc>
          <w:tcPr>
            <w:tcW w:w="3118" w:type="dxa"/>
            <w:shd w:val="clear" w:color="auto" w:fill="FFFFFF"/>
          </w:tcPr>
          <w:p w14:paraId="3A62D740" w14:textId="77777777" w:rsidR="007C2BA7" w:rsidRPr="00315CD2" w:rsidRDefault="007C2BA7" w:rsidP="007C2BA7">
            <w:pPr>
              <w:pStyle w:val="TableText1"/>
              <w:rPr>
                <w:rFonts w:asciiTheme="minorHAnsi" w:hAnsiTheme="minorHAnsi" w:cs="Arial"/>
                <w:szCs w:val="22"/>
              </w:rPr>
            </w:pPr>
            <w:bookmarkStart w:id="122" w:name="_Hlk50355270"/>
            <w:r w:rsidRPr="00315CD2">
              <w:rPr>
                <w:rFonts w:asciiTheme="minorHAnsi" w:hAnsiTheme="minorHAnsi" w:cs="Arial"/>
                <w:szCs w:val="22"/>
              </w:rPr>
              <w:t xml:space="preserve">There is now good evidence to support the clinical and cost effectiveness of thromboprophylaxis for people with lower limb immobilisation. </w:t>
            </w:r>
          </w:p>
          <w:p w14:paraId="7CE893F4" w14:textId="77777777" w:rsidR="007C2BA7" w:rsidRPr="00315CD2" w:rsidRDefault="007C2BA7" w:rsidP="007C2BA7">
            <w:pPr>
              <w:pStyle w:val="TableText1"/>
              <w:rPr>
                <w:rFonts w:asciiTheme="minorHAnsi" w:hAnsiTheme="minorHAnsi" w:cs="Arial"/>
                <w:szCs w:val="22"/>
              </w:rPr>
            </w:pPr>
          </w:p>
          <w:p w14:paraId="1A02677B" w14:textId="0180F27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Although there has been an improvement in risk assessment nationally, there are still areas of variation in practice</w:t>
            </w:r>
            <w:bookmarkEnd w:id="122"/>
          </w:p>
        </w:tc>
        <w:tc>
          <w:tcPr>
            <w:tcW w:w="3686" w:type="dxa"/>
            <w:shd w:val="clear" w:color="auto" w:fill="FFFFFF"/>
          </w:tcPr>
          <w:p w14:paraId="4AE1F487"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The most recent RCEM report suggests that in 2019, &lt;75% of patients underwent risk assessment prior to discharge and &lt;50% were provided with an information leaflet detailing the risks of VTE following immobilisation. </w:t>
            </w:r>
          </w:p>
          <w:p w14:paraId="596EB536" w14:textId="77777777" w:rsidR="007C2BA7" w:rsidRPr="00315CD2" w:rsidRDefault="007C2BA7" w:rsidP="007C2BA7">
            <w:pPr>
              <w:pStyle w:val="TableText1"/>
              <w:rPr>
                <w:rFonts w:asciiTheme="minorHAnsi" w:hAnsiTheme="minorHAnsi" w:cs="Arial"/>
                <w:szCs w:val="22"/>
              </w:rPr>
            </w:pPr>
          </w:p>
          <w:p w14:paraId="6948A86E" w14:textId="072AB99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This is not good enough and there is clearly still much work to be done. </w:t>
            </w:r>
          </w:p>
        </w:tc>
        <w:tc>
          <w:tcPr>
            <w:tcW w:w="3474" w:type="dxa"/>
            <w:shd w:val="clear" w:color="auto" w:fill="FFFFFF"/>
          </w:tcPr>
          <w:p w14:paraId="0D1E17E5"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National RCEM report </w:t>
            </w:r>
            <w:hyperlink r:id="rId100" w:history="1">
              <w:r w:rsidRPr="00315CD2">
                <w:rPr>
                  <w:rStyle w:val="Hyperlink"/>
                  <w:rFonts w:asciiTheme="minorHAnsi" w:hAnsiTheme="minorHAnsi" w:cs="Arial"/>
                  <w:szCs w:val="22"/>
                </w:rPr>
                <w:t>https://www.rcem.ac.uk/docs/QI%20+%20Clinical%20Audit/RCEM%20VTE%20national%20report%20(July%202019).pdf</w:t>
              </w:r>
            </w:hyperlink>
          </w:p>
          <w:p w14:paraId="56875759" w14:textId="77777777" w:rsidR="007C2BA7" w:rsidRPr="00315CD2" w:rsidRDefault="007C2BA7" w:rsidP="007C2BA7">
            <w:pPr>
              <w:pStyle w:val="TableText1"/>
              <w:rPr>
                <w:rFonts w:asciiTheme="minorHAnsi" w:hAnsiTheme="minorHAnsi" w:cs="Arial"/>
                <w:szCs w:val="22"/>
              </w:rPr>
            </w:pPr>
          </w:p>
          <w:p w14:paraId="212EE326"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TiLLI Study report</w:t>
            </w:r>
          </w:p>
          <w:p w14:paraId="1ECCFF46" w14:textId="77777777" w:rsidR="007C2BA7" w:rsidRPr="00315CD2" w:rsidRDefault="00473E39" w:rsidP="007C2BA7">
            <w:pPr>
              <w:pStyle w:val="TableText1"/>
              <w:rPr>
                <w:rFonts w:asciiTheme="minorHAnsi" w:hAnsiTheme="minorHAnsi" w:cs="Arial"/>
                <w:szCs w:val="22"/>
              </w:rPr>
            </w:pPr>
            <w:hyperlink r:id="rId101" w:history="1">
              <w:r w:rsidR="007C2BA7" w:rsidRPr="00315CD2">
                <w:rPr>
                  <w:rStyle w:val="Hyperlink"/>
                  <w:rFonts w:asciiTheme="minorHAnsi" w:hAnsiTheme="minorHAnsi" w:cs="Arial"/>
                  <w:szCs w:val="22"/>
                </w:rPr>
                <w:t>https://fundingawards.nihr.ac.uk/award/15/187/06</w:t>
              </w:r>
            </w:hyperlink>
          </w:p>
          <w:p w14:paraId="3969EB6F" w14:textId="77777777" w:rsidR="007C2BA7" w:rsidRPr="00315CD2" w:rsidRDefault="007C2BA7" w:rsidP="007C2BA7">
            <w:pPr>
              <w:pStyle w:val="TableText1"/>
              <w:rPr>
                <w:rFonts w:asciiTheme="minorHAnsi" w:hAnsiTheme="minorHAnsi" w:cs="Arial"/>
                <w:szCs w:val="22"/>
              </w:rPr>
            </w:pPr>
          </w:p>
          <w:p w14:paraId="2F79D459"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EMJ overview</w:t>
            </w:r>
          </w:p>
          <w:p w14:paraId="6FD417B2" w14:textId="77777777" w:rsidR="007C2BA7" w:rsidRPr="00315CD2" w:rsidRDefault="00473E39" w:rsidP="007C2BA7">
            <w:pPr>
              <w:pStyle w:val="TableText1"/>
              <w:rPr>
                <w:rFonts w:asciiTheme="minorHAnsi" w:hAnsiTheme="minorHAnsi" w:cs="Arial"/>
                <w:szCs w:val="22"/>
              </w:rPr>
            </w:pPr>
            <w:hyperlink r:id="rId102" w:history="1">
              <w:r w:rsidR="007C2BA7" w:rsidRPr="00315CD2">
                <w:rPr>
                  <w:rStyle w:val="Hyperlink"/>
                  <w:rFonts w:asciiTheme="minorHAnsi" w:hAnsiTheme="minorHAnsi" w:cs="Arial"/>
                  <w:szCs w:val="22"/>
                </w:rPr>
                <w:t>https://emj.bmj.com/content/37/1/36</w:t>
              </w:r>
            </w:hyperlink>
          </w:p>
          <w:p w14:paraId="2372807E" w14:textId="77777777" w:rsidR="007C2BA7" w:rsidRPr="00315CD2" w:rsidRDefault="007C2BA7" w:rsidP="007C2BA7">
            <w:pPr>
              <w:pStyle w:val="Tabletext"/>
              <w:rPr>
                <w:rFonts w:asciiTheme="minorHAnsi" w:hAnsiTheme="minorHAnsi"/>
                <w:szCs w:val="22"/>
              </w:rPr>
            </w:pPr>
          </w:p>
        </w:tc>
      </w:tr>
      <w:tr w:rsidR="007C2BA7" w:rsidRPr="00315CD2" w14:paraId="5424DEDA" w14:textId="77777777" w:rsidTr="00E52914">
        <w:trPr>
          <w:trHeight w:val="282"/>
        </w:trPr>
        <w:tc>
          <w:tcPr>
            <w:tcW w:w="558" w:type="dxa"/>
          </w:tcPr>
          <w:p w14:paraId="182B54C4" w14:textId="2F82CA8A" w:rsidR="007C2BA7" w:rsidRPr="00315CD2" w:rsidRDefault="00171590" w:rsidP="007C2BA7">
            <w:pPr>
              <w:pStyle w:val="Tabletext"/>
              <w:rPr>
                <w:rFonts w:asciiTheme="minorHAnsi" w:hAnsiTheme="minorHAnsi"/>
                <w:szCs w:val="22"/>
                <w:lang w:eastAsia="en-GB"/>
              </w:rPr>
            </w:pPr>
            <w:r>
              <w:rPr>
                <w:rFonts w:asciiTheme="minorHAnsi" w:hAnsiTheme="minorHAnsi"/>
                <w:szCs w:val="22"/>
                <w:lang w:eastAsia="en-GB"/>
              </w:rPr>
              <w:t>19</w:t>
            </w:r>
          </w:p>
        </w:tc>
        <w:tc>
          <w:tcPr>
            <w:tcW w:w="1071" w:type="dxa"/>
          </w:tcPr>
          <w:p w14:paraId="515F9AE0" w14:textId="369DFEC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SCM9</w:t>
            </w:r>
          </w:p>
        </w:tc>
        <w:tc>
          <w:tcPr>
            <w:tcW w:w="2761" w:type="dxa"/>
            <w:shd w:val="clear" w:color="auto" w:fill="FFFFFF"/>
          </w:tcPr>
          <w:p w14:paraId="5BC55BA4" w14:textId="6644D11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1</w:t>
            </w:r>
          </w:p>
        </w:tc>
        <w:tc>
          <w:tcPr>
            <w:tcW w:w="3118" w:type="dxa"/>
            <w:shd w:val="clear" w:color="auto" w:fill="FFFFFF"/>
          </w:tcPr>
          <w:p w14:paraId="3D597B5E" w14:textId="79175325" w:rsidR="007C2BA7" w:rsidRPr="00315CD2" w:rsidRDefault="007C2BA7" w:rsidP="007C2BA7">
            <w:pPr>
              <w:pStyle w:val="Tabletext"/>
              <w:rPr>
                <w:rFonts w:asciiTheme="minorHAnsi" w:hAnsiTheme="minorHAnsi"/>
                <w:szCs w:val="22"/>
              </w:rPr>
            </w:pPr>
            <w:bookmarkStart w:id="123" w:name="_Hlk50355310"/>
            <w:r w:rsidRPr="00315CD2">
              <w:rPr>
                <w:rFonts w:asciiTheme="minorHAnsi" w:hAnsiTheme="minorHAnsi" w:cs="Arial"/>
                <w:szCs w:val="22"/>
              </w:rPr>
              <w:t xml:space="preserve">Initial management of many patients with fractures begins in ED whilst definitive assessment and treatment is put in place in outpatient clinic and day surgery environments. </w:t>
            </w:r>
            <w:bookmarkEnd w:id="123"/>
          </w:p>
        </w:tc>
        <w:tc>
          <w:tcPr>
            <w:tcW w:w="3686" w:type="dxa"/>
            <w:shd w:val="clear" w:color="auto" w:fill="FFFFFF"/>
          </w:tcPr>
          <w:p w14:paraId="0EDDBE30" w14:textId="77777777" w:rsidR="007C2BA7" w:rsidRPr="00315CD2" w:rsidRDefault="007C2BA7" w:rsidP="007C2BA7">
            <w:pPr>
              <w:pStyle w:val="TableText1"/>
              <w:rPr>
                <w:rFonts w:asciiTheme="minorHAnsi" w:hAnsiTheme="minorHAnsi" w:cs="Arial"/>
                <w:szCs w:val="22"/>
              </w:rPr>
            </w:pPr>
            <w:bookmarkStart w:id="124" w:name="_Hlk50355350"/>
            <w:r w:rsidRPr="00315CD2">
              <w:rPr>
                <w:rFonts w:asciiTheme="minorHAnsi" w:hAnsiTheme="minorHAnsi" w:cs="Arial"/>
                <w:szCs w:val="22"/>
              </w:rPr>
              <w:t>Often risk assessment VTE prophylaxis is not considered or prescribed at the initial ED presentation and patients return home. There is then a delay in the risk assessment and appropriate prophylaxis until the orthopaedic teams review the patients in clinic.</w:t>
            </w:r>
          </w:p>
          <w:bookmarkEnd w:id="124"/>
          <w:p w14:paraId="2CDEA85B" w14:textId="77777777" w:rsidR="007C2BA7" w:rsidRPr="00315CD2" w:rsidRDefault="007C2BA7" w:rsidP="007C2BA7">
            <w:pPr>
              <w:pStyle w:val="Tabletext"/>
              <w:rPr>
                <w:rFonts w:asciiTheme="minorHAnsi" w:hAnsiTheme="minorHAnsi"/>
                <w:szCs w:val="22"/>
              </w:rPr>
            </w:pPr>
          </w:p>
        </w:tc>
        <w:tc>
          <w:tcPr>
            <w:tcW w:w="3474" w:type="dxa"/>
            <w:shd w:val="clear" w:color="auto" w:fill="FFFFFF"/>
          </w:tcPr>
          <w:p w14:paraId="74ED716A" w14:textId="0743347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Guidance is in place for patients with lower limb immobilisation in the CG.</w:t>
            </w:r>
          </w:p>
        </w:tc>
      </w:tr>
      <w:tr w:rsidR="007C2BA7" w:rsidRPr="00315CD2" w14:paraId="0809F226" w14:textId="77777777" w:rsidTr="00C156BC">
        <w:trPr>
          <w:trHeight w:val="282"/>
        </w:trPr>
        <w:tc>
          <w:tcPr>
            <w:tcW w:w="14668" w:type="dxa"/>
            <w:gridSpan w:val="6"/>
          </w:tcPr>
          <w:p w14:paraId="3D3DD465" w14:textId="7907B4EA" w:rsidR="007C2BA7" w:rsidRPr="00307973" w:rsidRDefault="00307973" w:rsidP="007C2BA7">
            <w:pPr>
              <w:pStyle w:val="Tabletext"/>
              <w:rPr>
                <w:rFonts w:asciiTheme="minorHAnsi" w:hAnsiTheme="minorHAnsi"/>
                <w:b/>
                <w:bCs/>
                <w:szCs w:val="22"/>
              </w:rPr>
            </w:pPr>
            <w:r w:rsidRPr="00307973">
              <w:rPr>
                <w:rFonts w:asciiTheme="minorHAnsi" w:hAnsiTheme="minorHAnsi"/>
                <w:b/>
                <w:bCs/>
                <w:szCs w:val="22"/>
                <w:lang w:eastAsia="en-GB"/>
              </w:rPr>
              <w:t>Diagnosis and initial management</w:t>
            </w:r>
          </w:p>
        </w:tc>
      </w:tr>
      <w:tr w:rsidR="007C2BA7" w:rsidRPr="00315CD2" w14:paraId="0C538D5B" w14:textId="77777777" w:rsidTr="00E52914">
        <w:trPr>
          <w:trHeight w:val="282"/>
        </w:trPr>
        <w:tc>
          <w:tcPr>
            <w:tcW w:w="558" w:type="dxa"/>
          </w:tcPr>
          <w:p w14:paraId="1F6DF87E" w14:textId="091AD4FA"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t>20</w:t>
            </w:r>
          </w:p>
        </w:tc>
        <w:tc>
          <w:tcPr>
            <w:tcW w:w="1071" w:type="dxa"/>
          </w:tcPr>
          <w:p w14:paraId="58E2B112" w14:textId="6148967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SCM6</w:t>
            </w:r>
          </w:p>
        </w:tc>
        <w:tc>
          <w:tcPr>
            <w:tcW w:w="2761" w:type="dxa"/>
          </w:tcPr>
          <w:p w14:paraId="0BAFDB54" w14:textId="38C111A6" w:rsidR="007C2BA7" w:rsidRPr="00315CD2" w:rsidRDefault="007C2BA7" w:rsidP="007C2BA7">
            <w:pPr>
              <w:pStyle w:val="Tabletext"/>
              <w:rPr>
                <w:rFonts w:asciiTheme="minorHAnsi" w:hAnsiTheme="minorHAnsi"/>
                <w:szCs w:val="22"/>
              </w:rPr>
            </w:pPr>
            <w:bookmarkStart w:id="125" w:name="_Hlk49527955"/>
            <w:r w:rsidRPr="00315CD2">
              <w:rPr>
                <w:rFonts w:asciiTheme="minorHAnsi" w:hAnsiTheme="minorHAnsi" w:cs="Arial"/>
                <w:szCs w:val="22"/>
              </w:rPr>
              <w:t>Availability of diagnostic tests 24/7 for all patients</w:t>
            </w:r>
            <w:bookmarkEnd w:id="125"/>
          </w:p>
        </w:tc>
        <w:tc>
          <w:tcPr>
            <w:tcW w:w="3118" w:type="dxa"/>
          </w:tcPr>
          <w:p w14:paraId="747DEC8B" w14:textId="61CECC8B" w:rsidR="007C2BA7" w:rsidRPr="00315CD2" w:rsidRDefault="007C2BA7" w:rsidP="007C2BA7">
            <w:pPr>
              <w:pStyle w:val="Tabletext"/>
              <w:rPr>
                <w:rFonts w:asciiTheme="minorHAnsi" w:hAnsiTheme="minorHAnsi"/>
                <w:szCs w:val="22"/>
              </w:rPr>
            </w:pPr>
            <w:bookmarkStart w:id="126" w:name="_Hlk49527990"/>
            <w:r w:rsidRPr="00315CD2">
              <w:rPr>
                <w:rFonts w:asciiTheme="minorHAnsi" w:hAnsiTheme="minorHAnsi" w:cs="Arial"/>
                <w:szCs w:val="22"/>
              </w:rPr>
              <w:t>Ability to provide US diagnosis for DVT not always available quickly  (CTPA is not a problem) – means delay in treatment</w:t>
            </w:r>
            <w:bookmarkEnd w:id="126"/>
          </w:p>
        </w:tc>
        <w:tc>
          <w:tcPr>
            <w:tcW w:w="3686" w:type="dxa"/>
          </w:tcPr>
          <w:p w14:paraId="1DE89832" w14:textId="5589D60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Units have provided rotas to support this – so is possible</w:t>
            </w:r>
          </w:p>
        </w:tc>
        <w:tc>
          <w:tcPr>
            <w:tcW w:w="3474" w:type="dxa"/>
          </w:tcPr>
          <w:p w14:paraId="7F2367D7" w14:textId="23E482BE" w:rsidR="007C2BA7" w:rsidRPr="00315CD2" w:rsidRDefault="007C2BA7" w:rsidP="007C2BA7">
            <w:pPr>
              <w:pStyle w:val="Tabletext"/>
              <w:rPr>
                <w:rFonts w:asciiTheme="minorHAnsi" w:hAnsiTheme="minorHAnsi"/>
                <w:szCs w:val="22"/>
              </w:rPr>
            </w:pPr>
            <w:bookmarkStart w:id="127" w:name="_Hlk49847697"/>
            <w:r w:rsidRPr="00315CD2">
              <w:rPr>
                <w:rFonts w:asciiTheme="minorHAnsi" w:hAnsiTheme="minorHAnsi" w:cs="Arial"/>
                <w:szCs w:val="22"/>
              </w:rPr>
              <w:t>Availability of diagnostic tests 24/7 for all patients</w:t>
            </w:r>
            <w:bookmarkEnd w:id="127"/>
          </w:p>
        </w:tc>
      </w:tr>
      <w:tr w:rsidR="007C2BA7" w:rsidRPr="00315CD2" w14:paraId="70FF2580" w14:textId="77777777" w:rsidTr="00E52914">
        <w:trPr>
          <w:trHeight w:val="282"/>
        </w:trPr>
        <w:tc>
          <w:tcPr>
            <w:tcW w:w="558" w:type="dxa"/>
          </w:tcPr>
          <w:p w14:paraId="574981C4" w14:textId="25903DEF"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t>21</w:t>
            </w:r>
          </w:p>
        </w:tc>
        <w:tc>
          <w:tcPr>
            <w:tcW w:w="1071" w:type="dxa"/>
          </w:tcPr>
          <w:p w14:paraId="3A041764" w14:textId="10786F5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Clinical Leaders of Thrombosis</w:t>
            </w:r>
          </w:p>
        </w:tc>
        <w:tc>
          <w:tcPr>
            <w:tcW w:w="2761" w:type="dxa"/>
          </w:tcPr>
          <w:p w14:paraId="77543EE9" w14:textId="77777777" w:rsidR="007C2BA7" w:rsidRPr="00315CD2" w:rsidRDefault="007C2BA7" w:rsidP="007C2BA7">
            <w:pPr>
              <w:pStyle w:val="Paragraphnonumbers"/>
              <w:spacing w:after="120"/>
              <w:rPr>
                <w:rFonts w:asciiTheme="minorHAnsi" w:hAnsiTheme="minorHAnsi" w:cs="Arial"/>
                <w:sz w:val="22"/>
                <w:szCs w:val="22"/>
              </w:rPr>
            </w:pPr>
            <w:r w:rsidRPr="00315CD2">
              <w:rPr>
                <w:rFonts w:asciiTheme="minorHAnsi" w:hAnsiTheme="minorHAnsi" w:cs="Arial"/>
                <w:sz w:val="22"/>
                <w:szCs w:val="22"/>
              </w:rPr>
              <w:t>Key area for quality improvement 2</w:t>
            </w:r>
          </w:p>
          <w:p w14:paraId="75FE5678" w14:textId="77777777" w:rsidR="007C2BA7" w:rsidRPr="00315CD2" w:rsidRDefault="007C2BA7" w:rsidP="007C2BA7">
            <w:pPr>
              <w:pStyle w:val="Paragraphnonumbers"/>
              <w:spacing w:after="120"/>
              <w:rPr>
                <w:rFonts w:asciiTheme="minorHAnsi" w:hAnsiTheme="minorHAnsi" w:cs="Arial"/>
                <w:sz w:val="22"/>
                <w:szCs w:val="22"/>
              </w:rPr>
            </w:pPr>
          </w:p>
          <w:p w14:paraId="4A023357" w14:textId="3948341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Time scale for Doppler scanning for suspected DVT</w:t>
            </w:r>
          </w:p>
        </w:tc>
        <w:tc>
          <w:tcPr>
            <w:tcW w:w="3118" w:type="dxa"/>
          </w:tcPr>
          <w:p w14:paraId="51786C8B" w14:textId="2C4D8F6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The guidelines recommend that an ultrasound scan should be performed with a result within 24 hours and if not available within 4 hours then interim therapeutic anticoagulation. Many hospitals across the country do not offer 7 day ultrasound scanning and instead start treatment awaiting the scan when this can be carried out.</w:t>
            </w:r>
          </w:p>
        </w:tc>
        <w:tc>
          <w:tcPr>
            <w:tcW w:w="3686" w:type="dxa"/>
          </w:tcPr>
          <w:p w14:paraId="13E8E578" w14:textId="0084FA3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From an audit across the country of some 25 hospital around two thirds did not scan at weekends and so were not able to meet the NICE guideline. Some further guidance on what to do when scanning is not available within 24 hours would be useful or scan next working day as the advice </w:t>
            </w:r>
          </w:p>
        </w:tc>
        <w:tc>
          <w:tcPr>
            <w:tcW w:w="3474" w:type="dxa"/>
          </w:tcPr>
          <w:p w14:paraId="08805712"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There is no specific study looking at this but some hospital guides are shown below</w:t>
            </w:r>
          </w:p>
          <w:p w14:paraId="3E98F268" w14:textId="77777777" w:rsidR="007C2BA7" w:rsidRPr="00315CD2" w:rsidRDefault="00473E39" w:rsidP="007C2BA7">
            <w:pPr>
              <w:pStyle w:val="Paragraphnonumbers"/>
              <w:rPr>
                <w:rFonts w:asciiTheme="minorHAnsi" w:hAnsiTheme="minorHAnsi" w:cs="Arial"/>
                <w:sz w:val="22"/>
                <w:szCs w:val="22"/>
              </w:rPr>
            </w:pPr>
            <w:hyperlink r:id="rId103" w:history="1">
              <w:r w:rsidR="007C2BA7" w:rsidRPr="00315CD2">
                <w:rPr>
                  <w:rFonts w:asciiTheme="minorHAnsi" w:hAnsiTheme="minorHAnsi"/>
                  <w:color w:val="0000FF"/>
                  <w:sz w:val="22"/>
                  <w:szCs w:val="22"/>
                  <w:u w:val="single"/>
                </w:rPr>
                <w:t>https://www.kingstonhospital.nhs.uk/media/92030/DVT-Lower-Limb-Pathway-.pdf</w:t>
              </w:r>
            </w:hyperlink>
          </w:p>
          <w:p w14:paraId="0C984CD9" w14:textId="77777777" w:rsidR="007C2BA7" w:rsidRPr="00315CD2" w:rsidRDefault="00473E39" w:rsidP="007C2BA7">
            <w:pPr>
              <w:pStyle w:val="Paragraphnonumbers"/>
              <w:rPr>
                <w:rFonts w:asciiTheme="minorHAnsi" w:hAnsiTheme="minorHAnsi"/>
                <w:sz w:val="22"/>
                <w:szCs w:val="22"/>
              </w:rPr>
            </w:pPr>
            <w:hyperlink r:id="rId104" w:history="1">
              <w:r w:rsidR="007C2BA7" w:rsidRPr="00315CD2">
                <w:rPr>
                  <w:rFonts w:asciiTheme="minorHAnsi" w:hAnsiTheme="minorHAnsi"/>
                  <w:color w:val="0000FF"/>
                  <w:sz w:val="22"/>
                  <w:szCs w:val="22"/>
                  <w:u w:val="single"/>
                </w:rPr>
                <w:t>https://www.harrogateandruraldistrictccg.nhs.uk/data/uploads/liam/test/hard_dvt-pathway.pdf</w:t>
              </w:r>
            </w:hyperlink>
          </w:p>
          <w:p w14:paraId="68B7DF51" w14:textId="49C8E085" w:rsidR="007C2BA7" w:rsidRPr="00315CD2" w:rsidRDefault="00473E39" w:rsidP="007C2BA7">
            <w:pPr>
              <w:pStyle w:val="Tabletext"/>
              <w:rPr>
                <w:rFonts w:asciiTheme="minorHAnsi" w:hAnsiTheme="minorHAnsi"/>
                <w:szCs w:val="22"/>
              </w:rPr>
            </w:pPr>
            <w:hyperlink r:id="rId105" w:history="1">
              <w:r w:rsidR="007C2BA7" w:rsidRPr="00315CD2">
                <w:rPr>
                  <w:rFonts w:asciiTheme="minorHAnsi" w:hAnsiTheme="minorHAnsi"/>
                  <w:color w:val="0000FF"/>
                  <w:szCs w:val="22"/>
                  <w:u w:val="single"/>
                </w:rPr>
                <w:t>https://www.wwl.nhs.uk/Library/All_New_PI_Docs/VTE/VTE%20002%20DVT%2011.21%20v2.pdf</w:t>
              </w:r>
            </w:hyperlink>
          </w:p>
        </w:tc>
      </w:tr>
      <w:tr w:rsidR="007C2BA7" w:rsidRPr="00315CD2" w14:paraId="0F893D29" w14:textId="77777777" w:rsidTr="00E52914">
        <w:trPr>
          <w:trHeight w:val="282"/>
        </w:trPr>
        <w:tc>
          <w:tcPr>
            <w:tcW w:w="558" w:type="dxa"/>
          </w:tcPr>
          <w:p w14:paraId="164A00E6" w14:textId="49E0133D"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lastRenderedPageBreak/>
              <w:t>22</w:t>
            </w:r>
          </w:p>
        </w:tc>
        <w:tc>
          <w:tcPr>
            <w:tcW w:w="1071" w:type="dxa"/>
          </w:tcPr>
          <w:p w14:paraId="301124E3" w14:textId="3A5A374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SCM7</w:t>
            </w:r>
          </w:p>
        </w:tc>
        <w:tc>
          <w:tcPr>
            <w:tcW w:w="2761" w:type="dxa"/>
            <w:shd w:val="clear" w:color="auto" w:fill="FFFFFF"/>
          </w:tcPr>
          <w:p w14:paraId="3207FE15" w14:textId="77777777" w:rsidR="007C2BA7" w:rsidRPr="00315CD2" w:rsidRDefault="007C2BA7" w:rsidP="007C2BA7">
            <w:pPr>
              <w:pStyle w:val="TableText1"/>
              <w:rPr>
                <w:rFonts w:asciiTheme="minorHAnsi" w:hAnsiTheme="minorHAnsi" w:cs="Arial"/>
                <w:b/>
                <w:szCs w:val="22"/>
              </w:rPr>
            </w:pPr>
            <w:r w:rsidRPr="00315CD2">
              <w:rPr>
                <w:rFonts w:asciiTheme="minorHAnsi" w:hAnsiTheme="minorHAnsi" w:cs="Arial"/>
                <w:b/>
                <w:szCs w:val="22"/>
              </w:rPr>
              <w:t>Key area for quality improvement 3:</w:t>
            </w:r>
          </w:p>
          <w:p w14:paraId="77AB2A31" w14:textId="77777777" w:rsidR="007C2BA7" w:rsidRPr="00315CD2" w:rsidRDefault="007C2BA7" w:rsidP="007C2BA7">
            <w:pPr>
              <w:pStyle w:val="TableText1"/>
              <w:rPr>
                <w:rFonts w:asciiTheme="minorHAnsi" w:hAnsiTheme="minorHAnsi" w:cs="Arial"/>
                <w:szCs w:val="22"/>
              </w:rPr>
            </w:pPr>
          </w:p>
          <w:p w14:paraId="1CC0EE2F" w14:textId="7C7E8D5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People with suspected deep vein thrombosis have all diagnostic investigations completed within 24 hours of first clinical suspicion.  </w:t>
            </w:r>
          </w:p>
        </w:tc>
        <w:tc>
          <w:tcPr>
            <w:tcW w:w="3118" w:type="dxa"/>
            <w:shd w:val="clear" w:color="auto" w:fill="FFFFFF"/>
          </w:tcPr>
          <w:p w14:paraId="1E01200B"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It is important to ensure that diagnostic investigations are completed within 24 hours so that:</w:t>
            </w:r>
          </w:p>
          <w:p w14:paraId="2C370CF4"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 Treatment can be initiated promptly if the diagnosis is confirmed </w:t>
            </w:r>
          </w:p>
          <w:p w14:paraId="56F8C701"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To avoid dissolution of thrombus with interim anticoagulation resulting in a false negative investigations</w:t>
            </w:r>
          </w:p>
          <w:p w14:paraId="20F74D74"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 To avoid unnecessary repeat doses of anticoagulants if the diagnosis is excluded for patient safety, given the high risk nature of anticoagulants. </w:t>
            </w:r>
          </w:p>
          <w:p w14:paraId="4A6317AF"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 </w:t>
            </w:r>
          </w:p>
          <w:p w14:paraId="307E531F" w14:textId="77777777" w:rsidR="007C2BA7" w:rsidRPr="00315CD2" w:rsidRDefault="007C2BA7" w:rsidP="007C2BA7">
            <w:pPr>
              <w:pStyle w:val="Tabletext"/>
              <w:rPr>
                <w:rFonts w:asciiTheme="minorHAnsi" w:hAnsiTheme="minorHAnsi"/>
                <w:szCs w:val="22"/>
              </w:rPr>
            </w:pPr>
          </w:p>
        </w:tc>
        <w:tc>
          <w:tcPr>
            <w:tcW w:w="3686" w:type="dxa"/>
            <w:shd w:val="clear" w:color="auto" w:fill="FFFFFF"/>
          </w:tcPr>
          <w:p w14:paraId="5690656C"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2018/19: The average reported time from first clinical suspicion of VTE to diagnosis was 29.8hours.  </w:t>
            </w:r>
          </w:p>
          <w:p w14:paraId="7947A220" w14:textId="77777777" w:rsidR="007C2BA7" w:rsidRPr="00315CD2" w:rsidRDefault="007C2BA7" w:rsidP="007C2BA7">
            <w:pPr>
              <w:pStyle w:val="Tabletext"/>
              <w:rPr>
                <w:rFonts w:asciiTheme="minorHAnsi" w:hAnsiTheme="minorHAnsi"/>
                <w:szCs w:val="22"/>
              </w:rPr>
            </w:pPr>
          </w:p>
        </w:tc>
        <w:tc>
          <w:tcPr>
            <w:tcW w:w="3474" w:type="dxa"/>
            <w:shd w:val="clear" w:color="auto" w:fill="FFFFFF"/>
          </w:tcPr>
          <w:p w14:paraId="7C8FB9B2"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The All-Party Parliamentary Thrombosis Group (2019) </w:t>
            </w:r>
            <w:hyperlink r:id="rId106" w:history="1">
              <w:r w:rsidRPr="00315CD2">
                <w:rPr>
                  <w:rStyle w:val="Hyperlink"/>
                  <w:rFonts w:asciiTheme="minorHAnsi" w:hAnsiTheme="minorHAnsi" w:cs="Arial"/>
                  <w:szCs w:val="22"/>
                </w:rPr>
                <w:t>https://thrombosisuk.org/downloads/APPTG%20Annual%20Review%202019%20100320.pdf</w:t>
              </w:r>
            </w:hyperlink>
          </w:p>
          <w:p w14:paraId="4C23ABF9" w14:textId="77777777" w:rsidR="007C2BA7" w:rsidRPr="00315CD2" w:rsidRDefault="007C2BA7" w:rsidP="007C2BA7">
            <w:pPr>
              <w:pStyle w:val="Tabletext"/>
              <w:rPr>
                <w:rFonts w:asciiTheme="minorHAnsi" w:hAnsiTheme="minorHAnsi"/>
                <w:szCs w:val="22"/>
              </w:rPr>
            </w:pPr>
          </w:p>
        </w:tc>
      </w:tr>
      <w:tr w:rsidR="007C2BA7" w:rsidRPr="00315CD2" w14:paraId="0735ED9D" w14:textId="77777777" w:rsidTr="00E52914">
        <w:trPr>
          <w:trHeight w:val="282"/>
        </w:trPr>
        <w:tc>
          <w:tcPr>
            <w:tcW w:w="558" w:type="dxa"/>
          </w:tcPr>
          <w:p w14:paraId="21DE9983" w14:textId="1EFA485E"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t>23</w:t>
            </w:r>
          </w:p>
        </w:tc>
        <w:tc>
          <w:tcPr>
            <w:tcW w:w="1071" w:type="dxa"/>
          </w:tcPr>
          <w:p w14:paraId="73B3FFCB" w14:textId="30D3DD3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Thrombosis UK</w:t>
            </w:r>
          </w:p>
        </w:tc>
        <w:tc>
          <w:tcPr>
            <w:tcW w:w="2761" w:type="dxa"/>
          </w:tcPr>
          <w:p w14:paraId="5B68FA57" w14:textId="4ADA9B6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2</w:t>
            </w:r>
          </w:p>
        </w:tc>
        <w:tc>
          <w:tcPr>
            <w:tcW w:w="3118" w:type="dxa"/>
          </w:tcPr>
          <w:p w14:paraId="6558D583" w14:textId="3F8904D4" w:rsidR="007C2BA7" w:rsidRPr="00315CD2" w:rsidRDefault="007C2BA7" w:rsidP="007C2BA7">
            <w:pPr>
              <w:pStyle w:val="Tabletext"/>
              <w:rPr>
                <w:rFonts w:asciiTheme="minorHAnsi" w:hAnsiTheme="minorHAnsi"/>
                <w:szCs w:val="22"/>
              </w:rPr>
            </w:pPr>
            <w:r w:rsidRPr="00315CD2">
              <w:rPr>
                <w:rFonts w:asciiTheme="minorHAnsi" w:hAnsiTheme="minorHAnsi" w:cs="Calibri"/>
                <w:szCs w:val="22"/>
              </w:rPr>
              <w:t>Timely access to a scan</w:t>
            </w:r>
          </w:p>
        </w:tc>
        <w:tc>
          <w:tcPr>
            <w:tcW w:w="3686" w:type="dxa"/>
          </w:tcPr>
          <w:p w14:paraId="1C03F0BD" w14:textId="068B1242" w:rsidR="007C2BA7" w:rsidRPr="00315CD2" w:rsidRDefault="007C2BA7" w:rsidP="007C2BA7">
            <w:pPr>
              <w:pStyle w:val="Tabletext"/>
              <w:rPr>
                <w:rFonts w:asciiTheme="minorHAnsi" w:hAnsiTheme="minorHAnsi"/>
                <w:szCs w:val="22"/>
              </w:rPr>
            </w:pPr>
            <w:r w:rsidRPr="00315CD2">
              <w:rPr>
                <w:rFonts w:asciiTheme="minorHAnsi" w:hAnsiTheme="minorHAnsi" w:cs="Calibri"/>
                <w:szCs w:val="22"/>
              </w:rPr>
              <w:t xml:space="preserve">While we accept local variations in the VTE pathway, the considerable time differences and access to scan, across Trusts is leading to inequality and potential harm </w:t>
            </w:r>
          </w:p>
        </w:tc>
        <w:tc>
          <w:tcPr>
            <w:tcW w:w="3474" w:type="dxa"/>
          </w:tcPr>
          <w:p w14:paraId="20482E44"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NICE Guidance – NG158</w:t>
            </w:r>
          </w:p>
          <w:p w14:paraId="0C23BAB4" w14:textId="77777777" w:rsidR="007C2BA7" w:rsidRPr="00315CD2" w:rsidRDefault="00473E39" w:rsidP="007C2BA7">
            <w:pPr>
              <w:rPr>
                <w:rFonts w:asciiTheme="minorHAnsi" w:hAnsiTheme="minorHAnsi" w:cs="Calibri"/>
                <w:sz w:val="22"/>
                <w:szCs w:val="22"/>
              </w:rPr>
            </w:pPr>
            <w:hyperlink r:id="rId107" w:anchor="diagnosis-and-initial-management" w:history="1">
              <w:r w:rsidR="007C2BA7" w:rsidRPr="00315CD2">
                <w:rPr>
                  <w:rStyle w:val="Hyperlink"/>
                  <w:rFonts w:asciiTheme="minorHAnsi" w:hAnsiTheme="minorHAnsi" w:cs="Calibri"/>
                  <w:sz w:val="22"/>
                  <w:szCs w:val="22"/>
                </w:rPr>
                <w:t>https://www.nice.org.uk/guidance/ng158/chapter/Recommendations#diagnosis-and-initial-management</w:t>
              </w:r>
            </w:hyperlink>
          </w:p>
          <w:p w14:paraId="5E373695" w14:textId="77777777" w:rsidR="007C2BA7" w:rsidRPr="00315CD2" w:rsidRDefault="007C2BA7" w:rsidP="007C2BA7">
            <w:pPr>
              <w:pStyle w:val="Tabletext"/>
              <w:rPr>
                <w:rFonts w:asciiTheme="minorHAnsi" w:hAnsiTheme="minorHAnsi"/>
                <w:szCs w:val="22"/>
              </w:rPr>
            </w:pPr>
          </w:p>
        </w:tc>
      </w:tr>
      <w:tr w:rsidR="007C2BA7" w:rsidRPr="00315CD2" w14:paraId="2E239C7A" w14:textId="77777777" w:rsidTr="00E52914">
        <w:trPr>
          <w:trHeight w:val="282"/>
        </w:trPr>
        <w:tc>
          <w:tcPr>
            <w:tcW w:w="558" w:type="dxa"/>
          </w:tcPr>
          <w:p w14:paraId="7EA7CE3A" w14:textId="2E7426E5"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t>24</w:t>
            </w:r>
          </w:p>
        </w:tc>
        <w:tc>
          <w:tcPr>
            <w:tcW w:w="1071" w:type="dxa"/>
          </w:tcPr>
          <w:p w14:paraId="069F7751" w14:textId="51BE304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SCM3</w:t>
            </w:r>
          </w:p>
        </w:tc>
        <w:tc>
          <w:tcPr>
            <w:tcW w:w="2761" w:type="dxa"/>
            <w:shd w:val="clear" w:color="auto" w:fill="FFFFFF"/>
          </w:tcPr>
          <w:p w14:paraId="084E158B"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Stop interim anticoagulation and repeat the US in 1 weeks time</w:t>
            </w:r>
          </w:p>
          <w:p w14:paraId="369D2680" w14:textId="77777777" w:rsidR="007C2BA7" w:rsidRPr="00315CD2" w:rsidRDefault="007C2BA7" w:rsidP="007C2BA7">
            <w:pPr>
              <w:pStyle w:val="TableText1"/>
              <w:rPr>
                <w:rFonts w:asciiTheme="minorHAnsi" w:hAnsiTheme="minorHAnsi" w:cs="Arial"/>
                <w:szCs w:val="22"/>
              </w:rPr>
            </w:pPr>
          </w:p>
          <w:p w14:paraId="2EB115CD" w14:textId="45DACE6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NG 158 Rec 1.1.6</w:t>
            </w:r>
          </w:p>
        </w:tc>
        <w:tc>
          <w:tcPr>
            <w:tcW w:w="3118" w:type="dxa"/>
            <w:shd w:val="clear" w:color="auto" w:fill="FFFFFF"/>
          </w:tcPr>
          <w:p w14:paraId="5A9E15DD" w14:textId="762CE6F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 xml:space="preserve">The committee of NICE NG 158 identified variable practice in this regard, with some sites continuing interim </w:t>
            </w:r>
            <w:r w:rsidRPr="00315CD2">
              <w:rPr>
                <w:rFonts w:asciiTheme="minorHAnsi" w:hAnsiTheme="minorHAnsi" w:cs="Arial"/>
                <w:szCs w:val="22"/>
              </w:rPr>
              <w:lastRenderedPageBreak/>
              <w:t xml:space="preserve">anticoagulant therapy while awaiting a second US scan. This is potentially harmful for several reasons – firstly, it exposes the patient to the additional risks of bleeding from anticoagulation. Second, it risks the temporary control of an isolated distal deep vein thrombosis, which could then propagate outside of follow up once anticoagulation ceases. </w:t>
            </w:r>
          </w:p>
        </w:tc>
        <w:tc>
          <w:tcPr>
            <w:tcW w:w="3686" w:type="dxa"/>
            <w:shd w:val="clear" w:color="auto" w:fill="FFFFFF"/>
          </w:tcPr>
          <w:p w14:paraId="7DB9A88E" w14:textId="33A639C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 xml:space="preserve">There is evidence of variation in practice regarding this aspect of VTE management, despite national guidance and a large body of research. </w:t>
            </w:r>
          </w:p>
        </w:tc>
        <w:tc>
          <w:tcPr>
            <w:tcW w:w="3474" w:type="dxa"/>
            <w:shd w:val="clear" w:color="auto" w:fill="FFFFFF"/>
          </w:tcPr>
          <w:p w14:paraId="0B032DE2"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Article citing concerns regarding variation in practice:</w:t>
            </w:r>
          </w:p>
          <w:p w14:paraId="1403FF7C" w14:textId="77777777" w:rsidR="007C2BA7" w:rsidRPr="00315CD2" w:rsidRDefault="00473E39" w:rsidP="007C2BA7">
            <w:pPr>
              <w:pStyle w:val="TableText1"/>
              <w:rPr>
                <w:rFonts w:asciiTheme="minorHAnsi" w:hAnsiTheme="minorHAnsi" w:cs="Arial"/>
                <w:szCs w:val="22"/>
              </w:rPr>
            </w:pPr>
            <w:hyperlink r:id="rId108" w:history="1">
              <w:r w:rsidR="007C2BA7" w:rsidRPr="00315CD2">
                <w:rPr>
                  <w:rStyle w:val="Hyperlink"/>
                  <w:rFonts w:asciiTheme="minorHAnsi" w:hAnsiTheme="minorHAnsi" w:cs="Arial"/>
                  <w:szCs w:val="22"/>
                </w:rPr>
                <w:t>https://www.bmj.com/content/360/bmj.k351/rr-0</w:t>
              </w:r>
            </w:hyperlink>
          </w:p>
          <w:p w14:paraId="786CFD5A" w14:textId="77777777" w:rsidR="007C2BA7" w:rsidRPr="00315CD2" w:rsidRDefault="007C2BA7" w:rsidP="007C2BA7">
            <w:pPr>
              <w:pStyle w:val="TableText1"/>
              <w:rPr>
                <w:rFonts w:asciiTheme="minorHAnsi" w:hAnsiTheme="minorHAnsi" w:cs="Arial"/>
                <w:szCs w:val="22"/>
              </w:rPr>
            </w:pPr>
          </w:p>
          <w:p w14:paraId="08406693"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Original HTA project assessing the optimal cost effective diagnostic pathways for DVT:</w:t>
            </w:r>
          </w:p>
          <w:p w14:paraId="29ABD910" w14:textId="77777777" w:rsidR="007C2BA7" w:rsidRPr="00315CD2" w:rsidRDefault="00473E39" w:rsidP="007C2BA7">
            <w:pPr>
              <w:pStyle w:val="TableText1"/>
              <w:rPr>
                <w:rFonts w:asciiTheme="minorHAnsi" w:hAnsiTheme="minorHAnsi" w:cs="Arial"/>
                <w:szCs w:val="22"/>
              </w:rPr>
            </w:pPr>
            <w:hyperlink r:id="rId109" w:history="1">
              <w:r w:rsidR="007C2BA7" w:rsidRPr="00315CD2">
                <w:rPr>
                  <w:rStyle w:val="Hyperlink"/>
                  <w:rFonts w:asciiTheme="minorHAnsi" w:hAnsiTheme="minorHAnsi" w:cs="Arial"/>
                  <w:szCs w:val="22"/>
                </w:rPr>
                <w:t>https://fundingawards.nihr.ac.uk/award/02/03/01</w:t>
              </w:r>
            </w:hyperlink>
          </w:p>
          <w:p w14:paraId="568457A8" w14:textId="77777777" w:rsidR="007C2BA7" w:rsidRPr="00315CD2" w:rsidRDefault="007C2BA7" w:rsidP="007C2BA7">
            <w:pPr>
              <w:pStyle w:val="Tabletext"/>
              <w:rPr>
                <w:rFonts w:asciiTheme="minorHAnsi" w:hAnsiTheme="minorHAnsi"/>
                <w:szCs w:val="22"/>
              </w:rPr>
            </w:pPr>
          </w:p>
        </w:tc>
      </w:tr>
      <w:tr w:rsidR="007C2BA7" w:rsidRPr="00315CD2" w14:paraId="55834A56" w14:textId="77777777" w:rsidTr="00E52914">
        <w:trPr>
          <w:trHeight w:val="282"/>
        </w:trPr>
        <w:tc>
          <w:tcPr>
            <w:tcW w:w="558" w:type="dxa"/>
          </w:tcPr>
          <w:p w14:paraId="2BE7A33D" w14:textId="3656C464"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lastRenderedPageBreak/>
              <w:t>25</w:t>
            </w:r>
          </w:p>
        </w:tc>
        <w:tc>
          <w:tcPr>
            <w:tcW w:w="1071" w:type="dxa"/>
          </w:tcPr>
          <w:p w14:paraId="706E1839" w14:textId="40B3157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SCM6</w:t>
            </w:r>
          </w:p>
        </w:tc>
        <w:tc>
          <w:tcPr>
            <w:tcW w:w="2761" w:type="dxa"/>
          </w:tcPr>
          <w:p w14:paraId="4AA44455" w14:textId="314BBAEB" w:rsidR="007C2BA7" w:rsidRPr="00315CD2" w:rsidRDefault="007C2BA7" w:rsidP="007C2BA7">
            <w:pPr>
              <w:pStyle w:val="Tabletext"/>
              <w:rPr>
                <w:rFonts w:asciiTheme="minorHAnsi" w:hAnsiTheme="minorHAnsi"/>
                <w:szCs w:val="22"/>
              </w:rPr>
            </w:pPr>
            <w:bookmarkStart w:id="128" w:name="_Hlk50316780"/>
            <w:r w:rsidRPr="00315CD2">
              <w:rPr>
                <w:rFonts w:asciiTheme="minorHAnsi" w:hAnsiTheme="minorHAnsi" w:cs="Arial"/>
                <w:szCs w:val="22"/>
              </w:rPr>
              <w:t>Delays in GP at giving first dose of anticoagulant for suspected VTE</w:t>
            </w:r>
            <w:bookmarkEnd w:id="128"/>
          </w:p>
        </w:tc>
        <w:tc>
          <w:tcPr>
            <w:tcW w:w="3118" w:type="dxa"/>
          </w:tcPr>
          <w:p w14:paraId="1ADE5403" w14:textId="414E9BCB" w:rsidR="007C2BA7" w:rsidRPr="00315CD2" w:rsidRDefault="007C2BA7" w:rsidP="007C2BA7">
            <w:pPr>
              <w:pStyle w:val="Tabletext"/>
              <w:rPr>
                <w:rFonts w:asciiTheme="minorHAnsi" w:hAnsiTheme="minorHAnsi"/>
                <w:szCs w:val="22"/>
              </w:rPr>
            </w:pPr>
            <w:bookmarkStart w:id="129" w:name="_Hlk50316874"/>
            <w:r w:rsidRPr="00315CD2">
              <w:rPr>
                <w:rFonts w:asciiTheme="minorHAnsi" w:hAnsiTheme="minorHAnsi" w:cs="Arial"/>
                <w:szCs w:val="22"/>
              </w:rPr>
              <w:t>Means patients are delayed being protected against further events or propagation</w:t>
            </w:r>
            <w:bookmarkEnd w:id="129"/>
          </w:p>
        </w:tc>
        <w:tc>
          <w:tcPr>
            <w:tcW w:w="3686" w:type="dxa"/>
          </w:tcPr>
          <w:p w14:paraId="5E49B67A" w14:textId="77777777" w:rsidR="007C2BA7" w:rsidRPr="00315CD2" w:rsidRDefault="007C2BA7" w:rsidP="007C2BA7">
            <w:pPr>
              <w:pStyle w:val="Tabletext"/>
              <w:rPr>
                <w:rFonts w:asciiTheme="minorHAnsi" w:hAnsiTheme="minorHAnsi"/>
                <w:szCs w:val="22"/>
              </w:rPr>
            </w:pPr>
          </w:p>
        </w:tc>
        <w:tc>
          <w:tcPr>
            <w:tcW w:w="3474" w:type="dxa"/>
          </w:tcPr>
          <w:p w14:paraId="4CEA59C9" w14:textId="7FBB8D1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Delays in GP at giving first dose of anticoagulant for suspected VTE</w:t>
            </w:r>
          </w:p>
        </w:tc>
      </w:tr>
      <w:tr w:rsidR="007C2BA7" w:rsidRPr="00315CD2" w14:paraId="5FA7DAAF" w14:textId="77777777" w:rsidTr="00E52914">
        <w:trPr>
          <w:trHeight w:val="282"/>
        </w:trPr>
        <w:tc>
          <w:tcPr>
            <w:tcW w:w="558" w:type="dxa"/>
          </w:tcPr>
          <w:p w14:paraId="30EAA8FA" w14:textId="064833D8"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t>26</w:t>
            </w:r>
          </w:p>
        </w:tc>
        <w:tc>
          <w:tcPr>
            <w:tcW w:w="1071" w:type="dxa"/>
          </w:tcPr>
          <w:p w14:paraId="35613ECF" w14:textId="59209D1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Bristol Myers Squibb – Pfizer Alliance</w:t>
            </w:r>
          </w:p>
        </w:tc>
        <w:tc>
          <w:tcPr>
            <w:tcW w:w="2761" w:type="dxa"/>
          </w:tcPr>
          <w:p w14:paraId="533797BB" w14:textId="77777777" w:rsidR="007C2BA7" w:rsidRPr="00315CD2" w:rsidRDefault="007C2BA7" w:rsidP="007C2BA7">
            <w:pPr>
              <w:pStyle w:val="TableText1"/>
              <w:rPr>
                <w:rFonts w:asciiTheme="minorHAnsi" w:hAnsiTheme="minorHAnsi"/>
                <w:szCs w:val="22"/>
              </w:rPr>
            </w:pPr>
            <w:bookmarkStart w:id="130" w:name="_Hlk50317196"/>
            <w:r w:rsidRPr="00315CD2">
              <w:rPr>
                <w:rFonts w:asciiTheme="minorHAnsi" w:hAnsiTheme="minorHAnsi"/>
                <w:szCs w:val="22"/>
              </w:rPr>
              <w:t xml:space="preserve">Ensuring all patients with VTE are protected as early as possible </w:t>
            </w:r>
          </w:p>
          <w:bookmarkEnd w:id="130"/>
          <w:p w14:paraId="16C4BDFF" w14:textId="77777777" w:rsidR="007C2BA7" w:rsidRPr="00315CD2" w:rsidRDefault="007C2BA7" w:rsidP="007C2BA7">
            <w:pPr>
              <w:pStyle w:val="TableText1"/>
              <w:rPr>
                <w:rFonts w:asciiTheme="minorHAnsi" w:hAnsiTheme="minorHAnsi"/>
                <w:szCs w:val="22"/>
              </w:rPr>
            </w:pPr>
          </w:p>
          <w:p w14:paraId="6EB369AE" w14:textId="14B9AA0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Interim anticoagulation for VTE</w:t>
            </w:r>
          </w:p>
        </w:tc>
        <w:tc>
          <w:tcPr>
            <w:tcW w:w="3118" w:type="dxa"/>
          </w:tcPr>
          <w:p w14:paraId="31BD29A2" w14:textId="77777777" w:rsidR="007C2BA7" w:rsidRPr="00315CD2" w:rsidRDefault="007C2BA7" w:rsidP="007C2BA7">
            <w:pPr>
              <w:pStyle w:val="Paragraphnonumbers"/>
              <w:rPr>
                <w:rFonts w:asciiTheme="minorHAnsi" w:hAnsiTheme="minorHAnsi"/>
                <w:sz w:val="22"/>
                <w:szCs w:val="22"/>
              </w:rPr>
            </w:pPr>
            <w:r w:rsidRPr="00315CD2">
              <w:rPr>
                <w:rFonts w:asciiTheme="minorHAnsi" w:hAnsiTheme="minorHAnsi"/>
                <w:sz w:val="22"/>
                <w:szCs w:val="22"/>
              </w:rPr>
              <w:t>Interim therapeutic anticoagulation is recommended for VTE, in NICE VTE Clinical Guideline NG158.</w:t>
            </w:r>
          </w:p>
          <w:p w14:paraId="40F30A30" w14:textId="77777777" w:rsidR="007C2BA7" w:rsidRPr="00315CD2" w:rsidRDefault="007C2BA7" w:rsidP="007C2BA7">
            <w:pPr>
              <w:pStyle w:val="Paragraphnonumbers"/>
              <w:rPr>
                <w:rFonts w:asciiTheme="minorHAnsi" w:hAnsiTheme="minorHAnsi"/>
                <w:sz w:val="22"/>
                <w:szCs w:val="22"/>
              </w:rPr>
            </w:pPr>
            <w:r w:rsidRPr="00315CD2">
              <w:rPr>
                <w:rFonts w:asciiTheme="minorHAnsi" w:hAnsiTheme="minorHAnsi"/>
                <w:sz w:val="22"/>
                <w:szCs w:val="22"/>
              </w:rPr>
              <w:t xml:space="preserve">The guideline suggests that the interim anticoagulant selected is one that can be continued throughout treatment. </w:t>
            </w:r>
          </w:p>
          <w:p w14:paraId="73EA3A49" w14:textId="46DAA137" w:rsidR="007C2BA7" w:rsidRPr="00315CD2" w:rsidRDefault="007C2BA7" w:rsidP="007C2BA7">
            <w:pPr>
              <w:pStyle w:val="Tabletext"/>
              <w:rPr>
                <w:rFonts w:asciiTheme="minorHAnsi" w:hAnsiTheme="minorHAnsi"/>
                <w:szCs w:val="22"/>
              </w:rPr>
            </w:pPr>
            <w:bookmarkStart w:id="131" w:name="_Hlk50317280"/>
            <w:r w:rsidRPr="00315CD2">
              <w:rPr>
                <w:rFonts w:asciiTheme="minorHAnsi" w:hAnsiTheme="minorHAnsi"/>
                <w:szCs w:val="22"/>
              </w:rPr>
              <w:t xml:space="preserve">Anticoagulation should be initiated as soon as a suspected VTE event has been clinically diagnosed and not delay until </w:t>
            </w:r>
            <w:r w:rsidRPr="00315CD2">
              <w:rPr>
                <w:rFonts w:asciiTheme="minorHAnsi" w:hAnsiTheme="minorHAnsi"/>
                <w:szCs w:val="22"/>
              </w:rPr>
              <w:lastRenderedPageBreak/>
              <w:t>confirmatory baseline blood tests confirm the diagnosis.</w:t>
            </w:r>
            <w:bookmarkEnd w:id="131"/>
          </w:p>
        </w:tc>
        <w:tc>
          <w:tcPr>
            <w:tcW w:w="3686" w:type="dxa"/>
          </w:tcPr>
          <w:p w14:paraId="4C678349" w14:textId="77777777" w:rsidR="007C2BA7" w:rsidRPr="00315CD2" w:rsidRDefault="007C2BA7" w:rsidP="007C2BA7">
            <w:pPr>
              <w:pStyle w:val="Paragraphnonumbers"/>
              <w:rPr>
                <w:rFonts w:asciiTheme="minorHAnsi" w:hAnsiTheme="minorHAnsi"/>
                <w:sz w:val="22"/>
                <w:szCs w:val="22"/>
              </w:rPr>
            </w:pPr>
            <w:bookmarkStart w:id="132" w:name="_Hlk50317472"/>
            <w:r w:rsidRPr="00315CD2">
              <w:rPr>
                <w:rFonts w:asciiTheme="minorHAnsi" w:hAnsiTheme="minorHAnsi"/>
                <w:sz w:val="22"/>
                <w:szCs w:val="22"/>
              </w:rPr>
              <w:lastRenderedPageBreak/>
              <w:t>Wide variations exist in access to diagnostic services across England.</w:t>
            </w:r>
          </w:p>
          <w:bookmarkEnd w:id="132"/>
          <w:p w14:paraId="7BCAE8F1" w14:textId="3A246C39" w:rsidR="007C2BA7" w:rsidRPr="00315CD2" w:rsidRDefault="007C2BA7" w:rsidP="007C2BA7">
            <w:pPr>
              <w:pStyle w:val="Tabletext"/>
              <w:rPr>
                <w:rFonts w:asciiTheme="minorHAnsi" w:hAnsiTheme="minorHAnsi"/>
                <w:szCs w:val="22"/>
              </w:rPr>
            </w:pPr>
            <w:r w:rsidRPr="00315CD2">
              <w:rPr>
                <w:rFonts w:asciiTheme="minorHAnsi" w:hAnsiTheme="minorHAnsi"/>
                <w:szCs w:val="22"/>
              </w:rPr>
              <w:t>Patients with VTE who are not anticoagulated are at higher risk of recurrent VTE.</w:t>
            </w:r>
          </w:p>
        </w:tc>
        <w:tc>
          <w:tcPr>
            <w:tcW w:w="3474" w:type="dxa"/>
          </w:tcPr>
          <w:p w14:paraId="32577171" w14:textId="2258A558" w:rsidR="007C2BA7" w:rsidRPr="00315CD2" w:rsidRDefault="007C2BA7" w:rsidP="007C2BA7">
            <w:pPr>
              <w:pStyle w:val="Tabletext"/>
              <w:rPr>
                <w:rFonts w:asciiTheme="minorHAnsi" w:hAnsiTheme="minorHAnsi"/>
                <w:szCs w:val="22"/>
              </w:rPr>
            </w:pPr>
            <w:r w:rsidRPr="00315CD2">
              <w:rPr>
                <w:rFonts w:asciiTheme="minorHAnsi" w:hAnsiTheme="minorHAnsi"/>
                <w:szCs w:val="22"/>
              </w:rPr>
              <w:t>NICE NG158 (2020) (</w:t>
            </w:r>
            <w:hyperlink r:id="rId110" w:history="1">
              <w:r w:rsidRPr="00315CD2">
                <w:rPr>
                  <w:rStyle w:val="Hyperlink"/>
                  <w:rFonts w:asciiTheme="minorHAnsi" w:hAnsiTheme="minorHAnsi"/>
                  <w:szCs w:val="22"/>
                </w:rPr>
                <w:t>https://www.nice.org.uk/guidance/ng158</w:t>
              </w:r>
            </w:hyperlink>
            <w:r w:rsidRPr="00315CD2">
              <w:rPr>
                <w:rFonts w:asciiTheme="minorHAnsi" w:hAnsiTheme="minorHAnsi"/>
                <w:szCs w:val="22"/>
              </w:rPr>
              <w:t>).</w:t>
            </w:r>
          </w:p>
        </w:tc>
      </w:tr>
      <w:tr w:rsidR="007C2BA7" w:rsidRPr="00315CD2" w14:paraId="62D7AD69" w14:textId="77777777" w:rsidTr="00E52914">
        <w:trPr>
          <w:trHeight w:val="282"/>
        </w:trPr>
        <w:tc>
          <w:tcPr>
            <w:tcW w:w="558" w:type="dxa"/>
          </w:tcPr>
          <w:p w14:paraId="676EA393" w14:textId="137385A6"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t>27</w:t>
            </w:r>
          </w:p>
        </w:tc>
        <w:tc>
          <w:tcPr>
            <w:tcW w:w="1071" w:type="dxa"/>
          </w:tcPr>
          <w:p w14:paraId="1A863444" w14:textId="3DCBE44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British Thoracic Society </w:t>
            </w:r>
          </w:p>
        </w:tc>
        <w:tc>
          <w:tcPr>
            <w:tcW w:w="2761" w:type="dxa"/>
          </w:tcPr>
          <w:p w14:paraId="298FE3D4" w14:textId="52006FC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1</w:t>
            </w:r>
          </w:p>
        </w:tc>
        <w:tc>
          <w:tcPr>
            <w:tcW w:w="3118" w:type="dxa"/>
          </w:tcPr>
          <w:p w14:paraId="10240EAA" w14:textId="75CDCB4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Administration of anticoagulation in suspected PE if diagnosis is likely to be delayed by &gt;1 hour.</w:t>
            </w:r>
          </w:p>
        </w:tc>
        <w:tc>
          <w:tcPr>
            <w:tcW w:w="3686" w:type="dxa"/>
          </w:tcPr>
          <w:p w14:paraId="525350A5" w14:textId="77777777" w:rsidR="007C2BA7" w:rsidRPr="00315CD2" w:rsidRDefault="007C2BA7" w:rsidP="007C2BA7">
            <w:pPr>
              <w:pStyle w:val="Tabletext"/>
              <w:rPr>
                <w:rFonts w:asciiTheme="minorHAnsi" w:hAnsiTheme="minorHAnsi"/>
                <w:szCs w:val="22"/>
              </w:rPr>
            </w:pPr>
          </w:p>
        </w:tc>
        <w:tc>
          <w:tcPr>
            <w:tcW w:w="3474" w:type="dxa"/>
          </w:tcPr>
          <w:p w14:paraId="6149AF51" w14:textId="77777777" w:rsidR="007C2BA7" w:rsidRPr="00315CD2" w:rsidRDefault="007C2BA7" w:rsidP="007C2BA7">
            <w:pPr>
              <w:pStyle w:val="Tabletext"/>
              <w:rPr>
                <w:rFonts w:asciiTheme="minorHAnsi" w:hAnsiTheme="minorHAnsi"/>
                <w:szCs w:val="22"/>
              </w:rPr>
            </w:pPr>
          </w:p>
        </w:tc>
      </w:tr>
      <w:tr w:rsidR="007C2BA7" w:rsidRPr="00315CD2" w14:paraId="6F6179E4" w14:textId="77777777" w:rsidTr="00E52914">
        <w:trPr>
          <w:trHeight w:val="282"/>
        </w:trPr>
        <w:tc>
          <w:tcPr>
            <w:tcW w:w="558" w:type="dxa"/>
          </w:tcPr>
          <w:p w14:paraId="7964531B" w14:textId="2D07538A"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t>28</w:t>
            </w:r>
          </w:p>
        </w:tc>
        <w:tc>
          <w:tcPr>
            <w:tcW w:w="1071" w:type="dxa"/>
          </w:tcPr>
          <w:p w14:paraId="18D53E8D" w14:textId="72FD8C9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Thrombosis UK</w:t>
            </w:r>
          </w:p>
        </w:tc>
        <w:tc>
          <w:tcPr>
            <w:tcW w:w="2761" w:type="dxa"/>
          </w:tcPr>
          <w:p w14:paraId="47CD77EC" w14:textId="040820B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3</w:t>
            </w:r>
          </w:p>
        </w:tc>
        <w:tc>
          <w:tcPr>
            <w:tcW w:w="3118" w:type="dxa"/>
          </w:tcPr>
          <w:p w14:paraId="46DB5FC0" w14:textId="77777777" w:rsidR="007C2BA7" w:rsidRPr="00315CD2" w:rsidRDefault="007C2BA7" w:rsidP="007C2BA7">
            <w:pPr>
              <w:rPr>
                <w:rFonts w:asciiTheme="minorHAnsi" w:hAnsiTheme="minorHAnsi" w:cs="Calibri"/>
                <w:color w:val="000000"/>
                <w:sz w:val="22"/>
                <w:szCs w:val="22"/>
              </w:rPr>
            </w:pPr>
            <w:r w:rsidRPr="00315CD2">
              <w:rPr>
                <w:rFonts w:asciiTheme="minorHAnsi" w:hAnsiTheme="minorHAnsi" w:cs="Calibri"/>
                <w:color w:val="000000"/>
                <w:sz w:val="22"/>
                <w:szCs w:val="22"/>
              </w:rPr>
              <w:t>Ensure prescribing and dosing of an anticoagulant when VTE is suspected but yet to be confirmed</w:t>
            </w:r>
          </w:p>
          <w:p w14:paraId="307E6443" w14:textId="77777777" w:rsidR="007C2BA7" w:rsidRPr="00315CD2" w:rsidRDefault="007C2BA7" w:rsidP="007C2BA7">
            <w:pPr>
              <w:pStyle w:val="Tabletext"/>
              <w:rPr>
                <w:rFonts w:asciiTheme="minorHAnsi" w:hAnsiTheme="minorHAnsi"/>
                <w:szCs w:val="22"/>
              </w:rPr>
            </w:pPr>
          </w:p>
        </w:tc>
        <w:tc>
          <w:tcPr>
            <w:tcW w:w="3686" w:type="dxa"/>
          </w:tcPr>
          <w:p w14:paraId="68F511BA"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 xml:space="preserve">Currently there is varied practice in prescribing anticoagulation if VTE is suspected but diagnosis is pending. </w:t>
            </w:r>
          </w:p>
          <w:p w14:paraId="7BD93BC6" w14:textId="1CB609A1" w:rsidR="007C2BA7" w:rsidRPr="00315CD2" w:rsidRDefault="007C2BA7" w:rsidP="007C2BA7">
            <w:pPr>
              <w:pStyle w:val="Tabletext"/>
              <w:rPr>
                <w:rFonts w:asciiTheme="minorHAnsi" w:hAnsiTheme="minorHAnsi"/>
                <w:szCs w:val="22"/>
              </w:rPr>
            </w:pPr>
            <w:r w:rsidRPr="00315CD2">
              <w:rPr>
                <w:rFonts w:asciiTheme="minorHAnsi" w:hAnsiTheme="minorHAnsi" w:cs="Calibri"/>
                <w:szCs w:val="22"/>
              </w:rPr>
              <w:t xml:space="preserve">Evidence is clear that early intervention provides protection for the individual and, when risks are assessed, (as they should be on an individual basis) the benefit most usually outweighs risk. </w:t>
            </w:r>
          </w:p>
        </w:tc>
        <w:tc>
          <w:tcPr>
            <w:tcW w:w="3474" w:type="dxa"/>
          </w:tcPr>
          <w:p w14:paraId="0E9C1F09"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NICE Guidance NG158</w:t>
            </w:r>
          </w:p>
          <w:p w14:paraId="165F62EE" w14:textId="77777777" w:rsidR="007C2BA7" w:rsidRPr="00315CD2" w:rsidRDefault="00473E39" w:rsidP="007C2BA7">
            <w:pPr>
              <w:rPr>
                <w:rFonts w:asciiTheme="minorHAnsi" w:hAnsiTheme="minorHAnsi" w:cs="Calibri"/>
                <w:sz w:val="22"/>
                <w:szCs w:val="22"/>
              </w:rPr>
            </w:pPr>
            <w:hyperlink r:id="rId111" w:anchor="anticoagulation-treatment-for-suspected-or-confirmed-dvt-or-pe" w:history="1">
              <w:r w:rsidR="007C2BA7" w:rsidRPr="00315CD2">
                <w:rPr>
                  <w:rStyle w:val="Hyperlink"/>
                  <w:rFonts w:asciiTheme="minorHAnsi" w:hAnsiTheme="minorHAnsi" w:cs="Calibri"/>
                  <w:sz w:val="22"/>
                  <w:szCs w:val="22"/>
                </w:rPr>
                <w:t>https://www.nice.org.uk/guidance/ng158/chapter/Recommendations#anticoagulation-treatment-for-suspected-or-confirmed-dvt-or-pe</w:t>
              </w:r>
            </w:hyperlink>
          </w:p>
          <w:p w14:paraId="57D7082D" w14:textId="77777777" w:rsidR="007C2BA7" w:rsidRPr="00315CD2" w:rsidRDefault="007C2BA7" w:rsidP="007C2BA7">
            <w:pPr>
              <w:pStyle w:val="Tabletext"/>
              <w:rPr>
                <w:rFonts w:asciiTheme="minorHAnsi" w:hAnsiTheme="minorHAnsi"/>
                <w:szCs w:val="22"/>
              </w:rPr>
            </w:pPr>
          </w:p>
        </w:tc>
      </w:tr>
      <w:tr w:rsidR="007C2BA7" w:rsidRPr="00315CD2" w14:paraId="4416D612" w14:textId="77777777" w:rsidTr="00E52914">
        <w:trPr>
          <w:trHeight w:val="282"/>
        </w:trPr>
        <w:tc>
          <w:tcPr>
            <w:tcW w:w="558" w:type="dxa"/>
          </w:tcPr>
          <w:p w14:paraId="116ADC47" w14:textId="30108A72"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t>29</w:t>
            </w:r>
          </w:p>
        </w:tc>
        <w:tc>
          <w:tcPr>
            <w:tcW w:w="1071" w:type="dxa"/>
          </w:tcPr>
          <w:p w14:paraId="4B914BE3" w14:textId="646302F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SCM5</w:t>
            </w:r>
          </w:p>
        </w:tc>
        <w:tc>
          <w:tcPr>
            <w:tcW w:w="2761" w:type="dxa"/>
          </w:tcPr>
          <w:p w14:paraId="201910DE" w14:textId="457510D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1</w:t>
            </w:r>
          </w:p>
        </w:tc>
        <w:tc>
          <w:tcPr>
            <w:tcW w:w="3118" w:type="dxa"/>
          </w:tcPr>
          <w:p w14:paraId="7CA8E079" w14:textId="3714363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Interim anticoagulation for PE</w:t>
            </w:r>
          </w:p>
        </w:tc>
        <w:tc>
          <w:tcPr>
            <w:tcW w:w="3686" w:type="dxa"/>
          </w:tcPr>
          <w:p w14:paraId="75B87B43" w14:textId="1D71A11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NCEPOD highlighted delayed Anticoagulation continues to be an issue in case reviews  </w:t>
            </w:r>
          </w:p>
        </w:tc>
        <w:tc>
          <w:tcPr>
            <w:tcW w:w="3474" w:type="dxa"/>
          </w:tcPr>
          <w:p w14:paraId="415DBC8A" w14:textId="77777777" w:rsidR="007C2BA7" w:rsidRPr="00315CD2" w:rsidRDefault="007C2BA7" w:rsidP="007C2BA7">
            <w:pPr>
              <w:pStyle w:val="Tabletext"/>
              <w:rPr>
                <w:rFonts w:asciiTheme="minorHAnsi" w:hAnsiTheme="minorHAnsi"/>
                <w:szCs w:val="22"/>
              </w:rPr>
            </w:pPr>
          </w:p>
        </w:tc>
      </w:tr>
      <w:tr w:rsidR="00C156BC" w:rsidRPr="00315CD2" w14:paraId="27C8E838" w14:textId="77777777" w:rsidTr="00C156BC">
        <w:trPr>
          <w:trHeight w:val="282"/>
        </w:trPr>
        <w:tc>
          <w:tcPr>
            <w:tcW w:w="14668" w:type="dxa"/>
            <w:gridSpan w:val="6"/>
          </w:tcPr>
          <w:p w14:paraId="408ACC35" w14:textId="0A69EBAB" w:rsidR="00C156BC" w:rsidRPr="00C156BC" w:rsidRDefault="00C156BC" w:rsidP="007C2BA7">
            <w:pPr>
              <w:pStyle w:val="Tabletext"/>
              <w:rPr>
                <w:rFonts w:asciiTheme="minorHAnsi" w:hAnsiTheme="minorHAnsi"/>
                <w:b/>
                <w:bCs/>
                <w:szCs w:val="22"/>
              </w:rPr>
            </w:pPr>
            <w:r w:rsidRPr="00C156BC">
              <w:rPr>
                <w:rFonts w:asciiTheme="minorHAnsi" w:hAnsiTheme="minorHAnsi"/>
                <w:b/>
                <w:bCs/>
                <w:szCs w:val="22"/>
              </w:rPr>
              <w:t>Anticoagulation</w:t>
            </w:r>
          </w:p>
        </w:tc>
      </w:tr>
      <w:tr w:rsidR="007C2BA7" w:rsidRPr="00315CD2" w14:paraId="221B7792" w14:textId="77777777" w:rsidTr="00E52914">
        <w:trPr>
          <w:trHeight w:val="282"/>
        </w:trPr>
        <w:tc>
          <w:tcPr>
            <w:tcW w:w="558" w:type="dxa"/>
          </w:tcPr>
          <w:p w14:paraId="7535AAF9" w14:textId="583C343D"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t>30</w:t>
            </w:r>
          </w:p>
        </w:tc>
        <w:tc>
          <w:tcPr>
            <w:tcW w:w="1071" w:type="dxa"/>
          </w:tcPr>
          <w:p w14:paraId="26ED01E1" w14:textId="2B3DF4E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SCM4</w:t>
            </w:r>
          </w:p>
        </w:tc>
        <w:tc>
          <w:tcPr>
            <w:tcW w:w="2761" w:type="dxa"/>
            <w:shd w:val="clear" w:color="auto" w:fill="FFFFFF"/>
          </w:tcPr>
          <w:p w14:paraId="02E82971" w14:textId="77777777" w:rsidR="007C2BA7" w:rsidRPr="00315CD2" w:rsidRDefault="007C2BA7" w:rsidP="007C2BA7">
            <w:pPr>
              <w:pStyle w:val="TableText1"/>
              <w:rPr>
                <w:rFonts w:asciiTheme="minorHAnsi" w:hAnsiTheme="minorHAnsi" w:cs="Arial"/>
                <w:b/>
                <w:szCs w:val="22"/>
              </w:rPr>
            </w:pPr>
            <w:r w:rsidRPr="00315CD2">
              <w:rPr>
                <w:rFonts w:asciiTheme="minorHAnsi" w:hAnsiTheme="minorHAnsi" w:cs="Arial"/>
                <w:b/>
                <w:szCs w:val="22"/>
              </w:rPr>
              <w:t>Key area for quality improvement 3</w:t>
            </w:r>
          </w:p>
          <w:p w14:paraId="6D6DCC1C" w14:textId="1F8A9564" w:rsidR="007C2BA7" w:rsidRPr="00315CD2" w:rsidRDefault="007C2BA7" w:rsidP="007C2BA7">
            <w:pPr>
              <w:pStyle w:val="Tabletext"/>
              <w:rPr>
                <w:rFonts w:asciiTheme="minorHAnsi" w:hAnsiTheme="minorHAnsi"/>
                <w:szCs w:val="22"/>
              </w:rPr>
            </w:pPr>
            <w:bookmarkStart w:id="133" w:name="_Hlk50318200"/>
            <w:r w:rsidRPr="00315CD2">
              <w:rPr>
                <w:rFonts w:asciiTheme="minorHAnsi" w:hAnsiTheme="minorHAnsi" w:cs="Arial"/>
                <w:szCs w:val="22"/>
              </w:rPr>
              <w:t>Clear and consistent advice regarding the timing and use of prophylaxis in patients with cancer</w:t>
            </w:r>
            <w:bookmarkEnd w:id="133"/>
          </w:p>
        </w:tc>
        <w:tc>
          <w:tcPr>
            <w:tcW w:w="3118" w:type="dxa"/>
            <w:shd w:val="clear" w:color="auto" w:fill="FFFFFF"/>
          </w:tcPr>
          <w:p w14:paraId="283C30EE" w14:textId="2291DFCB" w:rsidR="007C2BA7" w:rsidRPr="00315CD2" w:rsidRDefault="007C2BA7" w:rsidP="007C2BA7">
            <w:pPr>
              <w:pStyle w:val="Tabletext"/>
              <w:rPr>
                <w:rFonts w:asciiTheme="minorHAnsi" w:hAnsiTheme="minorHAnsi"/>
                <w:szCs w:val="22"/>
              </w:rPr>
            </w:pPr>
            <w:bookmarkStart w:id="134" w:name="_Hlk50318750"/>
            <w:r w:rsidRPr="00315CD2">
              <w:rPr>
                <w:rFonts w:asciiTheme="minorHAnsi" w:hAnsiTheme="minorHAnsi" w:cs="Arial"/>
                <w:szCs w:val="22"/>
              </w:rPr>
              <w:t xml:space="preserve">There appears to be inconsistent advice between NG89 recommendation and the QS 29 </w:t>
            </w:r>
            <w:bookmarkEnd w:id="134"/>
          </w:p>
        </w:tc>
        <w:tc>
          <w:tcPr>
            <w:tcW w:w="3686" w:type="dxa"/>
            <w:shd w:val="clear" w:color="auto" w:fill="FFFFFF"/>
          </w:tcPr>
          <w:p w14:paraId="282DDD86" w14:textId="77777777" w:rsidR="007C2BA7" w:rsidRPr="00315CD2" w:rsidRDefault="007C2BA7" w:rsidP="007C2BA7">
            <w:pPr>
              <w:pStyle w:val="Tabletext"/>
              <w:rPr>
                <w:rFonts w:asciiTheme="minorHAnsi" w:hAnsiTheme="minorHAnsi"/>
                <w:szCs w:val="22"/>
              </w:rPr>
            </w:pPr>
          </w:p>
        </w:tc>
        <w:tc>
          <w:tcPr>
            <w:tcW w:w="3474" w:type="dxa"/>
            <w:shd w:val="clear" w:color="auto" w:fill="FFFFFF"/>
          </w:tcPr>
          <w:p w14:paraId="51433DA5"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Please refer NG89 </w:t>
            </w:r>
          </w:p>
          <w:p w14:paraId="1BA0C70C"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Recommendation 1.6</w:t>
            </w:r>
          </w:p>
          <w:p w14:paraId="0200E49D"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QS 29</w:t>
            </w:r>
          </w:p>
          <w:p w14:paraId="029826F7" w14:textId="774F18E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Quality statement 7</w:t>
            </w:r>
          </w:p>
        </w:tc>
      </w:tr>
      <w:tr w:rsidR="007C2BA7" w:rsidRPr="00315CD2" w14:paraId="3D2285B9" w14:textId="77777777" w:rsidTr="00E52914">
        <w:trPr>
          <w:trHeight w:val="282"/>
        </w:trPr>
        <w:tc>
          <w:tcPr>
            <w:tcW w:w="558" w:type="dxa"/>
          </w:tcPr>
          <w:p w14:paraId="4EF01CED" w14:textId="19439990"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t>31</w:t>
            </w:r>
          </w:p>
        </w:tc>
        <w:tc>
          <w:tcPr>
            <w:tcW w:w="1071" w:type="dxa"/>
          </w:tcPr>
          <w:p w14:paraId="6C927D7F" w14:textId="07A95EA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All Party Parliamentary </w:t>
            </w:r>
            <w:r w:rsidRPr="00315CD2">
              <w:rPr>
                <w:rFonts w:asciiTheme="minorHAnsi" w:hAnsiTheme="minorHAnsi" w:cs="Arial"/>
                <w:szCs w:val="22"/>
              </w:rPr>
              <w:lastRenderedPageBreak/>
              <w:t>Group on Vascular and Venous Disease</w:t>
            </w:r>
          </w:p>
        </w:tc>
        <w:tc>
          <w:tcPr>
            <w:tcW w:w="2761" w:type="dxa"/>
          </w:tcPr>
          <w:p w14:paraId="4AE56354" w14:textId="07A0D40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Prevention of venous thromboembolism.</w:t>
            </w:r>
          </w:p>
        </w:tc>
        <w:tc>
          <w:tcPr>
            <w:tcW w:w="3118" w:type="dxa"/>
          </w:tcPr>
          <w:p w14:paraId="5D206076" w14:textId="3FF21210" w:rsidR="007C2BA7" w:rsidRPr="00315CD2" w:rsidRDefault="007C2BA7" w:rsidP="007C2BA7">
            <w:pPr>
              <w:pStyle w:val="Tabletext"/>
              <w:rPr>
                <w:rFonts w:asciiTheme="minorHAnsi" w:hAnsiTheme="minorHAnsi"/>
                <w:szCs w:val="22"/>
              </w:rPr>
            </w:pPr>
            <w:bookmarkStart w:id="135" w:name="_Hlk50318974"/>
            <w:r w:rsidRPr="00315CD2">
              <w:rPr>
                <w:rFonts w:asciiTheme="minorHAnsi" w:hAnsiTheme="minorHAnsi" w:cs="Arial"/>
                <w:szCs w:val="22"/>
              </w:rPr>
              <w:t xml:space="preserve">direct oral anticoagulants are commonly used for venous thromboembolism  prevention, </w:t>
            </w:r>
            <w:r w:rsidRPr="00315CD2">
              <w:rPr>
                <w:rFonts w:asciiTheme="minorHAnsi" w:hAnsiTheme="minorHAnsi" w:cs="Arial"/>
                <w:szCs w:val="22"/>
              </w:rPr>
              <w:lastRenderedPageBreak/>
              <w:t>but this is often not a licenced indication. This should ideally be included in the new quality standard.</w:t>
            </w:r>
            <w:bookmarkEnd w:id="135"/>
          </w:p>
        </w:tc>
        <w:tc>
          <w:tcPr>
            <w:tcW w:w="3686" w:type="dxa"/>
          </w:tcPr>
          <w:p w14:paraId="3E216BA1" w14:textId="44ABD8A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Off licence use may promote variation in practice.</w:t>
            </w:r>
          </w:p>
        </w:tc>
        <w:tc>
          <w:tcPr>
            <w:tcW w:w="3474" w:type="dxa"/>
          </w:tcPr>
          <w:p w14:paraId="232AD462" w14:textId="0FA2C37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Anecdotal feedback from healthcare professionals.</w:t>
            </w:r>
          </w:p>
        </w:tc>
      </w:tr>
      <w:tr w:rsidR="007C2BA7" w:rsidRPr="00315CD2" w14:paraId="434A1671" w14:textId="77777777" w:rsidTr="00E52914">
        <w:trPr>
          <w:trHeight w:val="282"/>
        </w:trPr>
        <w:tc>
          <w:tcPr>
            <w:tcW w:w="558" w:type="dxa"/>
          </w:tcPr>
          <w:p w14:paraId="664DB831" w14:textId="0EF14104"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3</w:t>
            </w:r>
            <w:r w:rsidR="005A0AC9">
              <w:rPr>
                <w:rFonts w:asciiTheme="minorHAnsi" w:hAnsiTheme="minorHAnsi"/>
                <w:szCs w:val="22"/>
                <w:lang w:eastAsia="en-GB"/>
              </w:rPr>
              <w:t>2</w:t>
            </w:r>
          </w:p>
        </w:tc>
        <w:tc>
          <w:tcPr>
            <w:tcW w:w="1071" w:type="dxa"/>
          </w:tcPr>
          <w:p w14:paraId="4EA01B66" w14:textId="7231E62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LEO Pharma</w:t>
            </w:r>
          </w:p>
        </w:tc>
        <w:tc>
          <w:tcPr>
            <w:tcW w:w="2761" w:type="dxa"/>
          </w:tcPr>
          <w:p w14:paraId="7F564C69" w14:textId="77777777" w:rsidR="007C2BA7" w:rsidRPr="00315CD2" w:rsidRDefault="007C2BA7" w:rsidP="007C2BA7">
            <w:pPr>
              <w:pStyle w:val="Paragraphnonumbers"/>
              <w:spacing w:after="120"/>
              <w:rPr>
                <w:rFonts w:asciiTheme="minorHAnsi" w:hAnsiTheme="minorHAnsi" w:cs="Arial"/>
                <w:sz w:val="22"/>
                <w:szCs w:val="22"/>
              </w:rPr>
            </w:pPr>
            <w:r w:rsidRPr="00315CD2">
              <w:rPr>
                <w:rFonts w:asciiTheme="minorHAnsi" w:hAnsiTheme="minorHAnsi" w:cs="Arial"/>
                <w:sz w:val="22"/>
                <w:szCs w:val="22"/>
              </w:rPr>
              <w:t>Key area for quality improvement 3</w:t>
            </w:r>
          </w:p>
          <w:p w14:paraId="6F47EB99" w14:textId="2CBE62D7" w:rsidR="007C2BA7" w:rsidRPr="00315CD2" w:rsidRDefault="007C2BA7" w:rsidP="007C2BA7">
            <w:pPr>
              <w:pStyle w:val="Tabletext"/>
              <w:rPr>
                <w:rFonts w:asciiTheme="minorHAnsi" w:hAnsiTheme="minorHAnsi"/>
                <w:szCs w:val="22"/>
              </w:rPr>
            </w:pPr>
            <w:r w:rsidRPr="00315CD2">
              <w:rPr>
                <w:rFonts w:asciiTheme="minorHAnsi" w:hAnsiTheme="minorHAnsi" w:cs="Arial"/>
                <w:b/>
                <w:bCs/>
                <w:szCs w:val="22"/>
              </w:rPr>
              <w:t>People with pancreatic cancer or multiple myeloma should be considered for ambulatory prophylaxis at diagnosis</w:t>
            </w:r>
          </w:p>
        </w:tc>
        <w:tc>
          <w:tcPr>
            <w:tcW w:w="3118" w:type="dxa"/>
          </w:tcPr>
          <w:p w14:paraId="1EE28DFA"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People with pancreatic cancer or multiple myeloma are at an especially increased risk of VTE and should be considered for ambulatory prophylaxis as recommended in NICE Guidance NG 89.</w:t>
            </w:r>
          </w:p>
          <w:p w14:paraId="35263ABA" w14:textId="746D685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Hospitals Trusts should develop written policy to document that all such people have been considered for such prophylaxis at diagnosis </w:t>
            </w:r>
            <w:r w:rsidRPr="00315CD2">
              <w:rPr>
                <w:rFonts w:asciiTheme="minorHAnsi" w:hAnsiTheme="minorHAnsi" w:cs="Arial"/>
                <w:szCs w:val="22"/>
                <w:u w:val="single"/>
              </w:rPr>
              <w:t>following the use of a validated risk-assessment score for this purpose</w:t>
            </w:r>
            <w:r w:rsidRPr="00315CD2">
              <w:rPr>
                <w:rFonts w:asciiTheme="minorHAnsi" w:hAnsiTheme="minorHAnsi" w:cs="Arial"/>
                <w:szCs w:val="22"/>
              </w:rPr>
              <w:t xml:space="preserve"> </w:t>
            </w:r>
          </w:p>
        </w:tc>
        <w:tc>
          <w:tcPr>
            <w:tcW w:w="3686" w:type="dxa"/>
          </w:tcPr>
          <w:p w14:paraId="16A7CC03" w14:textId="2447C39E" w:rsidR="007C2BA7" w:rsidRPr="00315CD2" w:rsidRDefault="007C2BA7" w:rsidP="007C2BA7">
            <w:pPr>
              <w:pStyle w:val="Tabletext"/>
              <w:rPr>
                <w:rFonts w:asciiTheme="minorHAnsi" w:hAnsiTheme="minorHAnsi"/>
                <w:szCs w:val="22"/>
              </w:rPr>
            </w:pPr>
            <w:bookmarkStart w:id="136" w:name="_Hlk50352675"/>
            <w:r w:rsidRPr="00315CD2">
              <w:rPr>
                <w:rFonts w:asciiTheme="minorHAnsi" w:hAnsiTheme="minorHAnsi" w:cs="Arial"/>
                <w:szCs w:val="22"/>
              </w:rPr>
              <w:t>There is variation amongst Hospital Trusts in their approach to primary prophylaxis in ambulatory people with multiple myeloma or pancreatic cancer,</w:t>
            </w:r>
            <w:r w:rsidRPr="00315CD2">
              <w:rPr>
                <w:rFonts w:asciiTheme="minorHAnsi" w:hAnsiTheme="minorHAnsi" w:cs="Arial"/>
                <w:szCs w:val="22"/>
                <w:u w:val="single"/>
              </w:rPr>
              <w:t xml:space="preserve"> with variation in type and use of risk assessment scores and intervention following the use of such scoring</w:t>
            </w:r>
            <w:bookmarkEnd w:id="136"/>
          </w:p>
        </w:tc>
        <w:tc>
          <w:tcPr>
            <w:tcW w:w="3474" w:type="dxa"/>
          </w:tcPr>
          <w:p w14:paraId="3E4A4BC8" w14:textId="77777777" w:rsidR="007C2BA7" w:rsidRPr="00315CD2" w:rsidRDefault="007C2BA7" w:rsidP="007C2BA7">
            <w:pPr>
              <w:pStyle w:val="Tabletext"/>
              <w:rPr>
                <w:rFonts w:asciiTheme="minorHAnsi" w:hAnsiTheme="minorHAnsi"/>
                <w:szCs w:val="22"/>
              </w:rPr>
            </w:pPr>
          </w:p>
        </w:tc>
      </w:tr>
      <w:tr w:rsidR="007C2BA7" w:rsidRPr="00315CD2" w14:paraId="79426F72" w14:textId="77777777" w:rsidTr="00E52914">
        <w:trPr>
          <w:trHeight w:val="282"/>
        </w:trPr>
        <w:tc>
          <w:tcPr>
            <w:tcW w:w="558" w:type="dxa"/>
          </w:tcPr>
          <w:p w14:paraId="6911BECE" w14:textId="1D5883A1"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t>33</w:t>
            </w:r>
          </w:p>
        </w:tc>
        <w:tc>
          <w:tcPr>
            <w:tcW w:w="1071" w:type="dxa"/>
          </w:tcPr>
          <w:p w14:paraId="68D1CB43" w14:textId="7028564B"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British Society for Haematology</w:t>
            </w:r>
          </w:p>
        </w:tc>
        <w:tc>
          <w:tcPr>
            <w:tcW w:w="2761" w:type="dxa"/>
            <w:shd w:val="clear" w:color="auto" w:fill="FFFFFF"/>
          </w:tcPr>
          <w:p w14:paraId="536FAECB" w14:textId="77777777" w:rsidR="007C2BA7" w:rsidRPr="00315CD2" w:rsidRDefault="007C2BA7" w:rsidP="007C2BA7">
            <w:pPr>
              <w:pStyle w:val="Tabletext"/>
              <w:rPr>
                <w:rFonts w:asciiTheme="minorHAnsi" w:hAnsiTheme="minorHAnsi"/>
                <w:szCs w:val="22"/>
              </w:rPr>
            </w:pPr>
          </w:p>
        </w:tc>
        <w:tc>
          <w:tcPr>
            <w:tcW w:w="3118" w:type="dxa"/>
            <w:shd w:val="clear" w:color="auto" w:fill="FFFFFF"/>
          </w:tcPr>
          <w:p w14:paraId="5683698A" w14:textId="77777777" w:rsidR="007C2BA7" w:rsidRPr="00315CD2" w:rsidRDefault="007C2BA7" w:rsidP="007C2BA7">
            <w:pPr>
              <w:pStyle w:val="TableText1"/>
              <w:rPr>
                <w:rFonts w:asciiTheme="minorHAnsi" w:hAnsiTheme="minorHAnsi" w:cs="Arial"/>
                <w:bCs/>
                <w:szCs w:val="22"/>
              </w:rPr>
            </w:pPr>
            <w:r w:rsidRPr="00315CD2">
              <w:rPr>
                <w:rFonts w:asciiTheme="minorHAnsi" w:hAnsiTheme="minorHAnsi" w:cs="Arial"/>
                <w:bCs/>
                <w:szCs w:val="22"/>
              </w:rPr>
              <w:t>NG158</w:t>
            </w:r>
          </w:p>
          <w:p w14:paraId="7E917955" w14:textId="0A74BB5D"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 xml:space="preserve">We could strongly recommend AGAINST using the following NICE recommendation as a QS: Consider anticoagulation treatment with regular monitoring of therapeutic levels for people with confirmed proximal DVT or PE who weigh </w:t>
            </w:r>
            <w:r w:rsidRPr="00315CD2">
              <w:rPr>
                <w:rFonts w:asciiTheme="minorHAnsi" w:hAnsiTheme="minorHAnsi" w:cs="Arial"/>
                <w:bCs/>
                <w:szCs w:val="22"/>
              </w:rPr>
              <w:lastRenderedPageBreak/>
              <w:t>less than 50 kg or more than 120 kg, to ensure effective anticoagulation.</w:t>
            </w:r>
          </w:p>
        </w:tc>
        <w:tc>
          <w:tcPr>
            <w:tcW w:w="3686" w:type="dxa"/>
          </w:tcPr>
          <w:p w14:paraId="2DE8BF0C" w14:textId="77777777" w:rsidR="007C2BA7" w:rsidRPr="00315CD2" w:rsidRDefault="007C2BA7" w:rsidP="007C2BA7">
            <w:pPr>
              <w:pStyle w:val="Tabletext"/>
              <w:rPr>
                <w:rFonts w:asciiTheme="minorHAnsi" w:hAnsiTheme="minorHAnsi"/>
                <w:szCs w:val="22"/>
              </w:rPr>
            </w:pPr>
          </w:p>
        </w:tc>
        <w:tc>
          <w:tcPr>
            <w:tcW w:w="3474" w:type="dxa"/>
          </w:tcPr>
          <w:p w14:paraId="54F5EAED" w14:textId="3B44854D" w:rsidR="007C2BA7" w:rsidRPr="00315CD2" w:rsidRDefault="007C2BA7" w:rsidP="007C2BA7">
            <w:pPr>
              <w:pStyle w:val="Tabletext"/>
              <w:rPr>
                <w:rFonts w:asciiTheme="minorHAnsi" w:hAnsiTheme="minorHAnsi"/>
                <w:szCs w:val="22"/>
              </w:rPr>
            </w:pPr>
            <w:bookmarkStart w:id="137" w:name="_Hlk50317754"/>
            <w:r w:rsidRPr="00315CD2">
              <w:rPr>
                <w:rFonts w:asciiTheme="minorHAnsi" w:hAnsiTheme="minorHAnsi" w:cs="Arial"/>
                <w:bCs/>
                <w:szCs w:val="22"/>
              </w:rPr>
              <w:t>There is zero evidence for this recommendation as per our BSH submission for the draft of NG158. In fact there is a substantial amount of accumulating evidence that monitoring is not required for improving outcomes in patients at the extremes of weight</w:t>
            </w:r>
            <w:bookmarkEnd w:id="137"/>
          </w:p>
        </w:tc>
      </w:tr>
      <w:tr w:rsidR="007C2BA7" w:rsidRPr="00315CD2" w14:paraId="27706B05" w14:textId="77777777" w:rsidTr="00E52914">
        <w:trPr>
          <w:trHeight w:val="282"/>
        </w:trPr>
        <w:tc>
          <w:tcPr>
            <w:tcW w:w="558" w:type="dxa"/>
          </w:tcPr>
          <w:p w14:paraId="1997B033" w14:textId="475F1F23"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t>34</w:t>
            </w:r>
          </w:p>
        </w:tc>
        <w:tc>
          <w:tcPr>
            <w:tcW w:w="1071" w:type="dxa"/>
          </w:tcPr>
          <w:p w14:paraId="6B4F5257" w14:textId="4EBA9C6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SCM6 </w:t>
            </w:r>
          </w:p>
        </w:tc>
        <w:tc>
          <w:tcPr>
            <w:tcW w:w="2761" w:type="dxa"/>
          </w:tcPr>
          <w:p w14:paraId="5D16CE30" w14:textId="680E4B64" w:rsidR="007C2BA7" w:rsidRPr="00315CD2" w:rsidRDefault="007C2BA7" w:rsidP="007C2BA7">
            <w:pPr>
              <w:pStyle w:val="Tabletext"/>
              <w:rPr>
                <w:rFonts w:asciiTheme="minorHAnsi" w:hAnsiTheme="minorHAnsi"/>
                <w:szCs w:val="22"/>
              </w:rPr>
            </w:pPr>
            <w:bookmarkStart w:id="138" w:name="_Hlk50317880"/>
            <w:r w:rsidRPr="00315CD2">
              <w:rPr>
                <w:rFonts w:asciiTheme="minorHAnsi" w:hAnsiTheme="minorHAnsi" w:cs="Arial"/>
                <w:szCs w:val="22"/>
              </w:rPr>
              <w:t>Failure to adjust anticoagulants in relation to renal function or extremes of body weight</w:t>
            </w:r>
            <w:bookmarkEnd w:id="138"/>
          </w:p>
        </w:tc>
        <w:tc>
          <w:tcPr>
            <w:tcW w:w="3118" w:type="dxa"/>
          </w:tcPr>
          <w:p w14:paraId="4EF0E792" w14:textId="076F3BD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Reduced efficacy</w:t>
            </w:r>
          </w:p>
        </w:tc>
        <w:tc>
          <w:tcPr>
            <w:tcW w:w="3686" w:type="dxa"/>
          </w:tcPr>
          <w:p w14:paraId="0AF0A79B" w14:textId="77777777" w:rsidR="007C2BA7" w:rsidRPr="00315CD2" w:rsidRDefault="007C2BA7" w:rsidP="007C2BA7">
            <w:pPr>
              <w:pStyle w:val="Tabletext"/>
              <w:rPr>
                <w:rFonts w:asciiTheme="minorHAnsi" w:hAnsiTheme="minorHAnsi"/>
                <w:szCs w:val="22"/>
              </w:rPr>
            </w:pPr>
          </w:p>
        </w:tc>
        <w:tc>
          <w:tcPr>
            <w:tcW w:w="3474" w:type="dxa"/>
          </w:tcPr>
          <w:p w14:paraId="4D5A976F" w14:textId="5157218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Failure to adjust anticoagulants in relation to renal function or extremes of body weight</w:t>
            </w:r>
          </w:p>
        </w:tc>
      </w:tr>
      <w:tr w:rsidR="007C2BA7" w:rsidRPr="00315CD2" w14:paraId="474E5EAC" w14:textId="77777777" w:rsidTr="00E52914">
        <w:trPr>
          <w:trHeight w:val="282"/>
        </w:trPr>
        <w:tc>
          <w:tcPr>
            <w:tcW w:w="558" w:type="dxa"/>
          </w:tcPr>
          <w:p w14:paraId="3A915E0A" w14:textId="6A7250F7"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t>35</w:t>
            </w:r>
          </w:p>
        </w:tc>
        <w:tc>
          <w:tcPr>
            <w:tcW w:w="1071" w:type="dxa"/>
          </w:tcPr>
          <w:p w14:paraId="75D17594" w14:textId="16AF5A3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Anticoagulation UK</w:t>
            </w:r>
          </w:p>
        </w:tc>
        <w:tc>
          <w:tcPr>
            <w:tcW w:w="2761" w:type="dxa"/>
          </w:tcPr>
          <w:p w14:paraId="7F98A7B2" w14:textId="6024E61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Additional developmental areas of emergent practice</w:t>
            </w:r>
          </w:p>
        </w:tc>
        <w:tc>
          <w:tcPr>
            <w:tcW w:w="3118" w:type="dxa"/>
          </w:tcPr>
          <w:p w14:paraId="029AFE36"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1.3.8 Prescribing recommendations…</w:t>
            </w:r>
          </w:p>
          <w:p w14:paraId="1E665E76" w14:textId="0F16FD8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An observation </w:t>
            </w:r>
          </w:p>
        </w:tc>
        <w:tc>
          <w:tcPr>
            <w:tcW w:w="3686" w:type="dxa"/>
          </w:tcPr>
          <w:p w14:paraId="5842A603" w14:textId="0009592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NG 158 directs prescribing of Apixaban and Rivaroxaban for VTE. ACUK is aware that some CCGS are directing other DOACS as first choice. Could this compromise shared decision making process and limit choice of treatment?</w:t>
            </w:r>
          </w:p>
        </w:tc>
        <w:tc>
          <w:tcPr>
            <w:tcW w:w="3474" w:type="dxa"/>
          </w:tcPr>
          <w:p w14:paraId="0FE7B66E" w14:textId="77777777" w:rsidR="007C2BA7" w:rsidRPr="00315CD2" w:rsidRDefault="007C2BA7" w:rsidP="007C2BA7">
            <w:pPr>
              <w:pStyle w:val="Tabletext"/>
              <w:rPr>
                <w:rFonts w:asciiTheme="minorHAnsi" w:hAnsiTheme="minorHAnsi"/>
                <w:szCs w:val="22"/>
              </w:rPr>
            </w:pPr>
          </w:p>
        </w:tc>
      </w:tr>
      <w:tr w:rsidR="007C2BA7" w:rsidRPr="00315CD2" w14:paraId="486700B3" w14:textId="77777777" w:rsidTr="00E52914">
        <w:trPr>
          <w:trHeight w:val="282"/>
        </w:trPr>
        <w:tc>
          <w:tcPr>
            <w:tcW w:w="558" w:type="dxa"/>
          </w:tcPr>
          <w:p w14:paraId="133F3114" w14:textId="2EE0C900"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t>36</w:t>
            </w:r>
          </w:p>
        </w:tc>
        <w:tc>
          <w:tcPr>
            <w:tcW w:w="1071" w:type="dxa"/>
          </w:tcPr>
          <w:p w14:paraId="7A4A9817" w14:textId="01ADD24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Thrombosis UK</w:t>
            </w:r>
          </w:p>
        </w:tc>
        <w:tc>
          <w:tcPr>
            <w:tcW w:w="2761" w:type="dxa"/>
          </w:tcPr>
          <w:p w14:paraId="1AB9A3AB" w14:textId="0468047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4</w:t>
            </w:r>
          </w:p>
        </w:tc>
        <w:tc>
          <w:tcPr>
            <w:tcW w:w="3118" w:type="dxa"/>
          </w:tcPr>
          <w:p w14:paraId="257F6213" w14:textId="77777777" w:rsidR="007C2BA7" w:rsidRPr="00315CD2" w:rsidRDefault="007C2BA7" w:rsidP="007C2BA7">
            <w:pPr>
              <w:rPr>
                <w:rFonts w:asciiTheme="minorHAnsi" w:hAnsiTheme="minorHAnsi" w:cs="Calibri"/>
                <w:color w:val="000000"/>
                <w:sz w:val="22"/>
                <w:szCs w:val="22"/>
              </w:rPr>
            </w:pPr>
            <w:r w:rsidRPr="00315CD2">
              <w:rPr>
                <w:rFonts w:asciiTheme="minorHAnsi" w:hAnsiTheme="minorHAnsi" w:cs="Calibri"/>
                <w:color w:val="000000"/>
                <w:sz w:val="22"/>
                <w:szCs w:val="22"/>
              </w:rPr>
              <w:t>Uniformity of care:</w:t>
            </w:r>
          </w:p>
          <w:p w14:paraId="22E24053" w14:textId="77777777" w:rsidR="007C2BA7" w:rsidRPr="00315CD2" w:rsidRDefault="007C2BA7" w:rsidP="007C2BA7">
            <w:pPr>
              <w:rPr>
                <w:rFonts w:asciiTheme="minorHAnsi" w:hAnsiTheme="minorHAnsi" w:cs="Calibri"/>
                <w:color w:val="000000"/>
                <w:sz w:val="22"/>
                <w:szCs w:val="22"/>
              </w:rPr>
            </w:pPr>
          </w:p>
          <w:p w14:paraId="5CCA741C" w14:textId="77777777" w:rsidR="007C2BA7" w:rsidRPr="00315CD2" w:rsidRDefault="007C2BA7" w:rsidP="007C2BA7">
            <w:pPr>
              <w:rPr>
                <w:rFonts w:asciiTheme="minorHAnsi" w:hAnsiTheme="minorHAnsi" w:cs="Calibri"/>
                <w:color w:val="000000"/>
                <w:sz w:val="22"/>
                <w:szCs w:val="22"/>
              </w:rPr>
            </w:pPr>
            <w:r w:rsidRPr="00315CD2">
              <w:rPr>
                <w:rFonts w:asciiTheme="minorHAnsi" w:hAnsiTheme="minorHAnsi" w:cs="Calibri"/>
                <w:color w:val="000000"/>
                <w:sz w:val="22"/>
                <w:szCs w:val="22"/>
              </w:rPr>
              <w:t>Prescribing of anticoagulation for three months if the VTE is a provoked event unless there are other risk factors indicated.</w:t>
            </w:r>
          </w:p>
          <w:p w14:paraId="5DD54CB5" w14:textId="77777777" w:rsidR="007C2BA7" w:rsidRPr="00315CD2" w:rsidRDefault="007C2BA7" w:rsidP="007C2BA7">
            <w:pPr>
              <w:rPr>
                <w:rFonts w:asciiTheme="minorHAnsi" w:hAnsiTheme="minorHAnsi" w:cs="Calibri"/>
                <w:color w:val="000000"/>
                <w:sz w:val="22"/>
                <w:szCs w:val="22"/>
              </w:rPr>
            </w:pPr>
          </w:p>
          <w:p w14:paraId="5AECA33B" w14:textId="77777777" w:rsidR="007C2BA7" w:rsidRPr="00315CD2" w:rsidRDefault="007C2BA7" w:rsidP="007C2BA7">
            <w:pPr>
              <w:rPr>
                <w:rFonts w:asciiTheme="minorHAnsi" w:hAnsiTheme="minorHAnsi" w:cs="Calibri"/>
                <w:color w:val="000000"/>
                <w:sz w:val="22"/>
                <w:szCs w:val="22"/>
              </w:rPr>
            </w:pPr>
            <w:r w:rsidRPr="00315CD2">
              <w:rPr>
                <w:rFonts w:asciiTheme="minorHAnsi" w:hAnsiTheme="minorHAnsi" w:cs="Calibri"/>
                <w:color w:val="000000"/>
                <w:sz w:val="22"/>
                <w:szCs w:val="22"/>
              </w:rPr>
              <w:t>Annual anticoagulation review.</w:t>
            </w:r>
          </w:p>
          <w:p w14:paraId="5EC88D98" w14:textId="77777777" w:rsidR="007C2BA7" w:rsidRPr="00315CD2" w:rsidRDefault="007C2BA7" w:rsidP="007C2BA7">
            <w:pPr>
              <w:pStyle w:val="Tabletext"/>
              <w:rPr>
                <w:rFonts w:asciiTheme="minorHAnsi" w:hAnsiTheme="minorHAnsi"/>
                <w:szCs w:val="22"/>
              </w:rPr>
            </w:pPr>
          </w:p>
        </w:tc>
        <w:tc>
          <w:tcPr>
            <w:tcW w:w="3686" w:type="dxa"/>
          </w:tcPr>
          <w:p w14:paraId="4EECDC15" w14:textId="433EE25A" w:rsidR="007C2BA7" w:rsidRPr="00315CD2" w:rsidRDefault="007C2BA7" w:rsidP="007C2BA7">
            <w:pPr>
              <w:pStyle w:val="Tabletext"/>
              <w:rPr>
                <w:rFonts w:asciiTheme="minorHAnsi" w:hAnsiTheme="minorHAnsi"/>
                <w:szCs w:val="22"/>
              </w:rPr>
            </w:pPr>
            <w:r w:rsidRPr="00315CD2">
              <w:rPr>
                <w:rFonts w:asciiTheme="minorHAnsi" w:hAnsiTheme="minorHAnsi" w:cs="Calibri"/>
                <w:szCs w:val="22"/>
              </w:rPr>
              <w:t>Current practice varies considerably across England. This is not reflective of evidence nor of a quality standard of care deserved by each patient.</w:t>
            </w:r>
          </w:p>
        </w:tc>
        <w:tc>
          <w:tcPr>
            <w:tcW w:w="3474" w:type="dxa"/>
          </w:tcPr>
          <w:p w14:paraId="5E7E8151"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A recently published paper examples the benefits of review and current issues in variation of care and the harm that can occur</w:t>
            </w:r>
          </w:p>
          <w:p w14:paraId="6FC3DFA0" w14:textId="36838AC8" w:rsidR="007C2BA7" w:rsidRPr="00E52914" w:rsidRDefault="00473E39" w:rsidP="00E52914">
            <w:pPr>
              <w:rPr>
                <w:rFonts w:asciiTheme="minorHAnsi" w:hAnsiTheme="minorHAnsi" w:cs="Calibri"/>
                <w:sz w:val="22"/>
                <w:szCs w:val="22"/>
              </w:rPr>
            </w:pPr>
            <w:hyperlink r:id="rId112" w:history="1">
              <w:r w:rsidR="007C2BA7" w:rsidRPr="00315CD2">
                <w:rPr>
                  <w:rStyle w:val="Hyperlink"/>
                  <w:rFonts w:asciiTheme="minorHAnsi" w:hAnsiTheme="minorHAnsi" w:cs="Calibri"/>
                  <w:sz w:val="22"/>
                  <w:szCs w:val="22"/>
                </w:rPr>
                <w:t>https://www.cambridge.org/core/services/aop-cambridge-core/content/view/24C34506FF0A90FB9349E0D291EEC57F/S1463423620000171a.pdf/implementation_of_a_standardised_annual_anticoagulation_specialist_review_in_primary_care.pdf</w:t>
              </w:r>
            </w:hyperlink>
          </w:p>
        </w:tc>
      </w:tr>
      <w:tr w:rsidR="007C2BA7" w:rsidRPr="00315CD2" w14:paraId="7F4B90E1" w14:textId="77777777" w:rsidTr="00E52914">
        <w:trPr>
          <w:trHeight w:val="282"/>
        </w:trPr>
        <w:tc>
          <w:tcPr>
            <w:tcW w:w="558" w:type="dxa"/>
          </w:tcPr>
          <w:p w14:paraId="1210D817" w14:textId="55342D3B"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lastRenderedPageBreak/>
              <w:t>37</w:t>
            </w:r>
          </w:p>
        </w:tc>
        <w:tc>
          <w:tcPr>
            <w:tcW w:w="1071" w:type="dxa"/>
          </w:tcPr>
          <w:p w14:paraId="2B3E9391" w14:textId="0641A3B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Clinical Leaders of Thrombosis</w:t>
            </w:r>
          </w:p>
        </w:tc>
        <w:tc>
          <w:tcPr>
            <w:tcW w:w="2761" w:type="dxa"/>
          </w:tcPr>
          <w:p w14:paraId="1AAFF7C5" w14:textId="1F31C03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Additional developmental areas of emergent practice</w:t>
            </w:r>
          </w:p>
        </w:tc>
        <w:tc>
          <w:tcPr>
            <w:tcW w:w="3118" w:type="dxa"/>
          </w:tcPr>
          <w:p w14:paraId="6BC10F17" w14:textId="52A75660" w:rsidR="007C2BA7" w:rsidRPr="00315CD2" w:rsidRDefault="007C2BA7" w:rsidP="007C2BA7">
            <w:pPr>
              <w:pStyle w:val="Tabletext"/>
              <w:rPr>
                <w:rFonts w:asciiTheme="minorHAnsi" w:hAnsiTheme="minorHAnsi"/>
                <w:szCs w:val="22"/>
              </w:rPr>
            </w:pPr>
            <w:bookmarkStart w:id="139" w:name="_Hlk50319028"/>
            <w:r w:rsidRPr="00315CD2">
              <w:rPr>
                <w:rFonts w:asciiTheme="minorHAnsi" w:hAnsiTheme="minorHAnsi" w:cs="Arial"/>
                <w:szCs w:val="22"/>
              </w:rPr>
              <w:t>To look at anticoagulant practice in obese and super obese patients which is a growing issue and practice varies differently across the country</w:t>
            </w:r>
            <w:bookmarkEnd w:id="139"/>
          </w:p>
        </w:tc>
        <w:tc>
          <w:tcPr>
            <w:tcW w:w="3686" w:type="dxa"/>
          </w:tcPr>
          <w:p w14:paraId="686CCCFB" w14:textId="77777777" w:rsidR="007C2BA7" w:rsidRPr="00315CD2" w:rsidRDefault="007C2BA7" w:rsidP="007C2BA7">
            <w:pPr>
              <w:pStyle w:val="Tabletext"/>
              <w:rPr>
                <w:rFonts w:asciiTheme="minorHAnsi" w:hAnsiTheme="minorHAnsi"/>
                <w:szCs w:val="22"/>
              </w:rPr>
            </w:pPr>
          </w:p>
        </w:tc>
        <w:tc>
          <w:tcPr>
            <w:tcW w:w="3474" w:type="dxa"/>
          </w:tcPr>
          <w:p w14:paraId="31009B1E" w14:textId="77777777" w:rsidR="007C2BA7" w:rsidRPr="00315CD2" w:rsidRDefault="007C2BA7" w:rsidP="007C2BA7">
            <w:pPr>
              <w:pStyle w:val="Tabletext"/>
              <w:rPr>
                <w:rFonts w:asciiTheme="minorHAnsi" w:hAnsiTheme="minorHAnsi"/>
                <w:szCs w:val="22"/>
              </w:rPr>
            </w:pPr>
          </w:p>
        </w:tc>
      </w:tr>
      <w:tr w:rsidR="007C2BA7" w:rsidRPr="00315CD2" w14:paraId="5DB4C497" w14:textId="77777777" w:rsidTr="00E52914">
        <w:trPr>
          <w:trHeight w:val="282"/>
        </w:trPr>
        <w:tc>
          <w:tcPr>
            <w:tcW w:w="558" w:type="dxa"/>
          </w:tcPr>
          <w:p w14:paraId="6BB783E2" w14:textId="58DBC5AB"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t>38</w:t>
            </w:r>
          </w:p>
        </w:tc>
        <w:tc>
          <w:tcPr>
            <w:tcW w:w="1071" w:type="dxa"/>
          </w:tcPr>
          <w:p w14:paraId="7A4B596D" w14:textId="78A9865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LEO Pharma</w:t>
            </w:r>
          </w:p>
        </w:tc>
        <w:tc>
          <w:tcPr>
            <w:tcW w:w="2761" w:type="dxa"/>
          </w:tcPr>
          <w:p w14:paraId="1A948C15" w14:textId="77777777" w:rsidR="007C2BA7" w:rsidRPr="00315CD2" w:rsidRDefault="007C2BA7" w:rsidP="007C2BA7">
            <w:pPr>
              <w:pStyle w:val="Paragraphnonumbers"/>
              <w:spacing w:after="120"/>
              <w:rPr>
                <w:rFonts w:asciiTheme="minorHAnsi" w:hAnsiTheme="minorHAnsi" w:cs="Arial"/>
                <w:sz w:val="22"/>
                <w:szCs w:val="22"/>
              </w:rPr>
            </w:pPr>
            <w:r w:rsidRPr="00315CD2">
              <w:rPr>
                <w:rFonts w:asciiTheme="minorHAnsi" w:hAnsiTheme="minorHAnsi" w:cs="Arial"/>
                <w:sz w:val="22"/>
                <w:szCs w:val="22"/>
              </w:rPr>
              <w:t>Key area for quality improvement 4</w:t>
            </w:r>
          </w:p>
          <w:p w14:paraId="4FCEC37E" w14:textId="77777777" w:rsidR="007C2BA7" w:rsidRPr="00315CD2" w:rsidRDefault="007C2BA7" w:rsidP="007C2BA7">
            <w:pPr>
              <w:pStyle w:val="Paragraphnonumbers"/>
              <w:spacing w:after="120"/>
              <w:rPr>
                <w:rFonts w:asciiTheme="minorHAnsi" w:hAnsiTheme="minorHAnsi" w:cs="Arial"/>
                <w:sz w:val="22"/>
                <w:szCs w:val="22"/>
              </w:rPr>
            </w:pPr>
          </w:p>
          <w:p w14:paraId="37B2B331" w14:textId="4A2E85A6" w:rsidR="007C2BA7" w:rsidRPr="00315CD2" w:rsidRDefault="007C2BA7" w:rsidP="007C2BA7">
            <w:pPr>
              <w:pStyle w:val="Tabletext"/>
              <w:rPr>
                <w:rFonts w:asciiTheme="minorHAnsi" w:hAnsiTheme="minorHAnsi"/>
                <w:szCs w:val="22"/>
              </w:rPr>
            </w:pPr>
            <w:r w:rsidRPr="00315CD2">
              <w:rPr>
                <w:rFonts w:asciiTheme="minorHAnsi" w:hAnsiTheme="minorHAnsi" w:cs="Arial"/>
                <w:b/>
                <w:bCs/>
                <w:szCs w:val="22"/>
              </w:rPr>
              <w:t>Specific assessments of bleeding risk in people with VTE and active cancer should be conducted to inform appropriate choice of anticoagulant.</w:t>
            </w:r>
          </w:p>
        </w:tc>
        <w:tc>
          <w:tcPr>
            <w:tcW w:w="3118" w:type="dxa"/>
          </w:tcPr>
          <w:p w14:paraId="75CA1914"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Patients with Cancer Associated Thrombosis (CAT) have specific risk factors for bleeding and there is evidence to show that these can be managed with appropriate choice of class of medication.</w:t>
            </w:r>
          </w:p>
          <w:p w14:paraId="6531040F"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NICE Guidance recommends that bleeding risk is taken into account when choosing class of anticoagulant for people with VTE and active cancer.</w:t>
            </w:r>
          </w:p>
          <w:p w14:paraId="5D913DBC" w14:textId="24758D9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Hospital Trusts should document specific risk assessments of bleeding risk in people with VTE and active cancer.</w:t>
            </w:r>
          </w:p>
        </w:tc>
        <w:tc>
          <w:tcPr>
            <w:tcW w:w="3686" w:type="dxa"/>
          </w:tcPr>
          <w:p w14:paraId="4CC5A109"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 xml:space="preserve">Different Hospital Trust guidelines vary in the recommendation they make on the appropriate class of anticoagulant in people with VTE and cancer </w:t>
            </w:r>
          </w:p>
          <w:p w14:paraId="27FA3475" w14:textId="77777777" w:rsidR="007C2BA7" w:rsidRPr="00315CD2" w:rsidRDefault="007C2BA7" w:rsidP="007C2BA7">
            <w:pPr>
              <w:pStyle w:val="Tabletext"/>
              <w:rPr>
                <w:rFonts w:asciiTheme="minorHAnsi" w:hAnsiTheme="minorHAnsi"/>
                <w:szCs w:val="22"/>
              </w:rPr>
            </w:pPr>
          </w:p>
        </w:tc>
        <w:tc>
          <w:tcPr>
            <w:tcW w:w="3474" w:type="dxa"/>
          </w:tcPr>
          <w:p w14:paraId="54BFC589"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Published reviews suggest an increased risk of clinically relevant non-major bleeding when treating cancer associated thrombosis with Direct-acting Oral Anticoagulants (DOAC) than with Low Molecular Weight Heparins (LMWH)</w:t>
            </w:r>
          </w:p>
          <w:p w14:paraId="5C0A0EDB" w14:textId="77777777" w:rsidR="007C2BA7" w:rsidRPr="00315CD2" w:rsidRDefault="007C2BA7" w:rsidP="007C2BA7">
            <w:pPr>
              <w:shd w:val="clear" w:color="auto" w:fill="FFFFFF"/>
              <w:rPr>
                <w:rStyle w:val="citation-doi"/>
                <w:rFonts w:asciiTheme="minorHAnsi" w:hAnsiTheme="minorHAnsi"/>
                <w:sz w:val="22"/>
                <w:szCs w:val="22"/>
                <w:shd w:val="clear" w:color="auto" w:fill="FFFFFF"/>
              </w:rPr>
            </w:pPr>
            <w:r w:rsidRPr="00315CD2">
              <w:rPr>
                <w:rFonts w:asciiTheme="minorHAnsi" w:hAnsiTheme="minorHAnsi" w:cs="Segoe UI"/>
                <w:b/>
                <w:bCs/>
                <w:color w:val="5B616B"/>
                <w:sz w:val="22"/>
                <w:szCs w:val="22"/>
              </w:rPr>
              <w:t>T</w:t>
            </w:r>
            <w:r w:rsidRPr="00315CD2">
              <w:rPr>
                <w:rFonts w:asciiTheme="minorHAnsi" w:hAnsiTheme="minorHAnsi"/>
                <w:b/>
                <w:bCs/>
                <w:sz w:val="22"/>
                <w:szCs w:val="22"/>
              </w:rPr>
              <w:t>ao et al</w:t>
            </w:r>
            <w:r w:rsidRPr="00315CD2">
              <w:rPr>
                <w:rFonts w:asciiTheme="minorHAnsi" w:hAnsiTheme="minorHAnsi"/>
                <w:sz w:val="22"/>
                <w:szCs w:val="22"/>
              </w:rPr>
              <w:t xml:space="preserve"> </w:t>
            </w:r>
            <w:r w:rsidRPr="00315CD2">
              <w:rPr>
                <w:rFonts w:asciiTheme="minorHAnsi" w:hAnsiTheme="minorHAnsi" w:cs="Segoe UI"/>
                <w:color w:val="5B616B"/>
                <w:sz w:val="22"/>
                <w:szCs w:val="22"/>
              </w:rPr>
              <w:t>Eur J Haematol</w:t>
            </w:r>
            <w:r w:rsidRPr="00315CD2">
              <w:rPr>
                <w:rStyle w:val="period"/>
                <w:rFonts w:asciiTheme="minorHAnsi" w:hAnsiTheme="minorHAnsi" w:cs="Segoe UI"/>
                <w:color w:val="0071BC"/>
                <w:sz w:val="22"/>
                <w:szCs w:val="22"/>
              </w:rPr>
              <w:t>. </w:t>
            </w:r>
            <w:r w:rsidRPr="00315CD2">
              <w:rPr>
                <w:rStyle w:val="cit"/>
                <w:rFonts w:asciiTheme="minorHAnsi" w:eastAsiaTheme="majorEastAsia" w:hAnsiTheme="minorHAnsi" w:cs="Segoe UI"/>
                <w:color w:val="5B616B"/>
                <w:sz w:val="22"/>
                <w:szCs w:val="22"/>
              </w:rPr>
              <w:t>2020 May22.</w:t>
            </w:r>
            <w:r w:rsidRPr="00315CD2">
              <w:rPr>
                <w:rStyle w:val="citation-doi"/>
                <w:rFonts w:asciiTheme="minorHAnsi" w:hAnsiTheme="minorHAnsi" w:cs="Segoe UI"/>
                <w:color w:val="5B616B"/>
                <w:sz w:val="22"/>
                <w:szCs w:val="22"/>
                <w:shd w:val="clear" w:color="auto" w:fill="FFFFFF"/>
              </w:rPr>
              <w:t xml:space="preserve">doi:10.1111/ejh.13453 </w:t>
            </w:r>
          </w:p>
          <w:p w14:paraId="44BB3A34" w14:textId="77777777" w:rsidR="007C2BA7" w:rsidRPr="00315CD2" w:rsidRDefault="007C2BA7" w:rsidP="007C2BA7">
            <w:pPr>
              <w:pStyle w:val="Tabletext"/>
              <w:rPr>
                <w:rFonts w:asciiTheme="minorHAnsi" w:hAnsiTheme="minorHAnsi"/>
                <w:szCs w:val="22"/>
              </w:rPr>
            </w:pPr>
          </w:p>
        </w:tc>
      </w:tr>
      <w:tr w:rsidR="007C2BA7" w:rsidRPr="00315CD2" w14:paraId="4E9F1B8C" w14:textId="77777777" w:rsidTr="00E52914">
        <w:trPr>
          <w:trHeight w:val="282"/>
        </w:trPr>
        <w:tc>
          <w:tcPr>
            <w:tcW w:w="558" w:type="dxa"/>
          </w:tcPr>
          <w:p w14:paraId="603B257C" w14:textId="3E975E7A"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lastRenderedPageBreak/>
              <w:t>39</w:t>
            </w:r>
          </w:p>
        </w:tc>
        <w:tc>
          <w:tcPr>
            <w:tcW w:w="1071" w:type="dxa"/>
          </w:tcPr>
          <w:p w14:paraId="5819F457" w14:textId="08E8CB9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LEO Pharma</w:t>
            </w:r>
          </w:p>
        </w:tc>
        <w:tc>
          <w:tcPr>
            <w:tcW w:w="2761" w:type="dxa"/>
          </w:tcPr>
          <w:p w14:paraId="65D72623" w14:textId="77777777" w:rsidR="007C2BA7" w:rsidRPr="00315CD2" w:rsidRDefault="007C2BA7" w:rsidP="007C2BA7">
            <w:pPr>
              <w:pStyle w:val="Paragraphnonumbers"/>
              <w:spacing w:after="120"/>
              <w:rPr>
                <w:rFonts w:asciiTheme="minorHAnsi" w:hAnsiTheme="minorHAnsi" w:cs="Arial"/>
                <w:sz w:val="22"/>
                <w:szCs w:val="22"/>
              </w:rPr>
            </w:pPr>
            <w:r w:rsidRPr="00315CD2">
              <w:rPr>
                <w:rFonts w:asciiTheme="minorHAnsi" w:hAnsiTheme="minorHAnsi" w:cs="Arial"/>
                <w:sz w:val="22"/>
                <w:szCs w:val="22"/>
              </w:rPr>
              <w:t>Key area for quality improvement 5</w:t>
            </w:r>
          </w:p>
          <w:p w14:paraId="09DEF518" w14:textId="77777777" w:rsidR="007C2BA7" w:rsidRPr="00315CD2" w:rsidRDefault="007C2BA7" w:rsidP="007C2BA7">
            <w:pPr>
              <w:pStyle w:val="Paragraphnonumbers"/>
              <w:spacing w:after="120"/>
              <w:rPr>
                <w:rFonts w:asciiTheme="minorHAnsi" w:hAnsiTheme="minorHAnsi" w:cs="Arial"/>
                <w:sz w:val="22"/>
                <w:szCs w:val="22"/>
              </w:rPr>
            </w:pPr>
          </w:p>
          <w:p w14:paraId="76BF95D4" w14:textId="496D4E2B" w:rsidR="007C2BA7" w:rsidRPr="00315CD2" w:rsidRDefault="007C2BA7" w:rsidP="007C2BA7">
            <w:pPr>
              <w:pStyle w:val="Tabletext"/>
              <w:rPr>
                <w:rFonts w:asciiTheme="minorHAnsi" w:hAnsiTheme="minorHAnsi"/>
                <w:szCs w:val="22"/>
              </w:rPr>
            </w:pPr>
            <w:r w:rsidRPr="00315CD2">
              <w:rPr>
                <w:rFonts w:asciiTheme="minorHAnsi" w:hAnsiTheme="minorHAnsi" w:cs="Arial"/>
                <w:b/>
                <w:bCs/>
                <w:szCs w:val="22"/>
              </w:rPr>
              <w:t>People with active cancer &amp; VTE receive anticoagulation therapy for up to 6 months  &amp; are reviewed within the 6 months.</w:t>
            </w:r>
          </w:p>
        </w:tc>
        <w:tc>
          <w:tcPr>
            <w:tcW w:w="3118" w:type="dxa"/>
          </w:tcPr>
          <w:p w14:paraId="015CA729"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People with active cancer benefit from extended treatment.</w:t>
            </w:r>
          </w:p>
          <w:p w14:paraId="5A8573B5"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NICE NG 158 recommends that people with active cancer and VTE are offered anticoagulation for 3 to 6 months and reviewed at 3 to 6 months.</w:t>
            </w:r>
          </w:p>
          <w:p w14:paraId="2EE3D942" w14:textId="4CB4E03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Hospital Trusts should ensure that treatment has been planned for up to 6 months and has been reviewed before 6 months and </w:t>
            </w:r>
            <w:r w:rsidRPr="00315CD2">
              <w:rPr>
                <w:rFonts w:asciiTheme="minorHAnsi" w:hAnsiTheme="minorHAnsi"/>
                <w:szCs w:val="22"/>
              </w:rPr>
              <w:t>the benefits and risks of continuing, stopping or changing the anticoagulant beyond this period have been discussed with the recipient and documented</w:t>
            </w:r>
          </w:p>
        </w:tc>
        <w:tc>
          <w:tcPr>
            <w:tcW w:w="3686" w:type="dxa"/>
          </w:tcPr>
          <w:p w14:paraId="76127A89" w14:textId="520A6DC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There are variations between hospitals in duration of extended treatment for people with VTE and active cancer.</w:t>
            </w:r>
          </w:p>
        </w:tc>
        <w:tc>
          <w:tcPr>
            <w:tcW w:w="3474" w:type="dxa"/>
          </w:tcPr>
          <w:p w14:paraId="3DF3D780" w14:textId="7522564A" w:rsidR="007C2BA7" w:rsidRPr="00315CD2" w:rsidRDefault="007C2BA7" w:rsidP="007C2BA7">
            <w:pPr>
              <w:pStyle w:val="Tabletext"/>
              <w:rPr>
                <w:rFonts w:asciiTheme="minorHAnsi" w:hAnsiTheme="minorHAnsi"/>
                <w:szCs w:val="22"/>
              </w:rPr>
            </w:pPr>
            <w:r w:rsidRPr="00315CD2">
              <w:rPr>
                <w:rFonts w:asciiTheme="minorHAnsi" w:hAnsiTheme="minorHAnsi" w:cs="Arial"/>
                <w:szCs w:val="22"/>
                <w:u w:val="single"/>
              </w:rPr>
              <w:t xml:space="preserve">Prescription data </w:t>
            </w:r>
            <w:r w:rsidRPr="00315CD2">
              <w:rPr>
                <w:rFonts w:asciiTheme="minorHAnsi" w:hAnsiTheme="minorHAnsi" w:cs="Arial"/>
                <w:b/>
                <w:bCs/>
                <w:szCs w:val="22"/>
                <w:u w:val="single"/>
              </w:rPr>
              <w:t>(from Kantar, commercial in confidence)</w:t>
            </w:r>
            <w:r w:rsidRPr="00315CD2">
              <w:rPr>
                <w:rFonts w:asciiTheme="minorHAnsi" w:hAnsiTheme="minorHAnsi" w:cs="Arial"/>
                <w:szCs w:val="22"/>
                <w:u w:val="single"/>
              </w:rPr>
              <w:t xml:space="preserve"> shows a difference in the national average number of days that different Low Molecular Weight Heparins are used for anticoagulation in people with cancer and VTE, ranging from 140 to 158 days in people receiving cancer-chemotherapy and from 163 to 200 days in people with metastases</w:t>
            </w:r>
          </w:p>
        </w:tc>
      </w:tr>
      <w:tr w:rsidR="007C2BA7" w:rsidRPr="00315CD2" w14:paraId="5EFA3086" w14:textId="77777777" w:rsidTr="00E52914">
        <w:trPr>
          <w:trHeight w:val="282"/>
        </w:trPr>
        <w:tc>
          <w:tcPr>
            <w:tcW w:w="558" w:type="dxa"/>
          </w:tcPr>
          <w:p w14:paraId="62802CB6" w14:textId="422553B3" w:rsidR="007C2BA7" w:rsidRPr="00315CD2" w:rsidRDefault="005A0AC9" w:rsidP="007C2BA7">
            <w:pPr>
              <w:pStyle w:val="Tabletext"/>
              <w:rPr>
                <w:rFonts w:asciiTheme="minorHAnsi" w:hAnsiTheme="minorHAnsi"/>
                <w:szCs w:val="22"/>
                <w:lang w:eastAsia="en-GB"/>
              </w:rPr>
            </w:pPr>
            <w:r>
              <w:rPr>
                <w:rFonts w:asciiTheme="minorHAnsi" w:hAnsiTheme="minorHAnsi"/>
                <w:szCs w:val="22"/>
                <w:lang w:eastAsia="en-GB"/>
              </w:rPr>
              <w:t>40</w:t>
            </w:r>
          </w:p>
        </w:tc>
        <w:tc>
          <w:tcPr>
            <w:tcW w:w="1071" w:type="dxa"/>
          </w:tcPr>
          <w:p w14:paraId="6A4035E1" w14:textId="41553D6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SCM5</w:t>
            </w:r>
          </w:p>
        </w:tc>
        <w:tc>
          <w:tcPr>
            <w:tcW w:w="2761" w:type="dxa"/>
          </w:tcPr>
          <w:p w14:paraId="3C5FEAEE" w14:textId="7E21A79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4</w:t>
            </w:r>
          </w:p>
        </w:tc>
        <w:tc>
          <w:tcPr>
            <w:tcW w:w="3118" w:type="dxa"/>
          </w:tcPr>
          <w:p w14:paraId="46C47F68" w14:textId="6C27C39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Chemical prophylaxis and anticoagulation given as per NG89 and NG158</w:t>
            </w:r>
          </w:p>
        </w:tc>
        <w:tc>
          <w:tcPr>
            <w:tcW w:w="3686" w:type="dxa"/>
          </w:tcPr>
          <w:p w14:paraId="5EC2D713" w14:textId="6F6FFA1D" w:rsidR="007C2BA7" w:rsidRPr="00315CD2" w:rsidRDefault="007C2BA7" w:rsidP="007C2BA7">
            <w:pPr>
              <w:pStyle w:val="Paragraphnonumbers"/>
              <w:rPr>
                <w:rFonts w:asciiTheme="minorHAnsi" w:hAnsiTheme="minorHAnsi" w:cs="Arial"/>
                <w:sz w:val="22"/>
                <w:szCs w:val="22"/>
              </w:rPr>
            </w:pPr>
            <w:bookmarkStart w:id="140" w:name="_Hlk50319092"/>
            <w:r w:rsidRPr="00315CD2">
              <w:rPr>
                <w:rFonts w:asciiTheme="minorHAnsi" w:hAnsiTheme="minorHAnsi" w:cs="Arial"/>
                <w:sz w:val="22"/>
                <w:szCs w:val="22"/>
              </w:rPr>
              <w:t xml:space="preserve">Still cases of inappropriate dose omissions of thtomboprophylaxis (as well as failure to re-assess following temporary interruption –) unclear how this contributes to HAT but needs to be addressed. </w:t>
            </w:r>
          </w:p>
          <w:p w14:paraId="7B58958A" w14:textId="73C1D6F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NG158 should be followed  where possible to optimise patient pathways. </w:t>
            </w:r>
            <w:r w:rsidRPr="00315CD2">
              <w:rPr>
                <w:rFonts w:asciiTheme="minorHAnsi" w:hAnsiTheme="minorHAnsi" w:cs="Arial"/>
                <w:szCs w:val="22"/>
              </w:rPr>
              <w:lastRenderedPageBreak/>
              <w:t>Eg as appropriate DOACs should be considered ahead of lmwh this may require changes to local guidelines and changes/ reconfiguration of cancer associated thrombosis services and clinics.</w:t>
            </w:r>
            <w:bookmarkEnd w:id="140"/>
          </w:p>
        </w:tc>
        <w:tc>
          <w:tcPr>
            <w:tcW w:w="3474" w:type="dxa"/>
          </w:tcPr>
          <w:p w14:paraId="106DCA65" w14:textId="77777777" w:rsidR="007C2BA7" w:rsidRPr="00315CD2" w:rsidRDefault="007C2BA7" w:rsidP="007C2BA7">
            <w:pPr>
              <w:pStyle w:val="Tabletext"/>
              <w:rPr>
                <w:rFonts w:asciiTheme="minorHAnsi" w:hAnsiTheme="minorHAnsi"/>
                <w:szCs w:val="22"/>
              </w:rPr>
            </w:pPr>
          </w:p>
        </w:tc>
      </w:tr>
      <w:tr w:rsidR="007C2BA7" w:rsidRPr="00315CD2" w14:paraId="01DD88A8" w14:textId="77777777" w:rsidTr="00E52914">
        <w:trPr>
          <w:trHeight w:val="282"/>
        </w:trPr>
        <w:tc>
          <w:tcPr>
            <w:tcW w:w="558" w:type="dxa"/>
          </w:tcPr>
          <w:p w14:paraId="28CDDFBB" w14:textId="2FA65326"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41</w:t>
            </w:r>
          </w:p>
        </w:tc>
        <w:tc>
          <w:tcPr>
            <w:tcW w:w="1071" w:type="dxa"/>
          </w:tcPr>
          <w:p w14:paraId="7D0CD80E" w14:textId="6E6053C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Anticoagulation UK</w:t>
            </w:r>
          </w:p>
        </w:tc>
        <w:tc>
          <w:tcPr>
            <w:tcW w:w="2761" w:type="dxa"/>
          </w:tcPr>
          <w:p w14:paraId="70C98A18" w14:textId="007B3DA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1</w:t>
            </w:r>
          </w:p>
        </w:tc>
        <w:tc>
          <w:tcPr>
            <w:tcW w:w="3118" w:type="dxa"/>
          </w:tcPr>
          <w:p w14:paraId="7EC3A20B" w14:textId="12FA193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Self – testing/ monitoring options  for patients on VKA medication </w:t>
            </w:r>
          </w:p>
        </w:tc>
        <w:tc>
          <w:tcPr>
            <w:tcW w:w="3686" w:type="dxa"/>
          </w:tcPr>
          <w:p w14:paraId="1FA57CF7"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 xml:space="preserve">With the uptake of initiation of DOACS for treatment and prevention of VTE, VKA is reducing as a first line treatment. There is a cohort of people who are unsuitable for DOACS, those having undergone mechanical heart valve replacement and antiphospholipid patients. These patients should be offered an opportunity to self – monitor and this should form part of the shared decision making process with their clinician. </w:t>
            </w:r>
          </w:p>
          <w:p w14:paraId="2AB7E0FE"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 xml:space="preserve">We are aware of patients on VKA being reviewed for the purposes of switching to a DOAC. Since the onset of COVID 19, this has become a priority due to the restrictions impacting on regular blood tests and INR readings. Some patients eligible </w:t>
            </w:r>
            <w:r w:rsidRPr="00315CD2">
              <w:rPr>
                <w:rFonts w:asciiTheme="minorHAnsi" w:hAnsiTheme="minorHAnsi" w:cs="Arial"/>
                <w:sz w:val="22"/>
                <w:szCs w:val="22"/>
              </w:rPr>
              <w:lastRenderedPageBreak/>
              <w:t>for switching have been reluctant to switch and still needed blood tests for renal function as required by DOACs. New guidelines around switching and self - testing were published during COVID 19 to direct clinicians responsible for anticoagulation service provision.</w:t>
            </w:r>
          </w:p>
          <w:p w14:paraId="322C6C6B" w14:textId="6B3F368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We would suggest that self – testing must be</w:t>
            </w:r>
            <w:r w:rsidRPr="00315CD2">
              <w:rPr>
                <w:rFonts w:asciiTheme="minorHAnsi" w:hAnsiTheme="minorHAnsi" w:cs="Arial"/>
                <w:b/>
                <w:szCs w:val="22"/>
              </w:rPr>
              <w:t xml:space="preserve"> regarded as an option going forward for any patient on VKA </w:t>
            </w:r>
          </w:p>
        </w:tc>
        <w:tc>
          <w:tcPr>
            <w:tcW w:w="3474" w:type="dxa"/>
          </w:tcPr>
          <w:p w14:paraId="731B5E06"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lastRenderedPageBreak/>
              <w:t>NHS England and NHS Improvement</w:t>
            </w:r>
          </w:p>
          <w:p w14:paraId="7BF2FC58"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Specialty guides for patient management during the coronavirus pandemic</w:t>
            </w:r>
          </w:p>
          <w:p w14:paraId="33C7B906"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Clinical guide for the management of anticoagulant services during the coronavirus pandemic (31 March 2020 Version 1)</w:t>
            </w:r>
          </w:p>
          <w:p w14:paraId="1011FB2B"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 xml:space="preserve">Guidance for the safe switching of warfarin to direct oral anticoagulants (DOACs)for patients with non-valvular AF and venouthromboembolism (DVT / PE) during the coronavirus pandemic 26 March 2020 </w:t>
            </w:r>
          </w:p>
          <w:p w14:paraId="6D48186A" w14:textId="1CDD47E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Lead Author: Helen Williams, FFRPS, FRPharmS Consultant Pharmacist for CVD, NHS Southwark CCG National Clinical Adviser for AF, </w:t>
            </w:r>
            <w:r w:rsidRPr="00315CD2">
              <w:rPr>
                <w:rFonts w:asciiTheme="minorHAnsi" w:hAnsiTheme="minorHAnsi" w:cs="Arial"/>
                <w:szCs w:val="22"/>
              </w:rPr>
              <w:lastRenderedPageBreak/>
              <w:t>AHSNs Network Endorsed by: Royal College of General Practitioners, British Haematology Society</w:t>
            </w:r>
            <w:r w:rsidRPr="00315CD2">
              <w:rPr>
                <w:rFonts w:asciiTheme="minorHAnsi" w:hAnsiTheme="minorHAnsi" w:cs="Arial"/>
                <w:color w:val="2F5496"/>
                <w:szCs w:val="22"/>
              </w:rPr>
              <w:t xml:space="preserve"> </w:t>
            </w:r>
          </w:p>
        </w:tc>
      </w:tr>
      <w:tr w:rsidR="007C2BA7" w:rsidRPr="00315CD2" w14:paraId="7C5E9702" w14:textId="77777777" w:rsidTr="00E52914">
        <w:trPr>
          <w:trHeight w:val="282"/>
        </w:trPr>
        <w:tc>
          <w:tcPr>
            <w:tcW w:w="558" w:type="dxa"/>
          </w:tcPr>
          <w:p w14:paraId="6831ABFB" w14:textId="79AFA16C"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42</w:t>
            </w:r>
          </w:p>
        </w:tc>
        <w:tc>
          <w:tcPr>
            <w:tcW w:w="1071" w:type="dxa"/>
          </w:tcPr>
          <w:p w14:paraId="701B89D5"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All Party Parliamentary Group on Vascular and Venous Disease</w:t>
            </w:r>
          </w:p>
          <w:p w14:paraId="6B839D53" w14:textId="77777777" w:rsidR="007C2BA7" w:rsidRPr="00315CD2" w:rsidRDefault="007C2BA7" w:rsidP="007C2BA7">
            <w:pPr>
              <w:pStyle w:val="TableText1"/>
              <w:rPr>
                <w:rFonts w:asciiTheme="minorHAnsi" w:hAnsiTheme="minorHAnsi" w:cs="Arial"/>
                <w:szCs w:val="22"/>
              </w:rPr>
            </w:pPr>
          </w:p>
          <w:p w14:paraId="33375730" w14:textId="77777777" w:rsidR="007C2BA7" w:rsidRPr="00315CD2" w:rsidRDefault="007C2BA7" w:rsidP="007C2BA7">
            <w:pPr>
              <w:pStyle w:val="TableText1"/>
              <w:rPr>
                <w:rFonts w:asciiTheme="minorHAnsi" w:hAnsiTheme="minorHAnsi" w:cs="Arial"/>
                <w:szCs w:val="22"/>
              </w:rPr>
            </w:pPr>
          </w:p>
          <w:p w14:paraId="6D18A4C7" w14:textId="77777777" w:rsidR="007C2BA7" w:rsidRPr="00315CD2" w:rsidRDefault="007C2BA7" w:rsidP="007C2BA7">
            <w:pPr>
              <w:pStyle w:val="TableText1"/>
              <w:rPr>
                <w:rFonts w:asciiTheme="minorHAnsi" w:hAnsiTheme="minorHAnsi" w:cs="Arial"/>
                <w:szCs w:val="22"/>
              </w:rPr>
            </w:pPr>
          </w:p>
          <w:p w14:paraId="6576460D" w14:textId="77777777" w:rsidR="007C2BA7" w:rsidRPr="00315CD2" w:rsidRDefault="007C2BA7" w:rsidP="007C2BA7">
            <w:pPr>
              <w:pStyle w:val="TableText1"/>
              <w:rPr>
                <w:rFonts w:asciiTheme="minorHAnsi" w:hAnsiTheme="minorHAnsi" w:cs="Arial"/>
                <w:szCs w:val="22"/>
              </w:rPr>
            </w:pPr>
          </w:p>
          <w:p w14:paraId="056A3FF6" w14:textId="77777777" w:rsidR="007C2BA7" w:rsidRPr="00315CD2" w:rsidRDefault="007C2BA7" w:rsidP="007C2BA7">
            <w:pPr>
              <w:pStyle w:val="TableText1"/>
              <w:rPr>
                <w:rFonts w:asciiTheme="minorHAnsi" w:hAnsiTheme="minorHAnsi" w:cs="Arial"/>
                <w:szCs w:val="22"/>
              </w:rPr>
            </w:pPr>
          </w:p>
          <w:p w14:paraId="549FAF59" w14:textId="77777777" w:rsidR="007C2BA7" w:rsidRPr="00315CD2" w:rsidRDefault="007C2BA7" w:rsidP="007C2BA7">
            <w:pPr>
              <w:pStyle w:val="Tabletext"/>
              <w:rPr>
                <w:rFonts w:asciiTheme="minorHAnsi" w:hAnsiTheme="minorHAnsi"/>
                <w:szCs w:val="22"/>
              </w:rPr>
            </w:pPr>
          </w:p>
        </w:tc>
        <w:tc>
          <w:tcPr>
            <w:tcW w:w="2761" w:type="dxa"/>
          </w:tcPr>
          <w:p w14:paraId="0D16CA25" w14:textId="58246EA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Diagnosis and treatment of venous thromboembolism</w:t>
            </w:r>
          </w:p>
        </w:tc>
        <w:tc>
          <w:tcPr>
            <w:tcW w:w="3118" w:type="dxa"/>
          </w:tcPr>
          <w:p w14:paraId="3E5594A1" w14:textId="08B6A01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There is enormous inconsistency regarding duration of anticoagulation therapy. Traditionally, patients have been dichotomised into ‘provoked venous thromboembolism ’ or ‘unprovoked venous thromboembolism ’. However, in reality, the distinction is much more difficult. There is an important group with weak provoking factors only, who probably need long-term anticoagulation. More clarity here would be very useful</w:t>
            </w:r>
          </w:p>
        </w:tc>
        <w:tc>
          <w:tcPr>
            <w:tcW w:w="3686" w:type="dxa"/>
          </w:tcPr>
          <w:p w14:paraId="61276F03"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Inconsistency and variation in practice.</w:t>
            </w:r>
          </w:p>
          <w:p w14:paraId="7433BE40" w14:textId="77777777" w:rsidR="007C2BA7" w:rsidRPr="00315CD2" w:rsidRDefault="007C2BA7" w:rsidP="007C2BA7">
            <w:pPr>
              <w:pStyle w:val="Tabletext"/>
              <w:rPr>
                <w:rFonts w:asciiTheme="minorHAnsi" w:hAnsiTheme="minorHAnsi"/>
                <w:szCs w:val="22"/>
              </w:rPr>
            </w:pPr>
          </w:p>
        </w:tc>
        <w:tc>
          <w:tcPr>
            <w:tcW w:w="3474" w:type="dxa"/>
          </w:tcPr>
          <w:p w14:paraId="40DAA0D4" w14:textId="77777777" w:rsidR="007C2BA7" w:rsidRPr="00315CD2" w:rsidRDefault="007C2BA7" w:rsidP="007C2BA7">
            <w:pPr>
              <w:pStyle w:val="ListParagraph"/>
              <w:ind w:left="0"/>
              <w:rPr>
                <w:rFonts w:asciiTheme="minorHAnsi" w:hAnsiTheme="minorHAnsi" w:cs="Arial"/>
                <w:sz w:val="22"/>
                <w:szCs w:val="22"/>
              </w:rPr>
            </w:pPr>
            <w:r w:rsidRPr="00315CD2">
              <w:rPr>
                <w:rFonts w:asciiTheme="minorHAnsi" w:hAnsiTheme="minorHAnsi" w:cs="Arial"/>
                <w:sz w:val="22"/>
                <w:szCs w:val="22"/>
              </w:rPr>
              <w:t xml:space="preserve">Reference (1) - American College of Physicians – Raja et al., Evaluation of patients with suspected acute pulmonary embolism: Best practice advice from the clinical guidelines committee of the American College of Physicians. Ann Intern Med 2015; 163 (9):701;                                          reference (2) - European Society of Cardiology – Konstantinides et al., Guidelines for the diagnosis and management of acute pulmonary embolism developed in collaboration with European Respiratory Society (ERS) : The task force for the diagnosis and management of acute pulmonary </w:t>
            </w:r>
            <w:r w:rsidRPr="00315CD2">
              <w:rPr>
                <w:rFonts w:asciiTheme="minorHAnsi" w:hAnsiTheme="minorHAnsi" w:cs="Arial"/>
                <w:sz w:val="22"/>
                <w:szCs w:val="22"/>
              </w:rPr>
              <w:lastRenderedPageBreak/>
              <w:t>embolism of the European Society of Cardiology (ESC) European Resp J. 2019; 54(3) Epub 2019 (Oct 19);                            reference (3) - CHEST guideline – Kearon et al., Antithrombotic therapy for VTE disease: CHEST Guideline and Expert Panel Report. CHEST 2016; 149(2):315 Epub 2016 Jan 7; reference (4) Anecdotal feedback from healthcare professionals.</w:t>
            </w:r>
          </w:p>
          <w:p w14:paraId="00168E52" w14:textId="77777777" w:rsidR="007C2BA7" w:rsidRPr="00315CD2" w:rsidRDefault="007C2BA7" w:rsidP="007C2BA7">
            <w:pPr>
              <w:pStyle w:val="Tabletext"/>
              <w:rPr>
                <w:rFonts w:asciiTheme="minorHAnsi" w:hAnsiTheme="minorHAnsi"/>
                <w:szCs w:val="22"/>
              </w:rPr>
            </w:pPr>
          </w:p>
        </w:tc>
      </w:tr>
      <w:tr w:rsidR="007C2BA7" w:rsidRPr="00315CD2" w14:paraId="0490E618" w14:textId="77777777" w:rsidTr="00E52914">
        <w:trPr>
          <w:trHeight w:val="282"/>
        </w:trPr>
        <w:tc>
          <w:tcPr>
            <w:tcW w:w="558" w:type="dxa"/>
          </w:tcPr>
          <w:p w14:paraId="6EDAD693" w14:textId="44E883C2"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43</w:t>
            </w:r>
          </w:p>
        </w:tc>
        <w:tc>
          <w:tcPr>
            <w:tcW w:w="1071" w:type="dxa"/>
          </w:tcPr>
          <w:p w14:paraId="5C66AAB4" w14:textId="1E58BD9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Bayer Plc</w:t>
            </w:r>
          </w:p>
        </w:tc>
        <w:tc>
          <w:tcPr>
            <w:tcW w:w="2761" w:type="dxa"/>
          </w:tcPr>
          <w:p w14:paraId="4D6DCB6E" w14:textId="77777777" w:rsidR="007C2BA7" w:rsidRPr="00315CD2" w:rsidRDefault="007C2BA7" w:rsidP="007C2BA7">
            <w:pPr>
              <w:pStyle w:val="Paragraphnonumbers"/>
              <w:spacing w:before="120" w:after="120" w:line="240" w:lineRule="auto"/>
              <w:rPr>
                <w:rFonts w:asciiTheme="minorHAnsi" w:hAnsiTheme="minorHAnsi" w:cs="Arial"/>
                <w:sz w:val="22"/>
                <w:szCs w:val="22"/>
              </w:rPr>
            </w:pPr>
            <w:r w:rsidRPr="00315CD2">
              <w:rPr>
                <w:rFonts w:asciiTheme="minorHAnsi" w:hAnsiTheme="minorHAnsi" w:cs="Arial"/>
                <w:sz w:val="22"/>
                <w:szCs w:val="22"/>
              </w:rPr>
              <w:t>Key area for quality improvement 3</w:t>
            </w:r>
          </w:p>
          <w:p w14:paraId="08220DAF" w14:textId="77777777" w:rsidR="007C2BA7" w:rsidRPr="00315CD2" w:rsidRDefault="007C2BA7" w:rsidP="007C2BA7">
            <w:pPr>
              <w:pStyle w:val="Paragraphnonumbers"/>
              <w:spacing w:before="120" w:after="120" w:line="240" w:lineRule="auto"/>
              <w:rPr>
                <w:rFonts w:asciiTheme="minorHAnsi" w:hAnsiTheme="minorHAnsi" w:cs="Arial"/>
                <w:sz w:val="22"/>
                <w:szCs w:val="22"/>
              </w:rPr>
            </w:pPr>
            <w:r w:rsidRPr="00315CD2">
              <w:rPr>
                <w:rFonts w:asciiTheme="minorHAnsi" w:hAnsiTheme="minorHAnsi" w:cs="Arial"/>
                <w:sz w:val="22"/>
                <w:szCs w:val="22"/>
              </w:rPr>
              <w:t xml:space="preserve">Planned review of anticoagulation therapy </w:t>
            </w:r>
            <w:r w:rsidRPr="00315CD2">
              <w:rPr>
                <w:rFonts w:asciiTheme="minorHAnsi" w:hAnsiTheme="minorHAnsi"/>
                <w:sz w:val="22"/>
                <w:szCs w:val="22"/>
              </w:rPr>
              <w:t>to discuss the risks and benefits of continuing anticoagulation therapy</w:t>
            </w:r>
          </w:p>
          <w:p w14:paraId="69AFAB68" w14:textId="1D73BA6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w:t>
            </w:r>
            <w:hyperlink r:id="rId113">
              <w:r w:rsidRPr="00315CD2">
                <w:rPr>
                  <w:rStyle w:val="Hyperlink"/>
                  <w:rFonts w:asciiTheme="minorHAnsi" w:hAnsiTheme="minorHAnsi" w:cs="Arial"/>
                  <w:szCs w:val="22"/>
                </w:rPr>
                <w:t>QS29 - Quality statement 8: Follow</w:t>
              </w:r>
              <w:r w:rsidRPr="00315CD2">
                <w:rPr>
                  <w:rStyle w:val="Hyperlink"/>
                  <w:rFonts w:ascii="Cambria Math" w:hAnsi="Cambria Math" w:cs="Cambria Math"/>
                  <w:szCs w:val="22"/>
                </w:rPr>
                <w:t>‑</w:t>
              </w:r>
              <w:r w:rsidRPr="00315CD2">
                <w:rPr>
                  <w:rStyle w:val="Hyperlink"/>
                  <w:rFonts w:asciiTheme="minorHAnsi" w:hAnsiTheme="minorHAnsi" w:cs="Arial"/>
                  <w:szCs w:val="22"/>
                </w:rPr>
                <w:t>up for people without cancer</w:t>
              </w:r>
            </w:hyperlink>
            <w:r w:rsidRPr="00315CD2">
              <w:rPr>
                <w:rStyle w:val="Hyperlink"/>
                <w:rFonts w:asciiTheme="minorHAnsi" w:hAnsiTheme="minorHAnsi" w:cs="Arial"/>
                <w:szCs w:val="22"/>
              </w:rPr>
              <w:t xml:space="preserve"> and </w:t>
            </w:r>
            <w:r w:rsidRPr="00315CD2">
              <w:rPr>
                <w:rFonts w:asciiTheme="minorHAnsi" w:hAnsiTheme="minorHAnsi" w:cs="Arial"/>
                <w:color w:val="0563C1"/>
                <w:szCs w:val="22"/>
                <w:u w:val="single"/>
              </w:rPr>
              <w:t>Quality statement 9: Follow</w:t>
            </w:r>
            <w:r w:rsidRPr="00315CD2">
              <w:rPr>
                <w:rFonts w:asciiTheme="minorHAnsi" w:hAnsiTheme="minorHAnsi" w:cs="Arial"/>
                <w:color w:val="0563C1"/>
                <w:szCs w:val="22"/>
                <w:u w:val="single"/>
              </w:rPr>
              <w:noBreakHyphen/>
              <w:t>up for people with cancer</w:t>
            </w:r>
            <w:r w:rsidRPr="00315CD2">
              <w:rPr>
                <w:rFonts w:asciiTheme="minorHAnsi" w:hAnsiTheme="minorHAnsi" w:cs="Arial"/>
                <w:szCs w:val="22"/>
              </w:rPr>
              <w:t>]</w:t>
            </w:r>
          </w:p>
        </w:tc>
        <w:tc>
          <w:tcPr>
            <w:tcW w:w="3118" w:type="dxa"/>
          </w:tcPr>
          <w:p w14:paraId="7BC3EF37" w14:textId="77777777" w:rsidR="007C2BA7" w:rsidRPr="00315CD2" w:rsidRDefault="007C2BA7" w:rsidP="007C2BA7">
            <w:pPr>
              <w:pStyle w:val="Paragraphnonumbers"/>
              <w:spacing w:before="120" w:after="120" w:line="240" w:lineRule="auto"/>
              <w:rPr>
                <w:rFonts w:asciiTheme="minorHAnsi" w:hAnsiTheme="minorHAnsi"/>
                <w:sz w:val="22"/>
                <w:szCs w:val="22"/>
              </w:rPr>
            </w:pPr>
            <w:r w:rsidRPr="00315CD2">
              <w:rPr>
                <w:rFonts w:asciiTheme="minorHAnsi" w:hAnsiTheme="minorHAnsi"/>
                <w:sz w:val="22"/>
                <w:szCs w:val="22"/>
              </w:rPr>
              <w:t>NICE clinical guidelines recommend that people who receive anticoagulation therapy have a review within 3 months of diagnosis of confirmed proximal DVT or PE.</w:t>
            </w:r>
          </w:p>
          <w:p w14:paraId="134FA3D4" w14:textId="26BD085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Patients with VTE and cancer should be reviewed within 3 to 6 months (combine these recommendations into 1).</w:t>
            </w:r>
          </w:p>
        </w:tc>
        <w:tc>
          <w:tcPr>
            <w:tcW w:w="3686" w:type="dxa"/>
          </w:tcPr>
          <w:p w14:paraId="3CF5D915" w14:textId="77777777" w:rsidR="007C2BA7" w:rsidRPr="00315CD2" w:rsidRDefault="007C2BA7" w:rsidP="007C2BA7">
            <w:pPr>
              <w:pStyle w:val="Paragraphnonumbers"/>
              <w:spacing w:before="120" w:after="120" w:line="240" w:lineRule="auto"/>
              <w:rPr>
                <w:rFonts w:asciiTheme="minorHAnsi" w:hAnsiTheme="minorHAnsi" w:cs="Arial"/>
                <w:sz w:val="22"/>
                <w:szCs w:val="22"/>
              </w:rPr>
            </w:pPr>
            <w:bookmarkStart w:id="141" w:name="_Hlk50319675"/>
            <w:r w:rsidRPr="00315CD2">
              <w:rPr>
                <w:rFonts w:asciiTheme="minorHAnsi" w:hAnsiTheme="minorHAnsi" w:cs="Arial"/>
                <w:sz w:val="22"/>
                <w:szCs w:val="22"/>
              </w:rPr>
              <w:t>These quality statements should be retained. Many patients commence treatment for VTE in hospital and are discharged to ongoing care in the community. Throughout this phase of the pathway, maintaining adherence and persistence with extended anticoagulation therapy is a crucial</w:t>
            </w:r>
            <w:r w:rsidRPr="00315CD2">
              <w:rPr>
                <w:rFonts w:asciiTheme="minorHAnsi" w:hAnsiTheme="minorHAnsi"/>
                <w:sz w:val="22"/>
                <w:szCs w:val="22"/>
              </w:rPr>
              <w:t>.</w:t>
            </w:r>
          </w:p>
          <w:p w14:paraId="3E95CE8D" w14:textId="77777777" w:rsidR="007C2BA7" w:rsidRPr="00315CD2" w:rsidRDefault="007C2BA7" w:rsidP="007C2BA7">
            <w:pPr>
              <w:pStyle w:val="Paragraphnonumbers"/>
              <w:spacing w:before="120" w:after="120" w:line="240" w:lineRule="auto"/>
              <w:rPr>
                <w:rFonts w:asciiTheme="minorHAnsi" w:hAnsiTheme="minorHAnsi" w:cs="Arial"/>
                <w:sz w:val="22"/>
                <w:szCs w:val="22"/>
              </w:rPr>
            </w:pPr>
            <w:r w:rsidRPr="00315CD2">
              <w:rPr>
                <w:rFonts w:asciiTheme="minorHAnsi" w:hAnsiTheme="minorHAnsi" w:cs="Arial"/>
                <w:sz w:val="22"/>
                <w:szCs w:val="22"/>
              </w:rPr>
              <w:t xml:space="preserve">Equally, as anticoagulation therapy carries potential risks such as bleeding there is a need to ensure the therapy remains beneficial. </w:t>
            </w:r>
          </w:p>
          <w:p w14:paraId="714CB6D5" w14:textId="1421BB7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Therefore, ensuring all patients are regularly reviewed to evaluate the clinical impact of anticoagulation therapy and consider any adjustments is critical.</w:t>
            </w:r>
            <w:bookmarkEnd w:id="141"/>
          </w:p>
        </w:tc>
        <w:tc>
          <w:tcPr>
            <w:tcW w:w="3474" w:type="dxa"/>
          </w:tcPr>
          <w:p w14:paraId="270EF9C6" w14:textId="77777777" w:rsidR="007C2BA7" w:rsidRPr="00315CD2" w:rsidRDefault="007C2BA7" w:rsidP="007C2BA7">
            <w:pPr>
              <w:pStyle w:val="Tabletext"/>
              <w:rPr>
                <w:rFonts w:asciiTheme="minorHAnsi" w:hAnsiTheme="minorHAnsi"/>
                <w:szCs w:val="22"/>
              </w:rPr>
            </w:pPr>
          </w:p>
        </w:tc>
      </w:tr>
      <w:tr w:rsidR="007C2BA7" w:rsidRPr="00315CD2" w14:paraId="2259B043" w14:textId="77777777" w:rsidTr="00E52914">
        <w:trPr>
          <w:trHeight w:val="282"/>
        </w:trPr>
        <w:tc>
          <w:tcPr>
            <w:tcW w:w="558" w:type="dxa"/>
          </w:tcPr>
          <w:p w14:paraId="7EF171CE" w14:textId="78635631"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44</w:t>
            </w:r>
          </w:p>
        </w:tc>
        <w:tc>
          <w:tcPr>
            <w:tcW w:w="1071" w:type="dxa"/>
          </w:tcPr>
          <w:p w14:paraId="0FA7D51D" w14:textId="6D2249B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Bristol Myers Squibb – Pfizer Alliance</w:t>
            </w:r>
          </w:p>
        </w:tc>
        <w:tc>
          <w:tcPr>
            <w:tcW w:w="2761" w:type="dxa"/>
          </w:tcPr>
          <w:p w14:paraId="34A774F4" w14:textId="577361E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Review of anticoagulation after acute phase of VTE treatment.</w:t>
            </w:r>
          </w:p>
        </w:tc>
        <w:tc>
          <w:tcPr>
            <w:tcW w:w="3118" w:type="dxa"/>
          </w:tcPr>
          <w:p w14:paraId="00809698" w14:textId="77777777" w:rsidR="007C2BA7" w:rsidRPr="00315CD2" w:rsidRDefault="007C2BA7" w:rsidP="007C2BA7">
            <w:pPr>
              <w:pStyle w:val="Paragraphnonumbers"/>
              <w:rPr>
                <w:rFonts w:asciiTheme="minorHAnsi" w:hAnsiTheme="minorHAnsi"/>
                <w:sz w:val="22"/>
                <w:szCs w:val="22"/>
              </w:rPr>
            </w:pPr>
            <w:r w:rsidRPr="00315CD2">
              <w:rPr>
                <w:rFonts w:asciiTheme="minorHAnsi" w:hAnsiTheme="minorHAnsi"/>
                <w:sz w:val="22"/>
                <w:szCs w:val="22"/>
              </w:rPr>
              <w:t>Outcomes of treatment for VTE should be reviewed at completion of the acute phase (3-6 months) and form part of the longer term assessment of the need for long-term anticoagulation.</w:t>
            </w:r>
          </w:p>
          <w:p w14:paraId="173E900E" w14:textId="601E025C" w:rsidR="007C2BA7" w:rsidRPr="00315CD2" w:rsidRDefault="007C2BA7" w:rsidP="007C2BA7">
            <w:pPr>
              <w:pStyle w:val="Tabletext"/>
              <w:rPr>
                <w:rFonts w:asciiTheme="minorHAnsi" w:hAnsiTheme="minorHAnsi"/>
                <w:szCs w:val="22"/>
              </w:rPr>
            </w:pPr>
            <w:r w:rsidRPr="00315CD2">
              <w:rPr>
                <w:rFonts w:asciiTheme="minorHAnsi" w:hAnsiTheme="minorHAnsi"/>
                <w:szCs w:val="22"/>
              </w:rPr>
              <w:t>If long-term anticoagulation is indicated, the review should confirm that there is no substantive change in the patient’s clinical circumstances, and that the patient is willing to continue, based on the benefit-risk profile of the anticoagulant.</w:t>
            </w:r>
          </w:p>
        </w:tc>
        <w:tc>
          <w:tcPr>
            <w:tcW w:w="3686" w:type="dxa"/>
          </w:tcPr>
          <w:p w14:paraId="7A4D65A7" w14:textId="77777777" w:rsidR="007C2BA7" w:rsidRPr="00315CD2" w:rsidRDefault="007C2BA7" w:rsidP="007C2BA7">
            <w:pPr>
              <w:pStyle w:val="Paragraphnonumbers"/>
              <w:rPr>
                <w:rFonts w:asciiTheme="minorHAnsi" w:hAnsiTheme="minorHAnsi"/>
                <w:sz w:val="22"/>
                <w:szCs w:val="22"/>
              </w:rPr>
            </w:pPr>
            <w:bookmarkStart w:id="142" w:name="_Hlk50359674"/>
            <w:r w:rsidRPr="00315CD2">
              <w:rPr>
                <w:rFonts w:asciiTheme="minorHAnsi" w:hAnsiTheme="minorHAnsi"/>
                <w:sz w:val="22"/>
                <w:szCs w:val="22"/>
              </w:rPr>
              <w:t>There is variation in the extent to which patients are reviewed at 3-6 months; one study of patients diagnosed with pulmonary embolism (PE) found that an outpatient appointment was not routinely arranged in 17.9% of hospitals (NCEPOD, 2019).</w:t>
            </w:r>
          </w:p>
          <w:p w14:paraId="562933A3" w14:textId="0641A1FF" w:rsidR="007C2BA7" w:rsidRPr="00315CD2" w:rsidRDefault="007C2BA7" w:rsidP="007C2BA7">
            <w:pPr>
              <w:pStyle w:val="Tabletext"/>
              <w:rPr>
                <w:rFonts w:asciiTheme="minorHAnsi" w:hAnsiTheme="minorHAnsi"/>
                <w:szCs w:val="22"/>
              </w:rPr>
            </w:pPr>
            <w:r w:rsidRPr="00315CD2">
              <w:rPr>
                <w:rFonts w:asciiTheme="minorHAnsi" w:hAnsiTheme="minorHAnsi"/>
                <w:szCs w:val="22"/>
              </w:rPr>
              <w:t>This is expected to lead to some at-risk patients not being prescribed long-term anticoagulation, with the negative impacts on the NHS and patients described above.</w:t>
            </w:r>
            <w:bookmarkEnd w:id="142"/>
          </w:p>
        </w:tc>
        <w:tc>
          <w:tcPr>
            <w:tcW w:w="3474" w:type="dxa"/>
          </w:tcPr>
          <w:p w14:paraId="05AEEA28" w14:textId="1EF05D8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The National Confidential Enquiry into Patient Outcome and Death. Know the Score (2019). London.</w:t>
            </w:r>
          </w:p>
        </w:tc>
      </w:tr>
      <w:tr w:rsidR="007C2BA7" w:rsidRPr="00315CD2" w14:paraId="582CF1F1" w14:textId="77777777" w:rsidTr="00E52914">
        <w:trPr>
          <w:trHeight w:val="282"/>
        </w:trPr>
        <w:tc>
          <w:tcPr>
            <w:tcW w:w="558" w:type="dxa"/>
          </w:tcPr>
          <w:p w14:paraId="657A399F" w14:textId="467C53F1"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45</w:t>
            </w:r>
          </w:p>
        </w:tc>
        <w:tc>
          <w:tcPr>
            <w:tcW w:w="1071" w:type="dxa"/>
          </w:tcPr>
          <w:p w14:paraId="1D017722" w14:textId="0640A5C4"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SCM7</w:t>
            </w:r>
          </w:p>
        </w:tc>
        <w:tc>
          <w:tcPr>
            <w:tcW w:w="2761" w:type="dxa"/>
            <w:shd w:val="clear" w:color="auto" w:fill="FFFFFF"/>
          </w:tcPr>
          <w:p w14:paraId="7923F9A3" w14:textId="77777777" w:rsidR="007C2BA7" w:rsidRPr="00315CD2" w:rsidRDefault="007C2BA7" w:rsidP="007C2BA7">
            <w:pPr>
              <w:pStyle w:val="TableText1"/>
              <w:rPr>
                <w:rFonts w:asciiTheme="minorHAnsi" w:hAnsiTheme="minorHAnsi" w:cs="Arial"/>
                <w:bCs/>
                <w:szCs w:val="22"/>
              </w:rPr>
            </w:pPr>
            <w:r w:rsidRPr="00315CD2">
              <w:rPr>
                <w:rFonts w:asciiTheme="minorHAnsi" w:hAnsiTheme="minorHAnsi" w:cs="Arial"/>
                <w:bCs/>
                <w:szCs w:val="22"/>
              </w:rPr>
              <w:t>Key area for quality improvement 4</w:t>
            </w:r>
          </w:p>
          <w:p w14:paraId="742CCD36" w14:textId="77777777" w:rsidR="007C2BA7" w:rsidRPr="00315CD2" w:rsidRDefault="007C2BA7" w:rsidP="007C2BA7">
            <w:pPr>
              <w:pStyle w:val="TableText1"/>
              <w:rPr>
                <w:rFonts w:asciiTheme="minorHAnsi" w:hAnsiTheme="minorHAnsi" w:cs="Arial"/>
                <w:bCs/>
                <w:szCs w:val="22"/>
              </w:rPr>
            </w:pPr>
          </w:p>
          <w:p w14:paraId="5C441C2E" w14:textId="75C97924"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 xml:space="preserve">Follow up at 3 or 6 months post VTE diagnosis as per NICE guidelines.  </w:t>
            </w:r>
          </w:p>
        </w:tc>
        <w:tc>
          <w:tcPr>
            <w:tcW w:w="3118" w:type="dxa"/>
            <w:shd w:val="clear" w:color="auto" w:fill="FFFFFF"/>
          </w:tcPr>
          <w:p w14:paraId="3BF9FFD5" w14:textId="77777777" w:rsidR="007C2BA7" w:rsidRPr="00315CD2" w:rsidRDefault="007C2BA7" w:rsidP="007C2BA7">
            <w:pPr>
              <w:pStyle w:val="Tabletext"/>
              <w:rPr>
                <w:rFonts w:asciiTheme="minorHAnsi" w:hAnsiTheme="minorHAnsi"/>
                <w:szCs w:val="22"/>
              </w:rPr>
            </w:pPr>
          </w:p>
        </w:tc>
        <w:tc>
          <w:tcPr>
            <w:tcW w:w="3686" w:type="dxa"/>
            <w:shd w:val="clear" w:color="auto" w:fill="FFFFFF"/>
          </w:tcPr>
          <w:p w14:paraId="00D8502C" w14:textId="77777777" w:rsidR="007C2BA7" w:rsidRPr="00315CD2" w:rsidRDefault="007C2BA7" w:rsidP="007C2BA7">
            <w:pPr>
              <w:pStyle w:val="Tabletext"/>
              <w:rPr>
                <w:rFonts w:asciiTheme="minorHAnsi" w:hAnsiTheme="minorHAnsi"/>
                <w:szCs w:val="22"/>
              </w:rPr>
            </w:pPr>
          </w:p>
        </w:tc>
        <w:tc>
          <w:tcPr>
            <w:tcW w:w="3474" w:type="dxa"/>
            <w:shd w:val="clear" w:color="auto" w:fill="FFFFFF"/>
          </w:tcPr>
          <w:p w14:paraId="05884788" w14:textId="77777777" w:rsidR="007C2BA7" w:rsidRPr="00315CD2" w:rsidRDefault="007C2BA7" w:rsidP="007C2BA7">
            <w:pPr>
              <w:pStyle w:val="Tabletext"/>
              <w:rPr>
                <w:rFonts w:asciiTheme="minorHAnsi" w:hAnsiTheme="minorHAnsi"/>
                <w:szCs w:val="22"/>
              </w:rPr>
            </w:pPr>
          </w:p>
        </w:tc>
      </w:tr>
      <w:tr w:rsidR="007C2BA7" w:rsidRPr="00315CD2" w14:paraId="6BBA4E7A" w14:textId="77777777" w:rsidTr="00E52914">
        <w:trPr>
          <w:trHeight w:val="282"/>
        </w:trPr>
        <w:tc>
          <w:tcPr>
            <w:tcW w:w="558" w:type="dxa"/>
          </w:tcPr>
          <w:p w14:paraId="3756EA8F" w14:textId="4A3095E1"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46</w:t>
            </w:r>
          </w:p>
        </w:tc>
        <w:tc>
          <w:tcPr>
            <w:tcW w:w="1071" w:type="dxa"/>
          </w:tcPr>
          <w:p w14:paraId="1C71496B" w14:textId="4D3942E7" w:rsidR="007C2BA7" w:rsidRPr="00315CD2" w:rsidRDefault="007C2BA7" w:rsidP="007C2BA7">
            <w:pPr>
              <w:pStyle w:val="Tabletext"/>
              <w:rPr>
                <w:rFonts w:asciiTheme="minorHAnsi" w:hAnsiTheme="minorHAnsi"/>
                <w:szCs w:val="22"/>
              </w:rPr>
            </w:pPr>
            <w:r w:rsidRPr="00315CD2">
              <w:rPr>
                <w:rFonts w:asciiTheme="minorHAnsi" w:hAnsiTheme="minorHAnsi" w:cs="Arial"/>
                <w:b/>
                <w:szCs w:val="22"/>
              </w:rPr>
              <w:t>SCM1</w:t>
            </w:r>
          </w:p>
        </w:tc>
        <w:tc>
          <w:tcPr>
            <w:tcW w:w="2761" w:type="dxa"/>
          </w:tcPr>
          <w:p w14:paraId="411A3CB4" w14:textId="28C8764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2</w:t>
            </w:r>
          </w:p>
        </w:tc>
        <w:tc>
          <w:tcPr>
            <w:tcW w:w="3118" w:type="dxa"/>
          </w:tcPr>
          <w:p w14:paraId="26978D06" w14:textId="2D6D696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Self-care</w:t>
            </w:r>
          </w:p>
        </w:tc>
        <w:tc>
          <w:tcPr>
            <w:tcW w:w="3686" w:type="dxa"/>
          </w:tcPr>
          <w:p w14:paraId="1F09EB89" w14:textId="5970E9A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During Covid many patients were classed as vulnerable – a large proportion of those patients are able to slf care with the correct equipment. They had to put themselves at risk by attending INR clinics</w:t>
            </w:r>
          </w:p>
        </w:tc>
        <w:tc>
          <w:tcPr>
            <w:tcW w:w="3474" w:type="dxa"/>
          </w:tcPr>
          <w:p w14:paraId="5BBFD08E"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AF guideline offers self-care to patients on long term VKA</w:t>
            </w:r>
          </w:p>
          <w:p w14:paraId="68B0B638"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 xml:space="preserve">There ais now a group of patients that cannot switch to a DOAC – the APS patients – they are on long term anticoagulants and they are </w:t>
            </w:r>
            <w:r w:rsidRPr="00315CD2">
              <w:rPr>
                <w:rFonts w:asciiTheme="minorHAnsi" w:hAnsiTheme="minorHAnsi" w:cs="Arial"/>
                <w:sz w:val="22"/>
                <w:szCs w:val="22"/>
              </w:rPr>
              <w:lastRenderedPageBreak/>
              <w:t>not offered self-care. This makes them feel patient every time they have to go for their INR</w:t>
            </w:r>
          </w:p>
          <w:p w14:paraId="5A9D9DC4" w14:textId="5E4B6BF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Self-care is very important</w:t>
            </w:r>
          </w:p>
        </w:tc>
      </w:tr>
      <w:tr w:rsidR="007C2BA7" w:rsidRPr="00315CD2" w14:paraId="24C4B9DC" w14:textId="77777777" w:rsidTr="00E52914">
        <w:trPr>
          <w:trHeight w:val="282"/>
        </w:trPr>
        <w:tc>
          <w:tcPr>
            <w:tcW w:w="558" w:type="dxa"/>
          </w:tcPr>
          <w:p w14:paraId="05C5B114" w14:textId="346FFC8B"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47</w:t>
            </w:r>
          </w:p>
        </w:tc>
        <w:tc>
          <w:tcPr>
            <w:tcW w:w="1071" w:type="dxa"/>
          </w:tcPr>
          <w:p w14:paraId="0C270630" w14:textId="0E7ACD76" w:rsidR="007C2BA7" w:rsidRPr="00315CD2" w:rsidRDefault="007C2BA7" w:rsidP="007C2BA7">
            <w:pPr>
              <w:pStyle w:val="Tabletext"/>
              <w:rPr>
                <w:rFonts w:asciiTheme="minorHAnsi" w:hAnsiTheme="minorHAnsi"/>
                <w:szCs w:val="22"/>
              </w:rPr>
            </w:pPr>
            <w:r w:rsidRPr="00315CD2">
              <w:rPr>
                <w:rFonts w:asciiTheme="minorHAnsi" w:eastAsia="Calibri" w:hAnsiTheme="minorHAnsi" w:cs="Arial"/>
                <w:szCs w:val="22"/>
              </w:rPr>
              <w:t>All Party Parliamentary Group on Vascular and Venous Disease</w:t>
            </w:r>
          </w:p>
        </w:tc>
        <w:tc>
          <w:tcPr>
            <w:tcW w:w="2761" w:type="dxa"/>
          </w:tcPr>
          <w:p w14:paraId="1828E7B5" w14:textId="77777777" w:rsidR="007C2BA7" w:rsidRPr="00315CD2" w:rsidRDefault="007C2BA7" w:rsidP="007C2BA7">
            <w:pPr>
              <w:pStyle w:val="ListParagraph"/>
              <w:ind w:left="0"/>
              <w:rPr>
                <w:rFonts w:asciiTheme="minorHAnsi" w:hAnsiTheme="minorHAnsi" w:cs="Arial"/>
                <w:sz w:val="22"/>
                <w:szCs w:val="22"/>
              </w:rPr>
            </w:pPr>
            <w:r w:rsidRPr="00315CD2">
              <w:rPr>
                <w:rFonts w:asciiTheme="minorHAnsi" w:hAnsiTheme="minorHAnsi" w:cs="Arial"/>
                <w:sz w:val="22"/>
                <w:szCs w:val="22"/>
              </w:rPr>
              <w:t>Diagnosis and treatment of venous thromboembolism</w:t>
            </w:r>
          </w:p>
          <w:p w14:paraId="50252293" w14:textId="77777777" w:rsidR="007C2BA7" w:rsidRPr="00315CD2" w:rsidRDefault="007C2BA7" w:rsidP="007C2BA7">
            <w:pPr>
              <w:pStyle w:val="Tabletext"/>
              <w:rPr>
                <w:rFonts w:asciiTheme="minorHAnsi" w:hAnsiTheme="minorHAnsi"/>
                <w:szCs w:val="22"/>
              </w:rPr>
            </w:pPr>
          </w:p>
        </w:tc>
        <w:tc>
          <w:tcPr>
            <w:tcW w:w="3118" w:type="dxa"/>
          </w:tcPr>
          <w:p w14:paraId="744DDB4D" w14:textId="77777777" w:rsidR="007C2BA7" w:rsidRPr="00315CD2" w:rsidRDefault="007C2BA7" w:rsidP="007C2BA7">
            <w:pPr>
              <w:pStyle w:val="ListParagraph"/>
              <w:ind w:left="0"/>
              <w:rPr>
                <w:rFonts w:asciiTheme="minorHAnsi" w:hAnsiTheme="minorHAnsi" w:cs="Arial"/>
                <w:sz w:val="22"/>
                <w:szCs w:val="22"/>
              </w:rPr>
            </w:pPr>
            <w:r w:rsidRPr="00315CD2">
              <w:rPr>
                <w:rFonts w:asciiTheme="minorHAnsi" w:hAnsiTheme="minorHAnsi" w:cs="Arial"/>
                <w:sz w:val="22"/>
                <w:szCs w:val="22"/>
              </w:rPr>
              <w:t>More clarity on use of low dose long-term direct oral anticoagulants for venous thromboembolism  prevention.</w:t>
            </w:r>
          </w:p>
          <w:p w14:paraId="3BAC31A7" w14:textId="77777777" w:rsidR="007C2BA7" w:rsidRPr="00315CD2" w:rsidRDefault="007C2BA7" w:rsidP="007C2BA7">
            <w:pPr>
              <w:pStyle w:val="Tabletext"/>
              <w:rPr>
                <w:rFonts w:asciiTheme="minorHAnsi" w:hAnsiTheme="minorHAnsi"/>
                <w:szCs w:val="22"/>
              </w:rPr>
            </w:pPr>
          </w:p>
        </w:tc>
        <w:tc>
          <w:tcPr>
            <w:tcW w:w="3686" w:type="dxa"/>
          </w:tcPr>
          <w:p w14:paraId="69E2FCED" w14:textId="77777777" w:rsidR="007C2BA7" w:rsidRPr="00315CD2" w:rsidRDefault="007C2BA7" w:rsidP="007C2BA7">
            <w:pPr>
              <w:pStyle w:val="ListParagraph"/>
              <w:ind w:left="0"/>
              <w:rPr>
                <w:rFonts w:asciiTheme="minorHAnsi" w:hAnsiTheme="minorHAnsi" w:cs="Arial"/>
                <w:sz w:val="22"/>
                <w:szCs w:val="22"/>
              </w:rPr>
            </w:pPr>
            <w:r w:rsidRPr="00315CD2">
              <w:rPr>
                <w:rFonts w:asciiTheme="minorHAnsi" w:hAnsiTheme="minorHAnsi" w:cs="Arial"/>
                <w:sz w:val="22"/>
                <w:szCs w:val="22"/>
              </w:rPr>
              <w:t>Area of improvement.</w:t>
            </w:r>
          </w:p>
          <w:p w14:paraId="57F99BBF" w14:textId="77777777" w:rsidR="007C2BA7" w:rsidRPr="00315CD2" w:rsidRDefault="007C2BA7" w:rsidP="007C2BA7">
            <w:pPr>
              <w:pStyle w:val="Tabletext"/>
              <w:rPr>
                <w:rFonts w:asciiTheme="minorHAnsi" w:hAnsiTheme="minorHAnsi"/>
                <w:szCs w:val="22"/>
              </w:rPr>
            </w:pPr>
          </w:p>
        </w:tc>
        <w:tc>
          <w:tcPr>
            <w:tcW w:w="3474" w:type="dxa"/>
          </w:tcPr>
          <w:p w14:paraId="440DF5ED" w14:textId="77777777" w:rsidR="007C2BA7" w:rsidRPr="00315CD2" w:rsidRDefault="007C2BA7" w:rsidP="007C2BA7">
            <w:pPr>
              <w:pStyle w:val="ListParagraph"/>
              <w:ind w:left="0"/>
              <w:rPr>
                <w:rFonts w:asciiTheme="minorHAnsi" w:hAnsiTheme="minorHAnsi" w:cs="Arial"/>
                <w:sz w:val="22"/>
                <w:szCs w:val="22"/>
              </w:rPr>
            </w:pPr>
            <w:r w:rsidRPr="00315CD2">
              <w:rPr>
                <w:rFonts w:asciiTheme="minorHAnsi" w:hAnsiTheme="minorHAnsi" w:cs="Arial"/>
                <w:sz w:val="22"/>
                <w:szCs w:val="22"/>
              </w:rPr>
              <w:t>The evidence base includes robust studies with varying outcomes. Reference (1) – Mai et al., Extended anticoagulation for the secondary prevention of venous thromboembolic events: An updated network meta-analysis. PLoS One 2019 14(4); reference (2) AMPLIFY-Extension Study  - Agnelli G, et al. Apixaban for extended treatment of venous thromboembolism. N Engl J Med. 2013;368:699-708;                        reference (3) EINSTEIN CHOICE - Weitz JI et al, Rivaroxaban or aspirin for extended treatment of venous thromboembolism. N Engl J Med. 2017;376:1211–1222; reference (4) Anecdotal feedback from healthcare professionals.</w:t>
            </w:r>
          </w:p>
          <w:p w14:paraId="1DD8E48D" w14:textId="77777777" w:rsidR="007C2BA7" w:rsidRPr="00315CD2" w:rsidRDefault="007C2BA7" w:rsidP="007C2BA7">
            <w:pPr>
              <w:pStyle w:val="Tabletext"/>
              <w:rPr>
                <w:rFonts w:asciiTheme="minorHAnsi" w:hAnsiTheme="minorHAnsi"/>
                <w:szCs w:val="22"/>
              </w:rPr>
            </w:pPr>
          </w:p>
        </w:tc>
      </w:tr>
      <w:tr w:rsidR="007C2BA7" w:rsidRPr="00315CD2" w14:paraId="154FA43F" w14:textId="77777777" w:rsidTr="00E52914">
        <w:trPr>
          <w:trHeight w:val="282"/>
        </w:trPr>
        <w:tc>
          <w:tcPr>
            <w:tcW w:w="558" w:type="dxa"/>
          </w:tcPr>
          <w:p w14:paraId="1AE0C4D2" w14:textId="4EEAC424"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48</w:t>
            </w:r>
          </w:p>
        </w:tc>
        <w:tc>
          <w:tcPr>
            <w:tcW w:w="1071" w:type="dxa"/>
          </w:tcPr>
          <w:p w14:paraId="3BEB6D8D" w14:textId="66A0592A"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 xml:space="preserve">British Society for </w:t>
            </w:r>
            <w:r w:rsidRPr="00315CD2">
              <w:rPr>
                <w:rFonts w:asciiTheme="minorHAnsi" w:hAnsiTheme="minorHAnsi" w:cs="Arial"/>
                <w:bCs/>
                <w:szCs w:val="22"/>
              </w:rPr>
              <w:lastRenderedPageBreak/>
              <w:t>Haematology</w:t>
            </w:r>
          </w:p>
        </w:tc>
        <w:tc>
          <w:tcPr>
            <w:tcW w:w="2761" w:type="dxa"/>
            <w:shd w:val="clear" w:color="auto" w:fill="FFFFFF"/>
          </w:tcPr>
          <w:p w14:paraId="51D69C14" w14:textId="77777777" w:rsidR="007C2BA7" w:rsidRPr="00315CD2" w:rsidRDefault="007C2BA7" w:rsidP="007C2BA7">
            <w:pPr>
              <w:pStyle w:val="Tabletext"/>
              <w:rPr>
                <w:rFonts w:asciiTheme="minorHAnsi" w:hAnsiTheme="minorHAnsi"/>
                <w:szCs w:val="22"/>
              </w:rPr>
            </w:pPr>
          </w:p>
        </w:tc>
        <w:tc>
          <w:tcPr>
            <w:tcW w:w="3118" w:type="dxa"/>
            <w:shd w:val="clear" w:color="auto" w:fill="FFFFFF"/>
          </w:tcPr>
          <w:p w14:paraId="308998D2" w14:textId="77777777" w:rsidR="007C2BA7" w:rsidRPr="00315CD2" w:rsidRDefault="007C2BA7" w:rsidP="007C2BA7">
            <w:pPr>
              <w:pStyle w:val="TableText1"/>
              <w:rPr>
                <w:rFonts w:asciiTheme="minorHAnsi" w:hAnsiTheme="minorHAnsi" w:cs="Arial"/>
                <w:bCs/>
                <w:szCs w:val="22"/>
              </w:rPr>
            </w:pPr>
            <w:r w:rsidRPr="00315CD2">
              <w:rPr>
                <w:rFonts w:asciiTheme="minorHAnsi" w:hAnsiTheme="minorHAnsi" w:cs="Arial"/>
                <w:bCs/>
                <w:szCs w:val="22"/>
              </w:rPr>
              <w:t>NG158</w:t>
            </w:r>
          </w:p>
          <w:p w14:paraId="312E8DA6" w14:textId="29B86DBB"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 xml:space="preserve">Assess and discuss the benefits and risks of continuing, stopping or changing the anticoagulant </w:t>
            </w:r>
            <w:r w:rsidRPr="00315CD2">
              <w:rPr>
                <w:rFonts w:asciiTheme="minorHAnsi" w:hAnsiTheme="minorHAnsi" w:cs="Arial"/>
                <w:bCs/>
                <w:szCs w:val="22"/>
              </w:rPr>
              <w:lastRenderedPageBreak/>
              <w:t>with people who have had anticoagulation treatment for 3 months (3 to 6 months for people with active cancer) after a proximal DVT or PE</w:t>
            </w:r>
          </w:p>
        </w:tc>
        <w:tc>
          <w:tcPr>
            <w:tcW w:w="3686" w:type="dxa"/>
            <w:shd w:val="clear" w:color="auto" w:fill="FFFFFF"/>
          </w:tcPr>
          <w:p w14:paraId="61FCDFBC" w14:textId="235676AD" w:rsidR="007C2BA7" w:rsidRPr="00315CD2" w:rsidRDefault="007C2BA7" w:rsidP="007C2BA7">
            <w:pPr>
              <w:pStyle w:val="Tabletext"/>
              <w:rPr>
                <w:rFonts w:asciiTheme="minorHAnsi" w:hAnsiTheme="minorHAnsi"/>
                <w:szCs w:val="22"/>
              </w:rPr>
            </w:pPr>
            <w:bookmarkStart w:id="143" w:name="_Hlk50319990"/>
            <w:r w:rsidRPr="00315CD2">
              <w:rPr>
                <w:rFonts w:asciiTheme="minorHAnsi" w:hAnsiTheme="minorHAnsi" w:cs="Arial"/>
                <w:bCs/>
                <w:szCs w:val="22"/>
              </w:rPr>
              <w:lastRenderedPageBreak/>
              <w:t xml:space="preserve">This is historically an area of variable practice across the UK. To ensure that all VTE patients have access to specialist follow up may require some </w:t>
            </w:r>
            <w:r w:rsidRPr="00315CD2">
              <w:rPr>
                <w:rFonts w:asciiTheme="minorHAnsi" w:hAnsiTheme="minorHAnsi" w:cs="Arial"/>
                <w:bCs/>
                <w:szCs w:val="22"/>
              </w:rPr>
              <w:lastRenderedPageBreak/>
              <w:t>additional resources in some institutions and highlighting this as a quality standard will be a lever. Historically, much of the patient information and counselling related to the anticoagulant treatment itself rather the cause and long term management of the condition.</w:t>
            </w:r>
            <w:bookmarkEnd w:id="143"/>
          </w:p>
        </w:tc>
        <w:tc>
          <w:tcPr>
            <w:tcW w:w="3474" w:type="dxa"/>
            <w:shd w:val="clear" w:color="auto" w:fill="FFFFFF"/>
          </w:tcPr>
          <w:p w14:paraId="47139939" w14:textId="77777777" w:rsidR="007C2BA7" w:rsidRPr="00315CD2" w:rsidRDefault="007C2BA7" w:rsidP="007C2BA7">
            <w:pPr>
              <w:pStyle w:val="TableText1"/>
              <w:rPr>
                <w:rFonts w:asciiTheme="minorHAnsi" w:hAnsiTheme="minorHAnsi" w:cs="Arial"/>
                <w:bCs/>
                <w:szCs w:val="22"/>
              </w:rPr>
            </w:pPr>
            <w:r w:rsidRPr="00315CD2">
              <w:rPr>
                <w:rFonts w:asciiTheme="minorHAnsi" w:hAnsiTheme="minorHAnsi" w:cs="Arial"/>
                <w:szCs w:val="22"/>
              </w:rPr>
              <w:lastRenderedPageBreak/>
              <w:t xml:space="preserve">All </w:t>
            </w:r>
            <w:r w:rsidRPr="00315CD2">
              <w:rPr>
                <w:rFonts w:asciiTheme="minorHAnsi" w:hAnsiTheme="minorHAnsi" w:cs="Arial"/>
                <w:bCs/>
                <w:szCs w:val="22"/>
              </w:rPr>
              <w:t xml:space="preserve">major guidelines on VTE management (NICE/BTS/ESC/ASH/ACCP) recommend assessment for limited </w:t>
            </w:r>
            <w:r w:rsidRPr="00315CD2">
              <w:rPr>
                <w:rFonts w:asciiTheme="minorHAnsi" w:hAnsiTheme="minorHAnsi" w:cs="Arial"/>
                <w:bCs/>
                <w:szCs w:val="22"/>
              </w:rPr>
              <w:lastRenderedPageBreak/>
              <w:t>vs extended anticoagulation. Without an assessment at the appropriate time, how can this be applied?</w:t>
            </w:r>
          </w:p>
          <w:p w14:paraId="55E9F965" w14:textId="77777777" w:rsidR="007C2BA7" w:rsidRPr="00315CD2" w:rsidRDefault="007C2BA7" w:rsidP="007C2BA7">
            <w:pPr>
              <w:pStyle w:val="TableText1"/>
              <w:rPr>
                <w:rFonts w:asciiTheme="minorHAnsi" w:hAnsiTheme="minorHAnsi" w:cs="Arial"/>
                <w:bCs/>
                <w:szCs w:val="22"/>
              </w:rPr>
            </w:pPr>
            <w:r w:rsidRPr="00315CD2">
              <w:rPr>
                <w:rFonts w:asciiTheme="minorHAnsi" w:hAnsiTheme="minorHAnsi" w:cs="Arial"/>
                <w:bCs/>
                <w:szCs w:val="22"/>
              </w:rPr>
              <w:t>From the patient perspective, assessment is also required to address other issues, not least the psychological impact (Noble S, Lewis R, Whithers J, et al.  Long-term psychological consequences of symptomatic pulmonary embolism: a qualitative study.  BMJ Open 2014;4:e004561. doi: 10.1136/bmjopen-2013-004561)</w:t>
            </w:r>
          </w:p>
          <w:p w14:paraId="3D20259C" w14:textId="0C1181CB"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Although rare (approx. 5% of PE cases), patients may require referral and specialist management of chronic thromboembolic pulmonary hypertension</w:t>
            </w:r>
          </w:p>
        </w:tc>
      </w:tr>
      <w:tr w:rsidR="007C2BA7" w:rsidRPr="00315CD2" w14:paraId="773980F9" w14:textId="77777777" w:rsidTr="00E52914">
        <w:trPr>
          <w:trHeight w:val="282"/>
        </w:trPr>
        <w:tc>
          <w:tcPr>
            <w:tcW w:w="558" w:type="dxa"/>
          </w:tcPr>
          <w:p w14:paraId="7B2B2DD0" w14:textId="73B6A5BD"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49</w:t>
            </w:r>
          </w:p>
        </w:tc>
        <w:tc>
          <w:tcPr>
            <w:tcW w:w="1071" w:type="dxa"/>
          </w:tcPr>
          <w:p w14:paraId="42896C1D" w14:textId="16AD040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Bristol Myers Squibb – Pfizer Alliance</w:t>
            </w:r>
          </w:p>
        </w:tc>
        <w:tc>
          <w:tcPr>
            <w:tcW w:w="2761" w:type="dxa"/>
          </w:tcPr>
          <w:p w14:paraId="067FDAEF"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Prevention of VTE recurrence </w:t>
            </w:r>
          </w:p>
          <w:p w14:paraId="71FEAF41" w14:textId="77777777" w:rsidR="007C2BA7" w:rsidRPr="00315CD2" w:rsidRDefault="007C2BA7" w:rsidP="007C2BA7">
            <w:pPr>
              <w:pStyle w:val="TableText1"/>
              <w:rPr>
                <w:rFonts w:asciiTheme="minorHAnsi" w:hAnsiTheme="minorHAnsi" w:cs="Arial"/>
                <w:szCs w:val="22"/>
              </w:rPr>
            </w:pPr>
          </w:p>
          <w:p w14:paraId="2D056F93" w14:textId="529645C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Long-term anticoagulation for patients at increased risk of recurrent VTE.</w:t>
            </w:r>
          </w:p>
        </w:tc>
        <w:tc>
          <w:tcPr>
            <w:tcW w:w="3118" w:type="dxa"/>
          </w:tcPr>
          <w:p w14:paraId="6A00A69B" w14:textId="77777777" w:rsidR="007C2BA7" w:rsidRPr="00315CD2" w:rsidRDefault="007C2BA7" w:rsidP="007C2BA7">
            <w:pPr>
              <w:pStyle w:val="Paragraphnonumbers"/>
              <w:rPr>
                <w:rFonts w:asciiTheme="minorHAnsi" w:hAnsiTheme="minorHAnsi"/>
                <w:sz w:val="22"/>
                <w:szCs w:val="22"/>
              </w:rPr>
            </w:pPr>
            <w:r w:rsidRPr="00315CD2">
              <w:rPr>
                <w:rFonts w:asciiTheme="minorHAnsi" w:hAnsiTheme="minorHAnsi"/>
                <w:sz w:val="22"/>
                <w:szCs w:val="22"/>
              </w:rPr>
              <w:t xml:space="preserve">The long-term risk for recurrent VTE in patients with a first unprovoked VTE is substantial (Khan F </w:t>
            </w:r>
            <w:r w:rsidRPr="00315CD2">
              <w:rPr>
                <w:rFonts w:asciiTheme="minorHAnsi" w:hAnsiTheme="minorHAnsi"/>
                <w:i/>
                <w:sz w:val="22"/>
                <w:szCs w:val="22"/>
              </w:rPr>
              <w:t>et al</w:t>
            </w:r>
            <w:r w:rsidRPr="00315CD2">
              <w:rPr>
                <w:rFonts w:asciiTheme="minorHAnsi" w:hAnsiTheme="minorHAnsi"/>
                <w:sz w:val="22"/>
                <w:szCs w:val="22"/>
              </w:rPr>
              <w:t>, 2019).</w:t>
            </w:r>
          </w:p>
          <w:p w14:paraId="3604800C" w14:textId="77777777" w:rsidR="007C2BA7" w:rsidRPr="00315CD2" w:rsidRDefault="007C2BA7" w:rsidP="007C2BA7">
            <w:pPr>
              <w:pStyle w:val="Paragraphnonumbers"/>
              <w:rPr>
                <w:rFonts w:asciiTheme="minorHAnsi" w:hAnsiTheme="minorHAnsi"/>
                <w:sz w:val="22"/>
                <w:szCs w:val="22"/>
              </w:rPr>
            </w:pPr>
            <w:r w:rsidRPr="00315CD2">
              <w:rPr>
                <w:rFonts w:asciiTheme="minorHAnsi" w:hAnsiTheme="minorHAnsi"/>
                <w:sz w:val="22"/>
                <w:szCs w:val="22"/>
              </w:rPr>
              <w:t xml:space="preserve">Long-term anticoagulation should be considered for many patients, including all with </w:t>
            </w:r>
            <w:r w:rsidRPr="00315CD2">
              <w:rPr>
                <w:rFonts w:asciiTheme="minorHAnsi" w:hAnsiTheme="minorHAnsi"/>
                <w:sz w:val="22"/>
                <w:szCs w:val="22"/>
              </w:rPr>
              <w:lastRenderedPageBreak/>
              <w:t xml:space="preserve">unprovoked VTE (NICE Clinical Guideline NG158). </w:t>
            </w:r>
          </w:p>
          <w:p w14:paraId="4496287A" w14:textId="65B109E0" w:rsidR="007C2BA7" w:rsidRPr="00315CD2" w:rsidRDefault="007C2BA7" w:rsidP="007C2BA7">
            <w:pPr>
              <w:pStyle w:val="Tabletext"/>
              <w:rPr>
                <w:rFonts w:asciiTheme="minorHAnsi" w:hAnsiTheme="minorHAnsi"/>
                <w:szCs w:val="22"/>
              </w:rPr>
            </w:pPr>
            <w:r w:rsidRPr="00315CD2">
              <w:rPr>
                <w:rFonts w:asciiTheme="minorHAnsi" w:hAnsiTheme="minorHAnsi"/>
                <w:szCs w:val="22"/>
              </w:rPr>
              <w:t>Eligibility for long-term anticoagulation should be considered (and justified) on initiation of acute therapy; continuation of therapy is important to help ensure patient safety by avoiding medication and concordance errors (unless the clinical situation has changed or the medication is not well tolerated).</w:t>
            </w:r>
          </w:p>
        </w:tc>
        <w:tc>
          <w:tcPr>
            <w:tcW w:w="3686" w:type="dxa"/>
          </w:tcPr>
          <w:p w14:paraId="53D4B515" w14:textId="77777777" w:rsidR="007C2BA7" w:rsidRPr="00315CD2" w:rsidRDefault="007C2BA7" w:rsidP="007C2BA7">
            <w:pPr>
              <w:pStyle w:val="Paragraphnonumbers"/>
              <w:rPr>
                <w:rFonts w:asciiTheme="minorHAnsi" w:hAnsiTheme="minorHAnsi"/>
                <w:sz w:val="22"/>
                <w:szCs w:val="22"/>
              </w:rPr>
            </w:pPr>
            <w:r w:rsidRPr="00315CD2">
              <w:rPr>
                <w:rFonts w:asciiTheme="minorHAnsi" w:hAnsiTheme="minorHAnsi"/>
                <w:sz w:val="22"/>
                <w:szCs w:val="22"/>
              </w:rPr>
              <w:lastRenderedPageBreak/>
              <w:t xml:space="preserve">56-59% of patients are expected to present with unprovoked VTE (Martinez </w:t>
            </w:r>
            <w:r w:rsidRPr="00315CD2">
              <w:rPr>
                <w:rFonts w:asciiTheme="minorHAnsi" w:hAnsiTheme="minorHAnsi"/>
                <w:i/>
                <w:sz w:val="22"/>
                <w:szCs w:val="22"/>
              </w:rPr>
              <w:t>et al</w:t>
            </w:r>
            <w:r w:rsidRPr="00315CD2">
              <w:rPr>
                <w:rFonts w:asciiTheme="minorHAnsi" w:hAnsiTheme="minorHAnsi"/>
                <w:sz w:val="22"/>
                <w:szCs w:val="22"/>
              </w:rPr>
              <w:t xml:space="preserve">, 2014; NICE NG158, 2020) and are thereby indicated for lifelong anticoagulation. </w:t>
            </w:r>
          </w:p>
          <w:p w14:paraId="2233D740" w14:textId="77777777" w:rsidR="007C2BA7" w:rsidRPr="00315CD2" w:rsidRDefault="007C2BA7" w:rsidP="007C2BA7">
            <w:pPr>
              <w:pStyle w:val="Paragraphnonumbers"/>
              <w:rPr>
                <w:rFonts w:asciiTheme="minorHAnsi" w:hAnsiTheme="minorHAnsi"/>
                <w:sz w:val="22"/>
                <w:szCs w:val="22"/>
              </w:rPr>
            </w:pPr>
            <w:r w:rsidRPr="00315CD2">
              <w:rPr>
                <w:rFonts w:asciiTheme="minorHAnsi" w:hAnsiTheme="minorHAnsi"/>
                <w:sz w:val="22"/>
                <w:szCs w:val="22"/>
              </w:rPr>
              <w:t xml:space="preserve">However there is some variation across England in the proportion of eligible patients being prescribed long-term anticoagulation. There is a 30% </w:t>
            </w:r>
            <w:r w:rsidRPr="00315CD2">
              <w:rPr>
                <w:rFonts w:asciiTheme="minorHAnsi" w:hAnsiTheme="minorHAnsi"/>
                <w:sz w:val="22"/>
                <w:szCs w:val="22"/>
              </w:rPr>
              <w:lastRenderedPageBreak/>
              <w:t xml:space="preserve">risk of recurrent VTE within the first five years of stopping anticoagulation with provoked VTE (Kearon C </w:t>
            </w:r>
            <w:r w:rsidRPr="00315CD2">
              <w:rPr>
                <w:rFonts w:asciiTheme="minorHAnsi" w:hAnsiTheme="minorHAnsi"/>
                <w:i/>
                <w:sz w:val="22"/>
                <w:szCs w:val="22"/>
              </w:rPr>
              <w:t>et al</w:t>
            </w:r>
            <w:r w:rsidRPr="00315CD2">
              <w:rPr>
                <w:rFonts w:asciiTheme="minorHAnsi" w:hAnsiTheme="minorHAnsi"/>
                <w:sz w:val="22"/>
                <w:szCs w:val="22"/>
              </w:rPr>
              <w:t>, 2014).</w:t>
            </w:r>
          </w:p>
          <w:p w14:paraId="4F9BB480" w14:textId="39D565F4" w:rsidR="007C2BA7" w:rsidRPr="00315CD2" w:rsidRDefault="007C2BA7" w:rsidP="007C2BA7">
            <w:pPr>
              <w:pStyle w:val="Tabletext"/>
              <w:rPr>
                <w:rFonts w:asciiTheme="minorHAnsi" w:hAnsiTheme="minorHAnsi"/>
                <w:szCs w:val="22"/>
              </w:rPr>
            </w:pPr>
            <w:r w:rsidRPr="00315CD2">
              <w:rPr>
                <w:rFonts w:asciiTheme="minorHAnsi" w:hAnsiTheme="minorHAnsi"/>
                <w:szCs w:val="22"/>
              </w:rPr>
              <w:t>Many patients therefore remain at high risk of VTE recurrence, increasing the burden to the NHS, to patients, and their families/carers.</w:t>
            </w:r>
          </w:p>
        </w:tc>
        <w:tc>
          <w:tcPr>
            <w:tcW w:w="3474" w:type="dxa"/>
          </w:tcPr>
          <w:p w14:paraId="4AB501DB" w14:textId="77777777" w:rsidR="007C2BA7" w:rsidRPr="00315CD2" w:rsidRDefault="007C2BA7" w:rsidP="007C2BA7">
            <w:pPr>
              <w:pStyle w:val="Paragraphnonumbers"/>
              <w:rPr>
                <w:rFonts w:asciiTheme="minorHAnsi" w:hAnsiTheme="minorHAnsi"/>
                <w:sz w:val="22"/>
                <w:szCs w:val="22"/>
              </w:rPr>
            </w:pPr>
            <w:r w:rsidRPr="00315CD2">
              <w:rPr>
                <w:rFonts w:asciiTheme="minorHAnsi" w:hAnsiTheme="minorHAnsi"/>
                <w:sz w:val="22"/>
                <w:szCs w:val="22"/>
              </w:rPr>
              <w:lastRenderedPageBreak/>
              <w:t xml:space="preserve">Khan F </w:t>
            </w:r>
            <w:r w:rsidRPr="00315CD2">
              <w:rPr>
                <w:rFonts w:asciiTheme="minorHAnsi" w:hAnsiTheme="minorHAnsi"/>
                <w:i/>
                <w:sz w:val="22"/>
                <w:szCs w:val="22"/>
              </w:rPr>
              <w:t>et al</w:t>
            </w:r>
            <w:r w:rsidRPr="00315CD2">
              <w:rPr>
                <w:rFonts w:asciiTheme="minorHAnsi" w:hAnsiTheme="minorHAnsi"/>
                <w:sz w:val="22"/>
                <w:szCs w:val="22"/>
              </w:rPr>
              <w:t xml:space="preserve"> (2019). Long term risk of symptomatic recurrent venous thromboembolism after discontinuation of anticoagulant treatment for first unprovoked venous thromboembolism event: systematic review and meta-analysis. BMJ 366:14363</w:t>
            </w:r>
          </w:p>
          <w:p w14:paraId="1D14FB96" w14:textId="77777777" w:rsidR="007C2BA7" w:rsidRPr="00315CD2" w:rsidRDefault="007C2BA7" w:rsidP="007C2BA7">
            <w:pPr>
              <w:pStyle w:val="Paragraphnonumbers"/>
              <w:rPr>
                <w:rFonts w:asciiTheme="minorHAnsi" w:hAnsiTheme="minorHAnsi"/>
                <w:sz w:val="22"/>
                <w:szCs w:val="22"/>
              </w:rPr>
            </w:pPr>
            <w:r w:rsidRPr="00315CD2">
              <w:rPr>
                <w:rFonts w:asciiTheme="minorHAnsi" w:hAnsiTheme="minorHAnsi"/>
                <w:sz w:val="22"/>
                <w:szCs w:val="22"/>
              </w:rPr>
              <w:lastRenderedPageBreak/>
              <w:t xml:space="preserve">Martinez </w:t>
            </w:r>
            <w:r w:rsidRPr="00315CD2">
              <w:rPr>
                <w:rFonts w:asciiTheme="minorHAnsi" w:hAnsiTheme="minorHAnsi"/>
                <w:i/>
                <w:sz w:val="22"/>
                <w:szCs w:val="22"/>
              </w:rPr>
              <w:t>et al</w:t>
            </w:r>
            <w:r w:rsidRPr="00315CD2">
              <w:rPr>
                <w:rFonts w:asciiTheme="minorHAnsi" w:hAnsiTheme="minorHAnsi"/>
                <w:sz w:val="22"/>
                <w:szCs w:val="22"/>
              </w:rPr>
              <w:t xml:space="preserve"> (2014). Epidemiology of first and recurrent venous thromboembolism: A population-based cohort study in patients without active cancer. Thromb Haemost 112:255-263</w:t>
            </w:r>
          </w:p>
          <w:p w14:paraId="490478D7" w14:textId="77777777" w:rsidR="007C2BA7" w:rsidRPr="00315CD2" w:rsidRDefault="007C2BA7" w:rsidP="007C2BA7">
            <w:pPr>
              <w:pStyle w:val="Paragraphnonumbers"/>
              <w:rPr>
                <w:rFonts w:asciiTheme="minorHAnsi" w:hAnsiTheme="minorHAnsi"/>
                <w:sz w:val="22"/>
                <w:szCs w:val="22"/>
              </w:rPr>
            </w:pPr>
            <w:r w:rsidRPr="00315CD2">
              <w:rPr>
                <w:rFonts w:asciiTheme="minorHAnsi" w:hAnsiTheme="minorHAnsi"/>
                <w:sz w:val="22"/>
                <w:szCs w:val="22"/>
              </w:rPr>
              <w:t xml:space="preserve">Kearon C </w:t>
            </w:r>
            <w:r w:rsidRPr="00315CD2">
              <w:rPr>
                <w:rFonts w:asciiTheme="minorHAnsi" w:hAnsiTheme="minorHAnsi"/>
                <w:i/>
                <w:sz w:val="22"/>
                <w:szCs w:val="22"/>
              </w:rPr>
              <w:t>et al</w:t>
            </w:r>
            <w:r w:rsidRPr="00315CD2">
              <w:rPr>
                <w:rFonts w:asciiTheme="minorHAnsi" w:hAnsiTheme="minorHAnsi"/>
                <w:sz w:val="22"/>
                <w:szCs w:val="22"/>
              </w:rPr>
              <w:t xml:space="preserve"> (2014). Duration of anticoagulant therapy for deep vein thrombosis and pulmonary embolism. Blood 123(12):1794</w:t>
            </w:r>
          </w:p>
          <w:p w14:paraId="236866B9" w14:textId="4B9CB7A8" w:rsidR="007C2BA7" w:rsidRPr="00315CD2" w:rsidRDefault="007C2BA7" w:rsidP="007C2BA7">
            <w:pPr>
              <w:pStyle w:val="Tabletext"/>
              <w:rPr>
                <w:rFonts w:asciiTheme="minorHAnsi" w:hAnsiTheme="minorHAnsi"/>
                <w:szCs w:val="22"/>
              </w:rPr>
            </w:pPr>
            <w:r w:rsidRPr="00315CD2">
              <w:rPr>
                <w:rFonts w:asciiTheme="minorHAnsi" w:hAnsiTheme="minorHAnsi"/>
                <w:szCs w:val="22"/>
              </w:rPr>
              <w:t>NICE NG158 (2020) (</w:t>
            </w:r>
            <w:hyperlink r:id="rId114" w:history="1">
              <w:r w:rsidRPr="00315CD2">
                <w:rPr>
                  <w:rStyle w:val="Hyperlink"/>
                  <w:rFonts w:asciiTheme="minorHAnsi" w:hAnsiTheme="minorHAnsi"/>
                  <w:szCs w:val="22"/>
                </w:rPr>
                <w:t>https://www.nice.org.uk/guidance/ng158</w:t>
              </w:r>
            </w:hyperlink>
            <w:r w:rsidRPr="00315CD2">
              <w:rPr>
                <w:rFonts w:asciiTheme="minorHAnsi" w:hAnsiTheme="minorHAnsi"/>
                <w:szCs w:val="22"/>
              </w:rPr>
              <w:t>).</w:t>
            </w:r>
          </w:p>
        </w:tc>
      </w:tr>
      <w:tr w:rsidR="007C2BA7" w:rsidRPr="00315CD2" w14:paraId="3E282DF1" w14:textId="77777777" w:rsidTr="00E52914">
        <w:trPr>
          <w:trHeight w:val="282"/>
        </w:trPr>
        <w:tc>
          <w:tcPr>
            <w:tcW w:w="558" w:type="dxa"/>
          </w:tcPr>
          <w:p w14:paraId="04EDD895" w14:textId="230A25CB"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50</w:t>
            </w:r>
          </w:p>
        </w:tc>
        <w:tc>
          <w:tcPr>
            <w:tcW w:w="1071" w:type="dxa"/>
          </w:tcPr>
          <w:p w14:paraId="339A8CDE" w14:textId="563E82E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SCM3</w:t>
            </w:r>
          </w:p>
        </w:tc>
        <w:tc>
          <w:tcPr>
            <w:tcW w:w="2761" w:type="dxa"/>
            <w:shd w:val="clear" w:color="auto" w:fill="FFFFFF"/>
          </w:tcPr>
          <w:p w14:paraId="373157E0"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Consider stopping anticoagulation 3 months after a provoked VTE if the provoking factor is no longer present </w:t>
            </w:r>
          </w:p>
          <w:p w14:paraId="7B04F26E" w14:textId="77777777" w:rsidR="007C2BA7" w:rsidRPr="00315CD2" w:rsidRDefault="007C2BA7" w:rsidP="007C2BA7">
            <w:pPr>
              <w:pStyle w:val="TableText1"/>
              <w:rPr>
                <w:rFonts w:asciiTheme="minorHAnsi" w:hAnsiTheme="minorHAnsi" w:cs="Arial"/>
                <w:szCs w:val="22"/>
              </w:rPr>
            </w:pPr>
          </w:p>
          <w:p w14:paraId="4B1AF817" w14:textId="07D55FC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NG 158 Rec 1.4.2</w:t>
            </w:r>
          </w:p>
        </w:tc>
        <w:tc>
          <w:tcPr>
            <w:tcW w:w="3118" w:type="dxa"/>
            <w:shd w:val="clear" w:color="auto" w:fill="FFFFFF"/>
          </w:tcPr>
          <w:p w14:paraId="1FC8D613"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Patients without this early review are likely to be left indefinitely on anticoagulation with no scheduled stop date.</w:t>
            </w:r>
          </w:p>
          <w:p w14:paraId="76C95CE2" w14:textId="77777777" w:rsidR="007C2BA7" w:rsidRPr="00315CD2" w:rsidRDefault="007C2BA7" w:rsidP="007C2BA7">
            <w:pPr>
              <w:pStyle w:val="TableText1"/>
              <w:rPr>
                <w:rFonts w:asciiTheme="minorHAnsi" w:hAnsiTheme="minorHAnsi" w:cs="Arial"/>
                <w:szCs w:val="22"/>
              </w:rPr>
            </w:pPr>
          </w:p>
          <w:p w14:paraId="64AC6338" w14:textId="25FD3CF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To my knowledge, there are no published reports on implementation of this review and compliance with national reporting metrics. </w:t>
            </w:r>
          </w:p>
        </w:tc>
        <w:tc>
          <w:tcPr>
            <w:tcW w:w="3686" w:type="dxa"/>
            <w:shd w:val="clear" w:color="auto" w:fill="FFFFFF"/>
          </w:tcPr>
          <w:p w14:paraId="44674584" w14:textId="7F18BB1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The incidence rate for major bleeding on therapeutic dose anticoagulation is approximately 2%. In addition, some patients may have a turbulent initial period with anticoagulation, which warrants consideration of the risks and benefits of further therapy at 3 month review. </w:t>
            </w:r>
          </w:p>
        </w:tc>
        <w:tc>
          <w:tcPr>
            <w:tcW w:w="3474" w:type="dxa"/>
            <w:shd w:val="clear" w:color="auto" w:fill="FFFFFF"/>
          </w:tcPr>
          <w:p w14:paraId="72CEB972"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Bleeding risks on anticoagulation for VTE: meta-analysis</w:t>
            </w:r>
          </w:p>
          <w:p w14:paraId="7FAD44EB" w14:textId="77777777" w:rsidR="007C2BA7" w:rsidRPr="00315CD2" w:rsidRDefault="00473E39" w:rsidP="007C2BA7">
            <w:pPr>
              <w:pStyle w:val="TableText1"/>
              <w:rPr>
                <w:rFonts w:asciiTheme="minorHAnsi" w:hAnsiTheme="minorHAnsi" w:cs="Arial"/>
                <w:szCs w:val="22"/>
              </w:rPr>
            </w:pPr>
            <w:hyperlink r:id="rId115" w:history="1">
              <w:r w:rsidR="007C2BA7" w:rsidRPr="00315CD2">
                <w:rPr>
                  <w:rStyle w:val="Hyperlink"/>
                  <w:rFonts w:asciiTheme="minorHAnsi" w:hAnsiTheme="minorHAnsi" w:cs="Arial"/>
                  <w:szCs w:val="22"/>
                </w:rPr>
                <w:t>https://pubmed.ncbi.nlm.nih.gov/14644891/</w:t>
              </w:r>
            </w:hyperlink>
          </w:p>
          <w:p w14:paraId="48E2C18E" w14:textId="77777777" w:rsidR="007C2BA7" w:rsidRPr="00315CD2" w:rsidRDefault="007C2BA7" w:rsidP="007C2BA7">
            <w:pPr>
              <w:pStyle w:val="Tabletext"/>
              <w:rPr>
                <w:rFonts w:asciiTheme="minorHAnsi" w:hAnsiTheme="minorHAnsi"/>
                <w:szCs w:val="22"/>
              </w:rPr>
            </w:pPr>
          </w:p>
        </w:tc>
      </w:tr>
      <w:tr w:rsidR="007C2BA7" w:rsidRPr="00315CD2" w14:paraId="0F315146" w14:textId="77777777" w:rsidTr="00E52914">
        <w:trPr>
          <w:trHeight w:val="282"/>
        </w:trPr>
        <w:tc>
          <w:tcPr>
            <w:tcW w:w="558" w:type="dxa"/>
          </w:tcPr>
          <w:p w14:paraId="7B6DFE0B" w14:textId="5337934A"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51</w:t>
            </w:r>
          </w:p>
        </w:tc>
        <w:tc>
          <w:tcPr>
            <w:tcW w:w="1071" w:type="dxa"/>
          </w:tcPr>
          <w:p w14:paraId="45B7EC59" w14:textId="3539EAFA" w:rsidR="007C2BA7" w:rsidRPr="00315CD2" w:rsidRDefault="007C2BA7" w:rsidP="007C2BA7">
            <w:pPr>
              <w:pStyle w:val="Tabletext"/>
              <w:rPr>
                <w:rFonts w:asciiTheme="minorHAnsi" w:hAnsiTheme="minorHAnsi"/>
                <w:szCs w:val="22"/>
              </w:rPr>
            </w:pPr>
            <w:r w:rsidRPr="00315CD2">
              <w:rPr>
                <w:rFonts w:asciiTheme="minorHAnsi" w:hAnsiTheme="minorHAnsi" w:cs="Arial"/>
                <w:b/>
                <w:szCs w:val="22"/>
              </w:rPr>
              <w:t>SCM1</w:t>
            </w:r>
          </w:p>
        </w:tc>
        <w:tc>
          <w:tcPr>
            <w:tcW w:w="2761" w:type="dxa"/>
          </w:tcPr>
          <w:p w14:paraId="3BF2F204" w14:textId="09F8393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3</w:t>
            </w:r>
          </w:p>
        </w:tc>
        <w:tc>
          <w:tcPr>
            <w:tcW w:w="3118" w:type="dxa"/>
          </w:tcPr>
          <w:p w14:paraId="723B5B91" w14:textId="12B69B0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Recurrent DVT</w:t>
            </w:r>
          </w:p>
        </w:tc>
        <w:tc>
          <w:tcPr>
            <w:tcW w:w="3686" w:type="dxa"/>
          </w:tcPr>
          <w:p w14:paraId="6A34BAE4" w14:textId="026695B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Unprovoked VTE should be seen as a long term condition and  patients should be lifelong anticoagulated </w:t>
            </w:r>
          </w:p>
        </w:tc>
        <w:tc>
          <w:tcPr>
            <w:tcW w:w="3474" w:type="dxa"/>
          </w:tcPr>
          <w:p w14:paraId="03F2A85B" w14:textId="348B5BF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Round table group in London. The consensus was that an unprovoked VTE is a long term condition and to prevent recurrence patients should </w:t>
            </w:r>
            <w:r w:rsidRPr="00315CD2">
              <w:rPr>
                <w:rFonts w:asciiTheme="minorHAnsi" w:hAnsiTheme="minorHAnsi" w:cs="Arial"/>
                <w:szCs w:val="22"/>
              </w:rPr>
              <w:lastRenderedPageBreak/>
              <w:t>be anticoagulated for the rest of their life unless bleeding risk outweighs tis.</w:t>
            </w:r>
          </w:p>
        </w:tc>
      </w:tr>
      <w:tr w:rsidR="007C2BA7" w:rsidRPr="00315CD2" w14:paraId="236ADAB2" w14:textId="77777777" w:rsidTr="00C156BC">
        <w:trPr>
          <w:trHeight w:val="282"/>
        </w:trPr>
        <w:tc>
          <w:tcPr>
            <w:tcW w:w="14668" w:type="dxa"/>
            <w:gridSpan w:val="6"/>
          </w:tcPr>
          <w:p w14:paraId="0395C31D" w14:textId="5A6B5056" w:rsidR="007C2BA7" w:rsidRPr="00C156BC" w:rsidRDefault="00C156BC" w:rsidP="007C2BA7">
            <w:pPr>
              <w:pStyle w:val="Tabletext"/>
              <w:rPr>
                <w:rFonts w:asciiTheme="minorHAnsi" w:hAnsiTheme="minorHAnsi"/>
                <w:b/>
                <w:szCs w:val="22"/>
                <w:lang w:eastAsia="en-GB"/>
              </w:rPr>
            </w:pPr>
            <w:r w:rsidRPr="00C156BC">
              <w:rPr>
                <w:rFonts w:asciiTheme="minorHAnsi" w:hAnsiTheme="minorHAnsi"/>
                <w:b/>
                <w:szCs w:val="22"/>
                <w:lang w:eastAsia="en-GB"/>
              </w:rPr>
              <w:lastRenderedPageBreak/>
              <w:t>Further interventions and tests</w:t>
            </w:r>
          </w:p>
        </w:tc>
      </w:tr>
      <w:tr w:rsidR="007C2BA7" w:rsidRPr="00315CD2" w14:paraId="530814B1" w14:textId="77777777" w:rsidTr="00E52914">
        <w:trPr>
          <w:trHeight w:val="282"/>
        </w:trPr>
        <w:tc>
          <w:tcPr>
            <w:tcW w:w="558" w:type="dxa"/>
          </w:tcPr>
          <w:p w14:paraId="122F2C3E" w14:textId="34B871C4"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52</w:t>
            </w:r>
          </w:p>
        </w:tc>
        <w:tc>
          <w:tcPr>
            <w:tcW w:w="1071" w:type="dxa"/>
          </w:tcPr>
          <w:p w14:paraId="36C11247" w14:textId="5F7CDDD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All Party Parliamentary Group on Vascular and Venous Disease</w:t>
            </w:r>
          </w:p>
        </w:tc>
        <w:tc>
          <w:tcPr>
            <w:tcW w:w="2761" w:type="dxa"/>
          </w:tcPr>
          <w:p w14:paraId="27E6F9C6" w14:textId="5457CDE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Diagnosis and treatment of venous thromboembolism</w:t>
            </w:r>
          </w:p>
        </w:tc>
        <w:tc>
          <w:tcPr>
            <w:tcW w:w="3118" w:type="dxa"/>
          </w:tcPr>
          <w:p w14:paraId="6308DB72" w14:textId="47824133" w:rsidR="007C2BA7" w:rsidRPr="00315CD2" w:rsidRDefault="007C2BA7" w:rsidP="007C2BA7">
            <w:pPr>
              <w:pStyle w:val="Tabletext"/>
              <w:rPr>
                <w:rFonts w:asciiTheme="minorHAnsi" w:hAnsiTheme="minorHAnsi"/>
                <w:szCs w:val="22"/>
              </w:rPr>
            </w:pPr>
            <w:bookmarkStart w:id="144" w:name="_Hlk50320633"/>
            <w:r w:rsidRPr="00315CD2">
              <w:rPr>
                <w:rFonts w:asciiTheme="minorHAnsi" w:hAnsiTheme="minorHAnsi" w:cs="Arial"/>
                <w:szCs w:val="22"/>
              </w:rPr>
              <w:t>There is considerable new evidence on the use of early compression for treating deep vein thrombosis – clearly beneficial. This needs to be incorporated into guidance. Centralised venous networks could play a supporting role.</w:t>
            </w:r>
            <w:bookmarkEnd w:id="144"/>
          </w:p>
        </w:tc>
        <w:tc>
          <w:tcPr>
            <w:tcW w:w="3686" w:type="dxa"/>
          </w:tcPr>
          <w:p w14:paraId="65D79F4B" w14:textId="6B0C232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Area of improvement.</w:t>
            </w:r>
          </w:p>
        </w:tc>
        <w:tc>
          <w:tcPr>
            <w:tcW w:w="3474" w:type="dxa"/>
          </w:tcPr>
          <w:p w14:paraId="1C06FC41" w14:textId="4BADA95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Reference (1): Cochrane database review Appelen D et al., Compression therapy for prevention of post-thrombotic syndrome. Cochrane Database of Systematic Reviews 2017, Issue 9; reference (2): Anecdotal feedback from healthcare professionals.</w:t>
            </w:r>
          </w:p>
        </w:tc>
      </w:tr>
      <w:tr w:rsidR="007C2BA7" w:rsidRPr="00315CD2" w14:paraId="7BD50E1F" w14:textId="77777777" w:rsidTr="00E52914">
        <w:trPr>
          <w:trHeight w:val="282"/>
        </w:trPr>
        <w:tc>
          <w:tcPr>
            <w:tcW w:w="558" w:type="dxa"/>
          </w:tcPr>
          <w:p w14:paraId="743DD965" w14:textId="7B266394"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53</w:t>
            </w:r>
          </w:p>
        </w:tc>
        <w:tc>
          <w:tcPr>
            <w:tcW w:w="1071" w:type="dxa"/>
          </w:tcPr>
          <w:p w14:paraId="03C9F906" w14:textId="6047747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All Party Parliamentary Group on Vascular and Venous Disease</w:t>
            </w:r>
          </w:p>
        </w:tc>
        <w:tc>
          <w:tcPr>
            <w:tcW w:w="2761" w:type="dxa"/>
          </w:tcPr>
          <w:p w14:paraId="7662FC12" w14:textId="304B894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Diagnosis and treatment of venous thromboembolism</w:t>
            </w:r>
          </w:p>
        </w:tc>
        <w:tc>
          <w:tcPr>
            <w:tcW w:w="3118" w:type="dxa"/>
          </w:tcPr>
          <w:p w14:paraId="4E6D34C6" w14:textId="5CDDCA9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Use of inferior vena cava filters is generally safe however complications can occur. The use of IVC filters should be followed with a clear plan for the removal of the filter (if its use is intended to be temporary) . Additionally, their use should consider the patient’s circumstances relevant to: presence of pulmonary embolism and deep venous thrombosis in spite of the use of anticoagulant therapy. Centralised venous networks could play a supporting role.</w:t>
            </w:r>
          </w:p>
        </w:tc>
        <w:tc>
          <w:tcPr>
            <w:tcW w:w="3686" w:type="dxa"/>
          </w:tcPr>
          <w:p w14:paraId="4E8E820B" w14:textId="43B221B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Area of improvement. Inconsistency and variation in practice.</w:t>
            </w:r>
          </w:p>
        </w:tc>
        <w:tc>
          <w:tcPr>
            <w:tcW w:w="3474" w:type="dxa"/>
          </w:tcPr>
          <w:p w14:paraId="4C1FD256" w14:textId="23C3D33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Reference (1): Grewal et al., “Complications of inferior vena cava filters.” Cardiovascular diagnosis and therapy vol. 6,6 (2016): 632-641; reference (2): Sharifi M et al., Role of IVC filters in endovenous therapy for deep venous thrombosis: the FILTER-PEVI (filter implantation to lower thromboembolic risk in percutaneous endovenous intervention) trial. Cardiovasc Intervent Radiol. 2012;35(6):1408-1413;      reference (3): Usoh et al., Prospective randomized study comparing the clinical outcomes between inferior vena cava Greenfield and TrapEase filters. J </w:t>
            </w:r>
            <w:r w:rsidRPr="00315CD2">
              <w:rPr>
                <w:rFonts w:asciiTheme="minorHAnsi" w:hAnsiTheme="minorHAnsi" w:cs="Arial"/>
                <w:szCs w:val="22"/>
              </w:rPr>
              <w:lastRenderedPageBreak/>
              <w:t>Vasc Surg. 2010;52(2):394-399; reference (4): Anecdotal feedback from healthcare professionals.</w:t>
            </w:r>
          </w:p>
        </w:tc>
      </w:tr>
      <w:tr w:rsidR="007C2BA7" w:rsidRPr="00315CD2" w14:paraId="7CC8BBE7" w14:textId="77777777" w:rsidTr="00E52914">
        <w:trPr>
          <w:trHeight w:val="282"/>
        </w:trPr>
        <w:tc>
          <w:tcPr>
            <w:tcW w:w="558" w:type="dxa"/>
          </w:tcPr>
          <w:p w14:paraId="16B9165D" w14:textId="205D9BCD"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54</w:t>
            </w:r>
          </w:p>
        </w:tc>
        <w:tc>
          <w:tcPr>
            <w:tcW w:w="1071" w:type="dxa"/>
          </w:tcPr>
          <w:p w14:paraId="559BA3CF" w14:textId="2A8B33E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All Party Parliamentary Group on Vascular and Venous Disease</w:t>
            </w:r>
          </w:p>
        </w:tc>
        <w:tc>
          <w:tcPr>
            <w:tcW w:w="2761" w:type="dxa"/>
          </w:tcPr>
          <w:p w14:paraId="395425D3" w14:textId="77777777" w:rsidR="007C2BA7" w:rsidRPr="00315CD2" w:rsidRDefault="007C2BA7" w:rsidP="007C2BA7">
            <w:pPr>
              <w:pStyle w:val="ListParagraph"/>
              <w:ind w:left="0"/>
              <w:rPr>
                <w:rFonts w:asciiTheme="minorHAnsi" w:hAnsiTheme="minorHAnsi" w:cs="Arial"/>
                <w:sz w:val="22"/>
                <w:szCs w:val="22"/>
              </w:rPr>
            </w:pPr>
            <w:r w:rsidRPr="00315CD2">
              <w:rPr>
                <w:rFonts w:asciiTheme="minorHAnsi" w:hAnsiTheme="minorHAnsi" w:cs="Arial"/>
                <w:sz w:val="22"/>
                <w:szCs w:val="22"/>
              </w:rPr>
              <w:t>Post venous thromboembolism  management.</w:t>
            </w:r>
          </w:p>
          <w:p w14:paraId="4EE822FB" w14:textId="77777777" w:rsidR="007C2BA7" w:rsidRPr="00315CD2" w:rsidRDefault="007C2BA7" w:rsidP="007C2BA7">
            <w:pPr>
              <w:pStyle w:val="Tabletext"/>
              <w:rPr>
                <w:rFonts w:asciiTheme="minorHAnsi" w:hAnsiTheme="minorHAnsi"/>
                <w:szCs w:val="22"/>
              </w:rPr>
            </w:pPr>
          </w:p>
        </w:tc>
        <w:tc>
          <w:tcPr>
            <w:tcW w:w="3118" w:type="dxa"/>
          </w:tcPr>
          <w:p w14:paraId="6C3BECDC" w14:textId="77777777" w:rsidR="007C2BA7" w:rsidRPr="00315CD2" w:rsidRDefault="007C2BA7" w:rsidP="007C2BA7">
            <w:pPr>
              <w:pStyle w:val="ListParagraph"/>
              <w:ind w:left="0"/>
              <w:rPr>
                <w:rFonts w:asciiTheme="minorHAnsi" w:hAnsiTheme="minorHAnsi" w:cs="Arial"/>
                <w:sz w:val="22"/>
                <w:szCs w:val="22"/>
              </w:rPr>
            </w:pPr>
            <w:r w:rsidRPr="00315CD2">
              <w:rPr>
                <w:rFonts w:asciiTheme="minorHAnsi" w:hAnsiTheme="minorHAnsi" w:cs="Arial"/>
                <w:sz w:val="22"/>
                <w:szCs w:val="22"/>
              </w:rPr>
              <w:t>Clarity on use of stockings for preventing post thrombotic syndrome.</w:t>
            </w:r>
          </w:p>
          <w:p w14:paraId="51FAB2A0" w14:textId="77777777" w:rsidR="007C2BA7" w:rsidRPr="00315CD2" w:rsidRDefault="007C2BA7" w:rsidP="007C2BA7">
            <w:pPr>
              <w:pStyle w:val="ListParagraph"/>
              <w:rPr>
                <w:rFonts w:asciiTheme="minorHAnsi" w:hAnsiTheme="minorHAnsi" w:cs="Arial"/>
                <w:sz w:val="22"/>
                <w:szCs w:val="22"/>
              </w:rPr>
            </w:pPr>
          </w:p>
          <w:p w14:paraId="3A92E0FC" w14:textId="19A383F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      </w:t>
            </w:r>
          </w:p>
        </w:tc>
        <w:tc>
          <w:tcPr>
            <w:tcW w:w="3686" w:type="dxa"/>
          </w:tcPr>
          <w:p w14:paraId="310A340F" w14:textId="77777777" w:rsidR="007C2BA7" w:rsidRPr="00315CD2" w:rsidRDefault="007C2BA7" w:rsidP="007C2BA7">
            <w:pPr>
              <w:pStyle w:val="ListParagraph"/>
              <w:ind w:left="0"/>
              <w:rPr>
                <w:rFonts w:asciiTheme="minorHAnsi" w:hAnsiTheme="minorHAnsi" w:cs="Arial"/>
                <w:sz w:val="22"/>
                <w:szCs w:val="22"/>
              </w:rPr>
            </w:pPr>
            <w:r w:rsidRPr="00315CD2">
              <w:rPr>
                <w:rFonts w:asciiTheme="minorHAnsi" w:hAnsiTheme="minorHAnsi" w:cs="Arial"/>
                <w:sz w:val="22"/>
                <w:szCs w:val="22"/>
              </w:rPr>
              <w:t>Area of improvement.</w:t>
            </w:r>
          </w:p>
          <w:p w14:paraId="6F7BE60F" w14:textId="77777777" w:rsidR="007C2BA7" w:rsidRPr="00315CD2" w:rsidRDefault="007C2BA7" w:rsidP="007C2BA7">
            <w:pPr>
              <w:rPr>
                <w:rFonts w:asciiTheme="minorHAnsi" w:hAnsiTheme="minorHAnsi" w:cs="Arial"/>
                <w:sz w:val="22"/>
                <w:szCs w:val="22"/>
              </w:rPr>
            </w:pPr>
          </w:p>
          <w:p w14:paraId="2FCDE94E" w14:textId="77777777" w:rsidR="007C2BA7" w:rsidRPr="00315CD2" w:rsidRDefault="007C2BA7" w:rsidP="007C2BA7">
            <w:pPr>
              <w:pStyle w:val="Tabletext"/>
              <w:rPr>
                <w:rFonts w:asciiTheme="minorHAnsi" w:hAnsiTheme="minorHAnsi"/>
                <w:szCs w:val="22"/>
              </w:rPr>
            </w:pPr>
          </w:p>
        </w:tc>
        <w:tc>
          <w:tcPr>
            <w:tcW w:w="3474" w:type="dxa"/>
          </w:tcPr>
          <w:p w14:paraId="7F35B9A4"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Reference (1): The SOX trial: Kahn SR et al. Compression stockings to prevent post-thrombotic syndrome: a randomised placebo-controlled trial. Lancet. 2014;383(9920):880-888;                                reference (2): The OCTAVIA study: Mol G C, et al., One versus two years of elastic compression stockings for prevention of post-thrombotic syndrome (OCTAVIA study): randomised controlled trial BMJ April 2016; reference (3): Anecdotal feedback from healthcare professionals.</w:t>
            </w:r>
          </w:p>
          <w:p w14:paraId="097C334D" w14:textId="77777777" w:rsidR="007C2BA7" w:rsidRPr="00315CD2" w:rsidRDefault="007C2BA7" w:rsidP="007C2BA7">
            <w:pPr>
              <w:pStyle w:val="Tabletext"/>
              <w:rPr>
                <w:rFonts w:asciiTheme="minorHAnsi" w:hAnsiTheme="minorHAnsi"/>
                <w:szCs w:val="22"/>
              </w:rPr>
            </w:pPr>
          </w:p>
        </w:tc>
      </w:tr>
      <w:tr w:rsidR="007C2BA7" w:rsidRPr="00315CD2" w14:paraId="4DCF1D9E" w14:textId="77777777" w:rsidTr="00E52914">
        <w:trPr>
          <w:trHeight w:val="282"/>
        </w:trPr>
        <w:tc>
          <w:tcPr>
            <w:tcW w:w="558" w:type="dxa"/>
          </w:tcPr>
          <w:p w14:paraId="41BB5200" w14:textId="3435FDE4"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55</w:t>
            </w:r>
          </w:p>
        </w:tc>
        <w:tc>
          <w:tcPr>
            <w:tcW w:w="1071" w:type="dxa"/>
          </w:tcPr>
          <w:p w14:paraId="4A45A736" w14:textId="4B1FD3D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British Society of Interventional Radiology</w:t>
            </w:r>
          </w:p>
        </w:tc>
        <w:tc>
          <w:tcPr>
            <w:tcW w:w="2761" w:type="dxa"/>
          </w:tcPr>
          <w:p w14:paraId="6D2C9AF5" w14:textId="1F0FDF4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3</w:t>
            </w:r>
          </w:p>
        </w:tc>
        <w:tc>
          <w:tcPr>
            <w:tcW w:w="3118" w:type="dxa"/>
          </w:tcPr>
          <w:p w14:paraId="634188C3" w14:textId="3EF4F19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The use of aspirational mechanical thrombectomy rather than lysis in acute DVT and P.E. </w:t>
            </w:r>
          </w:p>
        </w:tc>
        <w:tc>
          <w:tcPr>
            <w:tcW w:w="3686" w:type="dxa"/>
          </w:tcPr>
          <w:p w14:paraId="64288012" w14:textId="55E52F6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Currently many sites will initially place all patients on lysis as a way to manage clot. This has significant complications in particular bleeding </w:t>
            </w:r>
          </w:p>
        </w:tc>
        <w:tc>
          <w:tcPr>
            <w:tcW w:w="3474" w:type="dxa"/>
          </w:tcPr>
          <w:p w14:paraId="545884CB"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There is enough data and technology to support the use of systems that remove clot and do not relay on the use of lysis/TpA drugs. This reduces complications rates, hospital stay, contra-</w:t>
            </w:r>
            <w:r w:rsidRPr="00315CD2">
              <w:rPr>
                <w:rFonts w:asciiTheme="minorHAnsi" w:hAnsiTheme="minorHAnsi" w:cs="Arial"/>
                <w:sz w:val="22"/>
                <w:szCs w:val="22"/>
              </w:rPr>
              <w:lastRenderedPageBreak/>
              <w:t xml:space="preserve">indication cases and are more cost effective/efficient in selected cases. </w:t>
            </w:r>
          </w:p>
          <w:p w14:paraId="62EB3BAE" w14:textId="77777777" w:rsidR="007C2BA7" w:rsidRPr="00315CD2" w:rsidRDefault="00473E39" w:rsidP="007C2BA7">
            <w:pPr>
              <w:rPr>
                <w:rFonts w:asciiTheme="minorHAnsi" w:hAnsiTheme="minorHAnsi"/>
                <w:sz w:val="22"/>
                <w:szCs w:val="22"/>
              </w:rPr>
            </w:pPr>
            <w:hyperlink r:id="rId116" w:history="1">
              <w:r w:rsidR="007C2BA7" w:rsidRPr="00315CD2">
                <w:rPr>
                  <w:rStyle w:val="Hyperlink"/>
                  <w:rFonts w:asciiTheme="minorHAnsi" w:hAnsiTheme="minorHAnsi"/>
                  <w:sz w:val="22"/>
                  <w:szCs w:val="22"/>
                </w:rPr>
                <w:t>https://www.dicardiology.com/channel/thrombectomy-devices</w:t>
              </w:r>
            </w:hyperlink>
          </w:p>
          <w:p w14:paraId="755D7D8A" w14:textId="77777777" w:rsidR="007C2BA7" w:rsidRPr="00315CD2" w:rsidRDefault="007C2BA7" w:rsidP="007C2BA7">
            <w:pPr>
              <w:rPr>
                <w:rFonts w:asciiTheme="minorHAnsi" w:hAnsiTheme="minorHAnsi"/>
                <w:sz w:val="22"/>
                <w:szCs w:val="22"/>
              </w:rPr>
            </w:pPr>
          </w:p>
          <w:p w14:paraId="1EA61697" w14:textId="77777777" w:rsidR="007C2BA7" w:rsidRPr="00315CD2" w:rsidRDefault="00473E39" w:rsidP="007C2BA7">
            <w:pPr>
              <w:rPr>
                <w:rFonts w:asciiTheme="minorHAnsi" w:hAnsiTheme="minorHAnsi"/>
                <w:sz w:val="22"/>
                <w:szCs w:val="22"/>
              </w:rPr>
            </w:pPr>
            <w:hyperlink r:id="rId117" w:history="1">
              <w:r w:rsidR="007C2BA7" w:rsidRPr="00315CD2">
                <w:rPr>
                  <w:rStyle w:val="Hyperlink"/>
                  <w:rFonts w:asciiTheme="minorHAnsi" w:hAnsiTheme="minorHAnsi"/>
                  <w:sz w:val="22"/>
                  <w:szCs w:val="22"/>
                </w:rPr>
                <w:t>https://www.ncbi.nlm.nih.gov/pmc/articles/PMC5220196/pdf/cdt-06-06-599.pdf</w:t>
              </w:r>
            </w:hyperlink>
          </w:p>
          <w:p w14:paraId="64BD5148" w14:textId="77777777" w:rsidR="007C2BA7" w:rsidRPr="00315CD2" w:rsidRDefault="007C2BA7" w:rsidP="007C2BA7">
            <w:pPr>
              <w:rPr>
                <w:rFonts w:asciiTheme="minorHAnsi" w:hAnsiTheme="minorHAnsi"/>
                <w:sz w:val="22"/>
                <w:szCs w:val="22"/>
              </w:rPr>
            </w:pPr>
          </w:p>
          <w:p w14:paraId="4DE41A5C" w14:textId="77777777" w:rsidR="007C2BA7" w:rsidRPr="00315CD2" w:rsidRDefault="00473E39" w:rsidP="007C2BA7">
            <w:pPr>
              <w:rPr>
                <w:rFonts w:asciiTheme="minorHAnsi" w:hAnsiTheme="minorHAnsi"/>
                <w:sz w:val="22"/>
                <w:szCs w:val="22"/>
              </w:rPr>
            </w:pPr>
            <w:hyperlink r:id="rId118" w:history="1">
              <w:r w:rsidR="007C2BA7" w:rsidRPr="00315CD2">
                <w:rPr>
                  <w:rStyle w:val="Hyperlink"/>
                  <w:rFonts w:asciiTheme="minorHAnsi" w:hAnsiTheme="minorHAnsi"/>
                  <w:sz w:val="22"/>
                  <w:szCs w:val="22"/>
                </w:rPr>
                <w:t>http://www.indianvascularsurgery.com/wp-content/uploads/2019/06/Aspiration-thrombectomy-for-acute-iliofemoral-or-central-deep-venous-thrombosis.pdf</w:t>
              </w:r>
            </w:hyperlink>
          </w:p>
          <w:p w14:paraId="00C62D93" w14:textId="77777777" w:rsidR="007C2BA7" w:rsidRPr="00315CD2" w:rsidRDefault="007C2BA7" w:rsidP="007C2BA7">
            <w:pPr>
              <w:pStyle w:val="Tabletext"/>
              <w:rPr>
                <w:rFonts w:asciiTheme="minorHAnsi" w:hAnsiTheme="minorHAnsi"/>
                <w:szCs w:val="22"/>
              </w:rPr>
            </w:pPr>
          </w:p>
        </w:tc>
      </w:tr>
      <w:tr w:rsidR="007C2BA7" w:rsidRPr="00315CD2" w14:paraId="022AE5C7" w14:textId="77777777" w:rsidTr="00E52914">
        <w:trPr>
          <w:trHeight w:val="282"/>
        </w:trPr>
        <w:tc>
          <w:tcPr>
            <w:tcW w:w="558" w:type="dxa"/>
          </w:tcPr>
          <w:p w14:paraId="0E6FD0BB" w14:textId="121F7B1D"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56</w:t>
            </w:r>
          </w:p>
        </w:tc>
        <w:tc>
          <w:tcPr>
            <w:tcW w:w="1071" w:type="dxa"/>
          </w:tcPr>
          <w:p w14:paraId="72A74EBA" w14:textId="42D4282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SCM6</w:t>
            </w:r>
          </w:p>
        </w:tc>
        <w:tc>
          <w:tcPr>
            <w:tcW w:w="2761" w:type="dxa"/>
          </w:tcPr>
          <w:p w14:paraId="178429A3" w14:textId="6014DC6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Overuse of IVC filters and failure to remove in a timely fashion</w:t>
            </w:r>
          </w:p>
        </w:tc>
        <w:tc>
          <w:tcPr>
            <w:tcW w:w="3118" w:type="dxa"/>
          </w:tcPr>
          <w:p w14:paraId="443E13A1" w14:textId="1B58F1E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Incorrect use of resources and risk of ong term adverse outcomes</w:t>
            </w:r>
          </w:p>
        </w:tc>
        <w:tc>
          <w:tcPr>
            <w:tcW w:w="3686" w:type="dxa"/>
          </w:tcPr>
          <w:p w14:paraId="1C83D0EC" w14:textId="77777777" w:rsidR="007C2BA7" w:rsidRPr="00315CD2" w:rsidRDefault="007C2BA7" w:rsidP="007C2BA7">
            <w:pPr>
              <w:pStyle w:val="Tabletext"/>
              <w:rPr>
                <w:rFonts w:asciiTheme="minorHAnsi" w:hAnsiTheme="minorHAnsi"/>
                <w:szCs w:val="22"/>
              </w:rPr>
            </w:pPr>
          </w:p>
        </w:tc>
        <w:tc>
          <w:tcPr>
            <w:tcW w:w="3474" w:type="dxa"/>
          </w:tcPr>
          <w:p w14:paraId="07F2A183" w14:textId="3E45F10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Overuse of IVC filters and failure to remove in a timely fashion</w:t>
            </w:r>
          </w:p>
        </w:tc>
      </w:tr>
      <w:tr w:rsidR="007C2BA7" w:rsidRPr="00315CD2" w14:paraId="31512F6A" w14:textId="77777777" w:rsidTr="00E52914">
        <w:trPr>
          <w:trHeight w:val="282"/>
        </w:trPr>
        <w:tc>
          <w:tcPr>
            <w:tcW w:w="558" w:type="dxa"/>
          </w:tcPr>
          <w:p w14:paraId="2EB87A78" w14:textId="31C9CC81"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57</w:t>
            </w:r>
          </w:p>
        </w:tc>
        <w:tc>
          <w:tcPr>
            <w:tcW w:w="1071" w:type="dxa"/>
          </w:tcPr>
          <w:p w14:paraId="763F1945" w14:textId="1C3BA06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SCM8</w:t>
            </w:r>
          </w:p>
        </w:tc>
        <w:tc>
          <w:tcPr>
            <w:tcW w:w="2761" w:type="dxa"/>
            <w:shd w:val="clear" w:color="auto" w:fill="FFFFFF"/>
          </w:tcPr>
          <w:p w14:paraId="6DB95770" w14:textId="3684B47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NG158 1.7.1/4 IVC filters should only be sited as part of a prospective clinical study, and there should be a strategy in place for </w:t>
            </w:r>
            <w:r w:rsidRPr="00315CD2">
              <w:rPr>
                <w:rFonts w:asciiTheme="minorHAnsi" w:hAnsiTheme="minorHAnsi" w:cs="Arial"/>
                <w:szCs w:val="22"/>
              </w:rPr>
              <w:lastRenderedPageBreak/>
              <w:t>removal of the device in a timely manner</w:t>
            </w:r>
          </w:p>
        </w:tc>
        <w:tc>
          <w:tcPr>
            <w:tcW w:w="3118" w:type="dxa"/>
            <w:shd w:val="clear" w:color="auto" w:fill="FFFFFF"/>
          </w:tcPr>
          <w:p w14:paraId="7A5C48C3" w14:textId="1C0BB2B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 xml:space="preserve">Use of IVC filters, especially peri-operatively, is increasing. It is important to consider the role of filters, especially in the peri-operative setting, and the need </w:t>
            </w:r>
            <w:r w:rsidRPr="00315CD2">
              <w:rPr>
                <w:rFonts w:asciiTheme="minorHAnsi" w:hAnsiTheme="minorHAnsi" w:cs="Arial"/>
                <w:szCs w:val="22"/>
              </w:rPr>
              <w:lastRenderedPageBreak/>
              <w:t>to retrieve the filter in a timely manner</w:t>
            </w:r>
          </w:p>
        </w:tc>
        <w:tc>
          <w:tcPr>
            <w:tcW w:w="3686" w:type="dxa"/>
            <w:shd w:val="clear" w:color="auto" w:fill="FFFFFF"/>
          </w:tcPr>
          <w:p w14:paraId="41606264" w14:textId="07D3D18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To prevent increasing use of IVC filters, especially peri-operatively, with little evidence to support efficacy, and limit harm by ensuring early retrieval, and audit of outcome</w:t>
            </w:r>
          </w:p>
        </w:tc>
        <w:tc>
          <w:tcPr>
            <w:tcW w:w="3474" w:type="dxa"/>
            <w:shd w:val="clear" w:color="auto" w:fill="FFFFFF"/>
          </w:tcPr>
          <w:p w14:paraId="29AB726B" w14:textId="77777777" w:rsidR="007C2BA7" w:rsidRPr="00315CD2" w:rsidRDefault="007C2BA7" w:rsidP="007C2BA7">
            <w:pPr>
              <w:pStyle w:val="Tabletext"/>
              <w:rPr>
                <w:rFonts w:asciiTheme="minorHAnsi" w:hAnsiTheme="minorHAnsi"/>
                <w:szCs w:val="22"/>
              </w:rPr>
            </w:pPr>
          </w:p>
        </w:tc>
      </w:tr>
      <w:tr w:rsidR="007C2BA7" w:rsidRPr="00315CD2" w14:paraId="2AD3B952" w14:textId="77777777" w:rsidTr="00E52914">
        <w:trPr>
          <w:trHeight w:val="282"/>
        </w:trPr>
        <w:tc>
          <w:tcPr>
            <w:tcW w:w="558" w:type="dxa"/>
          </w:tcPr>
          <w:p w14:paraId="54A63874" w14:textId="63E48330"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58</w:t>
            </w:r>
          </w:p>
        </w:tc>
        <w:tc>
          <w:tcPr>
            <w:tcW w:w="1071" w:type="dxa"/>
          </w:tcPr>
          <w:p w14:paraId="07D0A272" w14:textId="6419E09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LEO Pharma</w:t>
            </w:r>
          </w:p>
        </w:tc>
        <w:tc>
          <w:tcPr>
            <w:tcW w:w="2761" w:type="dxa"/>
          </w:tcPr>
          <w:p w14:paraId="4FCAC632" w14:textId="77777777" w:rsidR="007C2BA7" w:rsidRPr="00315CD2" w:rsidRDefault="007C2BA7" w:rsidP="007C2BA7">
            <w:pPr>
              <w:pStyle w:val="Paragraphnonumbers"/>
              <w:spacing w:after="120"/>
              <w:rPr>
                <w:rFonts w:asciiTheme="minorHAnsi" w:hAnsiTheme="minorHAnsi" w:cs="Arial"/>
                <w:b/>
                <w:bCs/>
                <w:sz w:val="22"/>
                <w:szCs w:val="22"/>
              </w:rPr>
            </w:pPr>
            <w:r w:rsidRPr="00315CD2">
              <w:rPr>
                <w:rFonts w:asciiTheme="minorHAnsi" w:hAnsiTheme="minorHAnsi" w:cs="Arial"/>
                <w:b/>
                <w:bCs/>
                <w:sz w:val="22"/>
                <w:szCs w:val="22"/>
              </w:rPr>
              <w:t xml:space="preserve">People with unprovoked deep vein thrombosis or pulmonary embolism who are not already known to have cancer are offered timely investigations for cancer. </w:t>
            </w:r>
          </w:p>
          <w:p w14:paraId="69F49CE5" w14:textId="77777777" w:rsidR="007C2BA7" w:rsidRPr="00315CD2" w:rsidRDefault="007C2BA7" w:rsidP="007C2BA7">
            <w:pPr>
              <w:pStyle w:val="Tabletext"/>
              <w:rPr>
                <w:rFonts w:asciiTheme="minorHAnsi" w:hAnsiTheme="minorHAnsi"/>
                <w:szCs w:val="22"/>
              </w:rPr>
            </w:pPr>
          </w:p>
        </w:tc>
        <w:tc>
          <w:tcPr>
            <w:tcW w:w="3118" w:type="dxa"/>
          </w:tcPr>
          <w:p w14:paraId="312239DE"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People with unprovoked VTE may have cancer and there is evidence that further investigation in people with relevant symptoms will establish a diagnosis and direct appropriate type and duration of anticoagulation.</w:t>
            </w:r>
          </w:p>
          <w:p w14:paraId="6833E0D8" w14:textId="0912BAF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Hospital Trusts should have a written process to investigate for cancer in people with unprovoked VTE and relevant symptoms</w:t>
            </w:r>
          </w:p>
        </w:tc>
        <w:tc>
          <w:tcPr>
            <w:tcW w:w="3686" w:type="dxa"/>
          </w:tcPr>
          <w:p w14:paraId="2945AEA3" w14:textId="2E9C3E5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NICE Guidance NG 158 and NG12 recommends that for people with unprovoked VTE and relevant symptoms, urgent investigation for cancer is undertaken</w:t>
            </w:r>
          </w:p>
        </w:tc>
        <w:tc>
          <w:tcPr>
            <w:tcW w:w="3474" w:type="dxa"/>
          </w:tcPr>
          <w:p w14:paraId="3B11A0C6"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Epidemiological data shows that people with cancer and VTE are at considerably more risk of recurrent VTE and death than those with VTE alone</w:t>
            </w:r>
          </w:p>
          <w:p w14:paraId="2E5192BD" w14:textId="77777777" w:rsidR="007C2BA7" w:rsidRPr="00315CD2" w:rsidRDefault="007C2BA7" w:rsidP="007C2BA7">
            <w:pPr>
              <w:pStyle w:val="Paragraphnonumbers"/>
              <w:rPr>
                <w:rFonts w:asciiTheme="minorHAnsi" w:hAnsiTheme="minorHAnsi" w:cs="Academy Sans Light"/>
                <w:sz w:val="22"/>
                <w:szCs w:val="22"/>
              </w:rPr>
            </w:pPr>
            <w:r w:rsidRPr="00315CD2">
              <w:rPr>
                <w:rStyle w:val="A0"/>
                <w:rFonts w:asciiTheme="minorHAnsi" w:hAnsiTheme="minorHAnsi"/>
                <w:b/>
                <w:bCs/>
                <w:sz w:val="22"/>
                <w:szCs w:val="22"/>
              </w:rPr>
              <w:t>Levitan N, et al</w:t>
            </w:r>
            <w:r w:rsidRPr="00315CD2">
              <w:rPr>
                <w:rStyle w:val="A0"/>
                <w:rFonts w:asciiTheme="minorHAnsi" w:hAnsiTheme="minorHAnsi"/>
                <w:i/>
                <w:iCs/>
                <w:sz w:val="22"/>
                <w:szCs w:val="22"/>
              </w:rPr>
              <w:t xml:space="preserve">. </w:t>
            </w:r>
            <w:r w:rsidRPr="00315CD2">
              <w:rPr>
                <w:rStyle w:val="A0"/>
                <w:rFonts w:asciiTheme="minorHAnsi" w:hAnsiTheme="minorHAnsi"/>
                <w:sz w:val="22"/>
                <w:szCs w:val="22"/>
              </w:rPr>
              <w:t>Medicine 1999; 78: 285-291</w:t>
            </w:r>
          </w:p>
          <w:p w14:paraId="0A772917" w14:textId="77777777" w:rsidR="007C2BA7" w:rsidRPr="00315CD2" w:rsidRDefault="007C2BA7" w:rsidP="007C2BA7">
            <w:pPr>
              <w:pStyle w:val="Paragraphnonumbers"/>
              <w:rPr>
                <w:rStyle w:val="A0"/>
                <w:rFonts w:asciiTheme="minorHAnsi" w:hAnsiTheme="minorHAnsi"/>
                <w:sz w:val="22"/>
                <w:szCs w:val="22"/>
              </w:rPr>
            </w:pPr>
            <w:r w:rsidRPr="00315CD2">
              <w:rPr>
                <w:rStyle w:val="A0"/>
                <w:rFonts w:asciiTheme="minorHAnsi" w:hAnsiTheme="minorHAnsi"/>
                <w:b/>
                <w:bCs/>
                <w:sz w:val="22"/>
                <w:szCs w:val="22"/>
              </w:rPr>
              <w:t>Prandoni P, et al</w:t>
            </w:r>
            <w:r w:rsidRPr="00315CD2">
              <w:rPr>
                <w:rStyle w:val="A0"/>
                <w:rFonts w:asciiTheme="minorHAnsi" w:hAnsiTheme="minorHAnsi"/>
                <w:b/>
                <w:bCs/>
                <w:i/>
                <w:iCs/>
                <w:sz w:val="22"/>
                <w:szCs w:val="22"/>
              </w:rPr>
              <w:t>.</w:t>
            </w:r>
            <w:r w:rsidRPr="00315CD2">
              <w:rPr>
                <w:rStyle w:val="A0"/>
                <w:rFonts w:asciiTheme="minorHAnsi" w:hAnsiTheme="minorHAnsi"/>
                <w:i/>
                <w:iCs/>
                <w:sz w:val="22"/>
                <w:szCs w:val="22"/>
              </w:rPr>
              <w:t xml:space="preserve"> </w:t>
            </w:r>
            <w:r w:rsidRPr="00315CD2">
              <w:rPr>
                <w:rStyle w:val="A0"/>
                <w:rFonts w:asciiTheme="minorHAnsi" w:hAnsiTheme="minorHAnsi"/>
                <w:sz w:val="22"/>
                <w:szCs w:val="22"/>
              </w:rPr>
              <w:t>Blood 2002; 100:3484-3488</w:t>
            </w:r>
          </w:p>
          <w:p w14:paraId="714979D4" w14:textId="18701553" w:rsidR="007C2BA7" w:rsidRPr="00315CD2" w:rsidRDefault="007C2BA7" w:rsidP="007C2BA7">
            <w:pPr>
              <w:pStyle w:val="Tabletext"/>
              <w:rPr>
                <w:rFonts w:asciiTheme="minorHAnsi" w:hAnsiTheme="minorHAnsi"/>
                <w:szCs w:val="22"/>
              </w:rPr>
            </w:pPr>
            <w:r w:rsidRPr="00315CD2">
              <w:rPr>
                <w:rFonts w:asciiTheme="minorHAnsi" w:hAnsiTheme="minorHAnsi" w:cs="Arial"/>
                <w:b/>
                <w:bCs/>
                <w:szCs w:val="22"/>
              </w:rPr>
              <w:t>SØrensen, Henrik Toft, et al.</w:t>
            </w:r>
            <w:r w:rsidRPr="00315CD2">
              <w:rPr>
                <w:rFonts w:asciiTheme="minorHAnsi" w:hAnsiTheme="minorHAnsi" w:cs="Arial"/>
                <w:szCs w:val="22"/>
              </w:rPr>
              <w:t xml:space="preserve">  </w:t>
            </w:r>
            <w:r w:rsidRPr="00315CD2">
              <w:rPr>
                <w:rFonts w:asciiTheme="minorHAnsi" w:hAnsiTheme="minorHAnsi" w:cs="Arial"/>
                <w:i/>
                <w:iCs/>
                <w:szCs w:val="22"/>
              </w:rPr>
              <w:t xml:space="preserve">New England Journal of Medicine </w:t>
            </w:r>
            <w:r w:rsidRPr="00315CD2">
              <w:rPr>
                <w:rFonts w:asciiTheme="minorHAnsi" w:hAnsiTheme="minorHAnsi" w:cs="Arial"/>
                <w:szCs w:val="22"/>
              </w:rPr>
              <w:t>343.25 (2000): 1846-1850</w:t>
            </w:r>
          </w:p>
        </w:tc>
      </w:tr>
      <w:tr w:rsidR="007C2BA7" w:rsidRPr="00315CD2" w14:paraId="23B1E8AD" w14:textId="77777777" w:rsidTr="00E52914">
        <w:trPr>
          <w:trHeight w:val="282"/>
        </w:trPr>
        <w:tc>
          <w:tcPr>
            <w:tcW w:w="558" w:type="dxa"/>
          </w:tcPr>
          <w:p w14:paraId="3715A5E5" w14:textId="13108EDD"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59</w:t>
            </w:r>
          </w:p>
        </w:tc>
        <w:tc>
          <w:tcPr>
            <w:tcW w:w="1071" w:type="dxa"/>
          </w:tcPr>
          <w:p w14:paraId="548A149D" w14:textId="1EEECCF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All Party Parliamentary Group on Vascular and Venous Disease</w:t>
            </w:r>
          </w:p>
        </w:tc>
        <w:tc>
          <w:tcPr>
            <w:tcW w:w="2761" w:type="dxa"/>
          </w:tcPr>
          <w:p w14:paraId="50459D61" w14:textId="4A3937C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Prevention of venous thromboembolism</w:t>
            </w:r>
          </w:p>
        </w:tc>
        <w:tc>
          <w:tcPr>
            <w:tcW w:w="3118" w:type="dxa"/>
          </w:tcPr>
          <w:p w14:paraId="19B383FB" w14:textId="101EB627" w:rsidR="007C2BA7" w:rsidRPr="00315CD2" w:rsidRDefault="007C2BA7" w:rsidP="007C2BA7">
            <w:pPr>
              <w:pStyle w:val="Tabletext"/>
              <w:rPr>
                <w:rFonts w:asciiTheme="minorHAnsi" w:hAnsiTheme="minorHAnsi"/>
                <w:szCs w:val="22"/>
              </w:rPr>
            </w:pPr>
            <w:bookmarkStart w:id="145" w:name="_Hlk50354262"/>
            <w:r w:rsidRPr="00315CD2">
              <w:rPr>
                <w:rFonts w:asciiTheme="minorHAnsi" w:hAnsiTheme="minorHAnsi" w:cs="Arial"/>
                <w:szCs w:val="22"/>
              </w:rPr>
              <w:t xml:space="preserve">The recently revised hospital venous thromboembolism  prevention made some revisions to the duration of pharmacoprophylaxis (to 7 days for most patients). Uptake for this has been poor, with many hospital trusts choosing to disregard this recommendation. The main reason for this is that low-molecular-weight heparin injections are difficult to </w:t>
            </w:r>
            <w:r w:rsidRPr="00315CD2">
              <w:rPr>
                <w:rFonts w:asciiTheme="minorHAnsi" w:hAnsiTheme="minorHAnsi" w:cs="Arial"/>
                <w:szCs w:val="22"/>
              </w:rPr>
              <w:lastRenderedPageBreak/>
              <w:t xml:space="preserve">administer for many patients on discharge. This needs to be recognised and </w:t>
            </w:r>
            <w:bookmarkEnd w:id="145"/>
            <w:r w:rsidRPr="00315CD2">
              <w:rPr>
                <w:rFonts w:asciiTheme="minorHAnsi" w:hAnsiTheme="minorHAnsi" w:cs="Arial"/>
                <w:szCs w:val="22"/>
              </w:rPr>
              <w:t>addressed.</w:t>
            </w:r>
          </w:p>
        </w:tc>
        <w:tc>
          <w:tcPr>
            <w:tcW w:w="3686" w:type="dxa"/>
          </w:tcPr>
          <w:p w14:paraId="16DB03AF" w14:textId="053EA14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Low uptake due to difficulties in delivering treatment.</w:t>
            </w:r>
          </w:p>
        </w:tc>
        <w:tc>
          <w:tcPr>
            <w:tcW w:w="3474" w:type="dxa"/>
          </w:tcPr>
          <w:p w14:paraId="6B291FB2" w14:textId="4EBCFF1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Anecdotal feedback from healthcare professionals.</w:t>
            </w:r>
          </w:p>
        </w:tc>
      </w:tr>
      <w:tr w:rsidR="007C2BA7" w:rsidRPr="00315CD2" w14:paraId="54FE35F7" w14:textId="77777777" w:rsidTr="00E52914">
        <w:trPr>
          <w:trHeight w:val="282"/>
        </w:trPr>
        <w:tc>
          <w:tcPr>
            <w:tcW w:w="558" w:type="dxa"/>
          </w:tcPr>
          <w:p w14:paraId="018FFC8C" w14:textId="6909A843"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6</w:t>
            </w:r>
            <w:r w:rsidR="00ED7E40">
              <w:rPr>
                <w:rFonts w:asciiTheme="minorHAnsi" w:hAnsiTheme="minorHAnsi"/>
                <w:szCs w:val="22"/>
                <w:lang w:eastAsia="en-GB"/>
              </w:rPr>
              <w:t>0</w:t>
            </w:r>
          </w:p>
        </w:tc>
        <w:tc>
          <w:tcPr>
            <w:tcW w:w="1071" w:type="dxa"/>
          </w:tcPr>
          <w:p w14:paraId="0BD82CA1" w14:textId="43933CA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Anticoagulation UK</w:t>
            </w:r>
          </w:p>
        </w:tc>
        <w:tc>
          <w:tcPr>
            <w:tcW w:w="2761" w:type="dxa"/>
          </w:tcPr>
          <w:p w14:paraId="7F34D593" w14:textId="77777777" w:rsidR="007C2BA7" w:rsidRPr="00315CD2" w:rsidRDefault="007C2BA7" w:rsidP="007C2BA7">
            <w:pPr>
              <w:pStyle w:val="Tabletext"/>
              <w:rPr>
                <w:rFonts w:asciiTheme="minorHAnsi" w:hAnsiTheme="minorHAnsi"/>
                <w:szCs w:val="22"/>
              </w:rPr>
            </w:pPr>
          </w:p>
        </w:tc>
        <w:tc>
          <w:tcPr>
            <w:tcW w:w="3118" w:type="dxa"/>
          </w:tcPr>
          <w:p w14:paraId="028B5D1E"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1.8.1 Investigations for cancer</w:t>
            </w:r>
          </w:p>
          <w:p w14:paraId="28F26537" w14:textId="77777777" w:rsidR="007C2BA7" w:rsidRPr="00315CD2" w:rsidRDefault="007C2BA7" w:rsidP="007C2BA7">
            <w:pPr>
              <w:pStyle w:val="Tabletext"/>
              <w:rPr>
                <w:rFonts w:asciiTheme="minorHAnsi" w:hAnsiTheme="minorHAnsi"/>
                <w:szCs w:val="22"/>
              </w:rPr>
            </w:pPr>
          </w:p>
        </w:tc>
        <w:tc>
          <w:tcPr>
            <w:tcW w:w="3686" w:type="dxa"/>
          </w:tcPr>
          <w:p w14:paraId="7621C1EC" w14:textId="377FF81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Ensure patients who are being investigated for cancer or received a diagnosis of cancer understand the heightened risk of blood clots and this explained to them both verbally and given patient information to support the understanding. There can be gaps in which clinical team impart this information and at what time of the investigation or diagnosis. We feel it should be a priority to advise the patient in a timely way of the risk in order to ensure they can be made aware of symptoms of VTE and not asymptomatic issues relating to the cancer diagnosis or treatment. Stress importance of anticoagulation therapy, adherence and review of anticoagulation therapy as recommended </w:t>
            </w:r>
          </w:p>
        </w:tc>
        <w:tc>
          <w:tcPr>
            <w:tcW w:w="3474" w:type="dxa"/>
          </w:tcPr>
          <w:p w14:paraId="08197DDD" w14:textId="77777777" w:rsidR="007C2BA7" w:rsidRPr="00315CD2" w:rsidRDefault="007C2BA7" w:rsidP="007C2BA7">
            <w:pPr>
              <w:pStyle w:val="Tabletext"/>
              <w:rPr>
                <w:rFonts w:asciiTheme="minorHAnsi" w:hAnsiTheme="minorHAnsi"/>
                <w:szCs w:val="22"/>
              </w:rPr>
            </w:pPr>
          </w:p>
        </w:tc>
      </w:tr>
      <w:tr w:rsidR="007C2BA7" w:rsidRPr="00315CD2" w14:paraId="1B902379" w14:textId="77777777" w:rsidTr="00E52914">
        <w:trPr>
          <w:trHeight w:val="282"/>
        </w:trPr>
        <w:tc>
          <w:tcPr>
            <w:tcW w:w="558" w:type="dxa"/>
          </w:tcPr>
          <w:p w14:paraId="2DD2AF77" w14:textId="4D1B0CE1"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6</w:t>
            </w:r>
            <w:r w:rsidR="00ED7E40">
              <w:rPr>
                <w:rFonts w:asciiTheme="minorHAnsi" w:hAnsiTheme="minorHAnsi"/>
                <w:szCs w:val="22"/>
                <w:lang w:eastAsia="en-GB"/>
              </w:rPr>
              <w:t>1</w:t>
            </w:r>
          </w:p>
        </w:tc>
        <w:tc>
          <w:tcPr>
            <w:tcW w:w="1071" w:type="dxa"/>
          </w:tcPr>
          <w:p w14:paraId="06A23D6E" w14:textId="435CE93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SCM8</w:t>
            </w:r>
          </w:p>
        </w:tc>
        <w:tc>
          <w:tcPr>
            <w:tcW w:w="2761" w:type="dxa"/>
            <w:shd w:val="clear" w:color="auto" w:fill="FFFFFF"/>
          </w:tcPr>
          <w:p w14:paraId="191B463B" w14:textId="5E6CAF1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NG158 1.8.2  Do not offer investigation for cancer unless person has relevant signs and symptoms</w:t>
            </w:r>
          </w:p>
        </w:tc>
        <w:tc>
          <w:tcPr>
            <w:tcW w:w="3118" w:type="dxa"/>
            <w:shd w:val="clear" w:color="auto" w:fill="FFFFFF"/>
          </w:tcPr>
          <w:p w14:paraId="466211C9" w14:textId="0A84D3D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There is strong evidence to support the advice to not perform further imaging such as CT scan in people with unprovoked venous thrombosis. Imaging causes anxiety for people waiting for results and </w:t>
            </w:r>
            <w:r w:rsidRPr="00315CD2">
              <w:rPr>
                <w:rFonts w:asciiTheme="minorHAnsi" w:hAnsiTheme="minorHAnsi" w:cs="Arial"/>
                <w:szCs w:val="22"/>
              </w:rPr>
              <w:lastRenderedPageBreak/>
              <w:t>may find incidental pathology that then requires investigation</w:t>
            </w:r>
          </w:p>
        </w:tc>
        <w:tc>
          <w:tcPr>
            <w:tcW w:w="3686" w:type="dxa"/>
            <w:shd w:val="clear" w:color="auto" w:fill="FFFFFF"/>
          </w:tcPr>
          <w:p w14:paraId="3B512961" w14:textId="24C0204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Reduces waiting times for CT scans and ensures more appropriate allocation of imaging; reduces costs overall to health service</w:t>
            </w:r>
          </w:p>
        </w:tc>
        <w:tc>
          <w:tcPr>
            <w:tcW w:w="3474" w:type="dxa"/>
            <w:shd w:val="clear" w:color="auto" w:fill="FFFFFF"/>
          </w:tcPr>
          <w:p w14:paraId="33AD5484" w14:textId="77777777" w:rsidR="007C2BA7" w:rsidRPr="00315CD2" w:rsidRDefault="007C2BA7" w:rsidP="007C2BA7">
            <w:pPr>
              <w:pStyle w:val="Tabletext"/>
              <w:rPr>
                <w:rFonts w:asciiTheme="minorHAnsi" w:hAnsiTheme="minorHAnsi"/>
                <w:szCs w:val="22"/>
              </w:rPr>
            </w:pPr>
          </w:p>
        </w:tc>
      </w:tr>
      <w:tr w:rsidR="007C2BA7" w:rsidRPr="00315CD2" w14:paraId="3105148F" w14:textId="77777777" w:rsidTr="00E52914">
        <w:trPr>
          <w:trHeight w:val="282"/>
        </w:trPr>
        <w:tc>
          <w:tcPr>
            <w:tcW w:w="558" w:type="dxa"/>
          </w:tcPr>
          <w:p w14:paraId="109E9E02" w14:textId="3CCFA2F4"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62</w:t>
            </w:r>
          </w:p>
        </w:tc>
        <w:tc>
          <w:tcPr>
            <w:tcW w:w="1071" w:type="dxa"/>
          </w:tcPr>
          <w:p w14:paraId="3020600F" w14:textId="79A2DB3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SCM5</w:t>
            </w:r>
          </w:p>
        </w:tc>
        <w:tc>
          <w:tcPr>
            <w:tcW w:w="2761" w:type="dxa"/>
          </w:tcPr>
          <w:p w14:paraId="6511F52A" w14:textId="77C1D41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5</w:t>
            </w:r>
          </w:p>
        </w:tc>
        <w:tc>
          <w:tcPr>
            <w:tcW w:w="3118" w:type="dxa"/>
          </w:tcPr>
          <w:p w14:paraId="7CF744AA" w14:textId="61F2EFF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Cancer investigations where other VTE cause not identified</w:t>
            </w:r>
          </w:p>
        </w:tc>
        <w:tc>
          <w:tcPr>
            <w:tcW w:w="3686" w:type="dxa"/>
          </w:tcPr>
          <w:p w14:paraId="351229FD" w14:textId="3FEBCC3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Change in guidance reduces unnecessary investigations, appointments and anxiety and should be implemented particularly in light of COVID</w:t>
            </w:r>
          </w:p>
        </w:tc>
        <w:tc>
          <w:tcPr>
            <w:tcW w:w="3474" w:type="dxa"/>
          </w:tcPr>
          <w:p w14:paraId="14E1AF0C" w14:textId="77777777" w:rsidR="007C2BA7" w:rsidRPr="00315CD2" w:rsidRDefault="007C2BA7" w:rsidP="007C2BA7">
            <w:pPr>
              <w:pStyle w:val="Tabletext"/>
              <w:rPr>
                <w:rFonts w:asciiTheme="minorHAnsi" w:hAnsiTheme="minorHAnsi"/>
                <w:szCs w:val="22"/>
              </w:rPr>
            </w:pPr>
          </w:p>
        </w:tc>
      </w:tr>
      <w:tr w:rsidR="007C2BA7" w:rsidRPr="00315CD2" w14:paraId="7E38BA4E" w14:textId="77777777" w:rsidTr="00E52914">
        <w:trPr>
          <w:trHeight w:val="282"/>
        </w:trPr>
        <w:tc>
          <w:tcPr>
            <w:tcW w:w="558" w:type="dxa"/>
          </w:tcPr>
          <w:p w14:paraId="6F3BD5F8" w14:textId="2DA4F561"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63</w:t>
            </w:r>
          </w:p>
        </w:tc>
        <w:tc>
          <w:tcPr>
            <w:tcW w:w="1071" w:type="dxa"/>
          </w:tcPr>
          <w:p w14:paraId="658C8FA4" w14:textId="54052CE5"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British Society for Haematology</w:t>
            </w:r>
          </w:p>
        </w:tc>
        <w:tc>
          <w:tcPr>
            <w:tcW w:w="2761" w:type="dxa"/>
            <w:shd w:val="clear" w:color="auto" w:fill="FFFFFF"/>
          </w:tcPr>
          <w:p w14:paraId="5C6F6CDB" w14:textId="77777777" w:rsidR="007C2BA7" w:rsidRPr="00315CD2" w:rsidRDefault="007C2BA7" w:rsidP="007C2BA7">
            <w:pPr>
              <w:pStyle w:val="Tabletext"/>
              <w:rPr>
                <w:rFonts w:asciiTheme="minorHAnsi" w:hAnsiTheme="minorHAnsi"/>
                <w:szCs w:val="22"/>
              </w:rPr>
            </w:pPr>
          </w:p>
        </w:tc>
        <w:tc>
          <w:tcPr>
            <w:tcW w:w="3118" w:type="dxa"/>
            <w:shd w:val="clear" w:color="auto" w:fill="FFFFFF"/>
          </w:tcPr>
          <w:p w14:paraId="659836C3" w14:textId="77777777" w:rsidR="007C2BA7" w:rsidRPr="00315CD2" w:rsidRDefault="007C2BA7" w:rsidP="007C2BA7">
            <w:pPr>
              <w:pStyle w:val="TableText1"/>
              <w:rPr>
                <w:rFonts w:asciiTheme="minorHAnsi" w:hAnsiTheme="minorHAnsi" w:cs="Arial"/>
                <w:bCs/>
                <w:szCs w:val="22"/>
              </w:rPr>
            </w:pPr>
            <w:r w:rsidRPr="00315CD2">
              <w:rPr>
                <w:rFonts w:asciiTheme="minorHAnsi" w:hAnsiTheme="minorHAnsi" w:cs="Arial"/>
                <w:bCs/>
                <w:szCs w:val="22"/>
              </w:rPr>
              <w:t>NG158</w:t>
            </w:r>
          </w:p>
          <w:p w14:paraId="1B79D46C" w14:textId="77777777" w:rsidR="007C2BA7" w:rsidRPr="00315CD2" w:rsidRDefault="007C2BA7" w:rsidP="007C2BA7">
            <w:pPr>
              <w:pStyle w:val="TableText1"/>
              <w:rPr>
                <w:rFonts w:asciiTheme="minorHAnsi" w:hAnsiTheme="minorHAnsi" w:cs="Arial"/>
                <w:bCs/>
                <w:szCs w:val="22"/>
              </w:rPr>
            </w:pPr>
            <w:r w:rsidRPr="00315CD2">
              <w:rPr>
                <w:rFonts w:asciiTheme="minorHAnsi" w:hAnsiTheme="minorHAnsi" w:cs="Arial"/>
                <w:bCs/>
                <w:szCs w:val="22"/>
              </w:rPr>
              <w:t>Do not offer testing for hereditary thrombophilia to people who are continuing anticoagulation treatment. [2012, amended 2020]. Individuals with features that indicate an increased likelihood of antiphospholipid syndrome should be offered solid phase immunological assays for antiphospholipid antibodies</w:t>
            </w:r>
          </w:p>
          <w:p w14:paraId="39AFE513" w14:textId="2BD6F732"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Do not offer thrombophilia testing to people who have had provoked DVT or PE. [2012]</w:t>
            </w:r>
          </w:p>
        </w:tc>
        <w:tc>
          <w:tcPr>
            <w:tcW w:w="3686" w:type="dxa"/>
          </w:tcPr>
          <w:p w14:paraId="2BF3E9BD" w14:textId="70D60956"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The clinical utility of thrombophilia screening is known to be low however there is still variable practice across the UK. These tests are very expensive (&gt;£200 per patient) and are not a good use of health care resources</w:t>
            </w:r>
          </w:p>
        </w:tc>
        <w:tc>
          <w:tcPr>
            <w:tcW w:w="3474" w:type="dxa"/>
          </w:tcPr>
          <w:p w14:paraId="5E310FB7" w14:textId="77777777" w:rsidR="007C2BA7" w:rsidRPr="00315CD2" w:rsidRDefault="007C2BA7" w:rsidP="007C2BA7">
            <w:pPr>
              <w:pStyle w:val="Paragraphnonumbers"/>
              <w:rPr>
                <w:rFonts w:asciiTheme="minorHAnsi" w:hAnsiTheme="minorHAnsi" w:cs="Arial"/>
                <w:bCs/>
                <w:sz w:val="22"/>
                <w:szCs w:val="22"/>
              </w:rPr>
            </w:pPr>
            <w:r w:rsidRPr="00315CD2">
              <w:rPr>
                <w:rFonts w:asciiTheme="minorHAnsi" w:hAnsiTheme="minorHAnsi" w:cs="Arial"/>
                <w:bCs/>
                <w:sz w:val="22"/>
                <w:szCs w:val="22"/>
              </w:rPr>
              <w:t>Baglin, T., Gray, E., Greaves, M., Hunt, B.J., Keeling, D., Machin, S., Mackie, I., Makris, M., Nokes, T., Perry, D., Tait, R.C., Walker, I. and Watson, H. (2010), Clinical guidelines for testing for heritable thrombophilia. British Journal of Haematology, 149: 209-220. doi:10.1111/j.1365-2141.2009.08022.x</w:t>
            </w:r>
          </w:p>
          <w:p w14:paraId="475AB759" w14:textId="1B34D9D7"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Due for update now</w:t>
            </w:r>
          </w:p>
        </w:tc>
      </w:tr>
      <w:tr w:rsidR="007C2BA7" w:rsidRPr="00315CD2" w14:paraId="7705883F" w14:textId="77777777" w:rsidTr="00C156BC">
        <w:trPr>
          <w:trHeight w:val="282"/>
        </w:trPr>
        <w:tc>
          <w:tcPr>
            <w:tcW w:w="14668" w:type="dxa"/>
            <w:gridSpan w:val="6"/>
          </w:tcPr>
          <w:p w14:paraId="0041CA96" w14:textId="06111564" w:rsidR="007C2BA7" w:rsidRPr="00C156BC" w:rsidRDefault="00C156BC" w:rsidP="007C2BA7">
            <w:pPr>
              <w:pStyle w:val="Tabletext"/>
              <w:rPr>
                <w:rFonts w:asciiTheme="minorHAnsi" w:hAnsiTheme="minorHAnsi"/>
                <w:b/>
                <w:szCs w:val="22"/>
                <w:lang w:eastAsia="en-GB"/>
              </w:rPr>
            </w:pPr>
            <w:r w:rsidRPr="00C156BC">
              <w:rPr>
                <w:rFonts w:asciiTheme="minorHAnsi" w:hAnsiTheme="minorHAnsi"/>
                <w:b/>
                <w:szCs w:val="22"/>
                <w:lang w:eastAsia="en-GB"/>
              </w:rPr>
              <w:t>Information and support</w:t>
            </w:r>
          </w:p>
        </w:tc>
      </w:tr>
      <w:tr w:rsidR="007C2BA7" w:rsidRPr="00315CD2" w14:paraId="31BD6F95" w14:textId="77777777" w:rsidTr="00E52914">
        <w:trPr>
          <w:trHeight w:val="282"/>
        </w:trPr>
        <w:tc>
          <w:tcPr>
            <w:tcW w:w="558" w:type="dxa"/>
          </w:tcPr>
          <w:p w14:paraId="2AFBD155" w14:textId="1BE2F11E"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64</w:t>
            </w:r>
          </w:p>
        </w:tc>
        <w:tc>
          <w:tcPr>
            <w:tcW w:w="1071" w:type="dxa"/>
          </w:tcPr>
          <w:p w14:paraId="199A71D0" w14:textId="0649D0C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SCM3</w:t>
            </w:r>
          </w:p>
        </w:tc>
        <w:tc>
          <w:tcPr>
            <w:tcW w:w="2761" w:type="dxa"/>
          </w:tcPr>
          <w:p w14:paraId="550CFA6C" w14:textId="58DC3C03" w:rsidR="007C2BA7" w:rsidRPr="00C156BC" w:rsidRDefault="007C2BA7" w:rsidP="007C2BA7">
            <w:pPr>
              <w:pStyle w:val="Tabletext"/>
              <w:rPr>
                <w:rFonts w:asciiTheme="minorHAnsi" w:hAnsiTheme="minorHAnsi"/>
                <w:bCs/>
                <w:szCs w:val="22"/>
              </w:rPr>
            </w:pPr>
            <w:r w:rsidRPr="00C156BC">
              <w:rPr>
                <w:rFonts w:asciiTheme="minorHAnsi" w:hAnsiTheme="minorHAnsi" w:cs="Arial"/>
                <w:bCs/>
                <w:szCs w:val="22"/>
              </w:rPr>
              <w:t>Additional evidence</w:t>
            </w:r>
          </w:p>
        </w:tc>
        <w:tc>
          <w:tcPr>
            <w:tcW w:w="3118" w:type="dxa"/>
          </w:tcPr>
          <w:p w14:paraId="6DEFF479" w14:textId="77777777" w:rsidR="007C2BA7" w:rsidRPr="00315CD2" w:rsidRDefault="007C2BA7" w:rsidP="007C2BA7">
            <w:pPr>
              <w:pStyle w:val="Tabletext"/>
              <w:rPr>
                <w:rFonts w:asciiTheme="minorHAnsi" w:hAnsiTheme="minorHAnsi"/>
                <w:szCs w:val="22"/>
              </w:rPr>
            </w:pPr>
          </w:p>
        </w:tc>
        <w:tc>
          <w:tcPr>
            <w:tcW w:w="3686" w:type="dxa"/>
          </w:tcPr>
          <w:p w14:paraId="2982ADBC" w14:textId="77777777" w:rsidR="007C2BA7" w:rsidRPr="00315CD2" w:rsidRDefault="007C2BA7" w:rsidP="007C2BA7">
            <w:pPr>
              <w:pStyle w:val="Tabletext"/>
              <w:rPr>
                <w:rFonts w:asciiTheme="minorHAnsi" w:hAnsiTheme="minorHAnsi"/>
                <w:szCs w:val="22"/>
              </w:rPr>
            </w:pPr>
          </w:p>
        </w:tc>
        <w:tc>
          <w:tcPr>
            <w:tcW w:w="3474" w:type="dxa"/>
          </w:tcPr>
          <w:p w14:paraId="13F71C61" w14:textId="77777777" w:rsidR="007C2BA7" w:rsidRPr="00315CD2" w:rsidRDefault="007C2BA7" w:rsidP="007C2BA7">
            <w:pPr>
              <w:rPr>
                <w:rFonts w:asciiTheme="minorHAnsi" w:hAnsiTheme="minorHAnsi" w:cs="Arial"/>
                <w:sz w:val="22"/>
                <w:szCs w:val="22"/>
              </w:rPr>
            </w:pPr>
            <w:r w:rsidRPr="00315CD2">
              <w:rPr>
                <w:rFonts w:asciiTheme="minorHAnsi" w:hAnsiTheme="minorHAnsi" w:cs="Arial"/>
                <w:sz w:val="22"/>
                <w:szCs w:val="22"/>
              </w:rPr>
              <w:t>British Thoracic Society guidelines for outpatient management of pulmonary embolism</w:t>
            </w:r>
          </w:p>
          <w:p w14:paraId="0A086E30" w14:textId="77777777" w:rsidR="007C2BA7" w:rsidRPr="00315CD2" w:rsidRDefault="00473E39" w:rsidP="007C2BA7">
            <w:pPr>
              <w:rPr>
                <w:rFonts w:asciiTheme="minorHAnsi" w:hAnsiTheme="minorHAnsi" w:cs="Arial"/>
                <w:sz w:val="22"/>
                <w:szCs w:val="22"/>
              </w:rPr>
            </w:pPr>
            <w:hyperlink r:id="rId119" w:history="1">
              <w:r w:rsidR="007C2BA7" w:rsidRPr="00315CD2">
                <w:rPr>
                  <w:rStyle w:val="Hyperlink"/>
                  <w:rFonts w:asciiTheme="minorHAnsi" w:hAnsiTheme="minorHAnsi" w:cs="Arial"/>
                  <w:sz w:val="22"/>
                  <w:szCs w:val="22"/>
                </w:rPr>
                <w:t>https://thorax.bmj.com/content/73/Suppl_2/ii1?int_source=trendmd&amp;int_campaign=usage-042019&amp;int_medium=cpc</w:t>
              </w:r>
            </w:hyperlink>
          </w:p>
          <w:p w14:paraId="0077DCB7" w14:textId="77777777" w:rsidR="007C2BA7" w:rsidRPr="00315CD2" w:rsidRDefault="007C2BA7" w:rsidP="007C2BA7">
            <w:pPr>
              <w:rPr>
                <w:rFonts w:asciiTheme="minorHAnsi" w:hAnsiTheme="minorHAnsi" w:cs="Arial"/>
                <w:sz w:val="22"/>
                <w:szCs w:val="22"/>
              </w:rPr>
            </w:pPr>
          </w:p>
          <w:p w14:paraId="115B1194" w14:textId="77777777" w:rsidR="007C2BA7" w:rsidRPr="00315CD2" w:rsidRDefault="007C2BA7" w:rsidP="007C2BA7">
            <w:pPr>
              <w:rPr>
                <w:rFonts w:asciiTheme="minorHAnsi" w:hAnsiTheme="minorHAnsi" w:cs="Arial"/>
                <w:sz w:val="22"/>
                <w:szCs w:val="22"/>
              </w:rPr>
            </w:pPr>
            <w:r w:rsidRPr="00315CD2">
              <w:rPr>
                <w:rFonts w:asciiTheme="minorHAnsi" w:hAnsiTheme="minorHAnsi" w:cs="Arial"/>
                <w:sz w:val="22"/>
                <w:szCs w:val="22"/>
              </w:rPr>
              <w:t>British Thoracic Society quality standards for outpatient management of pulmonary embolism</w:t>
            </w:r>
          </w:p>
          <w:p w14:paraId="6DBE1DFA" w14:textId="77777777" w:rsidR="007C2BA7" w:rsidRPr="00315CD2" w:rsidRDefault="00473E39" w:rsidP="007C2BA7">
            <w:pPr>
              <w:rPr>
                <w:rFonts w:asciiTheme="minorHAnsi" w:hAnsiTheme="minorHAnsi" w:cs="Arial"/>
                <w:sz w:val="22"/>
                <w:szCs w:val="22"/>
              </w:rPr>
            </w:pPr>
            <w:hyperlink r:id="rId120" w:history="1">
              <w:r w:rsidR="007C2BA7" w:rsidRPr="00315CD2">
                <w:rPr>
                  <w:rStyle w:val="Hyperlink"/>
                  <w:rFonts w:asciiTheme="minorHAnsi" w:hAnsiTheme="minorHAnsi" w:cs="Arial"/>
                  <w:sz w:val="22"/>
                  <w:szCs w:val="22"/>
                </w:rPr>
                <w:t>https://bmjopenrespres.bmj.com/content/7/1/e000636</w:t>
              </w:r>
            </w:hyperlink>
          </w:p>
          <w:p w14:paraId="3190E28A" w14:textId="77777777" w:rsidR="007C2BA7" w:rsidRPr="00315CD2" w:rsidRDefault="007C2BA7" w:rsidP="007C2BA7">
            <w:pPr>
              <w:rPr>
                <w:rFonts w:asciiTheme="minorHAnsi" w:hAnsiTheme="minorHAnsi" w:cs="Arial"/>
                <w:sz w:val="22"/>
                <w:szCs w:val="22"/>
              </w:rPr>
            </w:pPr>
          </w:p>
          <w:p w14:paraId="1E4F9AC8" w14:textId="77777777" w:rsidR="007C2BA7" w:rsidRPr="00315CD2" w:rsidRDefault="007C2BA7" w:rsidP="007C2BA7">
            <w:pPr>
              <w:rPr>
                <w:rFonts w:asciiTheme="minorHAnsi" w:hAnsiTheme="minorHAnsi" w:cs="Arial"/>
                <w:sz w:val="22"/>
                <w:szCs w:val="22"/>
              </w:rPr>
            </w:pPr>
            <w:r w:rsidRPr="00315CD2">
              <w:rPr>
                <w:rFonts w:asciiTheme="minorHAnsi" w:hAnsiTheme="minorHAnsi" w:cs="Arial"/>
                <w:sz w:val="22"/>
                <w:szCs w:val="22"/>
              </w:rPr>
              <w:t>This recent NICE accredited guideline overlaps with much of the recent NG158 and the published quality standards in this area are sensible</w:t>
            </w:r>
          </w:p>
          <w:p w14:paraId="154FCECE" w14:textId="77777777" w:rsidR="007C2BA7" w:rsidRPr="00315CD2" w:rsidRDefault="007C2BA7" w:rsidP="007C2BA7">
            <w:pPr>
              <w:pStyle w:val="Tabletext"/>
              <w:rPr>
                <w:rFonts w:asciiTheme="minorHAnsi" w:hAnsiTheme="minorHAnsi"/>
                <w:szCs w:val="22"/>
              </w:rPr>
            </w:pPr>
          </w:p>
        </w:tc>
      </w:tr>
      <w:tr w:rsidR="007C2BA7" w:rsidRPr="00315CD2" w14:paraId="3DD694FA" w14:textId="77777777" w:rsidTr="00E52914">
        <w:trPr>
          <w:trHeight w:val="282"/>
        </w:trPr>
        <w:tc>
          <w:tcPr>
            <w:tcW w:w="558" w:type="dxa"/>
          </w:tcPr>
          <w:p w14:paraId="0B424952" w14:textId="4669ABD4"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65</w:t>
            </w:r>
          </w:p>
        </w:tc>
        <w:tc>
          <w:tcPr>
            <w:tcW w:w="1071" w:type="dxa"/>
          </w:tcPr>
          <w:p w14:paraId="09038976" w14:textId="6EF1AB8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Clinical Leaders of Thrombosis</w:t>
            </w:r>
          </w:p>
        </w:tc>
        <w:tc>
          <w:tcPr>
            <w:tcW w:w="2761" w:type="dxa"/>
          </w:tcPr>
          <w:p w14:paraId="484ED8E0" w14:textId="77777777" w:rsidR="007C2BA7" w:rsidRPr="00315CD2" w:rsidRDefault="007C2BA7" w:rsidP="007C2BA7">
            <w:pPr>
              <w:pStyle w:val="Paragraphnonumbers"/>
              <w:spacing w:after="120"/>
              <w:rPr>
                <w:rFonts w:asciiTheme="minorHAnsi" w:hAnsiTheme="minorHAnsi" w:cs="Arial"/>
                <w:sz w:val="22"/>
                <w:szCs w:val="22"/>
              </w:rPr>
            </w:pPr>
            <w:r w:rsidRPr="00315CD2">
              <w:rPr>
                <w:rFonts w:asciiTheme="minorHAnsi" w:hAnsiTheme="minorHAnsi" w:cs="Arial"/>
                <w:sz w:val="22"/>
                <w:szCs w:val="22"/>
              </w:rPr>
              <w:t>Key area for quality improvement 3</w:t>
            </w:r>
          </w:p>
          <w:p w14:paraId="13E2DA13" w14:textId="77777777" w:rsidR="007C2BA7" w:rsidRPr="00315CD2" w:rsidRDefault="007C2BA7" w:rsidP="007C2BA7">
            <w:pPr>
              <w:pStyle w:val="Paragraphnonumbers"/>
              <w:spacing w:after="120"/>
              <w:rPr>
                <w:rFonts w:asciiTheme="minorHAnsi" w:hAnsiTheme="minorHAnsi" w:cs="Arial"/>
                <w:sz w:val="22"/>
                <w:szCs w:val="22"/>
              </w:rPr>
            </w:pPr>
          </w:p>
          <w:p w14:paraId="67BD2FF5" w14:textId="00D4D66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Outpatient treatment of PE patient information </w:t>
            </w:r>
          </w:p>
        </w:tc>
        <w:tc>
          <w:tcPr>
            <w:tcW w:w="3118" w:type="dxa"/>
          </w:tcPr>
          <w:p w14:paraId="5FE5BDC4" w14:textId="0033176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The current guidance when patients are deemed suitable for outpatient management one of the criteria is they are “given direct contact details of a healthcare professional or team with expertise in thrombosis who can discuss any new symptoms or signs, or other concerns” To be able to provide a 24/7 service to meet this is very challenging</w:t>
            </w:r>
          </w:p>
        </w:tc>
        <w:tc>
          <w:tcPr>
            <w:tcW w:w="3686" w:type="dxa"/>
          </w:tcPr>
          <w:p w14:paraId="0BADFA66" w14:textId="43156AF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Whilst guidance on signs and symptoms and potential complications and information on out of hours services should problems arise are all very sensible achievable goals it is not clear how direct contact details can be provided. Within AAU units contact details can be given but many of these are not 24 hour and it is unclear how this criteria is met. Details during working hours and an out of hours emergency service would be more achievable  </w:t>
            </w:r>
          </w:p>
        </w:tc>
        <w:tc>
          <w:tcPr>
            <w:tcW w:w="3474" w:type="dxa"/>
          </w:tcPr>
          <w:p w14:paraId="2C6BC7A3" w14:textId="77777777" w:rsidR="007C2BA7" w:rsidRPr="00315CD2" w:rsidRDefault="007C2BA7" w:rsidP="007C2BA7">
            <w:pPr>
              <w:pStyle w:val="Tabletext"/>
              <w:rPr>
                <w:rFonts w:asciiTheme="minorHAnsi" w:hAnsiTheme="minorHAnsi"/>
                <w:szCs w:val="22"/>
              </w:rPr>
            </w:pPr>
          </w:p>
        </w:tc>
      </w:tr>
      <w:tr w:rsidR="007C2BA7" w:rsidRPr="00315CD2" w14:paraId="2476FD46" w14:textId="77777777" w:rsidTr="00E52914">
        <w:trPr>
          <w:trHeight w:val="282"/>
        </w:trPr>
        <w:tc>
          <w:tcPr>
            <w:tcW w:w="558" w:type="dxa"/>
          </w:tcPr>
          <w:p w14:paraId="2C321C0E" w14:textId="711BEB04"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66</w:t>
            </w:r>
          </w:p>
        </w:tc>
        <w:tc>
          <w:tcPr>
            <w:tcW w:w="1071" w:type="dxa"/>
          </w:tcPr>
          <w:p w14:paraId="196B0BD2" w14:textId="27B4581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British Thoracic Society </w:t>
            </w:r>
          </w:p>
        </w:tc>
        <w:tc>
          <w:tcPr>
            <w:tcW w:w="2761" w:type="dxa"/>
          </w:tcPr>
          <w:p w14:paraId="3AB13CC0" w14:textId="4CA3F85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2</w:t>
            </w:r>
          </w:p>
        </w:tc>
        <w:tc>
          <w:tcPr>
            <w:tcW w:w="3118" w:type="dxa"/>
          </w:tcPr>
          <w:p w14:paraId="3C7453D6" w14:textId="497C06B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Use of a validated tool (eg PESI/s-PESI) to assess PE severity immediately following diagnosis</w:t>
            </w:r>
          </w:p>
        </w:tc>
        <w:tc>
          <w:tcPr>
            <w:tcW w:w="3686" w:type="dxa"/>
          </w:tcPr>
          <w:p w14:paraId="55C11A86" w14:textId="77777777" w:rsidR="007C2BA7" w:rsidRPr="00315CD2" w:rsidRDefault="007C2BA7" w:rsidP="007C2BA7">
            <w:pPr>
              <w:pStyle w:val="Tabletext"/>
              <w:rPr>
                <w:rFonts w:asciiTheme="minorHAnsi" w:hAnsiTheme="minorHAnsi"/>
                <w:szCs w:val="22"/>
              </w:rPr>
            </w:pPr>
          </w:p>
        </w:tc>
        <w:tc>
          <w:tcPr>
            <w:tcW w:w="3474" w:type="dxa"/>
          </w:tcPr>
          <w:p w14:paraId="6C236217" w14:textId="77777777" w:rsidR="007C2BA7" w:rsidRPr="00315CD2" w:rsidRDefault="007C2BA7" w:rsidP="007C2BA7">
            <w:pPr>
              <w:pStyle w:val="Tabletext"/>
              <w:rPr>
                <w:rFonts w:asciiTheme="minorHAnsi" w:hAnsiTheme="minorHAnsi"/>
                <w:szCs w:val="22"/>
              </w:rPr>
            </w:pPr>
          </w:p>
        </w:tc>
      </w:tr>
      <w:tr w:rsidR="007C2BA7" w:rsidRPr="00315CD2" w14:paraId="71E87BDB" w14:textId="77777777" w:rsidTr="00E52914">
        <w:trPr>
          <w:trHeight w:val="282"/>
        </w:trPr>
        <w:tc>
          <w:tcPr>
            <w:tcW w:w="558" w:type="dxa"/>
          </w:tcPr>
          <w:p w14:paraId="7D4F5350" w14:textId="6B2B612D"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67</w:t>
            </w:r>
          </w:p>
        </w:tc>
        <w:tc>
          <w:tcPr>
            <w:tcW w:w="1071" w:type="dxa"/>
          </w:tcPr>
          <w:p w14:paraId="673C0DB6" w14:textId="361A68C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SCM5</w:t>
            </w:r>
          </w:p>
        </w:tc>
        <w:tc>
          <w:tcPr>
            <w:tcW w:w="2761" w:type="dxa"/>
          </w:tcPr>
          <w:p w14:paraId="05E6DD75" w14:textId="2E32936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3</w:t>
            </w:r>
          </w:p>
        </w:tc>
        <w:tc>
          <w:tcPr>
            <w:tcW w:w="3118" w:type="dxa"/>
          </w:tcPr>
          <w:p w14:paraId="04CA78EC" w14:textId="654CB81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Outpatient management of low risk PE</w:t>
            </w:r>
          </w:p>
        </w:tc>
        <w:tc>
          <w:tcPr>
            <w:tcW w:w="3686" w:type="dxa"/>
          </w:tcPr>
          <w:p w14:paraId="668D97AD" w14:textId="4B3F51F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Support better patient pathways and release inpatient capacity particularly relevant in light of COVID</w:t>
            </w:r>
          </w:p>
        </w:tc>
        <w:tc>
          <w:tcPr>
            <w:tcW w:w="3474" w:type="dxa"/>
          </w:tcPr>
          <w:p w14:paraId="6100AC8D" w14:textId="77777777" w:rsidR="007C2BA7" w:rsidRPr="00315CD2" w:rsidRDefault="007C2BA7" w:rsidP="007C2BA7">
            <w:pPr>
              <w:pStyle w:val="Tabletext"/>
              <w:rPr>
                <w:rFonts w:asciiTheme="minorHAnsi" w:hAnsiTheme="minorHAnsi"/>
                <w:szCs w:val="22"/>
              </w:rPr>
            </w:pPr>
          </w:p>
        </w:tc>
      </w:tr>
      <w:tr w:rsidR="007C2BA7" w:rsidRPr="00315CD2" w14:paraId="45910350" w14:textId="77777777" w:rsidTr="00E52914">
        <w:trPr>
          <w:trHeight w:val="282"/>
        </w:trPr>
        <w:tc>
          <w:tcPr>
            <w:tcW w:w="558" w:type="dxa"/>
          </w:tcPr>
          <w:p w14:paraId="55292FEA" w14:textId="34AC53AF"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68</w:t>
            </w:r>
          </w:p>
        </w:tc>
        <w:tc>
          <w:tcPr>
            <w:tcW w:w="1071" w:type="dxa"/>
          </w:tcPr>
          <w:p w14:paraId="28200950" w14:textId="5738B4D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SCM3</w:t>
            </w:r>
          </w:p>
        </w:tc>
        <w:tc>
          <w:tcPr>
            <w:tcW w:w="2761" w:type="dxa"/>
            <w:shd w:val="clear" w:color="auto" w:fill="FFFFFF"/>
          </w:tcPr>
          <w:p w14:paraId="357D9D54"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Outpatient treatment for PE </w:t>
            </w:r>
          </w:p>
          <w:p w14:paraId="2F096C78" w14:textId="77777777" w:rsidR="007C2BA7" w:rsidRPr="00315CD2" w:rsidRDefault="007C2BA7" w:rsidP="007C2BA7">
            <w:pPr>
              <w:pStyle w:val="TableText1"/>
              <w:rPr>
                <w:rFonts w:asciiTheme="minorHAnsi" w:hAnsiTheme="minorHAnsi" w:cs="Arial"/>
                <w:szCs w:val="22"/>
              </w:rPr>
            </w:pPr>
          </w:p>
          <w:p w14:paraId="70120BB7" w14:textId="1792FFF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NG 158 Rec 1.2</w:t>
            </w:r>
          </w:p>
        </w:tc>
        <w:tc>
          <w:tcPr>
            <w:tcW w:w="3118" w:type="dxa"/>
            <w:shd w:val="clear" w:color="auto" w:fill="FFFFFF"/>
          </w:tcPr>
          <w:p w14:paraId="7F585A85" w14:textId="7D72DF2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There is good evidence that </w:t>
            </w:r>
            <w:r w:rsidRPr="00315CD2">
              <w:rPr>
                <w:rFonts w:asciiTheme="minorHAnsi" w:hAnsiTheme="minorHAnsi" w:cs="Arial"/>
                <w:b/>
                <w:szCs w:val="22"/>
              </w:rPr>
              <w:t>outpatient</w:t>
            </w:r>
            <w:r w:rsidRPr="00315CD2">
              <w:rPr>
                <w:rFonts w:asciiTheme="minorHAnsi" w:hAnsiTheme="minorHAnsi" w:cs="Arial"/>
                <w:szCs w:val="22"/>
              </w:rPr>
              <w:t xml:space="preserve"> management of suspected and confirmed pulmonary embolism is safe and effective, when conducted in line with recent evidence. This is now recommended within BTS and NICE guidance </w:t>
            </w:r>
          </w:p>
        </w:tc>
        <w:tc>
          <w:tcPr>
            <w:tcW w:w="3686" w:type="dxa"/>
            <w:shd w:val="clear" w:color="auto" w:fill="FFFFFF"/>
          </w:tcPr>
          <w:p w14:paraId="3AE6CF81"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Recent audits presented at national emergency and respiratory medicine conferences have shown that there is still wide variation in outpatient pathways. In addition, methods of clinical surveillance during outpatient care and ambulatory follow up appear to vary. </w:t>
            </w:r>
          </w:p>
          <w:p w14:paraId="43B34B86" w14:textId="77777777" w:rsidR="007C2BA7" w:rsidRPr="00315CD2" w:rsidRDefault="007C2BA7" w:rsidP="007C2BA7">
            <w:pPr>
              <w:pStyle w:val="TableText1"/>
              <w:rPr>
                <w:rFonts w:asciiTheme="minorHAnsi" w:hAnsiTheme="minorHAnsi" w:cs="Arial"/>
                <w:szCs w:val="22"/>
              </w:rPr>
            </w:pPr>
          </w:p>
          <w:p w14:paraId="7B95A802" w14:textId="77777777" w:rsidR="007C2BA7" w:rsidRPr="00315CD2" w:rsidRDefault="007C2BA7" w:rsidP="007C2BA7">
            <w:pPr>
              <w:pStyle w:val="Tabletext"/>
              <w:rPr>
                <w:rFonts w:asciiTheme="minorHAnsi" w:hAnsiTheme="minorHAnsi"/>
                <w:szCs w:val="22"/>
              </w:rPr>
            </w:pPr>
          </w:p>
        </w:tc>
        <w:tc>
          <w:tcPr>
            <w:tcW w:w="3474" w:type="dxa"/>
            <w:shd w:val="clear" w:color="auto" w:fill="FFFFFF"/>
          </w:tcPr>
          <w:p w14:paraId="50652E58"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British Thoracic Society guidelines for outpatient management of pulmonary embolism</w:t>
            </w:r>
          </w:p>
          <w:p w14:paraId="54AFB791" w14:textId="77777777" w:rsidR="007C2BA7" w:rsidRPr="00315CD2" w:rsidRDefault="00473E39" w:rsidP="007C2BA7">
            <w:pPr>
              <w:pStyle w:val="TableText1"/>
              <w:rPr>
                <w:rFonts w:asciiTheme="minorHAnsi" w:hAnsiTheme="minorHAnsi" w:cs="Arial"/>
                <w:szCs w:val="22"/>
              </w:rPr>
            </w:pPr>
            <w:hyperlink r:id="rId121" w:history="1">
              <w:r w:rsidR="007C2BA7" w:rsidRPr="00315CD2">
                <w:rPr>
                  <w:rStyle w:val="Hyperlink"/>
                  <w:rFonts w:asciiTheme="minorHAnsi" w:hAnsiTheme="minorHAnsi" w:cs="Arial"/>
                  <w:szCs w:val="22"/>
                </w:rPr>
                <w:t>https://thorax.bmj.com/content/73/Suppl_2/ii1?int_source=trendmd&amp;int_campaign=usage-042019&amp;int_medium=cpc</w:t>
              </w:r>
            </w:hyperlink>
          </w:p>
          <w:p w14:paraId="74220818" w14:textId="77777777" w:rsidR="007C2BA7" w:rsidRPr="00315CD2" w:rsidRDefault="007C2BA7" w:rsidP="007C2BA7">
            <w:pPr>
              <w:pStyle w:val="TableText1"/>
              <w:rPr>
                <w:rFonts w:asciiTheme="minorHAnsi" w:hAnsiTheme="minorHAnsi" w:cs="Arial"/>
                <w:szCs w:val="22"/>
              </w:rPr>
            </w:pPr>
          </w:p>
          <w:p w14:paraId="589D796D"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British Thoracic Society quality standards for outpatient management of pulmonary embolism</w:t>
            </w:r>
          </w:p>
          <w:p w14:paraId="2C483C6A" w14:textId="77777777" w:rsidR="007C2BA7" w:rsidRPr="00315CD2" w:rsidRDefault="00473E39" w:rsidP="007C2BA7">
            <w:pPr>
              <w:pStyle w:val="TableText1"/>
              <w:rPr>
                <w:rFonts w:asciiTheme="minorHAnsi" w:hAnsiTheme="minorHAnsi" w:cs="Arial"/>
                <w:szCs w:val="22"/>
              </w:rPr>
            </w:pPr>
            <w:hyperlink r:id="rId122" w:history="1">
              <w:r w:rsidR="007C2BA7" w:rsidRPr="00315CD2">
                <w:rPr>
                  <w:rStyle w:val="Hyperlink"/>
                  <w:rFonts w:asciiTheme="minorHAnsi" w:hAnsiTheme="minorHAnsi" w:cs="Arial"/>
                  <w:szCs w:val="22"/>
                </w:rPr>
                <w:t>https://bmjopenrespres.bmj.com/content/7/1/e000636</w:t>
              </w:r>
            </w:hyperlink>
          </w:p>
          <w:p w14:paraId="375B5322" w14:textId="77777777" w:rsidR="007C2BA7" w:rsidRPr="00315CD2" w:rsidRDefault="007C2BA7" w:rsidP="007C2BA7">
            <w:pPr>
              <w:pStyle w:val="Tabletext"/>
              <w:rPr>
                <w:rFonts w:asciiTheme="minorHAnsi" w:hAnsiTheme="minorHAnsi"/>
                <w:szCs w:val="22"/>
              </w:rPr>
            </w:pPr>
          </w:p>
        </w:tc>
      </w:tr>
      <w:tr w:rsidR="007C2BA7" w:rsidRPr="00315CD2" w14:paraId="50D6B34B" w14:textId="77777777" w:rsidTr="00E52914">
        <w:trPr>
          <w:trHeight w:val="282"/>
        </w:trPr>
        <w:tc>
          <w:tcPr>
            <w:tcW w:w="558" w:type="dxa"/>
          </w:tcPr>
          <w:p w14:paraId="28DAD716" w14:textId="145CFC66"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69</w:t>
            </w:r>
          </w:p>
        </w:tc>
        <w:tc>
          <w:tcPr>
            <w:tcW w:w="1071" w:type="dxa"/>
          </w:tcPr>
          <w:p w14:paraId="6E7A3E82" w14:textId="6A4284F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Bayer Plc</w:t>
            </w:r>
          </w:p>
        </w:tc>
        <w:tc>
          <w:tcPr>
            <w:tcW w:w="2761" w:type="dxa"/>
          </w:tcPr>
          <w:p w14:paraId="14F435D4" w14:textId="77777777" w:rsidR="007C2BA7" w:rsidRPr="00315CD2" w:rsidRDefault="007C2BA7" w:rsidP="007C2BA7">
            <w:pPr>
              <w:pStyle w:val="Paragraphnonumbers"/>
              <w:spacing w:before="120" w:after="120" w:line="240" w:lineRule="auto"/>
              <w:rPr>
                <w:rFonts w:asciiTheme="minorHAnsi" w:hAnsiTheme="minorHAnsi"/>
                <w:color w:val="0E0E0E"/>
                <w:sz w:val="22"/>
                <w:szCs w:val="22"/>
              </w:rPr>
            </w:pPr>
            <w:r w:rsidRPr="00315CD2">
              <w:rPr>
                <w:rFonts w:asciiTheme="minorHAnsi" w:hAnsiTheme="minorHAnsi"/>
                <w:color w:val="0E0E0E"/>
                <w:sz w:val="22"/>
                <w:szCs w:val="22"/>
              </w:rPr>
              <w:t>Key area for quality improvement 5</w:t>
            </w:r>
          </w:p>
          <w:p w14:paraId="62BCE10F" w14:textId="77C1B2AB" w:rsidR="007C2BA7" w:rsidRPr="00315CD2" w:rsidRDefault="007C2BA7" w:rsidP="007C2BA7">
            <w:pPr>
              <w:pStyle w:val="Tabletext"/>
              <w:rPr>
                <w:rFonts w:asciiTheme="minorHAnsi" w:hAnsiTheme="minorHAnsi"/>
                <w:szCs w:val="22"/>
              </w:rPr>
            </w:pPr>
            <w:r w:rsidRPr="00315CD2">
              <w:rPr>
                <w:rFonts w:asciiTheme="minorHAnsi" w:hAnsiTheme="minorHAnsi"/>
                <w:color w:val="0E0E0E"/>
                <w:szCs w:val="22"/>
              </w:rPr>
              <w:t xml:space="preserve">Consider outpatient treatment for suspected or confirmed low-risk PE, using </w:t>
            </w:r>
            <w:r w:rsidRPr="00315CD2">
              <w:rPr>
                <w:rFonts w:asciiTheme="minorHAnsi" w:hAnsiTheme="minorHAnsi"/>
                <w:color w:val="0E0E0E"/>
                <w:szCs w:val="22"/>
              </w:rPr>
              <w:lastRenderedPageBreak/>
              <w:t>a validated risk stratification tool to determine the suitability of outpatient treatment.</w:t>
            </w:r>
          </w:p>
        </w:tc>
        <w:tc>
          <w:tcPr>
            <w:tcW w:w="3118" w:type="dxa"/>
          </w:tcPr>
          <w:p w14:paraId="5CF05436" w14:textId="77777777" w:rsidR="007C2BA7" w:rsidRPr="00315CD2" w:rsidRDefault="007C2BA7" w:rsidP="007C2BA7">
            <w:pPr>
              <w:pStyle w:val="Paragraphnonumbers"/>
              <w:spacing w:before="120" w:after="120" w:line="240" w:lineRule="auto"/>
              <w:rPr>
                <w:rFonts w:asciiTheme="minorHAnsi" w:hAnsiTheme="minorHAnsi"/>
                <w:color w:val="0E0E0E"/>
                <w:sz w:val="22"/>
                <w:szCs w:val="22"/>
              </w:rPr>
            </w:pPr>
            <w:r w:rsidRPr="00315CD2">
              <w:rPr>
                <w:rFonts w:asciiTheme="minorHAnsi" w:hAnsiTheme="minorHAnsi"/>
                <w:color w:val="0E0E0E"/>
                <w:sz w:val="22"/>
                <w:szCs w:val="22"/>
              </w:rPr>
              <w:lastRenderedPageBreak/>
              <w:t xml:space="preserve">Outpatient treatment for people with PE who have a low risk of poor outcomes is increasingly being used in </w:t>
            </w:r>
            <w:r w:rsidRPr="00315CD2">
              <w:rPr>
                <w:rFonts w:asciiTheme="minorHAnsi" w:hAnsiTheme="minorHAnsi"/>
                <w:color w:val="0E0E0E"/>
                <w:sz w:val="22"/>
                <w:szCs w:val="22"/>
              </w:rPr>
              <w:lastRenderedPageBreak/>
              <w:t>settings such as ambulatory care units.</w:t>
            </w:r>
          </w:p>
          <w:p w14:paraId="0312E295" w14:textId="0ADB92D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People with low risk PE carry a low risk of mortality and patient experience and cost effectiveness is improved in the outpatient setting</w:t>
            </w:r>
          </w:p>
        </w:tc>
        <w:tc>
          <w:tcPr>
            <w:tcW w:w="3686" w:type="dxa"/>
          </w:tcPr>
          <w:p w14:paraId="249CA87B" w14:textId="77777777" w:rsidR="007C2BA7" w:rsidRPr="00315CD2" w:rsidRDefault="007C2BA7" w:rsidP="007C2BA7">
            <w:pPr>
              <w:pStyle w:val="Paragraphnonumbers"/>
              <w:spacing w:before="120" w:after="120" w:line="240" w:lineRule="auto"/>
              <w:rPr>
                <w:rFonts w:asciiTheme="minorHAnsi" w:hAnsiTheme="minorHAnsi"/>
                <w:sz w:val="22"/>
                <w:szCs w:val="22"/>
              </w:rPr>
            </w:pPr>
            <w:r w:rsidRPr="00315CD2">
              <w:rPr>
                <w:rFonts w:asciiTheme="minorHAnsi" w:hAnsiTheme="minorHAnsi"/>
                <w:sz w:val="22"/>
                <w:szCs w:val="22"/>
              </w:rPr>
              <w:lastRenderedPageBreak/>
              <w:t xml:space="preserve">Home Treatment of Patients with Low-Risk Pulmonary Embolism with the Oral Factor Xa Inhibitor Rivaroxaban (HoT-PE) trial, the aim was to investigate the efficacy and safety of early transition from hospital </w:t>
            </w:r>
            <w:r w:rsidRPr="00315CD2">
              <w:rPr>
                <w:rFonts w:asciiTheme="minorHAnsi" w:hAnsiTheme="minorHAnsi"/>
                <w:sz w:val="22"/>
                <w:szCs w:val="22"/>
              </w:rPr>
              <w:lastRenderedPageBreak/>
              <w:t>to ambulatory treatment in low-risk acute PE, using the oral factor Xa inhibitor rivaroxaban.</w:t>
            </w:r>
          </w:p>
          <w:p w14:paraId="068B1159" w14:textId="28F84BE1" w:rsidR="007C2BA7" w:rsidRPr="00315CD2" w:rsidRDefault="007C2BA7" w:rsidP="007C2BA7">
            <w:pPr>
              <w:pStyle w:val="Tabletext"/>
              <w:rPr>
                <w:rFonts w:asciiTheme="minorHAnsi" w:hAnsiTheme="minorHAnsi"/>
                <w:szCs w:val="22"/>
              </w:rPr>
            </w:pPr>
            <w:r w:rsidRPr="00315CD2">
              <w:rPr>
                <w:rFonts w:asciiTheme="minorHAnsi" w:hAnsiTheme="minorHAnsi"/>
                <w:szCs w:val="22"/>
              </w:rPr>
              <w:t>Conclusion: Early discharge and home treatment with rivaroxaban is effective and safe in carefully selected patients with acute low-risk PE. The results of the present trial support the selection of appropriate patients for ambulatory treatment of PE.</w:t>
            </w:r>
          </w:p>
        </w:tc>
        <w:tc>
          <w:tcPr>
            <w:tcW w:w="3474" w:type="dxa"/>
          </w:tcPr>
          <w:p w14:paraId="5883BE5E" w14:textId="77777777" w:rsidR="007C2BA7" w:rsidRPr="00315CD2" w:rsidRDefault="007C2BA7" w:rsidP="007C2BA7">
            <w:pPr>
              <w:pStyle w:val="Paragraphnonumbers"/>
              <w:spacing w:before="120" w:after="120" w:line="240" w:lineRule="auto"/>
              <w:rPr>
                <w:rFonts w:asciiTheme="minorHAnsi" w:hAnsiTheme="minorHAnsi"/>
                <w:sz w:val="22"/>
                <w:szCs w:val="22"/>
              </w:rPr>
            </w:pPr>
            <w:r w:rsidRPr="00315CD2">
              <w:rPr>
                <w:rFonts w:asciiTheme="minorHAnsi" w:hAnsiTheme="minorHAnsi"/>
                <w:sz w:val="22"/>
                <w:szCs w:val="22"/>
              </w:rPr>
              <w:lastRenderedPageBreak/>
              <w:t xml:space="preserve">Barco S, et al. Early discharge and home treatment of patients with low-risk pulmonary embolism with the oral factor Xa inhibitor rivaroxaban: an international multicentre single-arm clinical trial, </w:t>
            </w:r>
            <w:r w:rsidRPr="00315CD2">
              <w:rPr>
                <w:rFonts w:asciiTheme="minorHAnsi" w:hAnsiTheme="minorHAnsi"/>
                <w:i/>
                <w:iCs/>
                <w:sz w:val="22"/>
                <w:szCs w:val="22"/>
              </w:rPr>
              <w:lastRenderedPageBreak/>
              <w:t>European Heart Journal</w:t>
            </w:r>
            <w:r w:rsidRPr="00315CD2">
              <w:rPr>
                <w:rFonts w:asciiTheme="minorHAnsi" w:hAnsiTheme="minorHAnsi"/>
                <w:sz w:val="22"/>
                <w:szCs w:val="22"/>
              </w:rPr>
              <w:t>, Volume 41, Issue 4, 21 January 2020, Pages 509–518</w:t>
            </w:r>
          </w:p>
          <w:p w14:paraId="2025450C" w14:textId="512B0EDD" w:rsidR="007C2BA7" w:rsidRPr="00315CD2" w:rsidRDefault="007C2BA7" w:rsidP="007C2BA7">
            <w:pPr>
              <w:pStyle w:val="Tabletext"/>
              <w:rPr>
                <w:rFonts w:asciiTheme="minorHAnsi" w:hAnsiTheme="minorHAnsi"/>
                <w:szCs w:val="22"/>
              </w:rPr>
            </w:pPr>
            <w:r w:rsidRPr="00315CD2">
              <w:rPr>
                <w:rFonts w:asciiTheme="minorHAnsi" w:hAnsiTheme="minorHAnsi"/>
                <w:szCs w:val="22"/>
              </w:rPr>
              <w:t xml:space="preserve">The committee agreed that outpatient care offers substantial benefits for people with PE and for hospital services and should be considered for those with suspected or confirmed low-risk PE. </w:t>
            </w:r>
            <w:hyperlink r:id="rId123" w:anchor="outpatient-treatment-for-low-risk-pe">
              <w:r w:rsidRPr="00315CD2">
                <w:rPr>
                  <w:rStyle w:val="Hyperlink"/>
                  <w:rFonts w:asciiTheme="minorHAnsi" w:hAnsiTheme="minorHAnsi" w:cs="Arial"/>
                  <w:szCs w:val="22"/>
                </w:rPr>
                <w:t>https://www.nice.org.uk/guidance/ng158/chapter/Recommendations#outpatient-treatment-for-low-risk-pe</w:t>
              </w:r>
            </w:hyperlink>
          </w:p>
        </w:tc>
      </w:tr>
      <w:tr w:rsidR="007C2BA7" w:rsidRPr="00315CD2" w14:paraId="1F0558F4" w14:textId="77777777" w:rsidTr="00E52914">
        <w:trPr>
          <w:trHeight w:val="282"/>
        </w:trPr>
        <w:tc>
          <w:tcPr>
            <w:tcW w:w="558" w:type="dxa"/>
          </w:tcPr>
          <w:p w14:paraId="0F9F817D" w14:textId="25B7641B"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70</w:t>
            </w:r>
          </w:p>
        </w:tc>
        <w:tc>
          <w:tcPr>
            <w:tcW w:w="1071" w:type="dxa"/>
          </w:tcPr>
          <w:p w14:paraId="753744D7" w14:textId="7BE611A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British Thoracic Society </w:t>
            </w:r>
          </w:p>
        </w:tc>
        <w:tc>
          <w:tcPr>
            <w:tcW w:w="2761" w:type="dxa"/>
          </w:tcPr>
          <w:p w14:paraId="6458E14B" w14:textId="443FCD3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5</w:t>
            </w:r>
          </w:p>
        </w:tc>
        <w:tc>
          <w:tcPr>
            <w:tcW w:w="3118" w:type="dxa"/>
          </w:tcPr>
          <w:p w14:paraId="40C7D762" w14:textId="5EB0B4E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Formalised PE follow-up to assess initial response to therapy, symptom resolution and to decide on longer-term anticoagulation </w:t>
            </w:r>
          </w:p>
        </w:tc>
        <w:tc>
          <w:tcPr>
            <w:tcW w:w="3686" w:type="dxa"/>
          </w:tcPr>
          <w:p w14:paraId="4D9E9BF9" w14:textId="77777777" w:rsidR="007C2BA7" w:rsidRPr="00315CD2" w:rsidRDefault="007C2BA7" w:rsidP="007C2BA7">
            <w:pPr>
              <w:pStyle w:val="Tabletext"/>
              <w:rPr>
                <w:rFonts w:asciiTheme="minorHAnsi" w:hAnsiTheme="minorHAnsi"/>
                <w:szCs w:val="22"/>
              </w:rPr>
            </w:pPr>
          </w:p>
        </w:tc>
        <w:tc>
          <w:tcPr>
            <w:tcW w:w="3474" w:type="dxa"/>
          </w:tcPr>
          <w:p w14:paraId="58D28356" w14:textId="77777777" w:rsidR="007C2BA7" w:rsidRPr="00315CD2" w:rsidRDefault="007C2BA7" w:rsidP="007C2BA7">
            <w:pPr>
              <w:pStyle w:val="Tabletext"/>
              <w:rPr>
                <w:rFonts w:asciiTheme="minorHAnsi" w:hAnsiTheme="minorHAnsi"/>
                <w:szCs w:val="22"/>
              </w:rPr>
            </w:pPr>
          </w:p>
        </w:tc>
      </w:tr>
      <w:tr w:rsidR="007C2BA7" w:rsidRPr="00315CD2" w14:paraId="06B857A4" w14:textId="77777777" w:rsidTr="00E52914">
        <w:trPr>
          <w:trHeight w:val="282"/>
        </w:trPr>
        <w:tc>
          <w:tcPr>
            <w:tcW w:w="558" w:type="dxa"/>
          </w:tcPr>
          <w:p w14:paraId="721AC5D4" w14:textId="6AA71755"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71</w:t>
            </w:r>
          </w:p>
        </w:tc>
        <w:tc>
          <w:tcPr>
            <w:tcW w:w="1071" w:type="dxa"/>
          </w:tcPr>
          <w:p w14:paraId="08245B51" w14:textId="3C1A1BA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SCM4</w:t>
            </w:r>
          </w:p>
        </w:tc>
        <w:tc>
          <w:tcPr>
            <w:tcW w:w="2761" w:type="dxa"/>
            <w:shd w:val="clear" w:color="auto" w:fill="FFFFFF"/>
          </w:tcPr>
          <w:p w14:paraId="50A2AB0E" w14:textId="77777777" w:rsidR="007C2BA7" w:rsidRPr="00315CD2" w:rsidRDefault="007C2BA7" w:rsidP="007C2BA7">
            <w:pPr>
              <w:pStyle w:val="TableText1"/>
              <w:rPr>
                <w:rFonts w:asciiTheme="minorHAnsi" w:hAnsiTheme="minorHAnsi" w:cs="Arial"/>
                <w:b/>
                <w:szCs w:val="22"/>
              </w:rPr>
            </w:pPr>
            <w:r w:rsidRPr="00315CD2">
              <w:rPr>
                <w:rFonts w:asciiTheme="minorHAnsi" w:hAnsiTheme="minorHAnsi" w:cs="Arial"/>
                <w:b/>
                <w:szCs w:val="22"/>
              </w:rPr>
              <w:t>Key area for quality improvement 4</w:t>
            </w:r>
          </w:p>
          <w:p w14:paraId="75CFEB4B" w14:textId="0B89217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Development of outpatient treatments and therapies</w:t>
            </w:r>
          </w:p>
        </w:tc>
        <w:tc>
          <w:tcPr>
            <w:tcW w:w="3118" w:type="dxa"/>
            <w:shd w:val="clear" w:color="auto" w:fill="FFFFFF"/>
          </w:tcPr>
          <w:p w14:paraId="44829747" w14:textId="26D4880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Reduction of  pressure on  in hospital services </w:t>
            </w:r>
          </w:p>
        </w:tc>
        <w:tc>
          <w:tcPr>
            <w:tcW w:w="3686" w:type="dxa"/>
            <w:shd w:val="clear" w:color="auto" w:fill="FFFFFF"/>
          </w:tcPr>
          <w:p w14:paraId="60F26285" w14:textId="4272385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There is a  whole system imperative  for a systematic shift of  a range of services to a community based /primary care model of care to avoid unnecessary use of acute capacity and services</w:t>
            </w:r>
          </w:p>
        </w:tc>
        <w:tc>
          <w:tcPr>
            <w:tcW w:w="3474" w:type="dxa"/>
            <w:shd w:val="clear" w:color="auto" w:fill="FFFFFF"/>
          </w:tcPr>
          <w:p w14:paraId="32E79734"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Please refer NG 158</w:t>
            </w:r>
          </w:p>
          <w:p w14:paraId="4DBA7F74" w14:textId="79A0719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Recommendation 1.2</w:t>
            </w:r>
          </w:p>
        </w:tc>
      </w:tr>
      <w:tr w:rsidR="007C2BA7" w:rsidRPr="00315CD2" w14:paraId="05B7FFCD" w14:textId="77777777" w:rsidTr="00E52914">
        <w:trPr>
          <w:trHeight w:val="282"/>
        </w:trPr>
        <w:tc>
          <w:tcPr>
            <w:tcW w:w="558" w:type="dxa"/>
          </w:tcPr>
          <w:p w14:paraId="686E76A4" w14:textId="51789702"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72</w:t>
            </w:r>
          </w:p>
        </w:tc>
        <w:tc>
          <w:tcPr>
            <w:tcW w:w="1071" w:type="dxa"/>
          </w:tcPr>
          <w:p w14:paraId="70CA6E2E" w14:textId="1B31B30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Bristol Myers Squibb – Pfizer Alliance</w:t>
            </w:r>
          </w:p>
        </w:tc>
        <w:tc>
          <w:tcPr>
            <w:tcW w:w="2761" w:type="dxa"/>
          </w:tcPr>
          <w:p w14:paraId="5CAEB870" w14:textId="77777777" w:rsidR="007C2BA7" w:rsidRPr="00315CD2" w:rsidRDefault="007C2BA7" w:rsidP="007C2BA7">
            <w:pPr>
              <w:pStyle w:val="TableText1"/>
              <w:rPr>
                <w:rFonts w:asciiTheme="minorHAnsi" w:hAnsiTheme="minorHAnsi"/>
                <w:szCs w:val="22"/>
              </w:rPr>
            </w:pPr>
            <w:bookmarkStart w:id="146" w:name="_Hlk50316560"/>
            <w:r w:rsidRPr="00315CD2">
              <w:rPr>
                <w:rFonts w:asciiTheme="minorHAnsi" w:hAnsiTheme="minorHAnsi" w:cs="Arial"/>
                <w:szCs w:val="22"/>
              </w:rPr>
              <w:t>Enabling effective, shared decision-making</w:t>
            </w:r>
          </w:p>
          <w:p w14:paraId="35E67BCD" w14:textId="77777777" w:rsidR="007C2BA7" w:rsidRPr="00315CD2" w:rsidRDefault="007C2BA7" w:rsidP="007C2BA7">
            <w:pPr>
              <w:pStyle w:val="TableText1"/>
              <w:rPr>
                <w:rFonts w:asciiTheme="minorHAnsi" w:hAnsiTheme="minorHAnsi"/>
                <w:szCs w:val="22"/>
              </w:rPr>
            </w:pPr>
          </w:p>
          <w:p w14:paraId="20F1DD8A" w14:textId="66283C84" w:rsidR="007C2BA7" w:rsidRPr="00315CD2" w:rsidRDefault="007C2BA7" w:rsidP="007C2BA7">
            <w:pPr>
              <w:pStyle w:val="Tabletext"/>
              <w:rPr>
                <w:rFonts w:asciiTheme="minorHAnsi" w:hAnsiTheme="minorHAnsi"/>
                <w:szCs w:val="22"/>
              </w:rPr>
            </w:pPr>
            <w:r w:rsidRPr="00315CD2">
              <w:rPr>
                <w:rFonts w:asciiTheme="minorHAnsi" w:hAnsiTheme="minorHAnsi"/>
                <w:szCs w:val="22"/>
              </w:rPr>
              <w:t xml:space="preserve">Shared decision-making between healthcare </w:t>
            </w:r>
            <w:r w:rsidRPr="00315CD2">
              <w:rPr>
                <w:rFonts w:asciiTheme="minorHAnsi" w:hAnsiTheme="minorHAnsi"/>
                <w:szCs w:val="22"/>
              </w:rPr>
              <w:lastRenderedPageBreak/>
              <w:t>professionals and patients with VTE.</w:t>
            </w:r>
            <w:bookmarkEnd w:id="146"/>
          </w:p>
        </w:tc>
        <w:tc>
          <w:tcPr>
            <w:tcW w:w="3118" w:type="dxa"/>
          </w:tcPr>
          <w:p w14:paraId="30A67403" w14:textId="77777777" w:rsidR="007C2BA7" w:rsidRPr="00315CD2" w:rsidRDefault="007C2BA7" w:rsidP="007C2BA7">
            <w:pPr>
              <w:pStyle w:val="Paragraphnonumbers"/>
              <w:rPr>
                <w:rFonts w:asciiTheme="minorHAnsi" w:hAnsiTheme="minorHAnsi"/>
                <w:sz w:val="22"/>
                <w:szCs w:val="22"/>
              </w:rPr>
            </w:pPr>
            <w:bookmarkStart w:id="147" w:name="_Hlk50316607"/>
            <w:r w:rsidRPr="00315CD2">
              <w:rPr>
                <w:rFonts w:asciiTheme="minorHAnsi" w:hAnsiTheme="minorHAnsi"/>
                <w:sz w:val="22"/>
                <w:szCs w:val="22"/>
              </w:rPr>
              <w:lastRenderedPageBreak/>
              <w:t xml:space="preserve">NICE guidelines emphasise the importance of shared decision-making, involving patients in decisions on their care. Patients </w:t>
            </w:r>
            <w:r w:rsidRPr="00315CD2">
              <w:rPr>
                <w:rFonts w:asciiTheme="minorHAnsi" w:hAnsiTheme="minorHAnsi"/>
                <w:sz w:val="22"/>
                <w:szCs w:val="22"/>
              </w:rPr>
              <w:lastRenderedPageBreak/>
              <w:t>should be enabled to make an informed choice based on an evidence-based assessment of the risks and benefits of therapy prescribed.</w:t>
            </w:r>
          </w:p>
          <w:bookmarkEnd w:id="147"/>
          <w:p w14:paraId="79CCB04D" w14:textId="77777777" w:rsidR="007C2BA7" w:rsidRPr="00315CD2" w:rsidRDefault="007C2BA7" w:rsidP="007C2BA7">
            <w:pPr>
              <w:pStyle w:val="Tabletext"/>
              <w:rPr>
                <w:rFonts w:asciiTheme="minorHAnsi" w:hAnsiTheme="minorHAnsi"/>
                <w:szCs w:val="22"/>
              </w:rPr>
            </w:pPr>
          </w:p>
        </w:tc>
        <w:tc>
          <w:tcPr>
            <w:tcW w:w="3686" w:type="dxa"/>
          </w:tcPr>
          <w:p w14:paraId="7CBD6BAE" w14:textId="77777777" w:rsidR="007C2BA7" w:rsidRPr="00315CD2" w:rsidRDefault="007C2BA7" w:rsidP="007C2BA7">
            <w:pPr>
              <w:pStyle w:val="Paragraphnonumbers"/>
              <w:rPr>
                <w:rFonts w:asciiTheme="minorHAnsi" w:hAnsiTheme="minorHAnsi" w:cs="Arial"/>
                <w:sz w:val="22"/>
                <w:szCs w:val="22"/>
              </w:rPr>
            </w:pPr>
            <w:bookmarkStart w:id="148" w:name="_Hlk50316647"/>
            <w:r w:rsidRPr="00315CD2">
              <w:rPr>
                <w:rFonts w:asciiTheme="minorHAnsi" w:hAnsiTheme="minorHAnsi" w:cs="Arial"/>
                <w:sz w:val="22"/>
                <w:szCs w:val="22"/>
              </w:rPr>
              <w:lastRenderedPageBreak/>
              <w:t>Considerable variation exists across England on the extent to which shared decision-making processes are used.</w:t>
            </w:r>
          </w:p>
          <w:p w14:paraId="3C946A84" w14:textId="09D8F53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This Quality Standard can help achieve effective shared decision-making, enhancing the way resources are allocated and reducing unwarranted clinical variation.</w:t>
            </w:r>
            <w:bookmarkEnd w:id="148"/>
          </w:p>
        </w:tc>
        <w:tc>
          <w:tcPr>
            <w:tcW w:w="3474" w:type="dxa"/>
          </w:tcPr>
          <w:p w14:paraId="6342F965" w14:textId="77777777" w:rsidR="007C2BA7" w:rsidRPr="00315CD2" w:rsidRDefault="007C2BA7" w:rsidP="007C2BA7">
            <w:pPr>
              <w:pStyle w:val="Paragraphnonumbers"/>
              <w:rPr>
                <w:rFonts w:asciiTheme="minorHAnsi" w:hAnsiTheme="minorHAnsi"/>
                <w:sz w:val="22"/>
                <w:szCs w:val="22"/>
              </w:rPr>
            </w:pPr>
            <w:r w:rsidRPr="00315CD2">
              <w:rPr>
                <w:rFonts w:asciiTheme="minorHAnsi" w:hAnsiTheme="minorHAnsi"/>
                <w:sz w:val="22"/>
                <w:szCs w:val="22"/>
              </w:rPr>
              <w:lastRenderedPageBreak/>
              <w:t>NICE KTT23 (2019) (</w:t>
            </w:r>
            <w:hyperlink r:id="rId124" w:history="1">
              <w:r w:rsidRPr="00315CD2">
                <w:rPr>
                  <w:rStyle w:val="Hyperlink"/>
                  <w:rFonts w:asciiTheme="minorHAnsi" w:hAnsiTheme="minorHAnsi"/>
                  <w:sz w:val="22"/>
                  <w:szCs w:val="22"/>
                </w:rPr>
                <w:t>https://www.nice.org.uk/advice/ktt23</w:t>
              </w:r>
            </w:hyperlink>
            <w:r w:rsidRPr="00315CD2">
              <w:rPr>
                <w:rFonts w:asciiTheme="minorHAnsi" w:hAnsiTheme="minorHAnsi"/>
                <w:sz w:val="22"/>
                <w:szCs w:val="22"/>
              </w:rPr>
              <w:t>).</w:t>
            </w:r>
          </w:p>
          <w:p w14:paraId="1B66720F" w14:textId="77777777" w:rsidR="007C2BA7" w:rsidRPr="00315CD2" w:rsidRDefault="007C2BA7" w:rsidP="007C2BA7">
            <w:pPr>
              <w:pStyle w:val="Paragraphnonumbers"/>
              <w:rPr>
                <w:rFonts w:asciiTheme="minorHAnsi" w:hAnsiTheme="minorHAnsi"/>
                <w:sz w:val="22"/>
                <w:szCs w:val="22"/>
              </w:rPr>
            </w:pPr>
            <w:r w:rsidRPr="00315CD2">
              <w:rPr>
                <w:rFonts w:asciiTheme="minorHAnsi" w:hAnsiTheme="minorHAnsi"/>
                <w:sz w:val="22"/>
                <w:szCs w:val="22"/>
              </w:rPr>
              <w:t>NICE NG158 (2020) (</w:t>
            </w:r>
            <w:hyperlink r:id="rId125" w:history="1">
              <w:r w:rsidRPr="00315CD2">
                <w:rPr>
                  <w:rStyle w:val="Hyperlink"/>
                  <w:rFonts w:asciiTheme="minorHAnsi" w:hAnsiTheme="minorHAnsi"/>
                  <w:sz w:val="22"/>
                  <w:szCs w:val="22"/>
                </w:rPr>
                <w:t>https://www.nice.org.uk/guidance/ng158</w:t>
              </w:r>
            </w:hyperlink>
            <w:r w:rsidRPr="00315CD2">
              <w:rPr>
                <w:rFonts w:asciiTheme="minorHAnsi" w:hAnsiTheme="minorHAnsi"/>
                <w:sz w:val="22"/>
                <w:szCs w:val="22"/>
              </w:rPr>
              <w:t>).</w:t>
            </w:r>
          </w:p>
          <w:p w14:paraId="44325F2C" w14:textId="77777777" w:rsidR="007C2BA7" w:rsidRPr="00315CD2" w:rsidRDefault="007C2BA7" w:rsidP="007C2BA7">
            <w:pPr>
              <w:pStyle w:val="Paragraphnonumbers"/>
              <w:spacing w:after="0"/>
              <w:rPr>
                <w:rFonts w:asciiTheme="minorHAnsi" w:hAnsiTheme="minorHAnsi"/>
                <w:sz w:val="22"/>
                <w:szCs w:val="22"/>
              </w:rPr>
            </w:pPr>
            <w:r w:rsidRPr="00315CD2">
              <w:rPr>
                <w:rFonts w:asciiTheme="minorHAnsi" w:hAnsiTheme="minorHAnsi"/>
                <w:sz w:val="22"/>
                <w:szCs w:val="22"/>
              </w:rPr>
              <w:t>NHS England</w:t>
            </w:r>
          </w:p>
          <w:p w14:paraId="24C71D33" w14:textId="5B79FDE3" w:rsidR="007C2BA7" w:rsidRPr="00315CD2" w:rsidRDefault="00473E39" w:rsidP="007C2BA7">
            <w:pPr>
              <w:pStyle w:val="Tabletext"/>
              <w:rPr>
                <w:rFonts w:asciiTheme="minorHAnsi" w:hAnsiTheme="minorHAnsi"/>
                <w:szCs w:val="22"/>
              </w:rPr>
            </w:pPr>
            <w:hyperlink r:id="rId126" w:history="1">
              <w:r w:rsidR="007C2BA7" w:rsidRPr="00315CD2">
                <w:rPr>
                  <w:rStyle w:val="Hyperlink"/>
                  <w:rFonts w:asciiTheme="minorHAnsi" w:hAnsiTheme="minorHAnsi"/>
                  <w:szCs w:val="22"/>
                </w:rPr>
                <w:t>https://www.england.nhs.uk/shared-decision-making/why-is-shared-decision-making-important/</w:t>
              </w:r>
            </w:hyperlink>
          </w:p>
        </w:tc>
      </w:tr>
      <w:tr w:rsidR="007C2BA7" w:rsidRPr="00315CD2" w14:paraId="70D28BD6" w14:textId="77777777" w:rsidTr="00E52914">
        <w:trPr>
          <w:trHeight w:val="282"/>
        </w:trPr>
        <w:tc>
          <w:tcPr>
            <w:tcW w:w="558" w:type="dxa"/>
          </w:tcPr>
          <w:p w14:paraId="5D2EF16D" w14:textId="3BAA32F6"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73</w:t>
            </w:r>
          </w:p>
        </w:tc>
        <w:tc>
          <w:tcPr>
            <w:tcW w:w="1071" w:type="dxa"/>
          </w:tcPr>
          <w:p w14:paraId="6CF0D6A9" w14:textId="720DE4A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SCM8</w:t>
            </w:r>
          </w:p>
        </w:tc>
        <w:tc>
          <w:tcPr>
            <w:tcW w:w="2761" w:type="dxa"/>
            <w:shd w:val="clear" w:color="auto" w:fill="FFFFFF"/>
          </w:tcPr>
          <w:p w14:paraId="6E67F918" w14:textId="1A0A9A5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NG158 1.5.1/2 Information to people having anticoagulation verbal and written information</w:t>
            </w:r>
          </w:p>
        </w:tc>
        <w:tc>
          <w:tcPr>
            <w:tcW w:w="3118" w:type="dxa"/>
            <w:shd w:val="clear" w:color="auto" w:fill="FFFFFF"/>
          </w:tcPr>
          <w:p w14:paraId="25CBF68C" w14:textId="23CEC468" w:rsidR="007C2BA7" w:rsidRPr="00315CD2" w:rsidRDefault="007C2BA7" w:rsidP="007C2BA7">
            <w:pPr>
              <w:pStyle w:val="Tabletext"/>
              <w:rPr>
                <w:rFonts w:asciiTheme="minorHAnsi" w:hAnsiTheme="minorHAnsi"/>
                <w:szCs w:val="22"/>
              </w:rPr>
            </w:pPr>
            <w:bookmarkStart w:id="149" w:name="_Hlk50316708"/>
            <w:r w:rsidRPr="00315CD2">
              <w:rPr>
                <w:rFonts w:asciiTheme="minorHAnsi" w:hAnsiTheme="minorHAnsi" w:cs="Arial"/>
                <w:szCs w:val="22"/>
              </w:rPr>
              <w:t>People have a choice of anticoagulation, and should be informed of their choices, and how to take the medicine chosen for optimal effect. This takes time, and is important to document within the patient record</w:t>
            </w:r>
            <w:bookmarkEnd w:id="149"/>
          </w:p>
        </w:tc>
        <w:tc>
          <w:tcPr>
            <w:tcW w:w="3686" w:type="dxa"/>
            <w:shd w:val="clear" w:color="auto" w:fill="FFFFFF"/>
          </w:tcPr>
          <w:p w14:paraId="1CBE10D5" w14:textId="4E519F5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Ensures compliance and adherence, enabling optimal anticoagulation</w:t>
            </w:r>
          </w:p>
        </w:tc>
        <w:tc>
          <w:tcPr>
            <w:tcW w:w="3474" w:type="dxa"/>
            <w:shd w:val="clear" w:color="auto" w:fill="FFFFFF"/>
          </w:tcPr>
          <w:p w14:paraId="42988928" w14:textId="77777777" w:rsidR="007C2BA7" w:rsidRPr="00315CD2" w:rsidRDefault="007C2BA7" w:rsidP="007C2BA7">
            <w:pPr>
              <w:pStyle w:val="Tabletext"/>
              <w:rPr>
                <w:rFonts w:asciiTheme="minorHAnsi" w:hAnsiTheme="minorHAnsi"/>
                <w:szCs w:val="22"/>
              </w:rPr>
            </w:pPr>
          </w:p>
        </w:tc>
      </w:tr>
      <w:tr w:rsidR="007C2BA7" w:rsidRPr="00315CD2" w14:paraId="2AA92414" w14:textId="77777777" w:rsidTr="00E52914">
        <w:trPr>
          <w:trHeight w:val="282"/>
        </w:trPr>
        <w:tc>
          <w:tcPr>
            <w:tcW w:w="558" w:type="dxa"/>
          </w:tcPr>
          <w:p w14:paraId="7CD1ACD0" w14:textId="0F3C729A"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74</w:t>
            </w:r>
          </w:p>
        </w:tc>
        <w:tc>
          <w:tcPr>
            <w:tcW w:w="1071" w:type="dxa"/>
          </w:tcPr>
          <w:p w14:paraId="12DFA85E" w14:textId="2C5B03C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Anticoagulation UK</w:t>
            </w:r>
          </w:p>
        </w:tc>
        <w:tc>
          <w:tcPr>
            <w:tcW w:w="2761" w:type="dxa"/>
          </w:tcPr>
          <w:p w14:paraId="294ADAEB" w14:textId="3AADD3F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5</w:t>
            </w:r>
          </w:p>
        </w:tc>
        <w:tc>
          <w:tcPr>
            <w:tcW w:w="3118" w:type="dxa"/>
          </w:tcPr>
          <w:p w14:paraId="37BD28C3" w14:textId="39A8CA2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1.5.1 Information and support for people having anticoagulation treatment</w:t>
            </w:r>
          </w:p>
        </w:tc>
        <w:tc>
          <w:tcPr>
            <w:tcW w:w="3686" w:type="dxa"/>
          </w:tcPr>
          <w:p w14:paraId="1B5FE87A"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 xml:space="preserve">NHS needs to provide standardised patient information available in a variety of formats for the patients with a review cycle. At present, there is a plethora of information available and for consistency and accuracy, PIL </w:t>
            </w:r>
            <w:r w:rsidRPr="00315CD2">
              <w:rPr>
                <w:rFonts w:asciiTheme="minorHAnsi" w:hAnsiTheme="minorHAnsi" w:cs="Arial"/>
                <w:sz w:val="22"/>
                <w:szCs w:val="22"/>
              </w:rPr>
              <w:lastRenderedPageBreak/>
              <w:t>should be reviewed in light of the new guidelines and as part of the QS process</w:t>
            </w:r>
          </w:p>
          <w:p w14:paraId="6ED18DF0" w14:textId="49664D8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1.5.2  Over two years ago, ACUK were invited to be part of a working group to revise the anticoagulation record book and alert card. Most patients are not made aware of the manufacturer’s alert card with the medication and </w:t>
            </w:r>
            <w:r w:rsidRPr="00315CD2">
              <w:rPr>
                <w:rFonts w:asciiTheme="minorHAnsi" w:hAnsiTheme="minorHAnsi" w:cs="Arial"/>
                <w:b/>
                <w:szCs w:val="22"/>
              </w:rPr>
              <w:t>do not have any alert card to rely on</w:t>
            </w:r>
            <w:r w:rsidRPr="00315CD2">
              <w:rPr>
                <w:rFonts w:asciiTheme="minorHAnsi" w:hAnsiTheme="minorHAnsi" w:cs="Arial"/>
                <w:szCs w:val="22"/>
              </w:rPr>
              <w:t>. There is an urgent requirement to produce Alert Cards for patients which are user friendly, accurate and durable especially for long term anticoagulated patients</w:t>
            </w:r>
          </w:p>
        </w:tc>
        <w:tc>
          <w:tcPr>
            <w:tcW w:w="3474" w:type="dxa"/>
          </w:tcPr>
          <w:p w14:paraId="783F2CDD" w14:textId="74B969F7" w:rsidR="007C2BA7" w:rsidRPr="00315CD2" w:rsidRDefault="007C2BA7" w:rsidP="007C2BA7">
            <w:pPr>
              <w:pStyle w:val="Tabletext"/>
              <w:rPr>
                <w:rFonts w:asciiTheme="minorHAnsi" w:hAnsiTheme="minorHAnsi"/>
                <w:szCs w:val="22"/>
              </w:rPr>
            </w:pPr>
            <w:r w:rsidRPr="00315CD2">
              <w:rPr>
                <w:rFonts w:asciiTheme="minorHAnsi" w:hAnsiTheme="minorHAnsi" w:cs="Arial"/>
                <w:b/>
                <w:szCs w:val="22"/>
              </w:rPr>
              <w:lastRenderedPageBreak/>
              <w:t xml:space="preserve">This is a patient priority especially with DOACS ( Apixaban, Rivaroxaban and Edoxaban not having a reversal agent available) </w:t>
            </w:r>
          </w:p>
        </w:tc>
      </w:tr>
      <w:tr w:rsidR="007C2BA7" w:rsidRPr="00315CD2" w14:paraId="6178C091" w14:textId="77777777" w:rsidTr="00E52914">
        <w:trPr>
          <w:trHeight w:val="282"/>
        </w:trPr>
        <w:tc>
          <w:tcPr>
            <w:tcW w:w="558" w:type="dxa"/>
          </w:tcPr>
          <w:p w14:paraId="4A3F16A8" w14:textId="6190D443"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75</w:t>
            </w:r>
          </w:p>
        </w:tc>
        <w:tc>
          <w:tcPr>
            <w:tcW w:w="1071" w:type="dxa"/>
          </w:tcPr>
          <w:p w14:paraId="715518CC" w14:textId="082329D6" w:rsidR="007C2BA7" w:rsidRPr="00315CD2" w:rsidRDefault="007C2BA7" w:rsidP="007C2BA7">
            <w:pPr>
              <w:pStyle w:val="Tabletext"/>
              <w:rPr>
                <w:rFonts w:asciiTheme="minorHAnsi" w:hAnsiTheme="minorHAnsi"/>
                <w:szCs w:val="22"/>
              </w:rPr>
            </w:pPr>
            <w:r w:rsidRPr="00315CD2">
              <w:rPr>
                <w:rFonts w:asciiTheme="minorHAnsi" w:hAnsiTheme="minorHAnsi" w:cs="Arial"/>
                <w:b/>
                <w:szCs w:val="22"/>
              </w:rPr>
              <w:t>SCM1</w:t>
            </w:r>
          </w:p>
        </w:tc>
        <w:tc>
          <w:tcPr>
            <w:tcW w:w="2761" w:type="dxa"/>
            <w:shd w:val="clear" w:color="auto" w:fill="FFFFFF"/>
          </w:tcPr>
          <w:p w14:paraId="68A54E48" w14:textId="4808A90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1</w:t>
            </w:r>
          </w:p>
        </w:tc>
        <w:tc>
          <w:tcPr>
            <w:tcW w:w="3118" w:type="dxa"/>
          </w:tcPr>
          <w:p w14:paraId="28B909E2" w14:textId="0F48FA1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NG158 states:  Provide patient with information</w:t>
            </w:r>
          </w:p>
        </w:tc>
        <w:tc>
          <w:tcPr>
            <w:tcW w:w="3686" w:type="dxa"/>
          </w:tcPr>
          <w:p w14:paraId="5DBCE1E4" w14:textId="7DAEEC9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 There is no standard information for patients at the moment. The yellow book is for Warfarin patients only – It seems imperative that some sort of documents will be available for new and existing patients on anticoagulants</w:t>
            </w:r>
          </w:p>
        </w:tc>
        <w:tc>
          <w:tcPr>
            <w:tcW w:w="3474" w:type="dxa"/>
          </w:tcPr>
          <w:p w14:paraId="3AB74B73"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 Various support groups – It is an obvious problem seeing the repetitive questions from patients. Patients get diagnosed with a VTE and no follow up or clear instructions. The use of a ‘yellow book’ for all patients should be ‘invented and compulsory’ This book should give clear guidance and follow up appointment dates should be standard in the book.</w:t>
            </w:r>
          </w:p>
          <w:p w14:paraId="3232C9E9" w14:textId="24D6588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The use of a proper alert card is very important</w:t>
            </w:r>
          </w:p>
        </w:tc>
      </w:tr>
      <w:tr w:rsidR="007C2BA7" w:rsidRPr="00315CD2" w14:paraId="6B915CC9" w14:textId="77777777" w:rsidTr="00C156BC">
        <w:trPr>
          <w:trHeight w:val="282"/>
        </w:trPr>
        <w:tc>
          <w:tcPr>
            <w:tcW w:w="14668" w:type="dxa"/>
            <w:gridSpan w:val="6"/>
          </w:tcPr>
          <w:p w14:paraId="0B7D9387" w14:textId="5891DA43" w:rsidR="007C2BA7" w:rsidRPr="00C156BC" w:rsidRDefault="00C156BC" w:rsidP="007C2BA7">
            <w:pPr>
              <w:pStyle w:val="Tabletext"/>
              <w:rPr>
                <w:rFonts w:asciiTheme="minorHAnsi" w:hAnsiTheme="minorHAnsi"/>
                <w:b/>
                <w:szCs w:val="22"/>
                <w:lang w:eastAsia="en-GB"/>
              </w:rPr>
            </w:pPr>
            <w:r w:rsidRPr="00C156BC">
              <w:rPr>
                <w:rFonts w:asciiTheme="minorHAnsi" w:hAnsiTheme="minorHAnsi"/>
                <w:b/>
                <w:szCs w:val="22"/>
                <w:lang w:eastAsia="en-GB"/>
              </w:rPr>
              <w:t>Additional areas</w:t>
            </w:r>
          </w:p>
        </w:tc>
      </w:tr>
      <w:tr w:rsidR="007C2BA7" w:rsidRPr="00315CD2" w14:paraId="407D659B" w14:textId="77777777" w:rsidTr="00E52914">
        <w:trPr>
          <w:trHeight w:val="282"/>
        </w:trPr>
        <w:tc>
          <w:tcPr>
            <w:tcW w:w="558" w:type="dxa"/>
          </w:tcPr>
          <w:p w14:paraId="544C0D06" w14:textId="186FE19E"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76</w:t>
            </w:r>
          </w:p>
        </w:tc>
        <w:tc>
          <w:tcPr>
            <w:tcW w:w="1071" w:type="dxa"/>
          </w:tcPr>
          <w:p w14:paraId="049C7FB1" w14:textId="6812250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All Party Parliamentary Group on Vascular and Venous Disease</w:t>
            </w:r>
          </w:p>
        </w:tc>
        <w:tc>
          <w:tcPr>
            <w:tcW w:w="2761" w:type="dxa"/>
          </w:tcPr>
          <w:p w14:paraId="02DB5AFB" w14:textId="1B2395B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Diagnosis and treatment of venous thromboembolism</w:t>
            </w:r>
          </w:p>
        </w:tc>
        <w:tc>
          <w:tcPr>
            <w:tcW w:w="3118" w:type="dxa"/>
          </w:tcPr>
          <w:p w14:paraId="3F33B0AD" w14:textId="77777777" w:rsidR="007C2BA7" w:rsidRPr="00315CD2" w:rsidRDefault="007C2BA7" w:rsidP="007C2BA7">
            <w:pPr>
              <w:pStyle w:val="ListParagraph"/>
              <w:ind w:left="0"/>
              <w:rPr>
                <w:rFonts w:asciiTheme="minorHAnsi" w:hAnsiTheme="minorHAnsi" w:cs="Arial"/>
                <w:sz w:val="22"/>
                <w:szCs w:val="22"/>
              </w:rPr>
            </w:pPr>
            <w:bookmarkStart w:id="150" w:name="_Hlk49845233"/>
            <w:r w:rsidRPr="00315CD2">
              <w:rPr>
                <w:rFonts w:asciiTheme="minorHAnsi" w:hAnsiTheme="minorHAnsi" w:cs="Arial"/>
                <w:sz w:val="22"/>
                <w:szCs w:val="22"/>
              </w:rPr>
              <w:t>The indications for the use of thrombolysis or pharmacomechanical thrombectomy remains unclear. Relatively few centres are able to provide this service, so greater clarity (further than just ‘consider’) would be helpful. All cases should be submitted to the British Society of Interventional Radiology’s Deep Venous Thrombosis registry.</w:t>
            </w:r>
          </w:p>
          <w:p w14:paraId="3D0DA7DA" w14:textId="77777777" w:rsidR="007C2BA7" w:rsidRPr="00315CD2" w:rsidRDefault="007C2BA7" w:rsidP="007C2BA7">
            <w:pPr>
              <w:pStyle w:val="ListParagraph"/>
              <w:rPr>
                <w:rFonts w:asciiTheme="minorHAnsi" w:hAnsiTheme="minorHAnsi" w:cs="Arial"/>
                <w:sz w:val="22"/>
                <w:szCs w:val="22"/>
              </w:rPr>
            </w:pPr>
          </w:p>
          <w:p w14:paraId="4FED2937" w14:textId="77777777" w:rsidR="007C2BA7" w:rsidRPr="00315CD2" w:rsidRDefault="007C2BA7" w:rsidP="007C2BA7">
            <w:pPr>
              <w:pStyle w:val="ListParagraph"/>
              <w:ind w:left="0"/>
              <w:rPr>
                <w:rFonts w:asciiTheme="minorHAnsi" w:hAnsiTheme="minorHAnsi" w:cs="Arial"/>
                <w:sz w:val="22"/>
                <w:szCs w:val="22"/>
              </w:rPr>
            </w:pPr>
            <w:r w:rsidRPr="00315CD2">
              <w:rPr>
                <w:rFonts w:asciiTheme="minorHAnsi" w:hAnsiTheme="minorHAnsi" w:cs="Arial"/>
                <w:sz w:val="22"/>
                <w:szCs w:val="22"/>
              </w:rPr>
              <w:t>Mechanical or pharmacomechanical treatment of deep venous thrombosis does not always achieve adequate thrombus clearance and catheter directed thrombolysis may be required. If endovascular treatment of deep venous thrombosis is undertaken the unit must have ability to offer catheter directed thrombolysis either directly or by referral to local vascular hub.</w:t>
            </w:r>
          </w:p>
          <w:p w14:paraId="585306B5" w14:textId="77777777" w:rsidR="007C2BA7" w:rsidRPr="00315CD2" w:rsidRDefault="007C2BA7" w:rsidP="007C2BA7">
            <w:pPr>
              <w:pStyle w:val="ListParagraph"/>
              <w:rPr>
                <w:rFonts w:asciiTheme="minorHAnsi" w:hAnsiTheme="minorHAnsi" w:cs="Arial"/>
                <w:sz w:val="22"/>
                <w:szCs w:val="22"/>
              </w:rPr>
            </w:pPr>
          </w:p>
          <w:p w14:paraId="343E1312" w14:textId="043544E5" w:rsidR="007C2BA7" w:rsidRPr="00315CD2" w:rsidRDefault="007C2BA7" w:rsidP="007C2BA7">
            <w:pPr>
              <w:pStyle w:val="Tabletext"/>
              <w:rPr>
                <w:rFonts w:asciiTheme="minorHAnsi" w:hAnsiTheme="minorHAnsi"/>
                <w:szCs w:val="22"/>
              </w:rPr>
            </w:pPr>
            <w:bookmarkStart w:id="151" w:name="_Hlk50361259"/>
            <w:r w:rsidRPr="00315CD2">
              <w:rPr>
                <w:rFonts w:asciiTheme="minorHAnsi" w:hAnsiTheme="minorHAnsi" w:cs="Arial"/>
                <w:szCs w:val="22"/>
              </w:rPr>
              <w:t xml:space="preserve">Further, please consider reviewing interventional procedures guidance IPG651 for </w:t>
            </w:r>
            <w:r w:rsidRPr="00315CD2">
              <w:rPr>
                <w:rFonts w:asciiTheme="minorHAnsi" w:hAnsiTheme="minorHAnsi" w:cs="Arial"/>
                <w:szCs w:val="22"/>
              </w:rPr>
              <w:lastRenderedPageBreak/>
              <w:t>inclusion or cross-referencing with NICE guideline NG158.</w:t>
            </w:r>
            <w:bookmarkEnd w:id="150"/>
            <w:bookmarkEnd w:id="151"/>
          </w:p>
        </w:tc>
        <w:tc>
          <w:tcPr>
            <w:tcW w:w="3686" w:type="dxa"/>
          </w:tcPr>
          <w:p w14:paraId="4C6E62BF" w14:textId="0AA0B15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Area of improvement.</w:t>
            </w:r>
          </w:p>
        </w:tc>
        <w:tc>
          <w:tcPr>
            <w:tcW w:w="3474" w:type="dxa"/>
          </w:tcPr>
          <w:p w14:paraId="41CF15A0" w14:textId="51BF967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A significant number of patients with an iliofemoral deep venous thrombosis will go on to develop post thrombotic syndrome. Reference (1): Kahn SR, et al.; American Heart Association Council on Peripheral Vascular Disease, Council on Clinical Cardiology, and Council on Cardiovascular and Stroke Nursing. The post thrombotic syndrome: evidence-based prevention, diagnosis, and treatment strategies: a scientific statement from the American Heart Association. Circulation. 2014;130(18):1636-1661;              reference (2) Silverstein MD, Heit JA, Mohr DN, et al. Trends in the incidence of deep vein thrombosis and pulmonary embolism: a 25-year population-based study. Arch Intern Med 1998;158:585-93     Traditional management used to be medical only (anticoagulation + compression); reference (3): Subgroup analysis of the ATTRACT trial. Comerota AJ, Kearon C, Gu CS, et al. Endovascular Thrombus Removal for Acute Iliofemoral Deep Vein Thrombosis. Circulation. 2019; 139(9):1162-1173;                                      </w:t>
            </w:r>
            <w:r w:rsidRPr="00315CD2">
              <w:rPr>
                <w:rFonts w:asciiTheme="minorHAnsi" w:hAnsiTheme="minorHAnsi" w:cs="Arial"/>
                <w:szCs w:val="22"/>
              </w:rPr>
              <w:lastRenderedPageBreak/>
              <w:t>reference (4): CaVenT trial - Haig et al., Post-thrombotic syndrome after catheter-directed thrombolysis for deep vein thrombosis (CaVenT): 5-year follow-up results of an open-label, randomised controlled trial.  2016; 3(2) e64-e7; reference (5) Anecdotal feedback from healthcare professionals.</w:t>
            </w:r>
          </w:p>
        </w:tc>
      </w:tr>
      <w:tr w:rsidR="007C2BA7" w:rsidRPr="00315CD2" w14:paraId="08A8BDBB" w14:textId="77777777" w:rsidTr="00E52914">
        <w:trPr>
          <w:trHeight w:val="282"/>
        </w:trPr>
        <w:tc>
          <w:tcPr>
            <w:tcW w:w="558" w:type="dxa"/>
          </w:tcPr>
          <w:p w14:paraId="1A7EBE37" w14:textId="143169D7"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77</w:t>
            </w:r>
          </w:p>
        </w:tc>
        <w:tc>
          <w:tcPr>
            <w:tcW w:w="1071" w:type="dxa"/>
          </w:tcPr>
          <w:p w14:paraId="0B540326" w14:textId="3DFC40DA"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NHSEI Patient safety</w:t>
            </w:r>
          </w:p>
        </w:tc>
        <w:tc>
          <w:tcPr>
            <w:tcW w:w="2761" w:type="dxa"/>
            <w:shd w:val="clear" w:color="auto" w:fill="FFFFFF"/>
          </w:tcPr>
          <w:p w14:paraId="31098101" w14:textId="77777777" w:rsidR="007C2BA7" w:rsidRPr="00315CD2" w:rsidRDefault="007C2BA7" w:rsidP="007C2BA7">
            <w:pPr>
              <w:pStyle w:val="Tabletext"/>
              <w:rPr>
                <w:rFonts w:asciiTheme="minorHAnsi" w:hAnsiTheme="minorHAnsi"/>
                <w:szCs w:val="22"/>
              </w:rPr>
            </w:pPr>
          </w:p>
        </w:tc>
        <w:tc>
          <w:tcPr>
            <w:tcW w:w="3118" w:type="dxa"/>
            <w:shd w:val="clear" w:color="auto" w:fill="FFFFFF"/>
          </w:tcPr>
          <w:p w14:paraId="1150BB12"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The new QS will need to be mindful of any special considerations for COVID-19 patients and associated VTE risk (including stroke alongside VTE in COVID-19 patients)</w:t>
            </w:r>
          </w:p>
          <w:p w14:paraId="61256D24" w14:textId="77777777" w:rsidR="007C2BA7" w:rsidRPr="00315CD2" w:rsidRDefault="007C2BA7" w:rsidP="007C2BA7">
            <w:pPr>
              <w:pStyle w:val="TableText1"/>
              <w:rPr>
                <w:rFonts w:asciiTheme="minorHAnsi" w:hAnsiTheme="minorHAnsi" w:cs="Arial"/>
                <w:szCs w:val="22"/>
              </w:rPr>
            </w:pPr>
          </w:p>
          <w:p w14:paraId="73D8E27B"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 xml:space="preserve">The QS needs to acknowledge the challenge that arises from the NICE CG in that there is no validated VTE risk assessment to recommend, as would normally be expected in the field of clinical evidence-based risk assessment, and common practice is to use one published in 2010 that does not fully reflect the current NICE CG recommendations.  </w:t>
            </w:r>
          </w:p>
          <w:p w14:paraId="627571CE" w14:textId="77777777" w:rsidR="007C2BA7" w:rsidRPr="00315CD2" w:rsidRDefault="007C2BA7" w:rsidP="007C2BA7">
            <w:pPr>
              <w:pStyle w:val="TableText1"/>
              <w:rPr>
                <w:rFonts w:asciiTheme="minorHAnsi" w:hAnsiTheme="minorHAnsi" w:cs="Arial"/>
                <w:szCs w:val="22"/>
              </w:rPr>
            </w:pPr>
          </w:p>
          <w:p w14:paraId="54A6BFAE" w14:textId="4E9BE60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There have been some oft-repeated statistics on </w:t>
            </w:r>
            <w:r w:rsidRPr="00315CD2">
              <w:rPr>
                <w:rFonts w:asciiTheme="minorHAnsi" w:hAnsiTheme="minorHAnsi" w:cs="Arial"/>
                <w:szCs w:val="22"/>
              </w:rPr>
              <w:lastRenderedPageBreak/>
              <w:t xml:space="preserve">healthcare-associated VTE deaths without a clear reference trail – note there is good and recent data here </w:t>
            </w:r>
            <w:hyperlink r:id="rId127" w:history="1">
              <w:r w:rsidRPr="00315CD2">
                <w:rPr>
                  <w:rStyle w:val="Hyperlink"/>
                  <w:rFonts w:asciiTheme="minorHAnsi" w:hAnsiTheme="minorHAnsi" w:cs="Arial"/>
                  <w:szCs w:val="22"/>
                </w:rPr>
                <w:t>https://digital.nhs.uk/data-and-information/publications/statistical/nhs-outcomes-framework/may-2020/domain-5-treating-and-caring-for-people-in-a-safe-environment-and-protecting-them-from-avoidable-harm-nof/5-1-deaths-from-venous-thromboembolism-vte-related-events-within-90-days-post-discharge-from-hospital</w:t>
              </w:r>
            </w:hyperlink>
          </w:p>
        </w:tc>
        <w:tc>
          <w:tcPr>
            <w:tcW w:w="3686" w:type="dxa"/>
            <w:shd w:val="clear" w:color="auto" w:fill="FFFFFF"/>
          </w:tcPr>
          <w:p w14:paraId="1C145885" w14:textId="77777777" w:rsidR="007C2BA7" w:rsidRPr="00315CD2" w:rsidRDefault="007C2BA7" w:rsidP="007C2BA7">
            <w:pPr>
              <w:pStyle w:val="Tabletext"/>
              <w:rPr>
                <w:rFonts w:asciiTheme="minorHAnsi" w:hAnsiTheme="minorHAnsi"/>
                <w:szCs w:val="22"/>
              </w:rPr>
            </w:pPr>
          </w:p>
        </w:tc>
        <w:tc>
          <w:tcPr>
            <w:tcW w:w="3474" w:type="dxa"/>
            <w:shd w:val="clear" w:color="auto" w:fill="FFFFFF"/>
          </w:tcPr>
          <w:p w14:paraId="5394A5C8" w14:textId="77777777" w:rsidR="007C2BA7" w:rsidRPr="00315CD2" w:rsidRDefault="007C2BA7" w:rsidP="007C2BA7">
            <w:pPr>
              <w:pStyle w:val="Tabletext"/>
              <w:rPr>
                <w:rFonts w:asciiTheme="minorHAnsi" w:hAnsiTheme="minorHAnsi"/>
                <w:szCs w:val="22"/>
              </w:rPr>
            </w:pPr>
          </w:p>
        </w:tc>
      </w:tr>
      <w:tr w:rsidR="007C2BA7" w:rsidRPr="00315CD2" w14:paraId="7BB306BB" w14:textId="77777777" w:rsidTr="00E52914">
        <w:trPr>
          <w:trHeight w:val="282"/>
        </w:trPr>
        <w:tc>
          <w:tcPr>
            <w:tcW w:w="558" w:type="dxa"/>
          </w:tcPr>
          <w:p w14:paraId="2D735FD2" w14:textId="2F48D7BA"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78</w:t>
            </w:r>
          </w:p>
        </w:tc>
        <w:tc>
          <w:tcPr>
            <w:tcW w:w="1071" w:type="dxa"/>
          </w:tcPr>
          <w:p w14:paraId="3E2FC744" w14:textId="4DD517A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Anticoagulation UK</w:t>
            </w:r>
          </w:p>
        </w:tc>
        <w:tc>
          <w:tcPr>
            <w:tcW w:w="2761" w:type="dxa"/>
          </w:tcPr>
          <w:p w14:paraId="49FC5C96" w14:textId="02F92B7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3</w:t>
            </w:r>
          </w:p>
        </w:tc>
        <w:tc>
          <w:tcPr>
            <w:tcW w:w="3118" w:type="dxa"/>
          </w:tcPr>
          <w:p w14:paraId="7178BB02" w14:textId="2C05979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 1.41 Potential review of anticoagulation therapy to prevent recurrence of further VTE episodes</w:t>
            </w:r>
          </w:p>
        </w:tc>
        <w:tc>
          <w:tcPr>
            <w:tcW w:w="3686" w:type="dxa"/>
          </w:tcPr>
          <w:p w14:paraId="6D94BB58"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COVID-19 will have an increasing  long-term impact on treatment of venous disease patients</w:t>
            </w:r>
          </w:p>
          <w:p w14:paraId="7DE400BF"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 xml:space="preserve">HAT ( hospital acquired thrombosis) is occurring in COVID patients with pro-inflammatory changes in their blood.  Whilst these patients may not require long term anticoagulation, it is uncertain as to whether the risk of VTE will continue once they have </w:t>
            </w:r>
            <w:r w:rsidRPr="00315CD2">
              <w:rPr>
                <w:rFonts w:asciiTheme="minorHAnsi" w:hAnsiTheme="minorHAnsi" w:cs="Arial"/>
                <w:sz w:val="22"/>
                <w:szCs w:val="22"/>
              </w:rPr>
              <w:lastRenderedPageBreak/>
              <w:t>recovered. We suggest that the review of recurrence at the intervals stated must be followed closely with patients being advised to be proactive in reporting any symptoms which may be as a direct result of COVID and potentially could lead to a diagnosis of pulmonary hypertension. Comprehensive patient information around VTE risk post COVID is vital</w:t>
            </w:r>
          </w:p>
          <w:p w14:paraId="3FAB37BC" w14:textId="77777777" w:rsidR="007C2BA7" w:rsidRPr="00315CD2" w:rsidRDefault="007C2BA7" w:rsidP="007C2BA7">
            <w:pPr>
              <w:pStyle w:val="Tabletext"/>
              <w:rPr>
                <w:rFonts w:asciiTheme="minorHAnsi" w:hAnsiTheme="minorHAnsi"/>
                <w:szCs w:val="22"/>
              </w:rPr>
            </w:pPr>
          </w:p>
        </w:tc>
        <w:tc>
          <w:tcPr>
            <w:tcW w:w="3474" w:type="dxa"/>
          </w:tcPr>
          <w:p w14:paraId="2685F274" w14:textId="77777777" w:rsidR="007C2BA7" w:rsidRPr="00315CD2" w:rsidRDefault="007C2BA7" w:rsidP="007C2BA7">
            <w:pPr>
              <w:pStyle w:val="Tabletext"/>
              <w:rPr>
                <w:rFonts w:asciiTheme="minorHAnsi" w:hAnsiTheme="minorHAnsi"/>
                <w:szCs w:val="22"/>
              </w:rPr>
            </w:pPr>
          </w:p>
        </w:tc>
      </w:tr>
      <w:tr w:rsidR="007C2BA7" w:rsidRPr="00315CD2" w14:paraId="1C9D7D6C" w14:textId="77777777" w:rsidTr="00E52914">
        <w:trPr>
          <w:trHeight w:val="282"/>
        </w:trPr>
        <w:tc>
          <w:tcPr>
            <w:tcW w:w="558" w:type="dxa"/>
          </w:tcPr>
          <w:p w14:paraId="563582FC" w14:textId="54C24C62"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7</w:t>
            </w:r>
            <w:r w:rsidR="007C2BA7" w:rsidRPr="00315CD2">
              <w:rPr>
                <w:rFonts w:asciiTheme="minorHAnsi" w:hAnsiTheme="minorHAnsi"/>
                <w:szCs w:val="22"/>
                <w:lang w:eastAsia="en-GB"/>
              </w:rPr>
              <w:t>9</w:t>
            </w:r>
          </w:p>
        </w:tc>
        <w:tc>
          <w:tcPr>
            <w:tcW w:w="1071" w:type="dxa"/>
          </w:tcPr>
          <w:p w14:paraId="5DEEE9E4" w14:textId="2EFDA13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SCM4</w:t>
            </w:r>
          </w:p>
        </w:tc>
        <w:tc>
          <w:tcPr>
            <w:tcW w:w="2761" w:type="dxa"/>
            <w:shd w:val="clear" w:color="auto" w:fill="FFFFFF"/>
          </w:tcPr>
          <w:p w14:paraId="318FC2B2" w14:textId="531F72C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Additional developmental areas of emergent practice</w:t>
            </w:r>
          </w:p>
        </w:tc>
        <w:tc>
          <w:tcPr>
            <w:tcW w:w="3118" w:type="dxa"/>
            <w:shd w:val="clear" w:color="auto" w:fill="FFFFFF"/>
          </w:tcPr>
          <w:p w14:paraId="732CEB98" w14:textId="78824EE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Development of the proposed QS in the light of ongoing management of ‘long’ Covid 19 patients</w:t>
            </w:r>
          </w:p>
        </w:tc>
        <w:tc>
          <w:tcPr>
            <w:tcW w:w="3686" w:type="dxa"/>
            <w:shd w:val="clear" w:color="auto" w:fill="FFFFFF"/>
          </w:tcPr>
          <w:p w14:paraId="1D572A9F" w14:textId="3A199FE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To keep currency /future proof this standard as far as is practicable in the light of present/emerging knowledge and to ensure that good practice is cited at an early stage. </w:t>
            </w:r>
          </w:p>
        </w:tc>
        <w:tc>
          <w:tcPr>
            <w:tcW w:w="3474" w:type="dxa"/>
          </w:tcPr>
          <w:p w14:paraId="340AC7BD" w14:textId="77777777" w:rsidR="007C2BA7" w:rsidRPr="00315CD2" w:rsidRDefault="007C2BA7" w:rsidP="007C2BA7">
            <w:pPr>
              <w:pStyle w:val="Tabletext"/>
              <w:rPr>
                <w:rFonts w:asciiTheme="minorHAnsi" w:hAnsiTheme="minorHAnsi"/>
                <w:szCs w:val="22"/>
              </w:rPr>
            </w:pPr>
          </w:p>
        </w:tc>
      </w:tr>
      <w:tr w:rsidR="007C2BA7" w:rsidRPr="00315CD2" w14:paraId="43ABAE78" w14:textId="77777777" w:rsidTr="00E52914">
        <w:trPr>
          <w:trHeight w:val="282"/>
        </w:trPr>
        <w:tc>
          <w:tcPr>
            <w:tcW w:w="558" w:type="dxa"/>
          </w:tcPr>
          <w:p w14:paraId="068E5659" w14:textId="792AB047"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80</w:t>
            </w:r>
          </w:p>
        </w:tc>
        <w:tc>
          <w:tcPr>
            <w:tcW w:w="1071" w:type="dxa"/>
          </w:tcPr>
          <w:p w14:paraId="1D933587" w14:textId="04182C6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LEO Pharma</w:t>
            </w:r>
          </w:p>
        </w:tc>
        <w:tc>
          <w:tcPr>
            <w:tcW w:w="2761" w:type="dxa"/>
          </w:tcPr>
          <w:p w14:paraId="3379416D" w14:textId="2E6B0EF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Additional developmental areas of emergent practice</w:t>
            </w:r>
          </w:p>
        </w:tc>
        <w:tc>
          <w:tcPr>
            <w:tcW w:w="3118" w:type="dxa"/>
          </w:tcPr>
          <w:p w14:paraId="4DCFD414" w14:textId="5C2A7E2F"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All of the above key areas and their associated Quality Standards should be maintained during the course of the ongoing COVID-19 pandemic or similar emergencies</w:t>
            </w:r>
          </w:p>
        </w:tc>
        <w:tc>
          <w:tcPr>
            <w:tcW w:w="3686" w:type="dxa"/>
          </w:tcPr>
          <w:p w14:paraId="6537CA75"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COVID-19 has impacted the attendance and follow up in hospital of people with cancer.</w:t>
            </w:r>
          </w:p>
          <w:p w14:paraId="285ECE3C"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 xml:space="preserve"> The ISTH has issued recent guidance re things to consider re management of VTE in light of COVID. </w:t>
            </w:r>
            <w:hyperlink r:id="rId128" w:history="1">
              <w:r w:rsidRPr="00315CD2">
                <w:rPr>
                  <w:rStyle w:val="Hyperlink"/>
                  <w:rFonts w:asciiTheme="minorHAnsi" w:hAnsiTheme="minorHAnsi" w:cs="Arial"/>
                  <w:sz w:val="22"/>
                  <w:szCs w:val="22"/>
                </w:rPr>
                <w:t>https://www.isth.org/news/517212/A-Systematic-Approach-for-Managing-Venous-Thromboembolism-in-Patients-with-COVID-19.htm</w:t>
              </w:r>
            </w:hyperlink>
          </w:p>
          <w:p w14:paraId="3907E92B" w14:textId="77777777" w:rsidR="007C2BA7" w:rsidRPr="00315CD2" w:rsidRDefault="007C2BA7" w:rsidP="007C2BA7">
            <w:pPr>
              <w:pStyle w:val="Tabletext"/>
              <w:rPr>
                <w:rFonts w:asciiTheme="minorHAnsi" w:hAnsiTheme="minorHAnsi"/>
                <w:szCs w:val="22"/>
              </w:rPr>
            </w:pPr>
          </w:p>
        </w:tc>
        <w:tc>
          <w:tcPr>
            <w:tcW w:w="3474" w:type="dxa"/>
          </w:tcPr>
          <w:p w14:paraId="7F88F1A8" w14:textId="581AA492" w:rsidR="007C2BA7" w:rsidRPr="00315CD2" w:rsidRDefault="007C2BA7" w:rsidP="007C2BA7">
            <w:pPr>
              <w:pStyle w:val="Tabletext"/>
              <w:rPr>
                <w:rFonts w:asciiTheme="minorHAnsi" w:hAnsiTheme="minorHAnsi"/>
                <w:szCs w:val="22"/>
              </w:rPr>
            </w:pPr>
            <w:r w:rsidRPr="00315CD2">
              <w:rPr>
                <w:rFonts w:asciiTheme="minorHAnsi" w:hAnsiTheme="minorHAnsi" w:cs="Arial"/>
                <w:szCs w:val="22"/>
                <w:u w:val="single"/>
              </w:rPr>
              <w:lastRenderedPageBreak/>
              <w:t>A market intelligence report from IQVIA (commercial in confidence) suggests that treatment protocols in cancer have significantly changed due to practical issues introduced by COVID-19</w:t>
            </w:r>
          </w:p>
        </w:tc>
      </w:tr>
      <w:tr w:rsidR="007C2BA7" w:rsidRPr="00315CD2" w14:paraId="0308169F" w14:textId="77777777" w:rsidTr="00E52914">
        <w:trPr>
          <w:trHeight w:val="282"/>
        </w:trPr>
        <w:tc>
          <w:tcPr>
            <w:tcW w:w="558" w:type="dxa"/>
          </w:tcPr>
          <w:p w14:paraId="6F5F58DF" w14:textId="6CC85FDD"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8</w:t>
            </w:r>
            <w:r w:rsidR="007C2BA7" w:rsidRPr="00315CD2">
              <w:rPr>
                <w:rFonts w:asciiTheme="minorHAnsi" w:hAnsiTheme="minorHAnsi"/>
                <w:szCs w:val="22"/>
                <w:lang w:eastAsia="en-GB"/>
              </w:rPr>
              <w:t>1</w:t>
            </w:r>
          </w:p>
        </w:tc>
        <w:tc>
          <w:tcPr>
            <w:tcW w:w="1071" w:type="dxa"/>
          </w:tcPr>
          <w:p w14:paraId="37E14FBC" w14:textId="1128478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SCM5</w:t>
            </w:r>
          </w:p>
        </w:tc>
        <w:tc>
          <w:tcPr>
            <w:tcW w:w="2761" w:type="dxa"/>
          </w:tcPr>
          <w:p w14:paraId="59BCA85A" w14:textId="514D2C1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Additional </w:t>
            </w:r>
          </w:p>
        </w:tc>
        <w:tc>
          <w:tcPr>
            <w:tcW w:w="3118" w:type="dxa"/>
          </w:tcPr>
          <w:p w14:paraId="18A10F40" w14:textId="77777777" w:rsidR="007C2BA7" w:rsidRPr="00315CD2" w:rsidRDefault="007C2BA7" w:rsidP="007C2BA7">
            <w:pPr>
              <w:rPr>
                <w:rFonts w:asciiTheme="minorHAnsi" w:hAnsiTheme="minorHAnsi" w:cs="Arial"/>
                <w:sz w:val="22"/>
                <w:szCs w:val="22"/>
              </w:rPr>
            </w:pPr>
            <w:r w:rsidRPr="00315CD2">
              <w:rPr>
                <w:rFonts w:asciiTheme="minorHAnsi" w:hAnsiTheme="minorHAnsi" w:cs="Arial"/>
                <w:sz w:val="22"/>
                <w:szCs w:val="22"/>
              </w:rPr>
              <w:t>COVID POINTS:</w:t>
            </w:r>
          </w:p>
          <w:p w14:paraId="75D2DA1F" w14:textId="77777777" w:rsidR="007C2BA7" w:rsidRPr="00315CD2" w:rsidRDefault="007C2BA7" w:rsidP="007C2BA7">
            <w:pPr>
              <w:rPr>
                <w:rFonts w:asciiTheme="minorHAnsi" w:hAnsiTheme="minorHAnsi" w:cs="Arial"/>
                <w:sz w:val="22"/>
                <w:szCs w:val="22"/>
              </w:rPr>
            </w:pPr>
            <w:r w:rsidRPr="00315CD2">
              <w:rPr>
                <w:rFonts w:asciiTheme="minorHAnsi" w:hAnsiTheme="minorHAnsi" w:cs="Arial"/>
                <w:sz w:val="22"/>
                <w:szCs w:val="22"/>
              </w:rPr>
              <w:t>VTE prevention -standard, double dose and therapeutic anticoagulation being used.</w:t>
            </w:r>
          </w:p>
          <w:p w14:paraId="3506C93B" w14:textId="77777777" w:rsidR="007C2BA7" w:rsidRPr="00315CD2" w:rsidRDefault="007C2BA7" w:rsidP="007C2BA7">
            <w:pPr>
              <w:rPr>
                <w:rFonts w:asciiTheme="minorHAnsi" w:hAnsiTheme="minorHAnsi" w:cs="Arial"/>
                <w:sz w:val="22"/>
                <w:szCs w:val="22"/>
              </w:rPr>
            </w:pPr>
          </w:p>
          <w:p w14:paraId="60629A8C" w14:textId="77777777" w:rsidR="007C2BA7" w:rsidRPr="00315CD2" w:rsidRDefault="007C2BA7" w:rsidP="007C2BA7">
            <w:pPr>
              <w:rPr>
                <w:rFonts w:asciiTheme="minorHAnsi" w:hAnsiTheme="minorHAnsi" w:cs="Arial"/>
                <w:sz w:val="22"/>
                <w:szCs w:val="22"/>
              </w:rPr>
            </w:pPr>
            <w:r w:rsidRPr="00315CD2">
              <w:rPr>
                <w:rFonts w:asciiTheme="minorHAnsi" w:hAnsiTheme="minorHAnsi" w:cs="Arial"/>
                <w:sz w:val="22"/>
                <w:szCs w:val="22"/>
              </w:rPr>
              <w:t>D-dimer traditionally used for negative predictive value, during COVID some centres have been using d-dimer levels to stratify intensity of thtomboprophylaxis with anticoagulation.</w:t>
            </w:r>
          </w:p>
          <w:p w14:paraId="41CFDCF4" w14:textId="77777777" w:rsidR="007C2BA7" w:rsidRPr="00315CD2" w:rsidRDefault="007C2BA7" w:rsidP="007C2BA7">
            <w:pPr>
              <w:rPr>
                <w:rFonts w:asciiTheme="minorHAnsi" w:hAnsiTheme="minorHAnsi" w:cs="Arial"/>
                <w:sz w:val="22"/>
                <w:szCs w:val="22"/>
              </w:rPr>
            </w:pPr>
          </w:p>
          <w:p w14:paraId="5E5C4C4A" w14:textId="77777777" w:rsidR="007C2BA7" w:rsidRPr="00315CD2" w:rsidRDefault="007C2BA7" w:rsidP="007C2BA7">
            <w:pPr>
              <w:rPr>
                <w:rFonts w:asciiTheme="minorHAnsi" w:hAnsiTheme="minorHAnsi" w:cs="Arial"/>
                <w:sz w:val="22"/>
                <w:szCs w:val="22"/>
              </w:rPr>
            </w:pPr>
            <w:r w:rsidRPr="00315CD2">
              <w:rPr>
                <w:rFonts w:asciiTheme="minorHAnsi" w:hAnsiTheme="minorHAnsi" w:cs="Arial"/>
                <w:sz w:val="22"/>
                <w:szCs w:val="22"/>
              </w:rPr>
              <w:t>Large increase in VTE patients. Unclear whether. any important difference in COVID-VTE and how this will impact follow up</w:t>
            </w:r>
          </w:p>
          <w:p w14:paraId="15E78FF2" w14:textId="77777777" w:rsidR="007C2BA7" w:rsidRPr="00315CD2" w:rsidRDefault="007C2BA7" w:rsidP="007C2BA7">
            <w:pPr>
              <w:rPr>
                <w:rFonts w:asciiTheme="minorHAnsi" w:hAnsiTheme="minorHAnsi" w:cs="Arial"/>
                <w:sz w:val="22"/>
                <w:szCs w:val="22"/>
              </w:rPr>
            </w:pPr>
          </w:p>
          <w:p w14:paraId="6F8A0151" w14:textId="77777777" w:rsidR="007C2BA7" w:rsidRPr="00315CD2" w:rsidRDefault="007C2BA7" w:rsidP="007C2BA7">
            <w:pPr>
              <w:rPr>
                <w:rFonts w:asciiTheme="minorHAnsi" w:hAnsiTheme="minorHAnsi" w:cs="Arial"/>
                <w:sz w:val="22"/>
                <w:szCs w:val="22"/>
              </w:rPr>
            </w:pPr>
            <w:r w:rsidRPr="00315CD2">
              <w:rPr>
                <w:rFonts w:asciiTheme="minorHAnsi" w:hAnsiTheme="minorHAnsi" w:cs="Arial"/>
                <w:sz w:val="22"/>
                <w:szCs w:val="22"/>
              </w:rPr>
              <w:t>Prospective trials on Thrombosis in COVID slow to start so optimal strategy unclear</w:t>
            </w:r>
          </w:p>
          <w:p w14:paraId="1C61686E" w14:textId="77777777" w:rsidR="007C2BA7" w:rsidRPr="00315CD2" w:rsidRDefault="007C2BA7" w:rsidP="007C2BA7">
            <w:pPr>
              <w:rPr>
                <w:rFonts w:asciiTheme="minorHAnsi" w:hAnsiTheme="minorHAnsi" w:cs="Arial"/>
                <w:sz w:val="22"/>
                <w:szCs w:val="22"/>
              </w:rPr>
            </w:pPr>
            <w:r w:rsidRPr="00315CD2">
              <w:rPr>
                <w:rFonts w:asciiTheme="minorHAnsi" w:hAnsiTheme="minorHAnsi" w:cs="Arial"/>
                <w:sz w:val="22"/>
                <w:szCs w:val="22"/>
              </w:rPr>
              <w:t>Unclear whether post discharge thtomboprophylaxis required.</w:t>
            </w:r>
          </w:p>
          <w:p w14:paraId="5FEFFBEE" w14:textId="77777777" w:rsidR="007C2BA7" w:rsidRPr="00315CD2" w:rsidRDefault="007C2BA7" w:rsidP="007C2BA7">
            <w:pPr>
              <w:rPr>
                <w:rFonts w:asciiTheme="minorHAnsi" w:hAnsiTheme="minorHAnsi" w:cs="Arial"/>
                <w:sz w:val="22"/>
                <w:szCs w:val="22"/>
              </w:rPr>
            </w:pPr>
          </w:p>
          <w:p w14:paraId="14A0CD9A" w14:textId="77777777" w:rsidR="007C2BA7" w:rsidRPr="00315CD2" w:rsidRDefault="007C2BA7" w:rsidP="007C2BA7">
            <w:pPr>
              <w:rPr>
                <w:rFonts w:asciiTheme="minorHAnsi" w:hAnsiTheme="minorHAnsi" w:cs="Arial"/>
                <w:sz w:val="22"/>
                <w:szCs w:val="22"/>
              </w:rPr>
            </w:pPr>
            <w:r w:rsidRPr="00315CD2">
              <w:rPr>
                <w:rFonts w:asciiTheme="minorHAnsi" w:hAnsiTheme="minorHAnsi" w:cs="Arial"/>
                <w:sz w:val="22"/>
                <w:szCs w:val="22"/>
              </w:rPr>
              <w:lastRenderedPageBreak/>
              <w:t>Guidance doesn’t provide for understanding of VTE risk and specific management of COVID-VTE in community or in particular high risk groups in community</w:t>
            </w:r>
          </w:p>
          <w:p w14:paraId="77FC553F" w14:textId="77777777" w:rsidR="007C2BA7" w:rsidRPr="00315CD2" w:rsidRDefault="007C2BA7" w:rsidP="007C2BA7">
            <w:pPr>
              <w:rPr>
                <w:rFonts w:asciiTheme="minorHAnsi" w:hAnsiTheme="minorHAnsi" w:cs="Arial"/>
                <w:sz w:val="22"/>
                <w:szCs w:val="22"/>
              </w:rPr>
            </w:pPr>
          </w:p>
          <w:p w14:paraId="3593625B" w14:textId="265F5CF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Rapid increase in number of patients on anticoagulation due to COVID-VTE. And rapid increase in numbers of patients on DOACs –(eg due to switch from warfarin to DOACs) further safety netting needs to be in place</w:t>
            </w:r>
          </w:p>
        </w:tc>
        <w:tc>
          <w:tcPr>
            <w:tcW w:w="3686" w:type="dxa"/>
          </w:tcPr>
          <w:p w14:paraId="723118D8" w14:textId="77777777" w:rsidR="007C2BA7" w:rsidRPr="00315CD2" w:rsidRDefault="007C2BA7" w:rsidP="007C2BA7">
            <w:pPr>
              <w:pStyle w:val="Tabletext"/>
              <w:rPr>
                <w:rFonts w:asciiTheme="minorHAnsi" w:hAnsiTheme="minorHAnsi"/>
                <w:szCs w:val="22"/>
              </w:rPr>
            </w:pPr>
          </w:p>
        </w:tc>
        <w:tc>
          <w:tcPr>
            <w:tcW w:w="3474" w:type="dxa"/>
          </w:tcPr>
          <w:p w14:paraId="609303DD" w14:textId="77777777" w:rsidR="007C2BA7" w:rsidRPr="00315CD2" w:rsidRDefault="007C2BA7" w:rsidP="007C2BA7">
            <w:pPr>
              <w:pStyle w:val="Tabletext"/>
              <w:rPr>
                <w:rFonts w:asciiTheme="minorHAnsi" w:hAnsiTheme="minorHAnsi"/>
                <w:szCs w:val="22"/>
              </w:rPr>
            </w:pPr>
          </w:p>
        </w:tc>
      </w:tr>
      <w:tr w:rsidR="007C2BA7" w:rsidRPr="00315CD2" w14:paraId="76777EDD" w14:textId="77777777" w:rsidTr="00E52914">
        <w:trPr>
          <w:trHeight w:val="282"/>
        </w:trPr>
        <w:tc>
          <w:tcPr>
            <w:tcW w:w="558" w:type="dxa"/>
          </w:tcPr>
          <w:p w14:paraId="3968B500" w14:textId="07A839C1"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8</w:t>
            </w:r>
            <w:r w:rsidR="007C2BA7" w:rsidRPr="00315CD2">
              <w:rPr>
                <w:rFonts w:asciiTheme="minorHAnsi" w:hAnsiTheme="minorHAnsi"/>
                <w:szCs w:val="22"/>
                <w:lang w:eastAsia="en-GB"/>
              </w:rPr>
              <w:t>2</w:t>
            </w:r>
          </w:p>
        </w:tc>
        <w:tc>
          <w:tcPr>
            <w:tcW w:w="1071" w:type="dxa"/>
          </w:tcPr>
          <w:p w14:paraId="00F488C9" w14:textId="337DDB4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SCM7</w:t>
            </w:r>
          </w:p>
        </w:tc>
        <w:tc>
          <w:tcPr>
            <w:tcW w:w="2761" w:type="dxa"/>
            <w:shd w:val="clear" w:color="auto" w:fill="FFFFFF"/>
          </w:tcPr>
          <w:p w14:paraId="7E51F613" w14:textId="77777777" w:rsidR="007C2BA7" w:rsidRPr="00315CD2" w:rsidRDefault="007C2BA7" w:rsidP="007C2BA7">
            <w:pPr>
              <w:pStyle w:val="TableText1"/>
              <w:rPr>
                <w:rFonts w:asciiTheme="minorHAnsi" w:hAnsiTheme="minorHAnsi" w:cs="Arial"/>
                <w:bCs/>
                <w:szCs w:val="22"/>
              </w:rPr>
            </w:pPr>
            <w:r w:rsidRPr="00315CD2">
              <w:rPr>
                <w:rFonts w:asciiTheme="minorHAnsi" w:hAnsiTheme="minorHAnsi" w:cs="Arial"/>
                <w:bCs/>
                <w:szCs w:val="22"/>
              </w:rPr>
              <w:t>Additional area</w:t>
            </w:r>
          </w:p>
          <w:p w14:paraId="295A3B74" w14:textId="77777777" w:rsidR="007C2BA7" w:rsidRPr="00315CD2" w:rsidRDefault="007C2BA7" w:rsidP="007C2BA7">
            <w:pPr>
              <w:pStyle w:val="TableText1"/>
              <w:rPr>
                <w:rFonts w:asciiTheme="minorHAnsi" w:hAnsiTheme="minorHAnsi" w:cs="Arial"/>
                <w:bCs/>
                <w:szCs w:val="22"/>
              </w:rPr>
            </w:pPr>
          </w:p>
          <w:p w14:paraId="05A7910F" w14:textId="77777777" w:rsidR="007C2BA7" w:rsidRPr="00315CD2" w:rsidRDefault="007C2BA7" w:rsidP="007C2BA7">
            <w:pPr>
              <w:pStyle w:val="TableText1"/>
              <w:rPr>
                <w:rFonts w:asciiTheme="minorHAnsi" w:hAnsiTheme="minorHAnsi" w:cs="Arial"/>
                <w:bCs/>
                <w:szCs w:val="22"/>
              </w:rPr>
            </w:pPr>
            <w:r w:rsidRPr="00315CD2">
              <w:rPr>
                <w:rFonts w:asciiTheme="minorHAnsi" w:hAnsiTheme="minorHAnsi" w:cs="Arial"/>
                <w:bCs/>
                <w:szCs w:val="22"/>
              </w:rPr>
              <w:t xml:space="preserve">The reported effect of COVID on VTE rates and the variable thromboprophylaxis dosing strategies based on D-dimer values, patients weight/renal function and duration of extended thromboprophylaxis.  </w:t>
            </w:r>
          </w:p>
          <w:p w14:paraId="40303AF2" w14:textId="77777777" w:rsidR="007C2BA7" w:rsidRPr="00315CD2" w:rsidRDefault="007C2BA7" w:rsidP="007C2BA7">
            <w:pPr>
              <w:pStyle w:val="Tabletext"/>
              <w:rPr>
                <w:rFonts w:asciiTheme="minorHAnsi" w:hAnsiTheme="minorHAnsi"/>
                <w:szCs w:val="22"/>
              </w:rPr>
            </w:pPr>
          </w:p>
        </w:tc>
        <w:tc>
          <w:tcPr>
            <w:tcW w:w="3118" w:type="dxa"/>
            <w:shd w:val="clear" w:color="auto" w:fill="FFFFFF"/>
          </w:tcPr>
          <w:p w14:paraId="15522B09" w14:textId="77777777" w:rsidR="007C2BA7" w:rsidRPr="00315CD2" w:rsidRDefault="007C2BA7" w:rsidP="007C2BA7">
            <w:pPr>
              <w:pStyle w:val="Tabletext"/>
              <w:rPr>
                <w:rFonts w:asciiTheme="minorHAnsi" w:hAnsiTheme="minorHAnsi"/>
                <w:szCs w:val="22"/>
              </w:rPr>
            </w:pPr>
          </w:p>
        </w:tc>
        <w:tc>
          <w:tcPr>
            <w:tcW w:w="3686" w:type="dxa"/>
            <w:shd w:val="clear" w:color="auto" w:fill="FFFFFF"/>
          </w:tcPr>
          <w:p w14:paraId="0C49C466" w14:textId="77777777" w:rsidR="007C2BA7" w:rsidRPr="00315CD2" w:rsidRDefault="007C2BA7" w:rsidP="007C2BA7">
            <w:pPr>
              <w:pStyle w:val="Tabletext"/>
              <w:rPr>
                <w:rFonts w:asciiTheme="minorHAnsi" w:hAnsiTheme="minorHAnsi"/>
                <w:szCs w:val="22"/>
              </w:rPr>
            </w:pPr>
          </w:p>
        </w:tc>
        <w:tc>
          <w:tcPr>
            <w:tcW w:w="3474" w:type="dxa"/>
            <w:shd w:val="clear" w:color="auto" w:fill="FFFFFF"/>
          </w:tcPr>
          <w:p w14:paraId="05004584" w14:textId="77777777" w:rsidR="007C2BA7" w:rsidRPr="00315CD2" w:rsidRDefault="007C2BA7" w:rsidP="007C2BA7">
            <w:pPr>
              <w:pStyle w:val="Tabletext"/>
              <w:rPr>
                <w:rFonts w:asciiTheme="minorHAnsi" w:hAnsiTheme="minorHAnsi"/>
                <w:szCs w:val="22"/>
              </w:rPr>
            </w:pPr>
          </w:p>
        </w:tc>
      </w:tr>
      <w:tr w:rsidR="007C2BA7" w:rsidRPr="00315CD2" w14:paraId="607798B6" w14:textId="77777777" w:rsidTr="00E52914">
        <w:trPr>
          <w:trHeight w:val="282"/>
        </w:trPr>
        <w:tc>
          <w:tcPr>
            <w:tcW w:w="558" w:type="dxa"/>
          </w:tcPr>
          <w:p w14:paraId="4BC15143" w14:textId="614E2A50"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8</w:t>
            </w:r>
            <w:r w:rsidR="007C2BA7" w:rsidRPr="00315CD2">
              <w:rPr>
                <w:rFonts w:asciiTheme="minorHAnsi" w:hAnsiTheme="minorHAnsi"/>
                <w:szCs w:val="22"/>
                <w:lang w:eastAsia="en-GB"/>
              </w:rPr>
              <w:t>3</w:t>
            </w:r>
          </w:p>
        </w:tc>
        <w:tc>
          <w:tcPr>
            <w:tcW w:w="1071" w:type="dxa"/>
          </w:tcPr>
          <w:p w14:paraId="52575124" w14:textId="08749D9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Anticoagulation UK</w:t>
            </w:r>
          </w:p>
        </w:tc>
        <w:tc>
          <w:tcPr>
            <w:tcW w:w="2761" w:type="dxa"/>
          </w:tcPr>
          <w:p w14:paraId="7AD0B37B" w14:textId="7CCEFCC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4</w:t>
            </w:r>
          </w:p>
        </w:tc>
        <w:tc>
          <w:tcPr>
            <w:tcW w:w="3118" w:type="dxa"/>
          </w:tcPr>
          <w:p w14:paraId="33827AFB" w14:textId="2BC4445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Psychological support for VTE sufferers and COVID 19 affected patients </w:t>
            </w:r>
          </w:p>
        </w:tc>
        <w:tc>
          <w:tcPr>
            <w:tcW w:w="3686" w:type="dxa"/>
          </w:tcPr>
          <w:p w14:paraId="237ECD18"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 xml:space="preserve">There is no recognition or  reference within NG 158 as to available support </w:t>
            </w:r>
            <w:r w:rsidRPr="00315CD2">
              <w:rPr>
                <w:rFonts w:asciiTheme="minorHAnsi" w:hAnsiTheme="minorHAnsi" w:cs="Arial"/>
                <w:sz w:val="22"/>
                <w:szCs w:val="22"/>
              </w:rPr>
              <w:lastRenderedPageBreak/>
              <w:t xml:space="preserve">mechanisms to be offered to patients following VTE. </w:t>
            </w:r>
          </w:p>
          <w:p w14:paraId="2FB4CE6B" w14:textId="528EE57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There has been research undertaken which indicates the impact of VTE and, since COVID 19, there will inevitably be significant challenges for individuals who have recovered from the illness and now have to acknowledge their increased risk of VTE and  potential related vascular problems.</w:t>
            </w:r>
          </w:p>
        </w:tc>
        <w:tc>
          <w:tcPr>
            <w:tcW w:w="3474" w:type="dxa"/>
          </w:tcPr>
          <w:p w14:paraId="4F06C919"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lastRenderedPageBreak/>
              <w:t xml:space="preserve">The review pathway for VTE should include reference to the impact of </w:t>
            </w:r>
            <w:r w:rsidRPr="00315CD2">
              <w:rPr>
                <w:rFonts w:asciiTheme="minorHAnsi" w:hAnsiTheme="minorHAnsi" w:cs="Arial"/>
                <w:sz w:val="22"/>
                <w:szCs w:val="22"/>
              </w:rPr>
              <w:lastRenderedPageBreak/>
              <w:t xml:space="preserve">VTE on patients mental health and physical wellbeing. </w:t>
            </w:r>
          </w:p>
          <w:p w14:paraId="525D9202"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Clinicians responsible for managing anticoagulation therapy should be able to refer/access to support patients who are affected by their diagnosis and ongoing risk of VTE. As a patient organisation, we engage with patients who are clearly affected by a diagnosis and seek external support. We always direct back to their managing clinician but there is an identified need as identified in research below</w:t>
            </w:r>
          </w:p>
          <w:p w14:paraId="6AB72CF7" w14:textId="77777777" w:rsidR="007C2BA7" w:rsidRPr="00315CD2" w:rsidRDefault="007C2BA7" w:rsidP="007C2BA7">
            <w:pPr>
              <w:pStyle w:val="Paragraphnonumbers"/>
              <w:rPr>
                <w:rFonts w:asciiTheme="minorHAnsi" w:hAnsiTheme="minorHAnsi" w:cs="Arial"/>
                <w:color w:val="2F5496"/>
                <w:sz w:val="22"/>
                <w:szCs w:val="22"/>
              </w:rPr>
            </w:pPr>
            <w:r w:rsidRPr="00315CD2">
              <w:rPr>
                <w:rFonts w:asciiTheme="minorHAnsi" w:hAnsiTheme="minorHAnsi" w:cs="Arial"/>
                <w:color w:val="2F5496"/>
                <w:sz w:val="22"/>
                <w:szCs w:val="22"/>
              </w:rPr>
              <w:t>Long-term psychosocial impact of venous thromboembolism: a qualitative study in the community     Rachael Hunter1, Simon Noble2, Sarah Lewis3, Paul Bennett4</w:t>
            </w:r>
          </w:p>
          <w:p w14:paraId="465FB38A" w14:textId="6A6B9928" w:rsidR="007C2BA7" w:rsidRPr="00E52914" w:rsidRDefault="00473E39" w:rsidP="00E52914">
            <w:pPr>
              <w:pStyle w:val="Paragraphnonumbers"/>
              <w:rPr>
                <w:rFonts w:asciiTheme="minorHAnsi" w:hAnsiTheme="minorHAnsi" w:cs="Arial"/>
                <w:sz w:val="22"/>
                <w:szCs w:val="22"/>
              </w:rPr>
            </w:pPr>
            <w:hyperlink r:id="rId129" w:history="1">
              <w:r w:rsidR="007C2BA7" w:rsidRPr="00315CD2">
                <w:rPr>
                  <w:rStyle w:val="Hyperlink"/>
                  <w:rFonts w:asciiTheme="minorHAnsi" w:hAnsiTheme="minorHAnsi" w:cs="Arial"/>
                  <w:sz w:val="22"/>
                  <w:szCs w:val="22"/>
                </w:rPr>
                <w:t>https://bmjopen.bmj.com/content/9/2/e024805</w:t>
              </w:r>
            </w:hyperlink>
          </w:p>
        </w:tc>
      </w:tr>
      <w:tr w:rsidR="007C2BA7" w:rsidRPr="00315CD2" w14:paraId="4C146E8C" w14:textId="77777777" w:rsidTr="00E52914">
        <w:trPr>
          <w:trHeight w:val="282"/>
        </w:trPr>
        <w:tc>
          <w:tcPr>
            <w:tcW w:w="558" w:type="dxa"/>
          </w:tcPr>
          <w:p w14:paraId="4B7991CD" w14:textId="16C9EB87"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8</w:t>
            </w:r>
            <w:r w:rsidR="007C2BA7" w:rsidRPr="00315CD2">
              <w:rPr>
                <w:rFonts w:asciiTheme="minorHAnsi" w:hAnsiTheme="minorHAnsi"/>
                <w:szCs w:val="22"/>
                <w:lang w:eastAsia="en-GB"/>
              </w:rPr>
              <w:t>4</w:t>
            </w:r>
          </w:p>
        </w:tc>
        <w:tc>
          <w:tcPr>
            <w:tcW w:w="1071" w:type="dxa"/>
          </w:tcPr>
          <w:p w14:paraId="11DB508C" w14:textId="70FFDBB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All Party Parliame</w:t>
            </w:r>
            <w:r w:rsidRPr="00315CD2">
              <w:rPr>
                <w:rFonts w:asciiTheme="minorHAnsi" w:hAnsiTheme="minorHAnsi" w:cs="Arial"/>
                <w:szCs w:val="22"/>
              </w:rPr>
              <w:lastRenderedPageBreak/>
              <w:t>ntary Group on Vascular and Venous Disease</w:t>
            </w:r>
          </w:p>
        </w:tc>
        <w:tc>
          <w:tcPr>
            <w:tcW w:w="2761" w:type="dxa"/>
          </w:tcPr>
          <w:p w14:paraId="25ADD3FE" w14:textId="229D8EF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Prevention of venous thromboembolism.</w:t>
            </w:r>
          </w:p>
        </w:tc>
        <w:tc>
          <w:tcPr>
            <w:tcW w:w="3118" w:type="dxa"/>
          </w:tcPr>
          <w:p w14:paraId="18AA758B" w14:textId="11837C1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COVID-19 is a major risk factor for venous thromboembolism. </w:t>
            </w:r>
            <w:r w:rsidRPr="00315CD2">
              <w:rPr>
                <w:rFonts w:asciiTheme="minorHAnsi" w:hAnsiTheme="minorHAnsi" w:cs="Arial"/>
                <w:szCs w:val="22"/>
              </w:rPr>
              <w:lastRenderedPageBreak/>
              <w:t>This may not be typical deep vein thrombosis or pulmonary embolism, but microvascular thrombosis. There needs to be some guidance on venous thromboembolism  risk management for patients who are positive, or who have had recent COVID-19 infection, as this will be a commonly encountered scenario for the foreseeable future.</w:t>
            </w:r>
          </w:p>
        </w:tc>
        <w:tc>
          <w:tcPr>
            <w:tcW w:w="3686" w:type="dxa"/>
          </w:tcPr>
          <w:p w14:paraId="5E6C06CC" w14:textId="7C3B713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Area of unmet need relevant to current public health context.</w:t>
            </w:r>
          </w:p>
        </w:tc>
        <w:tc>
          <w:tcPr>
            <w:tcW w:w="3474" w:type="dxa"/>
          </w:tcPr>
          <w:p w14:paraId="714DADE0" w14:textId="0F72368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Reference (1) Hung et al., Incidence and mortality of pulmonary </w:t>
            </w:r>
            <w:r w:rsidRPr="00315CD2">
              <w:rPr>
                <w:rFonts w:asciiTheme="minorHAnsi" w:hAnsiTheme="minorHAnsi" w:cs="Arial"/>
                <w:szCs w:val="22"/>
              </w:rPr>
              <w:lastRenderedPageBreak/>
              <w:t>embolism in COVID-19: a systematic review and meta-analysis. Critical Care volume 24, Article number: 464 (2020); reference (2) Syropoulos et al., Scientific and Standardization Committee Communication: Clinical guidance on the diagnosis, prevention and treatment of venous thromboembolism in hospitalised patients with COVID-19.  Thrombosis UK. Journal of thrombosis and haemostasis. This article has been accepted for publication and undergone full peer review but is awaiting copy editing; reference (3) Anecdotal feedback from healthcare professionals;</w:t>
            </w:r>
          </w:p>
        </w:tc>
      </w:tr>
      <w:tr w:rsidR="007C2BA7" w:rsidRPr="00315CD2" w14:paraId="6DB79874" w14:textId="77777777" w:rsidTr="00E52914">
        <w:trPr>
          <w:trHeight w:val="282"/>
        </w:trPr>
        <w:tc>
          <w:tcPr>
            <w:tcW w:w="558" w:type="dxa"/>
          </w:tcPr>
          <w:p w14:paraId="573E7415" w14:textId="29592C1D"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8</w:t>
            </w:r>
            <w:r w:rsidR="007C2BA7" w:rsidRPr="00315CD2">
              <w:rPr>
                <w:rFonts w:asciiTheme="minorHAnsi" w:hAnsiTheme="minorHAnsi"/>
                <w:szCs w:val="22"/>
                <w:lang w:eastAsia="en-GB"/>
              </w:rPr>
              <w:t>5</w:t>
            </w:r>
          </w:p>
        </w:tc>
        <w:tc>
          <w:tcPr>
            <w:tcW w:w="1071" w:type="dxa"/>
          </w:tcPr>
          <w:p w14:paraId="11F834A1" w14:textId="2BA3794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Society for Acute Medicine</w:t>
            </w:r>
          </w:p>
        </w:tc>
        <w:tc>
          <w:tcPr>
            <w:tcW w:w="2761" w:type="dxa"/>
          </w:tcPr>
          <w:p w14:paraId="39710352" w14:textId="77777777" w:rsidR="007C2BA7" w:rsidRPr="00315CD2" w:rsidRDefault="007C2BA7" w:rsidP="007C2BA7">
            <w:pPr>
              <w:pStyle w:val="Paragraphnonumbers"/>
              <w:spacing w:after="120"/>
              <w:rPr>
                <w:rFonts w:asciiTheme="minorHAnsi" w:hAnsiTheme="minorHAnsi" w:cs="Arial"/>
                <w:sz w:val="22"/>
                <w:szCs w:val="22"/>
              </w:rPr>
            </w:pPr>
            <w:r w:rsidRPr="00315CD2">
              <w:rPr>
                <w:rFonts w:asciiTheme="minorHAnsi" w:hAnsiTheme="minorHAnsi" w:cs="Arial"/>
                <w:sz w:val="22"/>
                <w:szCs w:val="22"/>
              </w:rPr>
              <w:t>Key area for quality improvement 2</w:t>
            </w:r>
          </w:p>
          <w:p w14:paraId="7A07C6A6" w14:textId="3F9928CC" w:rsidR="007C2BA7" w:rsidRPr="00315CD2" w:rsidRDefault="007C2BA7" w:rsidP="007C2BA7">
            <w:pPr>
              <w:pStyle w:val="Tabletext"/>
              <w:rPr>
                <w:rFonts w:asciiTheme="minorHAnsi" w:hAnsiTheme="minorHAnsi"/>
                <w:szCs w:val="22"/>
              </w:rPr>
            </w:pPr>
            <w:bookmarkStart w:id="152" w:name="_Hlk50473721"/>
            <w:r w:rsidRPr="00315CD2">
              <w:rPr>
                <w:rFonts w:asciiTheme="minorHAnsi" w:hAnsiTheme="minorHAnsi" w:cs="Arial"/>
                <w:szCs w:val="22"/>
              </w:rPr>
              <w:t>Equal access for people often disadvantaged by system (homeless, intravenous drug  users )</w:t>
            </w:r>
            <w:bookmarkEnd w:id="152"/>
          </w:p>
        </w:tc>
        <w:tc>
          <w:tcPr>
            <w:tcW w:w="3118" w:type="dxa"/>
          </w:tcPr>
          <w:p w14:paraId="175CB70F" w14:textId="71BEE2F0" w:rsidR="007C2BA7" w:rsidRPr="00315CD2" w:rsidRDefault="007C2BA7" w:rsidP="007C2BA7">
            <w:pPr>
              <w:pStyle w:val="Tabletext"/>
              <w:rPr>
                <w:rFonts w:asciiTheme="minorHAnsi" w:hAnsiTheme="minorHAnsi"/>
                <w:szCs w:val="22"/>
              </w:rPr>
            </w:pPr>
            <w:bookmarkStart w:id="153" w:name="_Hlk50473692"/>
            <w:r w:rsidRPr="00315CD2">
              <w:rPr>
                <w:rFonts w:asciiTheme="minorHAnsi" w:hAnsiTheme="minorHAnsi" w:cs="Arial"/>
                <w:szCs w:val="22"/>
              </w:rPr>
              <w:t>Patients with some underlying health/social issues do not get treated in the way others may do – esp those with Hx of IVDU not being assessed for SDEC</w:t>
            </w:r>
            <w:bookmarkEnd w:id="153"/>
          </w:p>
        </w:tc>
        <w:tc>
          <w:tcPr>
            <w:tcW w:w="3686" w:type="dxa"/>
          </w:tcPr>
          <w:p w14:paraId="5AE76B87" w14:textId="4315004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We need to reduce inequality of access to best practice</w:t>
            </w:r>
          </w:p>
        </w:tc>
        <w:tc>
          <w:tcPr>
            <w:tcW w:w="3474" w:type="dxa"/>
          </w:tcPr>
          <w:p w14:paraId="7B14F2E8" w14:textId="77777777" w:rsidR="007C2BA7" w:rsidRPr="00315CD2" w:rsidRDefault="007C2BA7" w:rsidP="007C2BA7">
            <w:pPr>
              <w:pStyle w:val="Tabletext"/>
              <w:rPr>
                <w:rFonts w:asciiTheme="minorHAnsi" w:hAnsiTheme="minorHAnsi"/>
                <w:szCs w:val="22"/>
              </w:rPr>
            </w:pPr>
          </w:p>
        </w:tc>
      </w:tr>
      <w:tr w:rsidR="007C2BA7" w:rsidRPr="00315CD2" w14:paraId="2457A7F4" w14:textId="77777777" w:rsidTr="00E52914">
        <w:trPr>
          <w:trHeight w:val="282"/>
        </w:trPr>
        <w:tc>
          <w:tcPr>
            <w:tcW w:w="558" w:type="dxa"/>
          </w:tcPr>
          <w:p w14:paraId="7DBBE62B" w14:textId="1C9F5D8F"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8</w:t>
            </w:r>
            <w:r w:rsidR="007C2BA7" w:rsidRPr="00315CD2">
              <w:rPr>
                <w:rFonts w:asciiTheme="minorHAnsi" w:hAnsiTheme="minorHAnsi"/>
                <w:szCs w:val="22"/>
                <w:lang w:eastAsia="en-GB"/>
              </w:rPr>
              <w:t>6</w:t>
            </w:r>
          </w:p>
        </w:tc>
        <w:tc>
          <w:tcPr>
            <w:tcW w:w="1071" w:type="dxa"/>
          </w:tcPr>
          <w:p w14:paraId="2C7A0A2A" w14:textId="17B99890" w:rsidR="007C2BA7" w:rsidRPr="00315CD2" w:rsidRDefault="007C2BA7" w:rsidP="007C2BA7">
            <w:pPr>
              <w:pStyle w:val="Tabletext"/>
              <w:rPr>
                <w:rFonts w:asciiTheme="minorHAnsi" w:hAnsiTheme="minorHAnsi"/>
                <w:szCs w:val="22"/>
              </w:rPr>
            </w:pPr>
            <w:r w:rsidRPr="00315CD2">
              <w:rPr>
                <w:rFonts w:asciiTheme="minorHAnsi" w:hAnsiTheme="minorHAnsi" w:cs="Arial"/>
                <w:b/>
                <w:szCs w:val="22"/>
              </w:rPr>
              <w:t>SCM1</w:t>
            </w:r>
          </w:p>
        </w:tc>
        <w:tc>
          <w:tcPr>
            <w:tcW w:w="2761" w:type="dxa"/>
          </w:tcPr>
          <w:p w14:paraId="60E4C18D" w14:textId="461E993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4</w:t>
            </w:r>
          </w:p>
        </w:tc>
        <w:tc>
          <w:tcPr>
            <w:tcW w:w="3118" w:type="dxa"/>
          </w:tcPr>
          <w:p w14:paraId="42E22553" w14:textId="1EE7AE3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Offer mental support</w:t>
            </w:r>
          </w:p>
        </w:tc>
        <w:tc>
          <w:tcPr>
            <w:tcW w:w="3686" w:type="dxa"/>
          </w:tcPr>
          <w:p w14:paraId="78BEB897" w14:textId="39133D69" w:rsidR="007C2BA7" w:rsidRPr="00315CD2" w:rsidRDefault="007C2BA7" w:rsidP="007C2BA7">
            <w:pPr>
              <w:pStyle w:val="Tabletext"/>
              <w:rPr>
                <w:rFonts w:asciiTheme="minorHAnsi" w:hAnsiTheme="minorHAnsi"/>
                <w:szCs w:val="22"/>
              </w:rPr>
            </w:pPr>
            <w:bookmarkStart w:id="154" w:name="_Hlk50357251"/>
            <w:r w:rsidRPr="00315CD2">
              <w:rPr>
                <w:rFonts w:asciiTheme="minorHAnsi" w:hAnsiTheme="minorHAnsi" w:cs="Arial"/>
                <w:szCs w:val="22"/>
              </w:rPr>
              <w:t xml:space="preserve">A lot of patients suffer from anxiety after they have developed a VTE. We do not offer adequate support which results in more panic attacks and unnecessary A&amp;E visits. </w:t>
            </w:r>
            <w:bookmarkEnd w:id="154"/>
          </w:p>
        </w:tc>
        <w:tc>
          <w:tcPr>
            <w:tcW w:w="3474" w:type="dxa"/>
          </w:tcPr>
          <w:p w14:paraId="47BC7815" w14:textId="54193B9A" w:rsidR="007C2BA7" w:rsidRPr="00E52914" w:rsidRDefault="007C2BA7" w:rsidP="00E52914">
            <w:pPr>
              <w:pStyle w:val="Paragraphnonumbers"/>
              <w:rPr>
                <w:rFonts w:asciiTheme="minorHAnsi" w:hAnsiTheme="minorHAnsi" w:cs="Arial"/>
                <w:sz w:val="22"/>
                <w:szCs w:val="22"/>
              </w:rPr>
            </w:pPr>
            <w:r w:rsidRPr="00315CD2">
              <w:rPr>
                <w:rFonts w:asciiTheme="minorHAnsi" w:hAnsiTheme="minorHAnsi" w:cs="Arial"/>
                <w:sz w:val="22"/>
                <w:szCs w:val="22"/>
              </w:rPr>
              <w:t>Once again the patient platforms on social media shows us that there is a lack of guidance and support for newly diagnosed VTE patients.</w:t>
            </w:r>
          </w:p>
        </w:tc>
      </w:tr>
      <w:tr w:rsidR="007C2BA7" w:rsidRPr="00315CD2" w14:paraId="7365C1B3" w14:textId="77777777" w:rsidTr="00E52914">
        <w:trPr>
          <w:trHeight w:val="282"/>
        </w:trPr>
        <w:tc>
          <w:tcPr>
            <w:tcW w:w="558" w:type="dxa"/>
          </w:tcPr>
          <w:p w14:paraId="02278CA0" w14:textId="0FAD15AC"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8</w:t>
            </w:r>
            <w:r w:rsidR="007C2BA7" w:rsidRPr="00315CD2">
              <w:rPr>
                <w:rFonts w:asciiTheme="minorHAnsi" w:hAnsiTheme="minorHAnsi"/>
                <w:szCs w:val="22"/>
                <w:lang w:eastAsia="en-GB"/>
              </w:rPr>
              <w:t>7</w:t>
            </w:r>
          </w:p>
        </w:tc>
        <w:tc>
          <w:tcPr>
            <w:tcW w:w="1071" w:type="dxa"/>
          </w:tcPr>
          <w:p w14:paraId="424A8A80" w14:textId="28A1FBE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All Party Parliamentary Group on Vascular and Venous Disease</w:t>
            </w:r>
          </w:p>
        </w:tc>
        <w:tc>
          <w:tcPr>
            <w:tcW w:w="2761" w:type="dxa"/>
          </w:tcPr>
          <w:p w14:paraId="6949DFED" w14:textId="77777777" w:rsidR="007C2BA7" w:rsidRPr="00315CD2" w:rsidRDefault="007C2BA7" w:rsidP="007C2BA7">
            <w:pPr>
              <w:pStyle w:val="ListParagraph"/>
              <w:ind w:left="0"/>
              <w:rPr>
                <w:rFonts w:asciiTheme="minorHAnsi" w:hAnsiTheme="minorHAnsi" w:cs="Arial"/>
                <w:sz w:val="22"/>
                <w:szCs w:val="22"/>
              </w:rPr>
            </w:pPr>
            <w:r w:rsidRPr="00315CD2">
              <w:rPr>
                <w:rFonts w:asciiTheme="minorHAnsi" w:hAnsiTheme="minorHAnsi" w:cs="Arial"/>
                <w:sz w:val="22"/>
                <w:szCs w:val="22"/>
              </w:rPr>
              <w:t>Diagnosis and treatment of venous thromboembolism.</w:t>
            </w:r>
          </w:p>
          <w:p w14:paraId="40B02911" w14:textId="77777777" w:rsidR="007C2BA7" w:rsidRPr="00315CD2" w:rsidRDefault="007C2BA7" w:rsidP="007C2BA7">
            <w:pPr>
              <w:pStyle w:val="Tabletext"/>
              <w:rPr>
                <w:rFonts w:asciiTheme="minorHAnsi" w:hAnsiTheme="minorHAnsi"/>
                <w:szCs w:val="22"/>
              </w:rPr>
            </w:pPr>
          </w:p>
        </w:tc>
        <w:tc>
          <w:tcPr>
            <w:tcW w:w="3118" w:type="dxa"/>
          </w:tcPr>
          <w:p w14:paraId="52206F79" w14:textId="77777777" w:rsidR="007C2BA7" w:rsidRPr="00315CD2" w:rsidRDefault="007C2BA7" w:rsidP="007C2BA7">
            <w:pPr>
              <w:pStyle w:val="ListParagraph"/>
              <w:ind w:left="0"/>
              <w:rPr>
                <w:rFonts w:asciiTheme="minorHAnsi" w:hAnsiTheme="minorHAnsi" w:cs="Arial"/>
                <w:sz w:val="22"/>
                <w:szCs w:val="22"/>
              </w:rPr>
            </w:pPr>
            <w:r w:rsidRPr="00315CD2">
              <w:rPr>
                <w:rFonts w:asciiTheme="minorHAnsi" w:hAnsiTheme="minorHAnsi" w:cs="Arial"/>
                <w:sz w:val="22"/>
                <w:szCs w:val="22"/>
              </w:rPr>
              <w:t>Guidance on the use of D-Dimer for deciding duration of anticoagulation.</w:t>
            </w:r>
          </w:p>
          <w:p w14:paraId="41614FC5" w14:textId="77777777" w:rsidR="007C2BA7" w:rsidRPr="00315CD2" w:rsidRDefault="007C2BA7" w:rsidP="007C2BA7">
            <w:pPr>
              <w:pStyle w:val="ListParagraph"/>
              <w:ind w:left="0"/>
              <w:rPr>
                <w:rFonts w:asciiTheme="minorHAnsi" w:hAnsiTheme="minorHAnsi" w:cs="Arial"/>
                <w:sz w:val="22"/>
                <w:szCs w:val="22"/>
              </w:rPr>
            </w:pPr>
          </w:p>
          <w:p w14:paraId="4D3E1819" w14:textId="77777777" w:rsidR="007C2BA7" w:rsidRPr="00315CD2" w:rsidRDefault="007C2BA7" w:rsidP="007C2BA7">
            <w:pPr>
              <w:pStyle w:val="ListParagraph"/>
              <w:ind w:left="0"/>
              <w:rPr>
                <w:rFonts w:asciiTheme="minorHAnsi" w:hAnsiTheme="minorHAnsi" w:cs="Arial"/>
                <w:sz w:val="22"/>
                <w:szCs w:val="22"/>
              </w:rPr>
            </w:pPr>
          </w:p>
          <w:p w14:paraId="622F679F" w14:textId="77777777" w:rsidR="007C2BA7" w:rsidRPr="00315CD2" w:rsidRDefault="007C2BA7" w:rsidP="007C2BA7">
            <w:pPr>
              <w:pStyle w:val="ListParagraph"/>
              <w:ind w:left="0"/>
              <w:rPr>
                <w:rFonts w:asciiTheme="minorHAnsi" w:hAnsiTheme="minorHAnsi" w:cs="Arial"/>
                <w:sz w:val="22"/>
                <w:szCs w:val="22"/>
              </w:rPr>
            </w:pPr>
          </w:p>
          <w:p w14:paraId="4FA73838" w14:textId="77777777" w:rsidR="007C2BA7" w:rsidRPr="00315CD2" w:rsidRDefault="007C2BA7" w:rsidP="007C2BA7">
            <w:pPr>
              <w:pStyle w:val="ListParagraph"/>
              <w:ind w:left="0"/>
              <w:rPr>
                <w:rFonts w:asciiTheme="minorHAnsi" w:hAnsiTheme="minorHAnsi" w:cs="Arial"/>
                <w:sz w:val="22"/>
                <w:szCs w:val="22"/>
              </w:rPr>
            </w:pPr>
          </w:p>
          <w:p w14:paraId="5D24A70A" w14:textId="77777777" w:rsidR="007C2BA7" w:rsidRPr="00315CD2" w:rsidRDefault="007C2BA7" w:rsidP="007C2BA7">
            <w:pPr>
              <w:pStyle w:val="ListParagraph"/>
              <w:ind w:left="0"/>
              <w:rPr>
                <w:rFonts w:asciiTheme="minorHAnsi" w:hAnsiTheme="minorHAnsi" w:cs="Arial"/>
                <w:sz w:val="22"/>
                <w:szCs w:val="22"/>
              </w:rPr>
            </w:pPr>
          </w:p>
          <w:p w14:paraId="62291DA5" w14:textId="77777777" w:rsidR="007C2BA7" w:rsidRPr="00315CD2" w:rsidRDefault="007C2BA7" w:rsidP="007C2BA7">
            <w:pPr>
              <w:pStyle w:val="ListParagraph"/>
              <w:ind w:left="0"/>
              <w:rPr>
                <w:rFonts w:asciiTheme="minorHAnsi" w:hAnsiTheme="minorHAnsi" w:cs="Arial"/>
                <w:sz w:val="22"/>
                <w:szCs w:val="22"/>
              </w:rPr>
            </w:pPr>
          </w:p>
          <w:p w14:paraId="5E633C2D" w14:textId="77777777" w:rsidR="007C2BA7" w:rsidRPr="00315CD2" w:rsidRDefault="007C2BA7" w:rsidP="007C2BA7">
            <w:pPr>
              <w:pStyle w:val="ListParagraph"/>
              <w:ind w:left="0"/>
              <w:rPr>
                <w:rFonts w:asciiTheme="minorHAnsi" w:hAnsiTheme="minorHAnsi" w:cs="Arial"/>
                <w:sz w:val="22"/>
                <w:szCs w:val="22"/>
              </w:rPr>
            </w:pPr>
          </w:p>
          <w:p w14:paraId="20086025" w14:textId="77777777" w:rsidR="007C2BA7" w:rsidRPr="00315CD2" w:rsidRDefault="007C2BA7" w:rsidP="007C2BA7">
            <w:pPr>
              <w:pStyle w:val="ListParagraph"/>
              <w:ind w:left="0"/>
              <w:rPr>
                <w:rFonts w:asciiTheme="minorHAnsi" w:hAnsiTheme="minorHAnsi" w:cs="Arial"/>
                <w:sz w:val="22"/>
                <w:szCs w:val="22"/>
              </w:rPr>
            </w:pPr>
          </w:p>
          <w:p w14:paraId="7C5D1E17" w14:textId="77777777" w:rsidR="007C2BA7" w:rsidRPr="00315CD2" w:rsidRDefault="007C2BA7" w:rsidP="007C2BA7">
            <w:pPr>
              <w:pStyle w:val="ListParagraph"/>
              <w:ind w:left="0"/>
              <w:rPr>
                <w:rFonts w:asciiTheme="minorHAnsi" w:hAnsiTheme="minorHAnsi" w:cs="Arial"/>
                <w:sz w:val="22"/>
                <w:szCs w:val="22"/>
              </w:rPr>
            </w:pPr>
          </w:p>
          <w:p w14:paraId="1B585078" w14:textId="77777777" w:rsidR="007C2BA7" w:rsidRPr="00315CD2" w:rsidRDefault="007C2BA7" w:rsidP="007C2BA7">
            <w:pPr>
              <w:pStyle w:val="ListParagraph"/>
              <w:ind w:left="0"/>
              <w:rPr>
                <w:rFonts w:asciiTheme="minorHAnsi" w:hAnsiTheme="minorHAnsi" w:cs="Arial"/>
                <w:sz w:val="22"/>
                <w:szCs w:val="22"/>
              </w:rPr>
            </w:pPr>
          </w:p>
          <w:p w14:paraId="2613C5AA" w14:textId="77777777" w:rsidR="007C2BA7" w:rsidRPr="00315CD2" w:rsidRDefault="007C2BA7" w:rsidP="007C2BA7">
            <w:pPr>
              <w:pStyle w:val="ListParagraph"/>
              <w:rPr>
                <w:rFonts w:asciiTheme="minorHAnsi" w:hAnsiTheme="minorHAnsi" w:cs="Arial"/>
                <w:sz w:val="22"/>
                <w:szCs w:val="22"/>
              </w:rPr>
            </w:pPr>
          </w:p>
          <w:p w14:paraId="4124567B" w14:textId="77777777" w:rsidR="007C2BA7" w:rsidRPr="00315CD2" w:rsidRDefault="007C2BA7" w:rsidP="007C2BA7">
            <w:pPr>
              <w:pStyle w:val="Tabletext"/>
              <w:rPr>
                <w:rFonts w:asciiTheme="minorHAnsi" w:hAnsiTheme="minorHAnsi"/>
                <w:szCs w:val="22"/>
              </w:rPr>
            </w:pPr>
          </w:p>
        </w:tc>
        <w:tc>
          <w:tcPr>
            <w:tcW w:w="3686" w:type="dxa"/>
          </w:tcPr>
          <w:p w14:paraId="5F92DBD4" w14:textId="77777777" w:rsidR="007C2BA7" w:rsidRPr="00315CD2" w:rsidRDefault="007C2BA7" w:rsidP="007C2BA7">
            <w:pPr>
              <w:pStyle w:val="ListParagraph"/>
              <w:ind w:left="0"/>
              <w:rPr>
                <w:rFonts w:asciiTheme="minorHAnsi" w:hAnsiTheme="minorHAnsi" w:cs="Arial"/>
                <w:sz w:val="22"/>
                <w:szCs w:val="22"/>
              </w:rPr>
            </w:pPr>
            <w:r w:rsidRPr="00315CD2">
              <w:rPr>
                <w:rFonts w:asciiTheme="minorHAnsi" w:hAnsiTheme="minorHAnsi" w:cs="Arial"/>
                <w:sz w:val="22"/>
                <w:szCs w:val="22"/>
              </w:rPr>
              <w:t>Area of improvement.</w:t>
            </w:r>
          </w:p>
          <w:p w14:paraId="20084263" w14:textId="77777777" w:rsidR="007C2BA7" w:rsidRPr="00315CD2" w:rsidRDefault="007C2BA7" w:rsidP="007C2BA7">
            <w:pPr>
              <w:pStyle w:val="ListParagraph"/>
              <w:ind w:left="360"/>
              <w:rPr>
                <w:rFonts w:asciiTheme="minorHAnsi" w:hAnsiTheme="minorHAnsi" w:cs="Arial"/>
                <w:sz w:val="22"/>
                <w:szCs w:val="22"/>
              </w:rPr>
            </w:pPr>
          </w:p>
          <w:p w14:paraId="77E798CB" w14:textId="77777777" w:rsidR="007C2BA7" w:rsidRPr="00315CD2" w:rsidRDefault="007C2BA7" w:rsidP="007C2BA7">
            <w:pPr>
              <w:rPr>
                <w:rFonts w:asciiTheme="minorHAnsi" w:hAnsiTheme="minorHAnsi" w:cs="Arial"/>
                <w:sz w:val="22"/>
                <w:szCs w:val="22"/>
              </w:rPr>
            </w:pPr>
          </w:p>
          <w:p w14:paraId="2A167657" w14:textId="77777777" w:rsidR="007C2BA7" w:rsidRPr="00315CD2" w:rsidRDefault="007C2BA7" w:rsidP="007C2BA7">
            <w:pPr>
              <w:pStyle w:val="Tabletext"/>
              <w:rPr>
                <w:rFonts w:asciiTheme="minorHAnsi" w:hAnsiTheme="minorHAnsi"/>
                <w:szCs w:val="22"/>
              </w:rPr>
            </w:pPr>
          </w:p>
        </w:tc>
        <w:tc>
          <w:tcPr>
            <w:tcW w:w="3474" w:type="dxa"/>
          </w:tcPr>
          <w:p w14:paraId="3AC6B049" w14:textId="671058F6" w:rsidR="007C2BA7" w:rsidRPr="00E52914" w:rsidRDefault="007C2BA7" w:rsidP="00E52914">
            <w:pPr>
              <w:pStyle w:val="Paragraphnonumbers"/>
              <w:rPr>
                <w:rFonts w:asciiTheme="minorHAnsi" w:hAnsiTheme="minorHAnsi" w:cs="Arial"/>
                <w:sz w:val="22"/>
                <w:szCs w:val="22"/>
              </w:rPr>
            </w:pPr>
            <w:r w:rsidRPr="00315CD2">
              <w:rPr>
                <w:rFonts w:asciiTheme="minorHAnsi" w:hAnsiTheme="minorHAnsi" w:cs="Arial"/>
                <w:sz w:val="22"/>
                <w:szCs w:val="22"/>
              </w:rPr>
              <w:t>The use of serial D-dimer measurement may be of benefit, but further evidence is likely to be needed. The following reference details a subanalysis of the DULCIS trial. Reference (1) Gualtiero P et al., for the DULCIS investigators. Duration of anticoagulation after isolated pulmonary embolism. European Respiratory Journal 2016 47: 1429-1435; reference (2) Anecdotal feedback from healthcare professionals.</w:t>
            </w:r>
          </w:p>
        </w:tc>
      </w:tr>
      <w:tr w:rsidR="007C2BA7" w:rsidRPr="00315CD2" w14:paraId="15C0CADF" w14:textId="77777777" w:rsidTr="00E52914">
        <w:trPr>
          <w:trHeight w:val="282"/>
        </w:trPr>
        <w:tc>
          <w:tcPr>
            <w:tcW w:w="558" w:type="dxa"/>
          </w:tcPr>
          <w:p w14:paraId="6A893A30" w14:textId="7142F8A1"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8</w:t>
            </w:r>
            <w:r w:rsidR="007C2BA7" w:rsidRPr="00315CD2">
              <w:rPr>
                <w:rFonts w:asciiTheme="minorHAnsi" w:hAnsiTheme="minorHAnsi"/>
                <w:szCs w:val="22"/>
                <w:lang w:eastAsia="en-GB"/>
              </w:rPr>
              <w:t>8</w:t>
            </w:r>
          </w:p>
        </w:tc>
        <w:tc>
          <w:tcPr>
            <w:tcW w:w="1071" w:type="dxa"/>
          </w:tcPr>
          <w:p w14:paraId="2D8A212D" w14:textId="77777777" w:rsidR="007C2BA7" w:rsidRPr="00315CD2" w:rsidRDefault="007C2BA7" w:rsidP="007C2BA7">
            <w:pPr>
              <w:pStyle w:val="Tabletext"/>
              <w:rPr>
                <w:rFonts w:asciiTheme="minorHAnsi" w:hAnsiTheme="minorHAnsi"/>
                <w:szCs w:val="22"/>
              </w:rPr>
            </w:pPr>
          </w:p>
        </w:tc>
        <w:tc>
          <w:tcPr>
            <w:tcW w:w="2761" w:type="dxa"/>
            <w:shd w:val="clear" w:color="auto" w:fill="FFFFFF"/>
          </w:tcPr>
          <w:p w14:paraId="272777BE" w14:textId="77777777" w:rsidR="007C2BA7" w:rsidRPr="00315CD2" w:rsidRDefault="007C2BA7" w:rsidP="007C2BA7">
            <w:pPr>
              <w:pStyle w:val="Tabletext"/>
              <w:rPr>
                <w:rFonts w:asciiTheme="minorHAnsi" w:hAnsiTheme="minorHAnsi"/>
                <w:szCs w:val="22"/>
              </w:rPr>
            </w:pPr>
          </w:p>
        </w:tc>
        <w:tc>
          <w:tcPr>
            <w:tcW w:w="3118" w:type="dxa"/>
            <w:shd w:val="clear" w:color="auto" w:fill="FFFFFF"/>
          </w:tcPr>
          <w:p w14:paraId="71581082"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Superficial thrombophlebitis not included within guidance/management</w:t>
            </w:r>
          </w:p>
          <w:p w14:paraId="302976F0" w14:textId="5A7E3E7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Duplex ultrasound of proximal leg only neglects the impact of calf vessel DVT</w:t>
            </w:r>
          </w:p>
        </w:tc>
        <w:tc>
          <w:tcPr>
            <w:tcW w:w="3686" w:type="dxa"/>
            <w:shd w:val="clear" w:color="auto" w:fill="FFFFFF"/>
          </w:tcPr>
          <w:p w14:paraId="41C49088" w14:textId="77777777" w:rsidR="007C2BA7" w:rsidRPr="00315CD2" w:rsidRDefault="007C2BA7" w:rsidP="007C2BA7">
            <w:pPr>
              <w:pStyle w:val="Tabletext"/>
              <w:rPr>
                <w:rFonts w:asciiTheme="minorHAnsi" w:hAnsiTheme="minorHAnsi"/>
                <w:szCs w:val="22"/>
              </w:rPr>
            </w:pPr>
          </w:p>
        </w:tc>
        <w:tc>
          <w:tcPr>
            <w:tcW w:w="3474" w:type="dxa"/>
            <w:shd w:val="clear" w:color="auto" w:fill="FFFFFF"/>
          </w:tcPr>
          <w:p w14:paraId="2CE985DA" w14:textId="77777777" w:rsidR="007C2BA7" w:rsidRPr="00315CD2" w:rsidRDefault="007C2BA7" w:rsidP="007C2BA7">
            <w:pPr>
              <w:pStyle w:val="Tabletext"/>
              <w:rPr>
                <w:rFonts w:asciiTheme="minorHAnsi" w:hAnsiTheme="minorHAnsi"/>
                <w:szCs w:val="22"/>
              </w:rPr>
            </w:pPr>
          </w:p>
        </w:tc>
      </w:tr>
      <w:tr w:rsidR="007C2BA7" w:rsidRPr="00315CD2" w14:paraId="0AC9EEF8" w14:textId="77777777" w:rsidTr="00E52914">
        <w:trPr>
          <w:trHeight w:val="282"/>
        </w:trPr>
        <w:tc>
          <w:tcPr>
            <w:tcW w:w="558" w:type="dxa"/>
          </w:tcPr>
          <w:p w14:paraId="6FF76F37" w14:textId="611C2F87"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8</w:t>
            </w:r>
            <w:r w:rsidR="007C2BA7" w:rsidRPr="00315CD2">
              <w:rPr>
                <w:rFonts w:asciiTheme="minorHAnsi" w:hAnsiTheme="minorHAnsi"/>
                <w:szCs w:val="22"/>
                <w:lang w:eastAsia="en-GB"/>
              </w:rPr>
              <w:t>9</w:t>
            </w:r>
          </w:p>
        </w:tc>
        <w:tc>
          <w:tcPr>
            <w:tcW w:w="1071" w:type="dxa"/>
          </w:tcPr>
          <w:p w14:paraId="027271A4" w14:textId="382F432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University Hospitals Birmingham</w:t>
            </w:r>
          </w:p>
        </w:tc>
        <w:tc>
          <w:tcPr>
            <w:tcW w:w="2761" w:type="dxa"/>
          </w:tcPr>
          <w:p w14:paraId="08302CE7" w14:textId="77777777" w:rsidR="007C2BA7" w:rsidRPr="00315CD2" w:rsidRDefault="007C2BA7" w:rsidP="007C2BA7">
            <w:pPr>
              <w:pStyle w:val="Paragraphnonumbers"/>
              <w:spacing w:after="120"/>
              <w:rPr>
                <w:rFonts w:asciiTheme="minorHAnsi" w:hAnsiTheme="minorHAnsi" w:cs="Arial"/>
                <w:sz w:val="22"/>
                <w:szCs w:val="22"/>
              </w:rPr>
            </w:pPr>
            <w:r w:rsidRPr="00315CD2">
              <w:rPr>
                <w:rFonts w:asciiTheme="minorHAnsi" w:hAnsiTheme="minorHAnsi" w:cs="Arial"/>
                <w:sz w:val="22"/>
                <w:szCs w:val="22"/>
              </w:rPr>
              <w:t>Key area for quality improvement 1</w:t>
            </w:r>
          </w:p>
          <w:p w14:paraId="7B7E6057" w14:textId="3B374574" w:rsidR="007C2BA7" w:rsidRPr="00315CD2" w:rsidRDefault="007C2BA7" w:rsidP="007C2BA7">
            <w:pPr>
              <w:pStyle w:val="Tabletext"/>
              <w:rPr>
                <w:rFonts w:asciiTheme="minorHAnsi" w:hAnsiTheme="minorHAnsi"/>
                <w:szCs w:val="22"/>
              </w:rPr>
            </w:pPr>
            <w:r w:rsidRPr="00315CD2">
              <w:rPr>
                <w:rFonts w:asciiTheme="minorHAnsi" w:hAnsiTheme="minorHAnsi" w:cs="Arial"/>
                <w:b/>
                <w:szCs w:val="22"/>
              </w:rPr>
              <w:t xml:space="preserve">Anticoagulant treatment initiation &amp; follow up for the frail and the elderly </w:t>
            </w:r>
          </w:p>
        </w:tc>
        <w:tc>
          <w:tcPr>
            <w:tcW w:w="3118" w:type="dxa"/>
          </w:tcPr>
          <w:p w14:paraId="52703B12"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 xml:space="preserve">UK population is aging and over the next 30 years the number of people above the age of 90 will triple. Older age is associated with an increased risk of VTE and atrial fibrillation and also with an increased risk of </w:t>
            </w:r>
            <w:r w:rsidRPr="00315CD2">
              <w:rPr>
                <w:rFonts w:asciiTheme="minorHAnsi" w:hAnsiTheme="minorHAnsi" w:cs="Arial"/>
                <w:sz w:val="22"/>
                <w:szCs w:val="22"/>
              </w:rPr>
              <w:lastRenderedPageBreak/>
              <w:t xml:space="preserve">bleeding related to underlying medical problems like falls, dementia, angiodysplasia etc. </w:t>
            </w:r>
          </w:p>
          <w:p w14:paraId="3A42D98D" w14:textId="369709C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Long term anticoagulation is recommended by NICE in AF, unprovoked VTE or when permanent VTE risk factors are present. </w:t>
            </w:r>
          </w:p>
        </w:tc>
        <w:tc>
          <w:tcPr>
            <w:tcW w:w="3686" w:type="dxa"/>
          </w:tcPr>
          <w:p w14:paraId="5B5E7114"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lastRenderedPageBreak/>
              <w:t xml:space="preserve">So far there is no clear guidance how to </w:t>
            </w:r>
            <w:bookmarkStart w:id="155" w:name="_Hlk50304452"/>
            <w:r w:rsidRPr="00315CD2">
              <w:rPr>
                <w:rFonts w:asciiTheme="minorHAnsi" w:hAnsiTheme="minorHAnsi" w:cs="Arial"/>
                <w:sz w:val="22"/>
                <w:szCs w:val="22"/>
              </w:rPr>
              <w:t>initiate/follow up anticoagulation in these patients.</w:t>
            </w:r>
            <w:bookmarkEnd w:id="155"/>
          </w:p>
          <w:p w14:paraId="5124F40A"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 xml:space="preserve">Some of them can’t participate in the decision making process or they are unable to attend clinics. </w:t>
            </w:r>
          </w:p>
          <w:p w14:paraId="11B3136E"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lastRenderedPageBreak/>
              <w:t xml:space="preserve">Frailty is not formally assessed when making decisions about anticoagulation. </w:t>
            </w:r>
          </w:p>
          <w:p w14:paraId="31A0CF04" w14:textId="1DFD16B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Geriatric population is usually undertreated with anticoagulants  </w:t>
            </w:r>
          </w:p>
        </w:tc>
        <w:tc>
          <w:tcPr>
            <w:tcW w:w="3474" w:type="dxa"/>
          </w:tcPr>
          <w:p w14:paraId="115E17D8"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lastRenderedPageBreak/>
              <w:t>Publications:</w:t>
            </w:r>
          </w:p>
          <w:p w14:paraId="61C5825F"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 xml:space="preserve">Madhavan et al. Association of frailty and cognitive impairment with benefits of oral anticoagulation in patients with atrial fibrillation. </w:t>
            </w:r>
            <w:hyperlink r:id="rId130" w:history="1">
              <w:r w:rsidRPr="00315CD2">
                <w:rPr>
                  <w:rStyle w:val="Hyperlink"/>
                  <w:rFonts w:asciiTheme="minorHAnsi" w:hAnsiTheme="minorHAnsi" w:cs="Arial"/>
                  <w:sz w:val="22"/>
                  <w:szCs w:val="22"/>
                </w:rPr>
                <w:t>https://doi.org/10.1016/j.ahj.2019.01.005</w:t>
              </w:r>
            </w:hyperlink>
          </w:p>
          <w:p w14:paraId="107E0D9D" w14:textId="7931C349"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 xml:space="preserve">Induruwa et al. Clinical frailty is independently associated with non-prescription of anticoagulants in older patients with atrial fibrillation. </w:t>
            </w:r>
            <w:hyperlink r:id="rId131" w:history="1">
              <w:r w:rsidRPr="00315CD2">
                <w:rPr>
                  <w:rStyle w:val="Hyperlink"/>
                  <w:rFonts w:asciiTheme="minorHAnsi" w:hAnsiTheme="minorHAnsi" w:cs="Arial"/>
                  <w:sz w:val="22"/>
                  <w:szCs w:val="22"/>
                </w:rPr>
                <w:t>https://doi.org/10.1111/ggi.13058|</w:t>
              </w:r>
            </w:hyperlink>
          </w:p>
          <w:p w14:paraId="0132894D" w14:textId="77777777" w:rsidR="007C2BA7" w:rsidRPr="00315CD2" w:rsidRDefault="007C2BA7" w:rsidP="007C2BA7">
            <w:pPr>
              <w:pStyle w:val="Tabletext"/>
              <w:rPr>
                <w:rFonts w:asciiTheme="minorHAnsi" w:hAnsiTheme="minorHAnsi"/>
                <w:szCs w:val="22"/>
              </w:rPr>
            </w:pPr>
          </w:p>
        </w:tc>
      </w:tr>
      <w:tr w:rsidR="007C2BA7" w:rsidRPr="00315CD2" w14:paraId="01D135FB" w14:textId="77777777" w:rsidTr="00E52914">
        <w:trPr>
          <w:trHeight w:val="282"/>
        </w:trPr>
        <w:tc>
          <w:tcPr>
            <w:tcW w:w="558" w:type="dxa"/>
          </w:tcPr>
          <w:p w14:paraId="7FB08A39" w14:textId="775A7BE1"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9</w:t>
            </w:r>
            <w:r w:rsidR="007C2BA7" w:rsidRPr="00315CD2">
              <w:rPr>
                <w:rFonts w:asciiTheme="minorHAnsi" w:hAnsiTheme="minorHAnsi"/>
                <w:szCs w:val="22"/>
                <w:lang w:eastAsia="en-GB"/>
              </w:rPr>
              <w:t>0</w:t>
            </w:r>
          </w:p>
        </w:tc>
        <w:tc>
          <w:tcPr>
            <w:tcW w:w="1071" w:type="dxa"/>
          </w:tcPr>
          <w:p w14:paraId="32B3B501" w14:textId="4EDD066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All Party Parliamentary Group on Vascular and Venous Disease</w:t>
            </w:r>
          </w:p>
        </w:tc>
        <w:tc>
          <w:tcPr>
            <w:tcW w:w="2761" w:type="dxa"/>
          </w:tcPr>
          <w:p w14:paraId="3333AA6D" w14:textId="104B19A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Prevention of venous thromboembolism.</w:t>
            </w:r>
          </w:p>
        </w:tc>
        <w:tc>
          <w:tcPr>
            <w:tcW w:w="3118" w:type="dxa"/>
          </w:tcPr>
          <w:p w14:paraId="601DE0E0" w14:textId="2C24B22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One area frequently neglected is superficial vein thrombosis (also known as superficial thrombophlebitis). These patients are at significant risk of venous thromboembolism  and a specific section is warranted in any new venous thromboembolism  guidance document.</w:t>
            </w:r>
          </w:p>
        </w:tc>
        <w:tc>
          <w:tcPr>
            <w:tcW w:w="3686" w:type="dxa"/>
          </w:tcPr>
          <w:p w14:paraId="7548E3F0" w14:textId="16D4484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Area of unmet need.</w:t>
            </w:r>
          </w:p>
        </w:tc>
        <w:tc>
          <w:tcPr>
            <w:tcW w:w="3474" w:type="dxa"/>
          </w:tcPr>
          <w:p w14:paraId="085D63FA" w14:textId="68E4D2A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Reference (1) Hoes et al., Incidence of superficial venous thrombosis in primary care and risk of subsequent venous thromboembolic sequelae: a retrospective cohort study performed with routine healthcare data from the Netherlands. BMJ Open 2018; reference (2) Middledrop et al., Treatment for superficial thrombophlebitis of the leg. Cochrane Database Syst Rev 2018 Feb 25; (2); reference (3) Anecdotal feedback from healthcare professionals.</w:t>
            </w:r>
          </w:p>
        </w:tc>
      </w:tr>
      <w:tr w:rsidR="007C2BA7" w:rsidRPr="00315CD2" w14:paraId="16F2312B" w14:textId="77777777" w:rsidTr="00E52914">
        <w:trPr>
          <w:trHeight w:val="282"/>
        </w:trPr>
        <w:tc>
          <w:tcPr>
            <w:tcW w:w="558" w:type="dxa"/>
          </w:tcPr>
          <w:p w14:paraId="7C3A11F8" w14:textId="59B65F11"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9</w:t>
            </w:r>
            <w:r w:rsidR="007C2BA7" w:rsidRPr="00315CD2">
              <w:rPr>
                <w:rFonts w:asciiTheme="minorHAnsi" w:hAnsiTheme="minorHAnsi"/>
                <w:szCs w:val="22"/>
                <w:lang w:eastAsia="en-GB"/>
              </w:rPr>
              <w:t>1</w:t>
            </w:r>
          </w:p>
        </w:tc>
        <w:tc>
          <w:tcPr>
            <w:tcW w:w="1071" w:type="dxa"/>
          </w:tcPr>
          <w:p w14:paraId="5AD04B3B" w14:textId="2D7175B5" w:rsidR="007C2BA7" w:rsidRPr="00315CD2" w:rsidRDefault="007C2BA7" w:rsidP="007C2BA7">
            <w:pPr>
              <w:pStyle w:val="Tabletext"/>
              <w:rPr>
                <w:rFonts w:asciiTheme="minorHAnsi" w:hAnsiTheme="minorHAnsi"/>
                <w:szCs w:val="22"/>
              </w:rPr>
            </w:pPr>
            <w:r w:rsidRPr="00315CD2">
              <w:rPr>
                <w:rFonts w:asciiTheme="minorHAnsi" w:hAnsiTheme="minorHAnsi" w:cs="Arial"/>
                <w:b/>
                <w:szCs w:val="22"/>
              </w:rPr>
              <w:t>SCM1</w:t>
            </w:r>
          </w:p>
        </w:tc>
        <w:tc>
          <w:tcPr>
            <w:tcW w:w="2761" w:type="dxa"/>
          </w:tcPr>
          <w:p w14:paraId="03E30542" w14:textId="74BD66F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5</w:t>
            </w:r>
          </w:p>
        </w:tc>
        <w:tc>
          <w:tcPr>
            <w:tcW w:w="3118" w:type="dxa"/>
          </w:tcPr>
          <w:p w14:paraId="374D5AE4" w14:textId="2123CCC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The NG 158 only applies to PE and legs but the American guideline include upper limbs as </w:t>
            </w:r>
            <w:r w:rsidRPr="00315CD2">
              <w:rPr>
                <w:rFonts w:asciiTheme="minorHAnsi" w:hAnsiTheme="minorHAnsi" w:cs="Arial"/>
                <w:szCs w:val="22"/>
              </w:rPr>
              <w:lastRenderedPageBreak/>
              <w:t xml:space="preserve">well. I think we should reconsider this as the use of pic lines increase the number of upper limb DVT </w:t>
            </w:r>
          </w:p>
        </w:tc>
        <w:tc>
          <w:tcPr>
            <w:tcW w:w="3686" w:type="dxa"/>
          </w:tcPr>
          <w:p w14:paraId="2DA4B339" w14:textId="7573A6D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 xml:space="preserve">Clearer guideline for patients and doctors. Doctors are very aware of dvt in legs but not in arms. I think the </w:t>
            </w:r>
            <w:r w:rsidRPr="00315CD2">
              <w:rPr>
                <w:rFonts w:asciiTheme="minorHAnsi" w:hAnsiTheme="minorHAnsi" w:cs="Arial"/>
                <w:szCs w:val="22"/>
              </w:rPr>
              <w:lastRenderedPageBreak/>
              <w:t>inclusion of this will improve the knowledge for the professional.</w:t>
            </w:r>
          </w:p>
        </w:tc>
        <w:tc>
          <w:tcPr>
            <w:tcW w:w="3474" w:type="dxa"/>
          </w:tcPr>
          <w:p w14:paraId="227C55BE" w14:textId="77777777" w:rsidR="007C2BA7" w:rsidRPr="00315CD2" w:rsidRDefault="007C2BA7" w:rsidP="007C2BA7">
            <w:pPr>
              <w:pStyle w:val="Tabletext"/>
              <w:rPr>
                <w:rFonts w:asciiTheme="minorHAnsi" w:hAnsiTheme="minorHAnsi"/>
                <w:szCs w:val="22"/>
              </w:rPr>
            </w:pPr>
          </w:p>
        </w:tc>
      </w:tr>
      <w:tr w:rsidR="007C2BA7" w:rsidRPr="00315CD2" w14:paraId="60423E38" w14:textId="77777777" w:rsidTr="00E52914">
        <w:trPr>
          <w:trHeight w:val="282"/>
        </w:trPr>
        <w:tc>
          <w:tcPr>
            <w:tcW w:w="558" w:type="dxa"/>
          </w:tcPr>
          <w:p w14:paraId="352846E8" w14:textId="781F0536"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9</w:t>
            </w:r>
            <w:r w:rsidR="007C2BA7" w:rsidRPr="00315CD2">
              <w:rPr>
                <w:rFonts w:asciiTheme="minorHAnsi" w:hAnsiTheme="minorHAnsi"/>
                <w:szCs w:val="22"/>
                <w:lang w:eastAsia="en-GB"/>
              </w:rPr>
              <w:t>2</w:t>
            </w:r>
          </w:p>
        </w:tc>
        <w:tc>
          <w:tcPr>
            <w:tcW w:w="1071" w:type="dxa"/>
          </w:tcPr>
          <w:p w14:paraId="6534EF92" w14:textId="70D54B7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Royal College of Paediatrics and Child Health</w:t>
            </w:r>
          </w:p>
        </w:tc>
        <w:tc>
          <w:tcPr>
            <w:tcW w:w="2761" w:type="dxa"/>
          </w:tcPr>
          <w:p w14:paraId="3AD7A435" w14:textId="41BC224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1: increasing the scope of the QS</w:t>
            </w:r>
          </w:p>
        </w:tc>
        <w:tc>
          <w:tcPr>
            <w:tcW w:w="3118" w:type="dxa"/>
          </w:tcPr>
          <w:p w14:paraId="7DC35BDE" w14:textId="697B5A0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Several studies have shown that post pubertal children, especially those with complex medical needs, are at just as high a VTE risk as the 16-30 year population.</w:t>
            </w:r>
          </w:p>
        </w:tc>
        <w:tc>
          <w:tcPr>
            <w:tcW w:w="3686" w:type="dxa"/>
          </w:tcPr>
          <w:p w14:paraId="4AA852F4" w14:textId="77777777" w:rsidR="007C2BA7" w:rsidRPr="00315CD2" w:rsidRDefault="007C2BA7" w:rsidP="007C2BA7">
            <w:pPr>
              <w:pStyle w:val="Tabletext"/>
              <w:rPr>
                <w:rFonts w:asciiTheme="minorHAnsi" w:hAnsiTheme="minorHAnsi"/>
                <w:szCs w:val="22"/>
              </w:rPr>
            </w:pPr>
          </w:p>
        </w:tc>
        <w:tc>
          <w:tcPr>
            <w:tcW w:w="3474" w:type="dxa"/>
          </w:tcPr>
          <w:p w14:paraId="3683257F" w14:textId="3C3A8C4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There is a strong need for </w:t>
            </w:r>
            <w:bookmarkStart w:id="156" w:name="_Hlk50307249"/>
            <w:r w:rsidRPr="00315CD2">
              <w:rPr>
                <w:rFonts w:asciiTheme="minorHAnsi" w:hAnsiTheme="minorHAnsi" w:cs="Arial"/>
                <w:szCs w:val="22"/>
              </w:rPr>
              <w:t xml:space="preserve">guidance in adolescent patients </w:t>
            </w:r>
            <w:bookmarkEnd w:id="156"/>
            <w:r w:rsidRPr="00315CD2">
              <w:rPr>
                <w:rFonts w:asciiTheme="minorHAnsi" w:hAnsiTheme="minorHAnsi" w:cs="Arial"/>
                <w:szCs w:val="22"/>
              </w:rPr>
              <w:t xml:space="preserve">and not just those over 16 years. </w:t>
            </w:r>
          </w:p>
        </w:tc>
      </w:tr>
      <w:tr w:rsidR="007C2BA7" w:rsidRPr="00315CD2" w14:paraId="1DCE01F8" w14:textId="77777777" w:rsidTr="00E52914">
        <w:trPr>
          <w:trHeight w:val="282"/>
        </w:trPr>
        <w:tc>
          <w:tcPr>
            <w:tcW w:w="558" w:type="dxa"/>
          </w:tcPr>
          <w:p w14:paraId="5C7B52AC" w14:textId="50A6BFA7"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9</w:t>
            </w:r>
            <w:r w:rsidR="007C2BA7" w:rsidRPr="00315CD2">
              <w:rPr>
                <w:rFonts w:asciiTheme="minorHAnsi" w:hAnsiTheme="minorHAnsi"/>
                <w:szCs w:val="22"/>
                <w:lang w:eastAsia="en-GB"/>
              </w:rPr>
              <w:t>3</w:t>
            </w:r>
          </w:p>
        </w:tc>
        <w:tc>
          <w:tcPr>
            <w:tcW w:w="1071" w:type="dxa"/>
          </w:tcPr>
          <w:p w14:paraId="021F829B" w14:textId="2D24345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British Society of Interventional Radiology</w:t>
            </w:r>
          </w:p>
        </w:tc>
        <w:tc>
          <w:tcPr>
            <w:tcW w:w="2761" w:type="dxa"/>
          </w:tcPr>
          <w:p w14:paraId="0DE219ED" w14:textId="60F7EDE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4</w:t>
            </w:r>
          </w:p>
        </w:tc>
        <w:tc>
          <w:tcPr>
            <w:tcW w:w="3118" w:type="dxa"/>
          </w:tcPr>
          <w:p w14:paraId="3609539F" w14:textId="226F898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Early management and rehabilitation for active young people diagnosed with acute DVT</w:t>
            </w:r>
          </w:p>
        </w:tc>
        <w:tc>
          <w:tcPr>
            <w:tcW w:w="3686" w:type="dxa"/>
          </w:tcPr>
          <w:p w14:paraId="1ED9BFEC" w14:textId="2BFB86C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These patients are often active members of society and taxpayers. Thus, early return to ‘normal’ life is crucial.  </w:t>
            </w:r>
          </w:p>
        </w:tc>
        <w:tc>
          <w:tcPr>
            <w:tcW w:w="3474" w:type="dxa"/>
          </w:tcPr>
          <w:p w14:paraId="22A48D50" w14:textId="6B6EB43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Clear pathways should be put in place to ensure these patients are managed and able to return to work. The ‘leave alone till chronic’ approach I don’t believe is beneficial for such groups and the QoL scores are enough to suggest as push to treat active young people if diagnosed within the first two weeks to remove the clot and underlying cause.  </w:t>
            </w:r>
          </w:p>
        </w:tc>
      </w:tr>
      <w:tr w:rsidR="007C2BA7" w:rsidRPr="00315CD2" w14:paraId="14CC4CF8" w14:textId="77777777" w:rsidTr="00E52914">
        <w:trPr>
          <w:trHeight w:val="282"/>
        </w:trPr>
        <w:tc>
          <w:tcPr>
            <w:tcW w:w="558" w:type="dxa"/>
          </w:tcPr>
          <w:p w14:paraId="5FFBD9DB" w14:textId="73BC6E59"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9</w:t>
            </w:r>
            <w:r w:rsidR="007C2BA7" w:rsidRPr="00315CD2">
              <w:rPr>
                <w:rFonts w:asciiTheme="minorHAnsi" w:hAnsiTheme="minorHAnsi"/>
                <w:szCs w:val="22"/>
                <w:lang w:eastAsia="en-GB"/>
              </w:rPr>
              <w:t>4</w:t>
            </w:r>
          </w:p>
        </w:tc>
        <w:tc>
          <w:tcPr>
            <w:tcW w:w="1071" w:type="dxa"/>
          </w:tcPr>
          <w:p w14:paraId="5BE19F1E" w14:textId="1103C09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British Thoracic Society</w:t>
            </w:r>
          </w:p>
        </w:tc>
        <w:tc>
          <w:tcPr>
            <w:tcW w:w="2761" w:type="dxa"/>
          </w:tcPr>
          <w:p w14:paraId="79A225B3" w14:textId="57FF9C2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Additional </w:t>
            </w:r>
            <w:bookmarkStart w:id="157" w:name="_Hlk50472474"/>
            <w:r w:rsidRPr="00315CD2">
              <w:rPr>
                <w:rFonts w:asciiTheme="minorHAnsi" w:hAnsiTheme="minorHAnsi" w:cs="Arial"/>
                <w:szCs w:val="22"/>
              </w:rPr>
              <w:t>developmental areas of emergent practice</w:t>
            </w:r>
            <w:bookmarkEnd w:id="157"/>
          </w:p>
        </w:tc>
        <w:tc>
          <w:tcPr>
            <w:tcW w:w="3118" w:type="dxa"/>
          </w:tcPr>
          <w:p w14:paraId="5C8D4221" w14:textId="041621F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Access to more complex therapies (including catheter-directed therapy, surgery and ECMO)</w:t>
            </w:r>
          </w:p>
        </w:tc>
        <w:tc>
          <w:tcPr>
            <w:tcW w:w="3686" w:type="dxa"/>
          </w:tcPr>
          <w:p w14:paraId="322EE0CD" w14:textId="77777777" w:rsidR="007C2BA7" w:rsidRPr="00315CD2" w:rsidRDefault="007C2BA7" w:rsidP="007C2BA7">
            <w:pPr>
              <w:pStyle w:val="Tabletext"/>
              <w:rPr>
                <w:rFonts w:asciiTheme="minorHAnsi" w:hAnsiTheme="minorHAnsi"/>
                <w:szCs w:val="22"/>
              </w:rPr>
            </w:pPr>
          </w:p>
        </w:tc>
        <w:tc>
          <w:tcPr>
            <w:tcW w:w="3474" w:type="dxa"/>
          </w:tcPr>
          <w:p w14:paraId="4B72F921" w14:textId="77777777" w:rsidR="007C2BA7" w:rsidRPr="00315CD2" w:rsidRDefault="007C2BA7" w:rsidP="007C2BA7">
            <w:pPr>
              <w:pStyle w:val="Tabletext"/>
              <w:rPr>
                <w:rFonts w:asciiTheme="minorHAnsi" w:hAnsiTheme="minorHAnsi"/>
                <w:szCs w:val="22"/>
              </w:rPr>
            </w:pPr>
          </w:p>
        </w:tc>
      </w:tr>
      <w:tr w:rsidR="007C2BA7" w:rsidRPr="00315CD2" w14:paraId="59BE4DA2" w14:textId="77777777" w:rsidTr="00E52914">
        <w:trPr>
          <w:trHeight w:val="282"/>
        </w:trPr>
        <w:tc>
          <w:tcPr>
            <w:tcW w:w="558" w:type="dxa"/>
          </w:tcPr>
          <w:p w14:paraId="6966DD72" w14:textId="485CEC28"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9</w:t>
            </w:r>
            <w:r w:rsidR="007C2BA7" w:rsidRPr="00315CD2">
              <w:rPr>
                <w:rFonts w:asciiTheme="minorHAnsi" w:hAnsiTheme="minorHAnsi"/>
                <w:szCs w:val="22"/>
                <w:lang w:eastAsia="en-GB"/>
              </w:rPr>
              <w:t>5</w:t>
            </w:r>
          </w:p>
        </w:tc>
        <w:tc>
          <w:tcPr>
            <w:tcW w:w="1071" w:type="dxa"/>
          </w:tcPr>
          <w:p w14:paraId="2A4A5CF8" w14:textId="6022CBF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All Party Parliamentary Group on </w:t>
            </w:r>
            <w:r w:rsidRPr="00315CD2">
              <w:rPr>
                <w:rFonts w:asciiTheme="minorHAnsi" w:hAnsiTheme="minorHAnsi" w:cs="Arial"/>
                <w:szCs w:val="22"/>
              </w:rPr>
              <w:lastRenderedPageBreak/>
              <w:t>Vascular and Venous Disease</w:t>
            </w:r>
          </w:p>
        </w:tc>
        <w:tc>
          <w:tcPr>
            <w:tcW w:w="2761" w:type="dxa"/>
          </w:tcPr>
          <w:p w14:paraId="31F88406" w14:textId="77777777" w:rsidR="007C2BA7" w:rsidRPr="00315CD2" w:rsidRDefault="007C2BA7" w:rsidP="007C2BA7">
            <w:pPr>
              <w:pStyle w:val="ListParagraph"/>
              <w:ind w:left="0"/>
              <w:rPr>
                <w:rFonts w:asciiTheme="minorHAnsi" w:hAnsiTheme="minorHAnsi" w:cs="Arial"/>
                <w:sz w:val="22"/>
                <w:szCs w:val="22"/>
              </w:rPr>
            </w:pPr>
            <w:r w:rsidRPr="00315CD2">
              <w:rPr>
                <w:rFonts w:asciiTheme="minorHAnsi" w:hAnsiTheme="minorHAnsi" w:cs="Arial"/>
                <w:sz w:val="22"/>
                <w:szCs w:val="22"/>
              </w:rPr>
              <w:lastRenderedPageBreak/>
              <w:t>Post venous thromboembolism  management.</w:t>
            </w:r>
          </w:p>
          <w:p w14:paraId="01DD67EB" w14:textId="77777777" w:rsidR="007C2BA7" w:rsidRPr="00315CD2" w:rsidRDefault="007C2BA7" w:rsidP="007C2BA7">
            <w:pPr>
              <w:pStyle w:val="Tabletext"/>
              <w:rPr>
                <w:rFonts w:asciiTheme="minorHAnsi" w:hAnsiTheme="minorHAnsi"/>
                <w:szCs w:val="22"/>
              </w:rPr>
            </w:pPr>
          </w:p>
        </w:tc>
        <w:tc>
          <w:tcPr>
            <w:tcW w:w="3118" w:type="dxa"/>
          </w:tcPr>
          <w:p w14:paraId="25E86356" w14:textId="25EDAF3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Post thrombotic syndrome as an important complication of deep vein thrombosis, with potentially life-long impact on </w:t>
            </w:r>
            <w:r w:rsidRPr="00315CD2">
              <w:rPr>
                <w:rFonts w:asciiTheme="minorHAnsi" w:hAnsiTheme="minorHAnsi" w:cs="Arial"/>
                <w:szCs w:val="22"/>
              </w:rPr>
              <w:lastRenderedPageBreak/>
              <w:t xml:space="preserve">patients quality of life.  Symptoms range from pain and swelling to ulceration. At present, there is little guidance for patients or healthcare staff on follow-up for post-thrombotic syndrome. Endovascular treatment has been shown to be an effective treatment option in appropriately selected patients.   Effective management requires a multi-disciplinary approach with robust follow-up protocols.  </w:t>
            </w:r>
          </w:p>
        </w:tc>
        <w:tc>
          <w:tcPr>
            <w:tcW w:w="3686" w:type="dxa"/>
          </w:tcPr>
          <w:p w14:paraId="5F37A03A" w14:textId="2A67FDC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 xml:space="preserve">Area of improvement. Significant geographical variability in patient assessment and availability of treatment for patients with post </w:t>
            </w:r>
            <w:r w:rsidRPr="00315CD2">
              <w:rPr>
                <w:rFonts w:asciiTheme="minorHAnsi" w:hAnsiTheme="minorHAnsi" w:cs="Arial"/>
                <w:szCs w:val="22"/>
              </w:rPr>
              <w:lastRenderedPageBreak/>
              <w:t xml:space="preserve">thrombotic syndrome, which needs to addressed.      </w:t>
            </w:r>
          </w:p>
        </w:tc>
        <w:tc>
          <w:tcPr>
            <w:tcW w:w="3474" w:type="dxa"/>
          </w:tcPr>
          <w:p w14:paraId="740AB492" w14:textId="727F1CC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 xml:space="preserve">Reference (1): Kahn SR et al., American Heart Association Council on Peripheral Vascular Disease, Council on Clinical Cardiology, and </w:t>
            </w:r>
            <w:r w:rsidRPr="00315CD2">
              <w:rPr>
                <w:rFonts w:asciiTheme="minorHAnsi" w:hAnsiTheme="minorHAnsi" w:cs="Arial"/>
                <w:szCs w:val="22"/>
              </w:rPr>
              <w:lastRenderedPageBreak/>
              <w:t>Council on Cardiovascular and Stroke Nursing. The post-thrombotic syndrome: evidence-based prevention, diagnosis, and treatment strategies: a scientific statement from the American Heart Association. Circulation. 2014;130(18):1636-1661;                                   reference (2): Lichtenberg MKW et al., Venovo venous stent for treatment of non-thrombotic or post-thrombotic iliac vein lesions - long-term efficacy and safety results from the Arnsberg venous registry [published online ahead of print, 2020 Jul 22. Vasa.2020;1-7;                           reference (3): Black S et al., Two Year Outcome After Chronic Iliac Vein Occlusion Recanalisation Using the Vici Venous Stent®. Eur J Vasc Endovasc Surg. 2018;56(5):710-718;                reference (4) Anecdotal feedback from healthcare professionals.</w:t>
            </w:r>
          </w:p>
        </w:tc>
      </w:tr>
      <w:tr w:rsidR="007C2BA7" w:rsidRPr="00315CD2" w14:paraId="3C25B669" w14:textId="77777777" w:rsidTr="00E52914">
        <w:trPr>
          <w:trHeight w:val="282"/>
        </w:trPr>
        <w:tc>
          <w:tcPr>
            <w:tcW w:w="558" w:type="dxa"/>
          </w:tcPr>
          <w:p w14:paraId="1D4A79CC" w14:textId="0E95D85F"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9</w:t>
            </w:r>
            <w:r w:rsidR="007C2BA7" w:rsidRPr="00315CD2">
              <w:rPr>
                <w:rFonts w:asciiTheme="minorHAnsi" w:hAnsiTheme="minorHAnsi"/>
                <w:szCs w:val="22"/>
                <w:lang w:eastAsia="en-GB"/>
              </w:rPr>
              <w:t>6</w:t>
            </w:r>
          </w:p>
        </w:tc>
        <w:tc>
          <w:tcPr>
            <w:tcW w:w="1071" w:type="dxa"/>
          </w:tcPr>
          <w:p w14:paraId="4D2F4A2B" w14:textId="11809AB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British Society of Interventional Radiology</w:t>
            </w:r>
          </w:p>
        </w:tc>
        <w:tc>
          <w:tcPr>
            <w:tcW w:w="2761" w:type="dxa"/>
          </w:tcPr>
          <w:p w14:paraId="2A3D4344" w14:textId="0DBC722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1</w:t>
            </w:r>
          </w:p>
        </w:tc>
        <w:tc>
          <w:tcPr>
            <w:tcW w:w="3118" w:type="dxa"/>
          </w:tcPr>
          <w:p w14:paraId="0B4A53E9" w14:textId="11748FA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Clear pathway for the management of acute and chronic DVT</w:t>
            </w:r>
          </w:p>
        </w:tc>
        <w:tc>
          <w:tcPr>
            <w:tcW w:w="3686" w:type="dxa"/>
          </w:tcPr>
          <w:p w14:paraId="3D81BAB5" w14:textId="3FB6A2D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Both cases are seen, though chronic is more common in particular acute on chronic. Pathways should be developed so. Young patients with acute. DVT under 2 weeks receive adequate management and </w:t>
            </w:r>
            <w:r w:rsidRPr="00315CD2">
              <w:rPr>
                <w:rFonts w:asciiTheme="minorHAnsi" w:hAnsiTheme="minorHAnsi" w:cs="Arial"/>
                <w:szCs w:val="22"/>
              </w:rPr>
              <w:lastRenderedPageBreak/>
              <w:t xml:space="preserve">treatment, and not left till it becomes chronic. </w:t>
            </w:r>
          </w:p>
        </w:tc>
        <w:tc>
          <w:tcPr>
            <w:tcW w:w="3474" w:type="dxa"/>
          </w:tcPr>
          <w:p w14:paraId="5C9241BC"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lastRenderedPageBreak/>
              <w:t xml:space="preserve">Hospital sites deemed as vascular centres or DVT treatment centres should have in place clear pathways for both acute and chronic DVT (Upper and lower limb). </w:t>
            </w:r>
          </w:p>
          <w:p w14:paraId="34E479E9" w14:textId="71F0C08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 xml:space="preserve">Clinical Governance, trials/research/Audits must also be kept up to date and sites must demonstrate that they continue to follow the latest evidence base medicine rather than what they may feel has worked for them. </w:t>
            </w:r>
          </w:p>
        </w:tc>
      </w:tr>
      <w:tr w:rsidR="007C2BA7" w:rsidRPr="00315CD2" w14:paraId="772F1770" w14:textId="77777777" w:rsidTr="00E52914">
        <w:trPr>
          <w:trHeight w:val="282"/>
        </w:trPr>
        <w:tc>
          <w:tcPr>
            <w:tcW w:w="558" w:type="dxa"/>
          </w:tcPr>
          <w:p w14:paraId="5593E872" w14:textId="5B86F801"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lastRenderedPageBreak/>
              <w:t>9</w:t>
            </w:r>
            <w:r w:rsidR="007C2BA7" w:rsidRPr="00315CD2">
              <w:rPr>
                <w:rFonts w:asciiTheme="minorHAnsi" w:hAnsiTheme="minorHAnsi"/>
                <w:szCs w:val="22"/>
                <w:lang w:eastAsia="en-GB"/>
              </w:rPr>
              <w:t>7</w:t>
            </w:r>
          </w:p>
        </w:tc>
        <w:tc>
          <w:tcPr>
            <w:tcW w:w="1071" w:type="dxa"/>
          </w:tcPr>
          <w:p w14:paraId="26494890" w14:textId="3C1614B1" w:rsidR="007C2BA7" w:rsidRPr="00315CD2" w:rsidRDefault="007C2BA7" w:rsidP="007C2BA7">
            <w:pPr>
              <w:pStyle w:val="Tabletext"/>
              <w:rPr>
                <w:rFonts w:asciiTheme="minorHAnsi" w:hAnsiTheme="minorHAnsi"/>
                <w:szCs w:val="22"/>
              </w:rPr>
            </w:pPr>
            <w:r w:rsidRPr="00315CD2">
              <w:rPr>
                <w:rFonts w:asciiTheme="minorHAnsi" w:hAnsiTheme="minorHAnsi" w:cs="Arial"/>
                <w:b/>
                <w:bCs/>
                <w:szCs w:val="22"/>
              </w:rPr>
              <w:t>SCM2</w:t>
            </w:r>
          </w:p>
        </w:tc>
        <w:tc>
          <w:tcPr>
            <w:tcW w:w="2761" w:type="dxa"/>
            <w:shd w:val="clear" w:color="auto" w:fill="FFFFFF"/>
          </w:tcPr>
          <w:p w14:paraId="64718C69" w14:textId="36249FA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Coordination of key VTE services</w:t>
            </w:r>
          </w:p>
        </w:tc>
        <w:tc>
          <w:tcPr>
            <w:tcW w:w="3118" w:type="dxa"/>
            <w:shd w:val="clear" w:color="auto" w:fill="FFFFFF"/>
          </w:tcPr>
          <w:p w14:paraId="732478A6" w14:textId="360D528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Recommendations for diagnosis, treatment and longer term management potentially involve multiple services across primary and secondary care. Services should be coordinated in order to effectively and efficiently deliver care and manage this condition. </w:t>
            </w:r>
          </w:p>
        </w:tc>
        <w:tc>
          <w:tcPr>
            <w:tcW w:w="3686" w:type="dxa"/>
            <w:shd w:val="clear" w:color="auto" w:fill="FFFFFF"/>
          </w:tcPr>
          <w:p w14:paraId="593576B5" w14:textId="38232FB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Pathways of care that span multiple services, professionals and care providers contain risk of variation in practice and disjointed care. Overarching patient safety issue.</w:t>
            </w:r>
          </w:p>
        </w:tc>
        <w:tc>
          <w:tcPr>
            <w:tcW w:w="3474" w:type="dxa"/>
            <w:shd w:val="clear" w:color="auto" w:fill="FFFFFF"/>
          </w:tcPr>
          <w:p w14:paraId="7317E813" w14:textId="38E9C423" w:rsidR="007C2BA7" w:rsidRPr="00315CD2" w:rsidRDefault="007C2BA7" w:rsidP="007C2BA7">
            <w:pPr>
              <w:pStyle w:val="Tabletext"/>
              <w:rPr>
                <w:rFonts w:asciiTheme="minorHAnsi" w:hAnsiTheme="minorHAnsi"/>
                <w:szCs w:val="22"/>
              </w:rPr>
            </w:pPr>
            <w:r w:rsidRPr="00315CD2">
              <w:rPr>
                <w:rFonts w:asciiTheme="minorHAnsi" w:hAnsiTheme="minorHAnsi" w:cs="Arial"/>
                <w:szCs w:val="22"/>
                <w:shd w:val="clear" w:color="auto" w:fill="FAFAFB"/>
              </w:rPr>
              <w:t>Linked to Standard 3 – Patients experience in adult NHS services (QS15): “People using adult NHS services should experience coordinated care with clear and accurate information exchange between relevant health and social care professionals.”</w:t>
            </w:r>
          </w:p>
        </w:tc>
      </w:tr>
      <w:tr w:rsidR="007C2BA7" w:rsidRPr="00315CD2" w14:paraId="31251B41" w14:textId="77777777" w:rsidTr="00E52914">
        <w:trPr>
          <w:trHeight w:val="282"/>
        </w:trPr>
        <w:tc>
          <w:tcPr>
            <w:tcW w:w="558" w:type="dxa"/>
          </w:tcPr>
          <w:p w14:paraId="0FA404BE" w14:textId="1762C317"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9</w:t>
            </w:r>
            <w:r w:rsidR="007C2BA7" w:rsidRPr="00315CD2">
              <w:rPr>
                <w:rFonts w:asciiTheme="minorHAnsi" w:hAnsiTheme="minorHAnsi"/>
                <w:szCs w:val="22"/>
                <w:lang w:eastAsia="en-GB"/>
              </w:rPr>
              <w:t>8</w:t>
            </w:r>
          </w:p>
        </w:tc>
        <w:tc>
          <w:tcPr>
            <w:tcW w:w="1071" w:type="dxa"/>
          </w:tcPr>
          <w:p w14:paraId="22569BB5" w14:textId="7B1651F2" w:rsidR="007C2BA7" w:rsidRPr="00315CD2" w:rsidRDefault="007C2BA7" w:rsidP="007C2BA7">
            <w:pPr>
              <w:pStyle w:val="Tabletext"/>
              <w:rPr>
                <w:rFonts w:asciiTheme="minorHAnsi" w:hAnsiTheme="minorHAnsi"/>
                <w:szCs w:val="22"/>
              </w:rPr>
            </w:pPr>
            <w:r w:rsidRPr="00315CD2">
              <w:rPr>
                <w:rFonts w:asciiTheme="minorHAnsi" w:hAnsiTheme="minorHAnsi" w:cs="Arial"/>
                <w:b/>
                <w:bCs/>
                <w:szCs w:val="22"/>
              </w:rPr>
              <w:t>SCM2</w:t>
            </w:r>
          </w:p>
        </w:tc>
        <w:tc>
          <w:tcPr>
            <w:tcW w:w="2761" w:type="dxa"/>
            <w:shd w:val="clear" w:color="auto" w:fill="FFFFFF"/>
          </w:tcPr>
          <w:p w14:paraId="6FA02872" w14:textId="2252ABF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Anticoagulation assessment and reassessment. Agreed local protocols – coordination across service providers</w:t>
            </w:r>
          </w:p>
        </w:tc>
        <w:tc>
          <w:tcPr>
            <w:tcW w:w="3118" w:type="dxa"/>
            <w:shd w:val="clear" w:color="auto" w:fill="FFFFFF"/>
          </w:tcPr>
          <w:p w14:paraId="589B46A4"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Selection of anticoagulation type and dose represents the most complex variable within NICE recommendations and management of this condition alongside reassessment.</w:t>
            </w:r>
          </w:p>
          <w:p w14:paraId="6E3C985E" w14:textId="57F1F8B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Variation in practice and communication between service providers leads to disjointed care/patient safety risk.</w:t>
            </w:r>
          </w:p>
        </w:tc>
        <w:tc>
          <w:tcPr>
            <w:tcW w:w="3686" w:type="dxa"/>
            <w:shd w:val="clear" w:color="auto" w:fill="FFFFFF"/>
          </w:tcPr>
          <w:p w14:paraId="25AE5133" w14:textId="78DF56F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Standardised practice (locally, nationally), The NICE visual aid to the associated guidance provides an excellent reference tool to guide the use of anticoagulation – could a quality standard encapsulate promotion of this tool as method of variation reduction/improved patient safety?</w:t>
            </w:r>
          </w:p>
        </w:tc>
        <w:tc>
          <w:tcPr>
            <w:tcW w:w="3474" w:type="dxa"/>
            <w:shd w:val="clear" w:color="auto" w:fill="FFFFFF"/>
          </w:tcPr>
          <w:p w14:paraId="2B6DDF87" w14:textId="77777777" w:rsidR="007C2BA7" w:rsidRPr="00315CD2" w:rsidRDefault="007C2BA7" w:rsidP="007C2BA7">
            <w:pPr>
              <w:pStyle w:val="Tabletext"/>
              <w:rPr>
                <w:rFonts w:asciiTheme="minorHAnsi" w:hAnsiTheme="minorHAnsi"/>
                <w:szCs w:val="22"/>
              </w:rPr>
            </w:pPr>
          </w:p>
        </w:tc>
      </w:tr>
      <w:tr w:rsidR="007C2BA7" w:rsidRPr="00315CD2" w14:paraId="4D69B88D" w14:textId="77777777" w:rsidTr="00E52914">
        <w:trPr>
          <w:trHeight w:val="282"/>
        </w:trPr>
        <w:tc>
          <w:tcPr>
            <w:tcW w:w="558" w:type="dxa"/>
          </w:tcPr>
          <w:p w14:paraId="79320A8B" w14:textId="6D6ABAF2"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9</w:t>
            </w:r>
            <w:r w:rsidR="007C2BA7" w:rsidRPr="00315CD2">
              <w:rPr>
                <w:rFonts w:asciiTheme="minorHAnsi" w:hAnsiTheme="minorHAnsi"/>
                <w:szCs w:val="22"/>
                <w:lang w:eastAsia="en-GB"/>
              </w:rPr>
              <w:t>9</w:t>
            </w:r>
          </w:p>
        </w:tc>
        <w:tc>
          <w:tcPr>
            <w:tcW w:w="1071" w:type="dxa"/>
          </w:tcPr>
          <w:p w14:paraId="0FCB76A0" w14:textId="2B188E2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LEO Pharma</w:t>
            </w:r>
          </w:p>
        </w:tc>
        <w:tc>
          <w:tcPr>
            <w:tcW w:w="2761" w:type="dxa"/>
          </w:tcPr>
          <w:p w14:paraId="68119BF8" w14:textId="77777777" w:rsidR="007C2BA7" w:rsidRPr="00315CD2" w:rsidRDefault="007C2BA7" w:rsidP="007C2BA7">
            <w:pPr>
              <w:pStyle w:val="Paragraphnonumbers"/>
              <w:spacing w:after="120"/>
              <w:rPr>
                <w:rFonts w:asciiTheme="minorHAnsi" w:hAnsiTheme="minorHAnsi" w:cs="Arial"/>
                <w:sz w:val="22"/>
                <w:szCs w:val="22"/>
              </w:rPr>
            </w:pPr>
            <w:r w:rsidRPr="00315CD2">
              <w:rPr>
                <w:rFonts w:asciiTheme="minorHAnsi" w:hAnsiTheme="minorHAnsi" w:cs="Arial"/>
                <w:sz w:val="22"/>
                <w:szCs w:val="22"/>
              </w:rPr>
              <w:t>Key area for quality improvement 2</w:t>
            </w:r>
          </w:p>
          <w:p w14:paraId="0B92A2FB" w14:textId="06996F56" w:rsidR="007C2BA7" w:rsidRPr="00315CD2" w:rsidRDefault="007C2BA7" w:rsidP="007C2BA7">
            <w:pPr>
              <w:pStyle w:val="Tabletext"/>
              <w:rPr>
                <w:rFonts w:asciiTheme="minorHAnsi" w:hAnsiTheme="minorHAnsi"/>
                <w:szCs w:val="22"/>
              </w:rPr>
            </w:pPr>
            <w:r w:rsidRPr="00315CD2">
              <w:rPr>
                <w:rFonts w:asciiTheme="minorHAnsi" w:hAnsiTheme="minorHAnsi" w:cs="Arial"/>
                <w:b/>
                <w:bCs/>
                <w:szCs w:val="22"/>
              </w:rPr>
              <w:lastRenderedPageBreak/>
              <w:t>People undergoing chemotherapy should receive education via provision of written and verbal information on the risk of VTE and how to manage this risk.</w:t>
            </w:r>
          </w:p>
        </w:tc>
        <w:tc>
          <w:tcPr>
            <w:tcW w:w="3118" w:type="dxa"/>
          </w:tcPr>
          <w:p w14:paraId="4750DB7B" w14:textId="77777777" w:rsidR="007C2BA7" w:rsidRPr="00315CD2" w:rsidRDefault="007C2BA7" w:rsidP="007C2BA7">
            <w:pPr>
              <w:pStyle w:val="Paragraphnonumbers"/>
              <w:rPr>
                <w:rFonts w:asciiTheme="minorHAnsi" w:hAnsiTheme="minorHAnsi" w:cs="Arial"/>
                <w:sz w:val="22"/>
                <w:szCs w:val="22"/>
              </w:rPr>
            </w:pPr>
            <w:bookmarkStart w:id="158" w:name="_Hlk50316166"/>
            <w:r w:rsidRPr="00315CD2">
              <w:rPr>
                <w:rFonts w:asciiTheme="minorHAnsi" w:hAnsiTheme="minorHAnsi" w:cs="Arial"/>
                <w:sz w:val="22"/>
                <w:szCs w:val="22"/>
              </w:rPr>
              <w:lastRenderedPageBreak/>
              <w:t xml:space="preserve">People with active cancer and those on chemotherapy are at increased risk of VTE. Education </w:t>
            </w:r>
            <w:r w:rsidRPr="00315CD2">
              <w:rPr>
                <w:rFonts w:asciiTheme="minorHAnsi" w:hAnsiTheme="minorHAnsi" w:cs="Arial"/>
                <w:sz w:val="22"/>
                <w:szCs w:val="22"/>
              </w:rPr>
              <w:lastRenderedPageBreak/>
              <w:t xml:space="preserve">of people with cancer on this risk is beneficial in driving early detection as are written pathways for investigating for suspected VTE in </w:t>
            </w:r>
            <w:bookmarkEnd w:id="158"/>
            <w:r w:rsidRPr="00315CD2">
              <w:rPr>
                <w:rFonts w:asciiTheme="minorHAnsi" w:hAnsiTheme="minorHAnsi" w:cs="Arial"/>
                <w:sz w:val="22"/>
                <w:szCs w:val="22"/>
              </w:rPr>
              <w:t>these people.</w:t>
            </w:r>
          </w:p>
          <w:p w14:paraId="13833C45" w14:textId="0400E21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Hospital Trusts would benefit from develop specific written policies for the management of suspected VTE in patients receiving chemotherapy; this should include the provision of written and verbal information for people with cancer on the risk of VTE and how to manage this risk</w:t>
            </w:r>
          </w:p>
        </w:tc>
        <w:tc>
          <w:tcPr>
            <w:tcW w:w="3686" w:type="dxa"/>
          </w:tcPr>
          <w:p w14:paraId="30EE4F1E"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lastRenderedPageBreak/>
              <w:t xml:space="preserve">The All Party Parliamentary Thrombosis Group (APPTG) report on VTE in cancer patients (2016) reported </w:t>
            </w:r>
            <w:r w:rsidRPr="00315CD2">
              <w:rPr>
                <w:rFonts w:asciiTheme="minorHAnsi" w:hAnsiTheme="minorHAnsi" w:cs="Arial"/>
                <w:sz w:val="22"/>
                <w:szCs w:val="22"/>
              </w:rPr>
              <w:lastRenderedPageBreak/>
              <w:t>that only one in three Hospital Trusts (35%) had a dedicated policy or pathway for the management of suspected VTE in people receiving chemotherapy, and only 44% were providing written and verbal information on the risk of VTE to these people, even though the average annual increase in cancer deaths linked to VTE, in the 4 years to 2015 was over four times higher than the average annual increase in overall cancer deaths.</w:t>
            </w:r>
          </w:p>
          <w:p w14:paraId="2CABE8AD" w14:textId="051DB345" w:rsidR="007C2BA7" w:rsidRPr="00E52914" w:rsidRDefault="007C2BA7" w:rsidP="00E52914">
            <w:pPr>
              <w:pStyle w:val="Heading1"/>
              <w:shd w:val="clear" w:color="auto" w:fill="FFFFFF"/>
              <w:spacing w:after="165" w:line="330" w:lineRule="atLeast"/>
              <w:textAlignment w:val="baseline"/>
              <w:rPr>
                <w:rFonts w:asciiTheme="minorHAnsi" w:hAnsiTheme="minorHAnsi" w:cs="Arial"/>
                <w:b w:val="0"/>
                <w:bCs w:val="0"/>
                <w:sz w:val="22"/>
                <w:szCs w:val="22"/>
              </w:rPr>
            </w:pPr>
            <w:r w:rsidRPr="00315CD2">
              <w:rPr>
                <w:rFonts w:asciiTheme="minorHAnsi" w:hAnsiTheme="minorHAnsi" w:cs="Arial"/>
                <w:b w:val="0"/>
                <w:bCs w:val="0"/>
                <w:sz w:val="22"/>
                <w:szCs w:val="22"/>
              </w:rPr>
              <w:t xml:space="preserve">Example – a patient preference study (Noble et al. 2015 </w:t>
            </w:r>
            <w:hyperlink r:id="rId132" w:history="1">
              <w:r w:rsidRPr="00315CD2">
                <w:rPr>
                  <w:rFonts w:asciiTheme="minorHAnsi" w:hAnsiTheme="minorHAnsi" w:cs="Arial"/>
                  <w:b w:val="0"/>
                  <w:bCs w:val="0"/>
                  <w:sz w:val="22"/>
                  <w:szCs w:val="22"/>
                </w:rPr>
                <w:t>https://doi.org/10.2147/PPA.S79373</w:t>
              </w:r>
            </w:hyperlink>
            <w:r w:rsidRPr="00315CD2">
              <w:rPr>
                <w:rFonts w:asciiTheme="minorHAnsi" w:hAnsiTheme="minorHAnsi" w:cs="Arial"/>
                <w:b w:val="0"/>
                <w:bCs w:val="0"/>
                <w:sz w:val="22"/>
                <w:szCs w:val="22"/>
              </w:rPr>
              <w:t>, Patients’ Experiences of LIving with CANcer-associated thrombosis: the PELICAN study) reported that people with cancer had a lack of understanding/awareness of cancer associated thrombosis both before and after their diagnosis of cancer</w:t>
            </w:r>
          </w:p>
        </w:tc>
        <w:tc>
          <w:tcPr>
            <w:tcW w:w="3474" w:type="dxa"/>
          </w:tcPr>
          <w:p w14:paraId="5A0A04DF" w14:textId="2611CC2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lastRenderedPageBreak/>
              <w:t xml:space="preserve">Please see APPTG report (2016) which found variations in presence of written policies on management </w:t>
            </w:r>
            <w:r w:rsidRPr="00315CD2">
              <w:rPr>
                <w:rFonts w:asciiTheme="minorHAnsi" w:hAnsiTheme="minorHAnsi" w:cs="Arial"/>
                <w:szCs w:val="22"/>
              </w:rPr>
              <w:lastRenderedPageBreak/>
              <w:t xml:space="preserve">of suspected VTE in people with cancer - </w:t>
            </w:r>
            <w:hyperlink r:id="rId133" w:history="1">
              <w:r w:rsidRPr="00534720">
                <w:rPr>
                  <w:rStyle w:val="Hyperlink"/>
                  <w:rFonts w:asciiTheme="minorHAnsi" w:hAnsiTheme="minorHAnsi"/>
                  <w:color w:val="000000" w:themeColor="text1"/>
                  <w:szCs w:val="22"/>
                </w:rPr>
                <w:t>http://apptg.org.uk/wp-content/uploads/2016/12/VTE-in-Cancer-Patients-2016.pdf</w:t>
              </w:r>
            </w:hyperlink>
          </w:p>
        </w:tc>
      </w:tr>
      <w:tr w:rsidR="007C2BA7" w:rsidRPr="00315CD2" w14:paraId="5ABB8816" w14:textId="77777777" w:rsidTr="00E52914">
        <w:trPr>
          <w:trHeight w:val="282"/>
        </w:trPr>
        <w:tc>
          <w:tcPr>
            <w:tcW w:w="558" w:type="dxa"/>
          </w:tcPr>
          <w:p w14:paraId="32085D72" w14:textId="45585837"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lastRenderedPageBreak/>
              <w:t>1</w:t>
            </w:r>
            <w:r w:rsidR="00ED7E40">
              <w:rPr>
                <w:rFonts w:asciiTheme="minorHAnsi" w:hAnsiTheme="minorHAnsi"/>
                <w:szCs w:val="22"/>
                <w:lang w:eastAsia="en-GB"/>
              </w:rPr>
              <w:t>0</w:t>
            </w:r>
            <w:r w:rsidRPr="00315CD2">
              <w:rPr>
                <w:rFonts w:asciiTheme="minorHAnsi" w:hAnsiTheme="minorHAnsi"/>
                <w:szCs w:val="22"/>
                <w:lang w:eastAsia="en-GB"/>
              </w:rPr>
              <w:t>0</w:t>
            </w:r>
          </w:p>
        </w:tc>
        <w:tc>
          <w:tcPr>
            <w:tcW w:w="1071" w:type="dxa"/>
          </w:tcPr>
          <w:p w14:paraId="05F5B855" w14:textId="13D0BDD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All Party Parliamentary Group on Vascular and Venous Disease</w:t>
            </w:r>
          </w:p>
        </w:tc>
        <w:tc>
          <w:tcPr>
            <w:tcW w:w="2761" w:type="dxa"/>
          </w:tcPr>
          <w:p w14:paraId="3EAD4728" w14:textId="4A10CA1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 multidisciplinary approach</w:t>
            </w:r>
          </w:p>
        </w:tc>
        <w:tc>
          <w:tcPr>
            <w:tcW w:w="3118" w:type="dxa"/>
          </w:tcPr>
          <w:p w14:paraId="188F9ECD" w14:textId="0126738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 multidisciplinary approach is fundamental to improve health outcomes in people with venous thromboembolic diseases. Vascular surgeons, interventional radiologists, haematologists, orthotics, tissue viability nurses and respiratory consultants all possess valuable expertise.</w:t>
            </w:r>
          </w:p>
        </w:tc>
        <w:tc>
          <w:tcPr>
            <w:tcW w:w="3686" w:type="dxa"/>
          </w:tcPr>
          <w:p w14:paraId="58CBED12" w14:textId="3B2BF13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Inconsistency and variation in practice.</w:t>
            </w:r>
          </w:p>
        </w:tc>
        <w:tc>
          <w:tcPr>
            <w:tcW w:w="3474" w:type="dxa"/>
          </w:tcPr>
          <w:p w14:paraId="2252BA23" w14:textId="1FD0C02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Reference (1): VVAPPG NHS Trust freedom of information request research. 2019. Data on file; reference (2) Anecdotal feedback from healthcare professionals.</w:t>
            </w:r>
          </w:p>
        </w:tc>
      </w:tr>
      <w:tr w:rsidR="007C2BA7" w:rsidRPr="00315CD2" w14:paraId="09962879" w14:textId="77777777" w:rsidTr="00E52914">
        <w:trPr>
          <w:trHeight w:val="282"/>
        </w:trPr>
        <w:tc>
          <w:tcPr>
            <w:tcW w:w="558" w:type="dxa"/>
          </w:tcPr>
          <w:p w14:paraId="6FCD49DA" w14:textId="67441512"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0</w:t>
            </w:r>
            <w:r w:rsidRPr="00315CD2">
              <w:rPr>
                <w:rFonts w:asciiTheme="minorHAnsi" w:hAnsiTheme="minorHAnsi"/>
                <w:szCs w:val="22"/>
                <w:lang w:eastAsia="en-GB"/>
              </w:rPr>
              <w:t>1</w:t>
            </w:r>
          </w:p>
        </w:tc>
        <w:tc>
          <w:tcPr>
            <w:tcW w:w="1071" w:type="dxa"/>
          </w:tcPr>
          <w:p w14:paraId="319731F9" w14:textId="2667F42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British Society of Interventional Radiology</w:t>
            </w:r>
          </w:p>
        </w:tc>
        <w:tc>
          <w:tcPr>
            <w:tcW w:w="2761" w:type="dxa"/>
          </w:tcPr>
          <w:p w14:paraId="1064E804" w14:textId="7D0D61A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5</w:t>
            </w:r>
          </w:p>
        </w:tc>
        <w:tc>
          <w:tcPr>
            <w:tcW w:w="3118" w:type="dxa"/>
          </w:tcPr>
          <w:p w14:paraId="0A258AAB" w14:textId="0568A22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Specialised vascular centres/ centralisation of services. </w:t>
            </w:r>
          </w:p>
        </w:tc>
        <w:tc>
          <w:tcPr>
            <w:tcW w:w="3686" w:type="dxa"/>
          </w:tcPr>
          <w:p w14:paraId="5D4571D9" w14:textId="1A20B11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This method is currently in place for aneurysm management (EVAR/TEVAR). I feel the same should apply to DVT management to ensure best care is delivered. </w:t>
            </w:r>
          </w:p>
        </w:tc>
        <w:tc>
          <w:tcPr>
            <w:tcW w:w="3474" w:type="dxa"/>
          </w:tcPr>
          <w:p w14:paraId="4C2D86B8" w14:textId="7335B44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Galway in Ireland for example takes most of the DVT cases in the region, and certain sites in London take on upper limb DVT requiring rib resection and clot removal. As the overall case numbers are not significant such work should be limited to be vascular centres with specialised IR consultants, and surgeons with interest in rib. </w:t>
            </w:r>
          </w:p>
        </w:tc>
      </w:tr>
      <w:tr w:rsidR="007C2BA7" w:rsidRPr="00315CD2" w14:paraId="3767E190" w14:textId="77777777" w:rsidTr="00E52914">
        <w:trPr>
          <w:trHeight w:val="282"/>
        </w:trPr>
        <w:tc>
          <w:tcPr>
            <w:tcW w:w="558" w:type="dxa"/>
          </w:tcPr>
          <w:p w14:paraId="645852BE" w14:textId="43FFB712"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0</w:t>
            </w:r>
            <w:r w:rsidRPr="00315CD2">
              <w:rPr>
                <w:rFonts w:asciiTheme="minorHAnsi" w:hAnsiTheme="minorHAnsi"/>
                <w:szCs w:val="22"/>
                <w:lang w:eastAsia="en-GB"/>
              </w:rPr>
              <w:t>2</w:t>
            </w:r>
          </w:p>
        </w:tc>
        <w:tc>
          <w:tcPr>
            <w:tcW w:w="1071" w:type="dxa"/>
          </w:tcPr>
          <w:p w14:paraId="2B6B2E06" w14:textId="6E524FE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All Party Parliamentary Group on Vascular and Venous Disease</w:t>
            </w:r>
          </w:p>
        </w:tc>
        <w:tc>
          <w:tcPr>
            <w:tcW w:w="2761" w:type="dxa"/>
          </w:tcPr>
          <w:p w14:paraId="49D15E57" w14:textId="66D1173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Availability of venous disease pathways.</w:t>
            </w:r>
          </w:p>
        </w:tc>
        <w:tc>
          <w:tcPr>
            <w:tcW w:w="3118" w:type="dxa"/>
          </w:tcPr>
          <w:p w14:paraId="001D185C" w14:textId="7E750E1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The availability of clear venous disease pathways is fundamental to attenuate variation in practice. The pathways should be clear and differentiate for primary/community care, secondary and tertiary care domains. Pathways should clearly differentiate pulmonary embolism and deep vein thrombosis circumstances and context, separately. </w:t>
            </w:r>
          </w:p>
        </w:tc>
        <w:tc>
          <w:tcPr>
            <w:tcW w:w="3686" w:type="dxa"/>
          </w:tcPr>
          <w:p w14:paraId="773C3259" w14:textId="6BA9A7F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Inconsistency and variation in practice.</w:t>
            </w:r>
          </w:p>
        </w:tc>
        <w:tc>
          <w:tcPr>
            <w:tcW w:w="3474" w:type="dxa"/>
          </w:tcPr>
          <w:p w14:paraId="5B6471A0" w14:textId="669ECB5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 </w:t>
            </w:r>
            <w:r w:rsidRPr="00315CD2">
              <w:rPr>
                <w:rFonts w:asciiTheme="minorHAnsi" w:hAnsiTheme="minorHAnsi" w:cs="Arial"/>
                <w:b/>
                <w:bCs/>
                <w:i/>
                <w:iCs/>
                <w:szCs w:val="22"/>
              </w:rPr>
              <w:t>Reference (1):</w:t>
            </w:r>
            <w:r w:rsidRPr="00315CD2">
              <w:rPr>
                <w:rFonts w:asciiTheme="minorHAnsi" w:hAnsiTheme="minorHAnsi" w:cs="Arial"/>
                <w:szCs w:val="22"/>
              </w:rPr>
              <w:t xml:space="preserve"> VVAPPG NHS Trust freedom of information request research. 2019. Data on file; </w:t>
            </w:r>
            <w:r w:rsidRPr="00315CD2">
              <w:rPr>
                <w:rFonts w:asciiTheme="minorHAnsi" w:hAnsiTheme="minorHAnsi" w:cs="Arial"/>
                <w:b/>
                <w:bCs/>
                <w:i/>
                <w:iCs/>
                <w:szCs w:val="22"/>
              </w:rPr>
              <w:t>reference (2)</w:t>
            </w:r>
            <w:r w:rsidRPr="00315CD2">
              <w:rPr>
                <w:rFonts w:asciiTheme="minorHAnsi" w:hAnsiTheme="minorHAnsi" w:cs="Arial"/>
                <w:szCs w:val="22"/>
              </w:rPr>
              <w:t xml:space="preserve"> Anecdotal feedback from healthcare professionals</w:t>
            </w:r>
          </w:p>
        </w:tc>
      </w:tr>
      <w:tr w:rsidR="007C2BA7" w:rsidRPr="00315CD2" w14:paraId="12A4B5B7" w14:textId="77777777" w:rsidTr="00E52914">
        <w:trPr>
          <w:trHeight w:val="282"/>
        </w:trPr>
        <w:tc>
          <w:tcPr>
            <w:tcW w:w="558" w:type="dxa"/>
          </w:tcPr>
          <w:p w14:paraId="61171DD7" w14:textId="759BC3B5"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0</w:t>
            </w:r>
            <w:r w:rsidRPr="00315CD2">
              <w:rPr>
                <w:rFonts w:asciiTheme="minorHAnsi" w:hAnsiTheme="minorHAnsi"/>
                <w:szCs w:val="22"/>
                <w:lang w:eastAsia="en-GB"/>
              </w:rPr>
              <w:t>3</w:t>
            </w:r>
          </w:p>
        </w:tc>
        <w:tc>
          <w:tcPr>
            <w:tcW w:w="1071" w:type="dxa"/>
          </w:tcPr>
          <w:p w14:paraId="4EE0AC07" w14:textId="74EC6DA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All Party Parliamentary Group on Vascular and Venous Disease</w:t>
            </w:r>
          </w:p>
        </w:tc>
        <w:tc>
          <w:tcPr>
            <w:tcW w:w="2761" w:type="dxa"/>
          </w:tcPr>
          <w:p w14:paraId="1C346A1A" w14:textId="2D37625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Availability of multidisciplinary teams.</w:t>
            </w:r>
          </w:p>
        </w:tc>
        <w:tc>
          <w:tcPr>
            <w:tcW w:w="3118" w:type="dxa"/>
          </w:tcPr>
          <w:p w14:paraId="40C50A03"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A multidisciplinary approach is fundamental to improve health outcomes in people with venous thromboembolic diseases. Vascular surgeons, interventional radiologists, haematologists, orthotics, tissue viability nurses and respiratory consultants all possess valuable expertise.</w:t>
            </w:r>
          </w:p>
          <w:p w14:paraId="21D72DF4" w14:textId="621DDD7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The development of regional venous networks should be incentivised.</w:t>
            </w:r>
          </w:p>
        </w:tc>
        <w:tc>
          <w:tcPr>
            <w:tcW w:w="3686" w:type="dxa"/>
          </w:tcPr>
          <w:p w14:paraId="2EC63044"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Inconsistency and variation in practice.</w:t>
            </w:r>
          </w:p>
          <w:p w14:paraId="570AC08E" w14:textId="77777777" w:rsidR="007C2BA7" w:rsidRPr="00315CD2" w:rsidRDefault="007C2BA7" w:rsidP="007C2BA7">
            <w:pPr>
              <w:pStyle w:val="Tabletext"/>
              <w:rPr>
                <w:rFonts w:asciiTheme="minorHAnsi" w:hAnsiTheme="minorHAnsi"/>
                <w:szCs w:val="22"/>
              </w:rPr>
            </w:pPr>
          </w:p>
        </w:tc>
        <w:tc>
          <w:tcPr>
            <w:tcW w:w="3474" w:type="dxa"/>
          </w:tcPr>
          <w:p w14:paraId="04367B38"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b/>
                <w:bCs/>
                <w:i/>
                <w:iCs/>
                <w:sz w:val="22"/>
                <w:szCs w:val="22"/>
              </w:rPr>
              <w:t>Reference (1):</w:t>
            </w:r>
            <w:r w:rsidRPr="00315CD2">
              <w:rPr>
                <w:rFonts w:asciiTheme="minorHAnsi" w:hAnsiTheme="minorHAnsi"/>
                <w:sz w:val="22"/>
                <w:szCs w:val="22"/>
              </w:rPr>
              <w:t xml:space="preserve"> </w:t>
            </w:r>
            <w:r w:rsidRPr="00315CD2">
              <w:rPr>
                <w:rFonts w:asciiTheme="minorHAnsi" w:hAnsiTheme="minorHAnsi" w:cs="Arial"/>
                <w:sz w:val="22"/>
                <w:szCs w:val="22"/>
              </w:rPr>
              <w:t xml:space="preserve">VVAPPG NHS Trust freedom of information request research. 2019. Data on file; </w:t>
            </w:r>
            <w:r w:rsidRPr="00315CD2">
              <w:rPr>
                <w:rFonts w:asciiTheme="minorHAnsi" w:hAnsiTheme="minorHAnsi" w:cs="Arial"/>
                <w:b/>
                <w:bCs/>
                <w:i/>
                <w:iCs/>
                <w:sz w:val="22"/>
                <w:szCs w:val="22"/>
              </w:rPr>
              <w:t>reference (2)</w:t>
            </w:r>
            <w:r w:rsidRPr="00315CD2">
              <w:rPr>
                <w:rFonts w:asciiTheme="minorHAnsi" w:hAnsiTheme="minorHAnsi" w:cs="Arial"/>
                <w:sz w:val="22"/>
                <w:szCs w:val="22"/>
              </w:rPr>
              <w:t xml:space="preserve"> Anecdotal feedback from healthcare professionals.</w:t>
            </w:r>
          </w:p>
          <w:p w14:paraId="3921D701" w14:textId="77777777" w:rsidR="007C2BA7" w:rsidRPr="00315CD2" w:rsidRDefault="007C2BA7" w:rsidP="007C2BA7">
            <w:pPr>
              <w:pStyle w:val="Paragraphnonumbers"/>
              <w:rPr>
                <w:rFonts w:asciiTheme="minorHAnsi" w:hAnsiTheme="minorHAnsi" w:cs="Arial"/>
                <w:sz w:val="22"/>
                <w:szCs w:val="22"/>
              </w:rPr>
            </w:pPr>
          </w:p>
          <w:p w14:paraId="5289FC66" w14:textId="77777777" w:rsidR="007C2BA7" w:rsidRPr="00315CD2" w:rsidRDefault="007C2BA7" w:rsidP="007C2BA7">
            <w:pPr>
              <w:pStyle w:val="Tabletext"/>
              <w:rPr>
                <w:rFonts w:asciiTheme="minorHAnsi" w:hAnsiTheme="minorHAnsi"/>
                <w:szCs w:val="22"/>
              </w:rPr>
            </w:pPr>
          </w:p>
        </w:tc>
      </w:tr>
      <w:tr w:rsidR="007C2BA7" w:rsidRPr="00315CD2" w14:paraId="570F81D6" w14:textId="77777777" w:rsidTr="00E52914">
        <w:trPr>
          <w:trHeight w:val="282"/>
        </w:trPr>
        <w:tc>
          <w:tcPr>
            <w:tcW w:w="558" w:type="dxa"/>
          </w:tcPr>
          <w:p w14:paraId="5F378F22" w14:textId="41907C17"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0</w:t>
            </w:r>
            <w:r w:rsidRPr="00315CD2">
              <w:rPr>
                <w:rFonts w:asciiTheme="minorHAnsi" w:hAnsiTheme="minorHAnsi"/>
                <w:szCs w:val="22"/>
                <w:lang w:eastAsia="en-GB"/>
              </w:rPr>
              <w:t>4</w:t>
            </w:r>
          </w:p>
        </w:tc>
        <w:tc>
          <w:tcPr>
            <w:tcW w:w="1071" w:type="dxa"/>
          </w:tcPr>
          <w:p w14:paraId="717AF1A0" w14:textId="62421C0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Bayer Plc</w:t>
            </w:r>
          </w:p>
        </w:tc>
        <w:tc>
          <w:tcPr>
            <w:tcW w:w="2761" w:type="dxa"/>
          </w:tcPr>
          <w:p w14:paraId="1D3A0A24" w14:textId="77777777" w:rsidR="007C2BA7" w:rsidRPr="00315CD2" w:rsidRDefault="007C2BA7" w:rsidP="007C2BA7">
            <w:pPr>
              <w:pStyle w:val="Paragraphnonumbers"/>
              <w:spacing w:before="120" w:after="120" w:line="240" w:lineRule="auto"/>
              <w:rPr>
                <w:rFonts w:asciiTheme="minorHAnsi" w:hAnsiTheme="minorHAnsi" w:cs="Arial"/>
                <w:sz w:val="22"/>
                <w:szCs w:val="22"/>
              </w:rPr>
            </w:pPr>
            <w:r w:rsidRPr="00315CD2">
              <w:rPr>
                <w:rFonts w:asciiTheme="minorHAnsi" w:hAnsiTheme="minorHAnsi" w:cs="Arial"/>
                <w:sz w:val="22"/>
                <w:szCs w:val="22"/>
              </w:rPr>
              <w:t>Key area for quality improvement 4</w:t>
            </w:r>
          </w:p>
          <w:p w14:paraId="14948502" w14:textId="56A3D98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Hospitals should have a named VTE clinical lead/clinical team who should be consulted in all cases of suspected hospital-acquired </w:t>
            </w:r>
            <w:r w:rsidRPr="00315CD2">
              <w:rPr>
                <w:rFonts w:asciiTheme="minorHAnsi" w:hAnsiTheme="minorHAnsi" w:cs="Arial"/>
                <w:bCs/>
                <w:szCs w:val="22"/>
              </w:rPr>
              <w:t>venous thromboembolism</w:t>
            </w:r>
            <w:r w:rsidRPr="00315CD2">
              <w:rPr>
                <w:rFonts w:asciiTheme="minorHAnsi" w:hAnsiTheme="minorHAnsi" w:cs="Arial"/>
                <w:szCs w:val="22"/>
              </w:rPr>
              <w:t xml:space="preserve"> (</w:t>
            </w:r>
            <w:r w:rsidRPr="00315CD2">
              <w:rPr>
                <w:rFonts w:asciiTheme="minorHAnsi" w:hAnsiTheme="minorHAnsi" w:cs="Arial"/>
                <w:bCs/>
                <w:szCs w:val="22"/>
              </w:rPr>
              <w:t>HAT</w:t>
            </w:r>
            <w:r w:rsidRPr="00315CD2">
              <w:rPr>
                <w:rFonts w:asciiTheme="minorHAnsi" w:hAnsiTheme="minorHAnsi" w:cs="Arial"/>
                <w:szCs w:val="22"/>
              </w:rPr>
              <w:t>).</w:t>
            </w:r>
          </w:p>
        </w:tc>
        <w:tc>
          <w:tcPr>
            <w:tcW w:w="3118" w:type="dxa"/>
          </w:tcPr>
          <w:p w14:paraId="20BF5733" w14:textId="66DBD5D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Incidences of HAT can occur in many areas of a hospital. The presence of a designated clinical lead/clinical team with clear processes for referral, diagnosis and treatment will reduce variation for patients, optimise treatment whilst in hospital and ensure discharge planning meets the standards covered in QS3-Quality Statement 6</w:t>
            </w:r>
          </w:p>
        </w:tc>
        <w:tc>
          <w:tcPr>
            <w:tcW w:w="3686" w:type="dxa"/>
          </w:tcPr>
          <w:p w14:paraId="6780FF37" w14:textId="1AA7B13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Evidence of pathways in hospitals where all patients with suspected HAT are referred to a designated team for diagnosis, treatment and discharge planning. </w:t>
            </w:r>
          </w:p>
        </w:tc>
        <w:tc>
          <w:tcPr>
            <w:tcW w:w="3474" w:type="dxa"/>
          </w:tcPr>
          <w:p w14:paraId="2E46341E" w14:textId="77777777" w:rsidR="007C2BA7" w:rsidRPr="00315CD2" w:rsidRDefault="007C2BA7" w:rsidP="007C2BA7">
            <w:pPr>
              <w:autoSpaceDE w:val="0"/>
              <w:autoSpaceDN w:val="0"/>
              <w:adjustRightInd w:val="0"/>
              <w:spacing w:before="120" w:after="120"/>
              <w:rPr>
                <w:rFonts w:asciiTheme="minorHAnsi" w:hAnsiTheme="minorHAnsi" w:cs="Arial"/>
                <w:sz w:val="22"/>
                <w:szCs w:val="22"/>
              </w:rPr>
            </w:pPr>
            <w:r w:rsidRPr="00315CD2">
              <w:rPr>
                <w:rFonts w:asciiTheme="minorHAnsi" w:hAnsiTheme="minorHAnsi" w:cs="Arial"/>
                <w:sz w:val="22"/>
                <w:szCs w:val="22"/>
              </w:rPr>
              <w:t xml:space="preserve">Nana M, et al. Multidisciplinary, patient-centred approach to improving compliance with venous thromboembolism (VTE) prophylaxis in a district general hospital. BMJ Open Quality 2020;9:e000680. doi:10.1136/ bmjoq-2019-000680 </w:t>
            </w:r>
            <w:hyperlink r:id="rId134" w:history="1">
              <w:r w:rsidRPr="00315CD2">
                <w:rPr>
                  <w:rStyle w:val="Hyperlink"/>
                  <w:rFonts w:asciiTheme="minorHAnsi" w:hAnsiTheme="minorHAnsi" w:cs="Arial"/>
                  <w:sz w:val="22"/>
                  <w:szCs w:val="22"/>
                </w:rPr>
                <w:t>https://bmjopenquality.bmj.com/content/bmjqir/9/3/e000680.full.pdf</w:t>
              </w:r>
            </w:hyperlink>
          </w:p>
          <w:p w14:paraId="564A3206" w14:textId="77777777" w:rsidR="007C2BA7" w:rsidRPr="00315CD2" w:rsidRDefault="007C2BA7" w:rsidP="007C2BA7">
            <w:pPr>
              <w:autoSpaceDE w:val="0"/>
              <w:autoSpaceDN w:val="0"/>
              <w:adjustRightInd w:val="0"/>
              <w:spacing w:before="120" w:after="120"/>
              <w:rPr>
                <w:rFonts w:asciiTheme="minorHAnsi" w:hAnsiTheme="minorHAnsi" w:cs="Arial"/>
                <w:sz w:val="22"/>
                <w:szCs w:val="22"/>
              </w:rPr>
            </w:pPr>
            <w:r w:rsidRPr="00315CD2">
              <w:rPr>
                <w:rFonts w:asciiTheme="minorHAnsi" w:hAnsiTheme="minorHAnsi" w:cs="Arial"/>
                <w:sz w:val="22"/>
                <w:szCs w:val="22"/>
              </w:rPr>
              <w:t xml:space="preserve">Mauger C, et al. Impact of multidisciplinary team meetings on the management of venous thromboembolism. A clinical study of 142 cases. J Med Vasc 2020 Jul;45(4):192-197.  doi: 10.1016/j.jdmv.2020.04.011. </w:t>
            </w:r>
            <w:hyperlink r:id="rId135" w:history="1">
              <w:r w:rsidRPr="00315CD2">
                <w:rPr>
                  <w:rStyle w:val="Hyperlink"/>
                  <w:rFonts w:asciiTheme="minorHAnsi" w:hAnsiTheme="minorHAnsi" w:cs="Arial"/>
                  <w:sz w:val="22"/>
                  <w:szCs w:val="22"/>
                </w:rPr>
                <w:t>https://www.sciencedirect.com/science/article/abs/pii/S2542451320302650</w:t>
              </w:r>
            </w:hyperlink>
          </w:p>
          <w:p w14:paraId="5ACBC9F4" w14:textId="776DE2D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McAuley H, Brij S, Calvert L.  P179 Utilisation of respiratory and haematology multi-disciplinary team (mdt) meeting for effective follow-up and management of pulmonary embolism (pe) in a district general hospital.  Thorax 2017;72:A179. </w:t>
            </w:r>
            <w:hyperlink r:id="rId136" w:history="1">
              <w:r w:rsidRPr="00315CD2">
                <w:rPr>
                  <w:rStyle w:val="Hyperlink"/>
                  <w:rFonts w:asciiTheme="minorHAnsi" w:hAnsiTheme="minorHAnsi" w:cs="Arial"/>
                  <w:szCs w:val="22"/>
                </w:rPr>
                <w:t>https://thorax.bmj.com/content/72/Suppl_3/A179.1.abstract</w:t>
              </w:r>
            </w:hyperlink>
          </w:p>
        </w:tc>
      </w:tr>
      <w:tr w:rsidR="007C2BA7" w:rsidRPr="00315CD2" w14:paraId="706F6C54" w14:textId="77777777" w:rsidTr="00E52914">
        <w:trPr>
          <w:trHeight w:val="282"/>
        </w:trPr>
        <w:tc>
          <w:tcPr>
            <w:tcW w:w="558" w:type="dxa"/>
          </w:tcPr>
          <w:p w14:paraId="3E239EF1" w14:textId="07C92ADF"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0</w:t>
            </w:r>
            <w:r w:rsidRPr="00315CD2">
              <w:rPr>
                <w:rFonts w:asciiTheme="minorHAnsi" w:hAnsiTheme="minorHAnsi"/>
                <w:szCs w:val="22"/>
                <w:lang w:eastAsia="en-GB"/>
              </w:rPr>
              <w:t>5</w:t>
            </w:r>
          </w:p>
        </w:tc>
        <w:tc>
          <w:tcPr>
            <w:tcW w:w="1071" w:type="dxa"/>
          </w:tcPr>
          <w:p w14:paraId="7795573E" w14:textId="4DA39FE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British Society of Interventional Radiology</w:t>
            </w:r>
          </w:p>
        </w:tc>
        <w:tc>
          <w:tcPr>
            <w:tcW w:w="2761" w:type="dxa"/>
          </w:tcPr>
          <w:p w14:paraId="3740E19B" w14:textId="193A467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2</w:t>
            </w:r>
          </w:p>
        </w:tc>
        <w:tc>
          <w:tcPr>
            <w:tcW w:w="3118" w:type="dxa"/>
          </w:tcPr>
          <w:p w14:paraId="4F1BC95B" w14:textId="6BAD61F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The support of general anaesthesia in the endovascular treatment of chronic DVT </w:t>
            </w:r>
          </w:p>
        </w:tc>
        <w:tc>
          <w:tcPr>
            <w:tcW w:w="3686" w:type="dxa"/>
          </w:tcPr>
          <w:p w14:paraId="75947022"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 xml:space="preserve">As it stands many sites do not have designated anaesthetic support for the management of DVT. </w:t>
            </w:r>
          </w:p>
          <w:p w14:paraId="78087DEC" w14:textId="5A9ED11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Chronic DVT treatment is both painful and long, thus the support of anaesthetics for an analgesia/sedation/G.A should be readily available. </w:t>
            </w:r>
          </w:p>
        </w:tc>
        <w:tc>
          <w:tcPr>
            <w:tcW w:w="3474" w:type="dxa"/>
          </w:tcPr>
          <w:p w14:paraId="19C87298"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 xml:space="preserve">Note work for Dr Gerry O’sullivan Galway Ireland, and other heavy DVT centres. </w:t>
            </w:r>
          </w:p>
          <w:p w14:paraId="39E0E1C6" w14:textId="77777777" w:rsidR="007C2BA7" w:rsidRPr="00315CD2" w:rsidRDefault="007C2BA7" w:rsidP="007C2BA7">
            <w:pPr>
              <w:rPr>
                <w:rFonts w:asciiTheme="minorHAnsi" w:hAnsiTheme="minorHAnsi"/>
                <w:sz w:val="22"/>
                <w:szCs w:val="22"/>
              </w:rPr>
            </w:pPr>
          </w:p>
          <w:p w14:paraId="78D3CD14" w14:textId="77777777" w:rsidR="007C2BA7" w:rsidRPr="00315CD2" w:rsidRDefault="007C2BA7" w:rsidP="007C2BA7">
            <w:pPr>
              <w:pStyle w:val="Tabletext"/>
              <w:rPr>
                <w:rFonts w:asciiTheme="minorHAnsi" w:hAnsiTheme="minorHAnsi"/>
                <w:szCs w:val="22"/>
              </w:rPr>
            </w:pPr>
          </w:p>
        </w:tc>
      </w:tr>
      <w:tr w:rsidR="007C2BA7" w:rsidRPr="00315CD2" w14:paraId="4A295F87" w14:textId="77777777" w:rsidTr="00E52914">
        <w:trPr>
          <w:trHeight w:val="282"/>
        </w:trPr>
        <w:tc>
          <w:tcPr>
            <w:tcW w:w="558" w:type="dxa"/>
          </w:tcPr>
          <w:p w14:paraId="51BFA842" w14:textId="49DB31FF"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0</w:t>
            </w:r>
            <w:r w:rsidRPr="00315CD2">
              <w:rPr>
                <w:rFonts w:asciiTheme="minorHAnsi" w:hAnsiTheme="minorHAnsi"/>
                <w:szCs w:val="22"/>
                <w:lang w:eastAsia="en-GB"/>
              </w:rPr>
              <w:t>6</w:t>
            </w:r>
          </w:p>
        </w:tc>
        <w:tc>
          <w:tcPr>
            <w:tcW w:w="1071" w:type="dxa"/>
          </w:tcPr>
          <w:p w14:paraId="40A6BA94" w14:textId="03423762" w:rsidR="007C2BA7" w:rsidRPr="00315CD2" w:rsidRDefault="007C2BA7" w:rsidP="007C2BA7">
            <w:pPr>
              <w:pStyle w:val="Tabletext"/>
              <w:rPr>
                <w:rFonts w:asciiTheme="minorHAnsi" w:hAnsiTheme="minorHAnsi"/>
                <w:szCs w:val="22"/>
              </w:rPr>
            </w:pPr>
            <w:r w:rsidRPr="00315CD2">
              <w:rPr>
                <w:rFonts w:asciiTheme="minorHAnsi" w:hAnsiTheme="minorHAnsi" w:cs="Arial"/>
                <w:b/>
                <w:bCs/>
                <w:szCs w:val="22"/>
              </w:rPr>
              <w:t>SCM2</w:t>
            </w:r>
          </w:p>
        </w:tc>
        <w:tc>
          <w:tcPr>
            <w:tcW w:w="2761" w:type="dxa"/>
            <w:shd w:val="clear" w:color="auto" w:fill="FFFFFF"/>
          </w:tcPr>
          <w:p w14:paraId="575087FF" w14:textId="1E5364E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Additional developmental areas of emergent practice</w:t>
            </w:r>
          </w:p>
        </w:tc>
        <w:tc>
          <w:tcPr>
            <w:tcW w:w="3118" w:type="dxa"/>
            <w:shd w:val="clear" w:color="auto" w:fill="FFFFFF"/>
          </w:tcPr>
          <w:p w14:paraId="00528B2D" w14:textId="77777777" w:rsidR="007C2BA7" w:rsidRPr="00315CD2" w:rsidRDefault="007C2BA7" w:rsidP="007C2BA7">
            <w:pPr>
              <w:pStyle w:val="TableText1"/>
              <w:rPr>
                <w:rFonts w:asciiTheme="minorHAnsi" w:hAnsiTheme="minorHAnsi" w:cs="Arial"/>
                <w:szCs w:val="22"/>
              </w:rPr>
            </w:pPr>
            <w:r w:rsidRPr="00315CD2">
              <w:rPr>
                <w:rFonts w:asciiTheme="minorHAnsi" w:hAnsiTheme="minorHAnsi" w:cs="Arial"/>
                <w:szCs w:val="22"/>
              </w:rPr>
              <w:t>Primary care referral guidance would aid quality improvement in the management/treatment guideline</w:t>
            </w:r>
          </w:p>
          <w:p w14:paraId="477E1F5F" w14:textId="77777777" w:rsidR="007C2BA7" w:rsidRPr="00315CD2" w:rsidRDefault="007C2BA7" w:rsidP="007C2BA7">
            <w:pPr>
              <w:pStyle w:val="Tabletext"/>
              <w:rPr>
                <w:rFonts w:asciiTheme="minorHAnsi" w:hAnsiTheme="minorHAnsi"/>
                <w:szCs w:val="22"/>
              </w:rPr>
            </w:pPr>
          </w:p>
        </w:tc>
        <w:tc>
          <w:tcPr>
            <w:tcW w:w="3686" w:type="dxa"/>
            <w:shd w:val="clear" w:color="auto" w:fill="FFFFFF"/>
          </w:tcPr>
          <w:p w14:paraId="4C866244" w14:textId="77777777" w:rsidR="007C2BA7" w:rsidRPr="00315CD2" w:rsidRDefault="007C2BA7" w:rsidP="007C2BA7">
            <w:pPr>
              <w:pStyle w:val="Tabletext"/>
              <w:rPr>
                <w:rFonts w:asciiTheme="minorHAnsi" w:hAnsiTheme="minorHAnsi"/>
                <w:szCs w:val="22"/>
              </w:rPr>
            </w:pPr>
          </w:p>
        </w:tc>
        <w:tc>
          <w:tcPr>
            <w:tcW w:w="3474" w:type="dxa"/>
            <w:shd w:val="clear" w:color="auto" w:fill="FFFFFF"/>
          </w:tcPr>
          <w:p w14:paraId="5A74B3FA" w14:textId="77777777" w:rsidR="007C2BA7" w:rsidRPr="00315CD2" w:rsidRDefault="007C2BA7" w:rsidP="007C2BA7">
            <w:pPr>
              <w:pStyle w:val="Tabletext"/>
              <w:rPr>
                <w:rFonts w:asciiTheme="minorHAnsi" w:hAnsiTheme="minorHAnsi"/>
                <w:szCs w:val="22"/>
              </w:rPr>
            </w:pPr>
          </w:p>
        </w:tc>
      </w:tr>
      <w:tr w:rsidR="007C2BA7" w:rsidRPr="00315CD2" w14:paraId="7D7D45EC" w14:textId="77777777" w:rsidTr="00E52914">
        <w:trPr>
          <w:trHeight w:val="282"/>
        </w:trPr>
        <w:tc>
          <w:tcPr>
            <w:tcW w:w="558" w:type="dxa"/>
          </w:tcPr>
          <w:p w14:paraId="75352BCB" w14:textId="70B9DE55"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0</w:t>
            </w:r>
            <w:r w:rsidRPr="00315CD2">
              <w:rPr>
                <w:rFonts w:asciiTheme="minorHAnsi" w:hAnsiTheme="minorHAnsi"/>
                <w:szCs w:val="22"/>
                <w:lang w:eastAsia="en-GB"/>
              </w:rPr>
              <w:t>7</w:t>
            </w:r>
          </w:p>
        </w:tc>
        <w:tc>
          <w:tcPr>
            <w:tcW w:w="1071" w:type="dxa"/>
          </w:tcPr>
          <w:p w14:paraId="13DE1418" w14:textId="79B1E9A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Society for Acute Medicine</w:t>
            </w:r>
          </w:p>
        </w:tc>
        <w:tc>
          <w:tcPr>
            <w:tcW w:w="2761" w:type="dxa"/>
          </w:tcPr>
          <w:p w14:paraId="395CACBE" w14:textId="77777777" w:rsidR="007C2BA7" w:rsidRPr="00315CD2" w:rsidRDefault="007C2BA7" w:rsidP="007C2BA7">
            <w:pPr>
              <w:pStyle w:val="Paragraphnonumbers"/>
              <w:spacing w:after="120"/>
              <w:rPr>
                <w:rFonts w:asciiTheme="minorHAnsi" w:hAnsiTheme="minorHAnsi" w:cs="Arial"/>
                <w:sz w:val="22"/>
                <w:szCs w:val="22"/>
              </w:rPr>
            </w:pPr>
            <w:r w:rsidRPr="00315CD2">
              <w:rPr>
                <w:rFonts w:asciiTheme="minorHAnsi" w:hAnsiTheme="minorHAnsi" w:cs="Arial"/>
                <w:sz w:val="22"/>
                <w:szCs w:val="22"/>
              </w:rPr>
              <w:t>Key area for quality improvement 3</w:t>
            </w:r>
          </w:p>
          <w:p w14:paraId="49B58E3F" w14:textId="335BC26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Standardise the investigation/treatment of pregnant women with suspected VTE</w:t>
            </w:r>
          </w:p>
        </w:tc>
        <w:tc>
          <w:tcPr>
            <w:tcW w:w="3118" w:type="dxa"/>
          </w:tcPr>
          <w:p w14:paraId="551EE333" w14:textId="623E9B6C" w:rsidR="007C2BA7" w:rsidRPr="00315CD2" w:rsidRDefault="007C2BA7" w:rsidP="007C2BA7">
            <w:pPr>
              <w:pStyle w:val="Tabletext"/>
              <w:rPr>
                <w:rFonts w:asciiTheme="minorHAnsi" w:hAnsiTheme="minorHAnsi"/>
                <w:szCs w:val="22"/>
              </w:rPr>
            </w:pPr>
            <w:bookmarkStart w:id="159" w:name="_Hlk50308153"/>
            <w:r w:rsidRPr="00315CD2">
              <w:rPr>
                <w:rFonts w:asciiTheme="minorHAnsi" w:hAnsiTheme="minorHAnsi" w:cs="Arial"/>
                <w:szCs w:val="22"/>
              </w:rPr>
              <w:t>Pregnant women ar eat risk of DVT /PE but their care often falls between medicine and obstetrics without any clear ownership and with guidelines again falling between two groups</w:t>
            </w:r>
            <w:bookmarkEnd w:id="159"/>
          </w:p>
        </w:tc>
        <w:tc>
          <w:tcPr>
            <w:tcW w:w="3686" w:type="dxa"/>
          </w:tcPr>
          <w:p w14:paraId="1CFEECFA" w14:textId="16DD778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Accepted guidelines and practice that can be used across the NHS so that all pregnant women are treated the same where ever they live</w:t>
            </w:r>
          </w:p>
        </w:tc>
        <w:tc>
          <w:tcPr>
            <w:tcW w:w="3474" w:type="dxa"/>
          </w:tcPr>
          <w:p w14:paraId="7AD5F74D" w14:textId="493FEC4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Need to work with RCOG as well as haematology/acute physicians</w:t>
            </w:r>
          </w:p>
        </w:tc>
      </w:tr>
      <w:tr w:rsidR="007C2BA7" w:rsidRPr="00315CD2" w14:paraId="15D563EF" w14:textId="77777777" w:rsidTr="00E52914">
        <w:trPr>
          <w:trHeight w:val="282"/>
        </w:trPr>
        <w:tc>
          <w:tcPr>
            <w:tcW w:w="558" w:type="dxa"/>
          </w:tcPr>
          <w:p w14:paraId="3FA08DA1" w14:textId="2304E61A"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0</w:t>
            </w:r>
            <w:r w:rsidRPr="00315CD2">
              <w:rPr>
                <w:rFonts w:asciiTheme="minorHAnsi" w:hAnsiTheme="minorHAnsi"/>
                <w:szCs w:val="22"/>
                <w:lang w:eastAsia="en-GB"/>
              </w:rPr>
              <w:t>8</w:t>
            </w:r>
          </w:p>
        </w:tc>
        <w:tc>
          <w:tcPr>
            <w:tcW w:w="1071" w:type="dxa"/>
          </w:tcPr>
          <w:p w14:paraId="0D662C96" w14:textId="345774D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British Thoracic Society </w:t>
            </w:r>
          </w:p>
        </w:tc>
        <w:tc>
          <w:tcPr>
            <w:tcW w:w="2761" w:type="dxa"/>
          </w:tcPr>
          <w:p w14:paraId="23C93AD4" w14:textId="1A2B612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4</w:t>
            </w:r>
          </w:p>
        </w:tc>
        <w:tc>
          <w:tcPr>
            <w:tcW w:w="3118" w:type="dxa"/>
          </w:tcPr>
          <w:p w14:paraId="79E2A3AA" w14:textId="0D3A323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Identification of patients suitable for entry into a formal outpatient management pathway</w:t>
            </w:r>
          </w:p>
        </w:tc>
        <w:tc>
          <w:tcPr>
            <w:tcW w:w="3686" w:type="dxa"/>
          </w:tcPr>
          <w:p w14:paraId="06ADA9FF" w14:textId="77777777" w:rsidR="007C2BA7" w:rsidRPr="00315CD2" w:rsidRDefault="007C2BA7" w:rsidP="007C2BA7">
            <w:pPr>
              <w:pStyle w:val="Tabletext"/>
              <w:rPr>
                <w:rFonts w:asciiTheme="minorHAnsi" w:hAnsiTheme="minorHAnsi"/>
                <w:szCs w:val="22"/>
              </w:rPr>
            </w:pPr>
          </w:p>
        </w:tc>
        <w:tc>
          <w:tcPr>
            <w:tcW w:w="3474" w:type="dxa"/>
          </w:tcPr>
          <w:p w14:paraId="4F5F4B37" w14:textId="77777777" w:rsidR="007C2BA7" w:rsidRPr="00315CD2" w:rsidRDefault="007C2BA7" w:rsidP="007C2BA7">
            <w:pPr>
              <w:pStyle w:val="Tabletext"/>
              <w:rPr>
                <w:rFonts w:asciiTheme="minorHAnsi" w:hAnsiTheme="minorHAnsi"/>
                <w:szCs w:val="22"/>
              </w:rPr>
            </w:pPr>
          </w:p>
        </w:tc>
      </w:tr>
      <w:tr w:rsidR="007C2BA7" w:rsidRPr="00315CD2" w14:paraId="147AFD0F" w14:textId="77777777" w:rsidTr="00E52914">
        <w:trPr>
          <w:trHeight w:val="282"/>
        </w:trPr>
        <w:tc>
          <w:tcPr>
            <w:tcW w:w="558" w:type="dxa"/>
          </w:tcPr>
          <w:p w14:paraId="4957151E" w14:textId="1F2009E1"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0</w:t>
            </w:r>
            <w:r w:rsidRPr="00315CD2">
              <w:rPr>
                <w:rFonts w:asciiTheme="minorHAnsi" w:hAnsiTheme="minorHAnsi"/>
                <w:szCs w:val="22"/>
                <w:lang w:eastAsia="en-GB"/>
              </w:rPr>
              <w:t>9</w:t>
            </w:r>
          </w:p>
        </w:tc>
        <w:tc>
          <w:tcPr>
            <w:tcW w:w="1071" w:type="dxa"/>
          </w:tcPr>
          <w:p w14:paraId="2CD20C19" w14:textId="0CA4374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Society for Acute Medicine</w:t>
            </w:r>
          </w:p>
        </w:tc>
        <w:tc>
          <w:tcPr>
            <w:tcW w:w="2761" w:type="dxa"/>
          </w:tcPr>
          <w:p w14:paraId="12EA52FA" w14:textId="77777777" w:rsidR="007C2BA7" w:rsidRPr="00315CD2" w:rsidRDefault="007C2BA7" w:rsidP="007C2BA7">
            <w:pPr>
              <w:pStyle w:val="Paragraphnonumbers"/>
              <w:spacing w:after="120"/>
              <w:rPr>
                <w:rFonts w:asciiTheme="minorHAnsi" w:hAnsiTheme="minorHAnsi" w:cs="Arial"/>
                <w:sz w:val="22"/>
                <w:szCs w:val="22"/>
              </w:rPr>
            </w:pPr>
            <w:r w:rsidRPr="00315CD2">
              <w:rPr>
                <w:rFonts w:asciiTheme="minorHAnsi" w:hAnsiTheme="minorHAnsi" w:cs="Arial"/>
                <w:sz w:val="22"/>
                <w:szCs w:val="22"/>
              </w:rPr>
              <w:t>Key area for quality improvement 1</w:t>
            </w:r>
          </w:p>
          <w:p w14:paraId="1126D9A6" w14:textId="427DF7A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Use of Same Day Emergency Care (SDEC) for all</w:t>
            </w:r>
          </w:p>
        </w:tc>
        <w:tc>
          <w:tcPr>
            <w:tcW w:w="3118" w:type="dxa"/>
          </w:tcPr>
          <w:p w14:paraId="1A78827C" w14:textId="7593337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There is evidence that VTE (both DVT and PE) can safely be managed in an outpatient (-SDEC) setting and it should be recommended that every person with suspected VTE should be assessed and treated through SDEC unless contra indicated</w:t>
            </w:r>
          </w:p>
        </w:tc>
        <w:tc>
          <w:tcPr>
            <w:tcW w:w="3686" w:type="dxa"/>
          </w:tcPr>
          <w:p w14:paraId="2B2A15A1"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We know through audit work (eg SAMBA) that the proportion of patients with VTE treated through SDEC varies greatly.</w:t>
            </w:r>
          </w:p>
          <w:p w14:paraId="1C3285F9" w14:textId="088C7A5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Anecdotal evidence also shows great differences in pathways of care for these conditions with varying degrees of responsibility between primary and secondary care</w:t>
            </w:r>
          </w:p>
        </w:tc>
        <w:tc>
          <w:tcPr>
            <w:tcW w:w="3474" w:type="dxa"/>
          </w:tcPr>
          <w:p w14:paraId="594A5A67" w14:textId="103EF01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SAMBA data eg </w:t>
            </w:r>
            <w:hyperlink r:id="rId137" w:history="1">
              <w:r w:rsidRPr="00315CD2">
                <w:rPr>
                  <w:rStyle w:val="Hyperlink"/>
                  <w:rFonts w:asciiTheme="minorHAnsi" w:hAnsiTheme="minorHAnsi" w:cs="Arial"/>
                  <w:szCs w:val="22"/>
                </w:rPr>
                <w:t>https://www.acutemedicine.org.uk/guidelines-and-reports/samba-2019-national-report/</w:t>
              </w:r>
            </w:hyperlink>
            <w:r w:rsidRPr="00315CD2">
              <w:rPr>
                <w:rFonts w:asciiTheme="minorHAnsi" w:hAnsiTheme="minorHAnsi" w:cs="Arial"/>
                <w:szCs w:val="22"/>
              </w:rPr>
              <w:t xml:space="preserve"> </w:t>
            </w:r>
          </w:p>
        </w:tc>
      </w:tr>
      <w:tr w:rsidR="007C2BA7" w:rsidRPr="00315CD2" w14:paraId="5CF24C39" w14:textId="77777777" w:rsidTr="00E52914">
        <w:trPr>
          <w:trHeight w:val="282"/>
        </w:trPr>
        <w:tc>
          <w:tcPr>
            <w:tcW w:w="558" w:type="dxa"/>
          </w:tcPr>
          <w:p w14:paraId="0CE0A743" w14:textId="3109ACD4"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1</w:t>
            </w:r>
            <w:r w:rsidRPr="00315CD2">
              <w:rPr>
                <w:rFonts w:asciiTheme="minorHAnsi" w:hAnsiTheme="minorHAnsi"/>
                <w:szCs w:val="22"/>
                <w:lang w:eastAsia="en-GB"/>
              </w:rPr>
              <w:t>0</w:t>
            </w:r>
          </w:p>
        </w:tc>
        <w:tc>
          <w:tcPr>
            <w:tcW w:w="1071" w:type="dxa"/>
          </w:tcPr>
          <w:p w14:paraId="217D6106" w14:textId="598D85E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All Party Parliamentary Group on Vascular and Venous Disease</w:t>
            </w:r>
          </w:p>
        </w:tc>
        <w:tc>
          <w:tcPr>
            <w:tcW w:w="2761" w:type="dxa"/>
          </w:tcPr>
          <w:p w14:paraId="61FFF90C" w14:textId="25580B0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Incentivisation of regional venous networks</w:t>
            </w:r>
          </w:p>
        </w:tc>
        <w:tc>
          <w:tcPr>
            <w:tcW w:w="3118" w:type="dxa"/>
          </w:tcPr>
          <w:p w14:paraId="34022158" w14:textId="3DABBFE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The development of regional venous networks should be incentivised.</w:t>
            </w:r>
          </w:p>
        </w:tc>
        <w:tc>
          <w:tcPr>
            <w:tcW w:w="3686" w:type="dxa"/>
          </w:tcPr>
          <w:p w14:paraId="50C5FA98" w14:textId="00EE72F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Area of improvement.</w:t>
            </w:r>
          </w:p>
        </w:tc>
        <w:tc>
          <w:tcPr>
            <w:tcW w:w="3474" w:type="dxa"/>
          </w:tcPr>
          <w:p w14:paraId="562B79F3" w14:textId="56BC2F7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Reference (1): Streiff MB et al., The Johns Hopkins Venous Thromboembolism Collaborative: Multidisciplinary team approach to achieve perfect prophylaxis. J Hosp Med. 2016;11 Suppl 2:S8-S14; reference (2): Anecdotal feedback from healthcare professionals.</w:t>
            </w:r>
          </w:p>
        </w:tc>
      </w:tr>
      <w:tr w:rsidR="007C2BA7" w:rsidRPr="00315CD2" w14:paraId="4073D385" w14:textId="77777777" w:rsidTr="00E52914">
        <w:trPr>
          <w:trHeight w:val="282"/>
        </w:trPr>
        <w:tc>
          <w:tcPr>
            <w:tcW w:w="558" w:type="dxa"/>
          </w:tcPr>
          <w:p w14:paraId="3D3E4F92" w14:textId="111AC45D"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1</w:t>
            </w:r>
            <w:r w:rsidRPr="00315CD2">
              <w:rPr>
                <w:rFonts w:asciiTheme="minorHAnsi" w:hAnsiTheme="minorHAnsi"/>
                <w:szCs w:val="22"/>
                <w:lang w:eastAsia="en-GB"/>
              </w:rPr>
              <w:t>1</w:t>
            </w:r>
          </w:p>
        </w:tc>
        <w:tc>
          <w:tcPr>
            <w:tcW w:w="1071" w:type="dxa"/>
          </w:tcPr>
          <w:p w14:paraId="1A7F6018" w14:textId="0C76A12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All Party Parliamentary Group on Vascular and Venous Disease</w:t>
            </w:r>
          </w:p>
        </w:tc>
        <w:tc>
          <w:tcPr>
            <w:tcW w:w="2761" w:type="dxa"/>
          </w:tcPr>
          <w:p w14:paraId="3E1068AC" w14:textId="77777777" w:rsidR="007C2BA7" w:rsidRPr="00315CD2" w:rsidRDefault="007C2BA7" w:rsidP="007C2BA7">
            <w:pPr>
              <w:pStyle w:val="ListParagraph"/>
              <w:ind w:left="0"/>
              <w:rPr>
                <w:rFonts w:asciiTheme="minorHAnsi" w:hAnsiTheme="minorHAnsi" w:cs="Arial"/>
                <w:sz w:val="22"/>
                <w:szCs w:val="22"/>
              </w:rPr>
            </w:pPr>
            <w:r w:rsidRPr="00315CD2">
              <w:rPr>
                <w:rFonts w:asciiTheme="minorHAnsi" w:hAnsiTheme="minorHAnsi" w:cs="Arial"/>
                <w:sz w:val="22"/>
                <w:szCs w:val="22"/>
              </w:rPr>
              <w:t>Post venous thromboembolism  management.</w:t>
            </w:r>
          </w:p>
          <w:p w14:paraId="23963A35" w14:textId="77777777" w:rsidR="007C2BA7" w:rsidRPr="00315CD2" w:rsidRDefault="007C2BA7" w:rsidP="007C2BA7">
            <w:pPr>
              <w:pStyle w:val="Tabletext"/>
              <w:rPr>
                <w:rFonts w:asciiTheme="minorHAnsi" w:hAnsiTheme="minorHAnsi"/>
                <w:szCs w:val="22"/>
              </w:rPr>
            </w:pPr>
          </w:p>
        </w:tc>
        <w:tc>
          <w:tcPr>
            <w:tcW w:w="3118" w:type="dxa"/>
          </w:tcPr>
          <w:p w14:paraId="5543D3A7" w14:textId="168C67BA"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This must include existing potential management options. The traditional (non-operative) option has been discussed in 3a above and there is no clear evidence to support their use. The surgical approach of deep venous stenting for ilio-femoral chronic venous disease has been demonstrated to be a safe intervention and an alternative approach. Additionally, there should be clear, defined protocols in place for patient follow-up when endovascular treatment of ilio-femoral deep venous thrombosis is undertaken.</w:t>
            </w:r>
          </w:p>
        </w:tc>
        <w:tc>
          <w:tcPr>
            <w:tcW w:w="3686" w:type="dxa"/>
          </w:tcPr>
          <w:p w14:paraId="261B83B0" w14:textId="23740AD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Area of improvement. Inconsistency and variation in practice.</w:t>
            </w:r>
          </w:p>
        </w:tc>
        <w:tc>
          <w:tcPr>
            <w:tcW w:w="3474" w:type="dxa"/>
          </w:tcPr>
          <w:p w14:paraId="0897BE7F" w14:textId="35D16DE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Reference (1): Maynard G et al., Multidisciplinary initiative to improve inpatient anticoagulation and management of venous thromboembolism. Am J Health Syst Pharm. 2014;71(4):305-310;                reference (2): Kahn SR et al., Guidance for the prevention and treatment of the post-thrombotic syndrome. J Thromb Thrombolysis. 2016;41(1):144-153; reference (3) Anecdotal feedback from healthcare professionals.</w:t>
            </w:r>
          </w:p>
        </w:tc>
      </w:tr>
      <w:tr w:rsidR="007C2BA7" w:rsidRPr="00315CD2" w14:paraId="195E04A4" w14:textId="77777777" w:rsidTr="00E52914">
        <w:trPr>
          <w:trHeight w:val="282"/>
        </w:trPr>
        <w:tc>
          <w:tcPr>
            <w:tcW w:w="558" w:type="dxa"/>
          </w:tcPr>
          <w:p w14:paraId="760DD3B2" w14:textId="57E13227"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1</w:t>
            </w:r>
            <w:r w:rsidRPr="00315CD2">
              <w:rPr>
                <w:rFonts w:asciiTheme="minorHAnsi" w:hAnsiTheme="minorHAnsi"/>
                <w:szCs w:val="22"/>
                <w:lang w:eastAsia="en-GB"/>
              </w:rPr>
              <w:t>2</w:t>
            </w:r>
          </w:p>
        </w:tc>
        <w:tc>
          <w:tcPr>
            <w:tcW w:w="1071" w:type="dxa"/>
          </w:tcPr>
          <w:p w14:paraId="0B7F50DF" w14:textId="3E729B9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Thrombosis UK</w:t>
            </w:r>
          </w:p>
        </w:tc>
        <w:tc>
          <w:tcPr>
            <w:tcW w:w="2761" w:type="dxa"/>
          </w:tcPr>
          <w:p w14:paraId="2E4E4292" w14:textId="4DC8248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Key area for quality improvement 1</w:t>
            </w:r>
          </w:p>
        </w:tc>
        <w:tc>
          <w:tcPr>
            <w:tcW w:w="3118" w:type="dxa"/>
          </w:tcPr>
          <w:p w14:paraId="122D6699" w14:textId="77777777" w:rsidR="007C2BA7" w:rsidRPr="00315CD2" w:rsidRDefault="007C2BA7" w:rsidP="007C2BA7">
            <w:pPr>
              <w:rPr>
                <w:rFonts w:asciiTheme="minorHAnsi" w:hAnsiTheme="minorHAnsi" w:cs="Calibri"/>
                <w:color w:val="000000"/>
                <w:sz w:val="22"/>
                <w:szCs w:val="22"/>
              </w:rPr>
            </w:pPr>
            <w:r w:rsidRPr="00315CD2">
              <w:rPr>
                <w:rFonts w:asciiTheme="minorHAnsi" w:hAnsiTheme="minorHAnsi" w:cs="Calibri"/>
                <w:color w:val="000000"/>
                <w:sz w:val="22"/>
                <w:szCs w:val="22"/>
              </w:rPr>
              <w:t>Better education about the diagnosis of VTE so that it is considered in the diagnosis of anyone with leg or chest problems have prompt and timely investigation and diagnosis for venous thromboembolism (VTE) is vital.</w:t>
            </w:r>
          </w:p>
          <w:p w14:paraId="0B5CA06D" w14:textId="77777777" w:rsidR="007C2BA7" w:rsidRPr="00315CD2" w:rsidRDefault="007C2BA7" w:rsidP="007C2BA7">
            <w:pPr>
              <w:pStyle w:val="Tabletext"/>
              <w:rPr>
                <w:rFonts w:asciiTheme="minorHAnsi" w:hAnsiTheme="minorHAnsi"/>
                <w:szCs w:val="22"/>
              </w:rPr>
            </w:pPr>
          </w:p>
        </w:tc>
        <w:tc>
          <w:tcPr>
            <w:tcW w:w="3686" w:type="dxa"/>
          </w:tcPr>
          <w:p w14:paraId="72C5A71D"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Thrombosis UK receives a great many enquiries from individuals who have faced delay and misdiagnosis (please see attached summary case accounts).</w:t>
            </w:r>
          </w:p>
          <w:p w14:paraId="23A8F1D5"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 xml:space="preserve">As a result: </w:t>
            </w:r>
          </w:p>
          <w:p w14:paraId="23523A3E"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 xml:space="preserve">The VTE is often more severe, causing a PE as well as DVT. </w:t>
            </w:r>
          </w:p>
          <w:p w14:paraId="24912967"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 xml:space="preserve">Damage caused can be long-lasting and sometimes life changing. </w:t>
            </w:r>
          </w:p>
          <w:p w14:paraId="6FEE15D4"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Tragically delay in investigation and diagnosis leads to preventable deaths.</w:t>
            </w:r>
          </w:p>
          <w:p w14:paraId="7B8330B6" w14:textId="1BC855D0" w:rsidR="007C2BA7" w:rsidRPr="00315CD2" w:rsidRDefault="007C2BA7" w:rsidP="007C2BA7">
            <w:pPr>
              <w:pStyle w:val="Tabletext"/>
              <w:rPr>
                <w:rFonts w:asciiTheme="minorHAnsi" w:hAnsiTheme="minorHAnsi"/>
                <w:szCs w:val="22"/>
              </w:rPr>
            </w:pPr>
            <w:r w:rsidRPr="00315CD2">
              <w:rPr>
                <w:rFonts w:asciiTheme="minorHAnsi" w:hAnsiTheme="minorHAnsi" w:cs="Calibri"/>
                <w:szCs w:val="22"/>
              </w:rPr>
              <w:t>Recovery is slow and the impact from suffering a VTE is far greater on the individual physically and also the psychological impact.</w:t>
            </w:r>
          </w:p>
        </w:tc>
        <w:tc>
          <w:tcPr>
            <w:tcW w:w="3474" w:type="dxa"/>
          </w:tcPr>
          <w:p w14:paraId="6F90C056" w14:textId="77777777" w:rsidR="007C2BA7" w:rsidRPr="00315CD2" w:rsidRDefault="007C2BA7" w:rsidP="007C2BA7">
            <w:pPr>
              <w:pStyle w:val="Paragraphnonumbers"/>
              <w:rPr>
                <w:rFonts w:asciiTheme="minorHAnsi" w:hAnsiTheme="minorHAnsi" w:cs="Calibri"/>
                <w:sz w:val="22"/>
                <w:szCs w:val="22"/>
              </w:rPr>
            </w:pPr>
            <w:r w:rsidRPr="00315CD2">
              <w:rPr>
                <w:rFonts w:asciiTheme="minorHAnsi" w:hAnsiTheme="minorHAnsi" w:cs="Calibri"/>
                <w:sz w:val="22"/>
                <w:szCs w:val="22"/>
              </w:rPr>
              <w:t>Example case studies shared with Thrombosis UK which highlight this issue. We can provide further examples:</w:t>
            </w:r>
          </w:p>
          <w:p w14:paraId="1F2F90CA" w14:textId="77777777" w:rsidR="007C2BA7" w:rsidRPr="00315CD2" w:rsidRDefault="007C2BA7" w:rsidP="007C2BA7">
            <w:pPr>
              <w:pStyle w:val="Paragraphnonumbers"/>
              <w:numPr>
                <w:ilvl w:val="0"/>
                <w:numId w:val="13"/>
              </w:numPr>
              <w:spacing w:after="0" w:line="240" w:lineRule="auto"/>
              <w:ind w:left="1077"/>
              <w:rPr>
                <w:rFonts w:asciiTheme="minorHAnsi" w:hAnsiTheme="minorHAnsi" w:cs="Calibri"/>
                <w:b/>
                <w:bCs/>
                <w:sz w:val="22"/>
                <w:szCs w:val="22"/>
              </w:rPr>
            </w:pPr>
            <w:r w:rsidRPr="00315CD2">
              <w:rPr>
                <w:rFonts w:asciiTheme="minorHAnsi" w:hAnsiTheme="minorHAnsi" w:cs="Calibri"/>
                <w:b/>
                <w:bCs/>
                <w:sz w:val="22"/>
                <w:szCs w:val="22"/>
              </w:rPr>
              <w:t>Louis</w:t>
            </w:r>
          </w:p>
          <w:p w14:paraId="7ED25E6F" w14:textId="77777777" w:rsidR="007C2BA7" w:rsidRPr="00315CD2" w:rsidRDefault="007C2BA7" w:rsidP="007C2BA7">
            <w:pPr>
              <w:pStyle w:val="Paragraphnonumbers"/>
              <w:spacing w:after="0" w:line="240" w:lineRule="auto"/>
              <w:ind w:left="1077"/>
              <w:rPr>
                <w:rFonts w:asciiTheme="minorHAnsi" w:hAnsiTheme="minorHAnsi" w:cs="Calibri"/>
                <w:sz w:val="22"/>
                <w:szCs w:val="22"/>
              </w:rPr>
            </w:pPr>
            <w:r w:rsidRPr="00315CD2">
              <w:rPr>
                <w:rFonts w:asciiTheme="minorHAnsi" w:hAnsiTheme="minorHAnsi" w:cs="Calibri"/>
                <w:sz w:val="22"/>
                <w:szCs w:val="22"/>
              </w:rPr>
              <w:t>Aged 24, fit &amp; healthy football coach. During lock-down became very sedentary.</w:t>
            </w:r>
          </w:p>
          <w:p w14:paraId="677DCC59" w14:textId="77777777" w:rsidR="007C2BA7" w:rsidRPr="00315CD2" w:rsidRDefault="007C2BA7" w:rsidP="007C2BA7">
            <w:pPr>
              <w:pStyle w:val="Paragraphnonumbers"/>
              <w:spacing w:after="0" w:line="240" w:lineRule="auto"/>
              <w:ind w:left="1077"/>
              <w:rPr>
                <w:rFonts w:asciiTheme="minorHAnsi" w:hAnsiTheme="minorHAnsi" w:cs="Calibri"/>
                <w:sz w:val="22"/>
                <w:szCs w:val="22"/>
              </w:rPr>
            </w:pPr>
            <w:r w:rsidRPr="00315CD2">
              <w:rPr>
                <w:rFonts w:asciiTheme="minorHAnsi" w:hAnsiTheme="minorHAnsi" w:cs="Calibri"/>
                <w:sz w:val="22"/>
                <w:szCs w:val="22"/>
              </w:rPr>
              <w:t>Reported (111 and GP) leg pain, some swelling, shortness of breath and incident of blacking out.</w:t>
            </w:r>
          </w:p>
          <w:p w14:paraId="60154E44" w14:textId="77777777" w:rsidR="007C2BA7" w:rsidRPr="00315CD2" w:rsidRDefault="007C2BA7" w:rsidP="007C2BA7">
            <w:pPr>
              <w:pStyle w:val="Paragraphnonumbers"/>
              <w:spacing w:after="0" w:line="240" w:lineRule="auto"/>
              <w:ind w:left="1077"/>
              <w:rPr>
                <w:rFonts w:asciiTheme="minorHAnsi" w:hAnsiTheme="minorHAnsi" w:cs="Calibri"/>
                <w:sz w:val="22"/>
                <w:szCs w:val="22"/>
              </w:rPr>
            </w:pPr>
            <w:r w:rsidRPr="00315CD2">
              <w:rPr>
                <w:rFonts w:asciiTheme="minorHAnsi" w:hAnsiTheme="minorHAnsi" w:cs="Calibri"/>
                <w:sz w:val="22"/>
                <w:szCs w:val="22"/>
              </w:rPr>
              <w:t>Suggested he had food poisoning.</w:t>
            </w:r>
          </w:p>
          <w:p w14:paraId="2C688209" w14:textId="77777777" w:rsidR="007C2BA7" w:rsidRPr="00315CD2" w:rsidRDefault="007C2BA7" w:rsidP="007C2BA7">
            <w:pPr>
              <w:pStyle w:val="Paragraphnonumbers"/>
              <w:spacing w:after="0" w:line="240" w:lineRule="auto"/>
              <w:ind w:left="1077"/>
              <w:rPr>
                <w:rFonts w:asciiTheme="minorHAnsi" w:hAnsiTheme="minorHAnsi" w:cs="Calibri"/>
                <w:sz w:val="22"/>
                <w:szCs w:val="22"/>
              </w:rPr>
            </w:pPr>
            <w:r w:rsidRPr="00315CD2">
              <w:rPr>
                <w:rFonts w:asciiTheme="minorHAnsi" w:hAnsiTheme="minorHAnsi" w:cs="Calibri"/>
                <w:sz w:val="22"/>
                <w:szCs w:val="22"/>
              </w:rPr>
              <w:t>Follow up call but no investigation into why a previously fit and healthy young person had ongoing symptoms.</w:t>
            </w:r>
          </w:p>
          <w:p w14:paraId="40516C5C" w14:textId="77777777" w:rsidR="007C2BA7" w:rsidRPr="00315CD2" w:rsidRDefault="007C2BA7" w:rsidP="007C2BA7">
            <w:pPr>
              <w:pStyle w:val="Paragraphnonumbers"/>
              <w:spacing w:after="0" w:line="240" w:lineRule="auto"/>
              <w:ind w:left="1077"/>
              <w:rPr>
                <w:rFonts w:asciiTheme="minorHAnsi" w:hAnsiTheme="minorHAnsi" w:cs="Calibri"/>
                <w:sz w:val="22"/>
                <w:szCs w:val="22"/>
              </w:rPr>
            </w:pPr>
            <w:r w:rsidRPr="00315CD2">
              <w:rPr>
                <w:rFonts w:asciiTheme="minorHAnsi" w:hAnsiTheme="minorHAnsi" w:cs="Calibri"/>
                <w:sz w:val="22"/>
                <w:szCs w:val="22"/>
              </w:rPr>
              <w:t>Louis died June 2020</w:t>
            </w:r>
          </w:p>
          <w:p w14:paraId="0EB6DE24" w14:textId="77777777" w:rsidR="007C2BA7" w:rsidRPr="00315CD2" w:rsidRDefault="007C2BA7" w:rsidP="007C2BA7">
            <w:pPr>
              <w:pStyle w:val="Paragraphnonumbers"/>
              <w:spacing w:after="0" w:line="240" w:lineRule="auto"/>
              <w:ind w:left="1077"/>
              <w:rPr>
                <w:rFonts w:asciiTheme="minorHAnsi" w:hAnsiTheme="minorHAnsi" w:cs="Calibri"/>
                <w:sz w:val="22"/>
                <w:szCs w:val="22"/>
              </w:rPr>
            </w:pPr>
            <w:r w:rsidRPr="00315CD2">
              <w:rPr>
                <w:rFonts w:asciiTheme="minorHAnsi" w:hAnsiTheme="minorHAnsi" w:cs="Calibri"/>
                <w:sz w:val="22"/>
                <w:szCs w:val="22"/>
              </w:rPr>
              <w:t>Coroner reported cause: undiagnosed VTE</w:t>
            </w:r>
          </w:p>
          <w:p w14:paraId="1874C0F4" w14:textId="77777777" w:rsidR="007C2BA7" w:rsidRPr="00315CD2" w:rsidRDefault="007C2BA7" w:rsidP="007C2BA7">
            <w:pPr>
              <w:pStyle w:val="Paragraphnonumbers"/>
              <w:numPr>
                <w:ilvl w:val="0"/>
                <w:numId w:val="13"/>
              </w:numPr>
              <w:spacing w:after="0" w:line="240" w:lineRule="auto"/>
              <w:rPr>
                <w:rFonts w:asciiTheme="minorHAnsi" w:hAnsiTheme="minorHAnsi" w:cs="Calibri"/>
                <w:b/>
                <w:bCs/>
                <w:sz w:val="22"/>
                <w:szCs w:val="22"/>
              </w:rPr>
            </w:pPr>
            <w:r w:rsidRPr="00315CD2">
              <w:rPr>
                <w:rFonts w:asciiTheme="minorHAnsi" w:hAnsiTheme="minorHAnsi" w:cs="Calibri"/>
                <w:b/>
                <w:bCs/>
                <w:sz w:val="22"/>
                <w:szCs w:val="22"/>
              </w:rPr>
              <w:t>Rachel</w:t>
            </w:r>
          </w:p>
          <w:p w14:paraId="521B1B1E"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Aged 16 yrs, fit &amp; healthy, on combined oral contraceptive pill. Complained of breathlessness and general unwell.</w:t>
            </w:r>
          </w:p>
          <w:p w14:paraId="74EC3CDD"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October 2016 visited GP and diagnosed with chest infection. Did not improve, Breathlessness worse, struggled with stairs.</w:t>
            </w:r>
          </w:p>
          <w:p w14:paraId="25E7EADD"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Early Jan returned to GP. Diagnosed asthma and given inhaler. No improvement, told using inhaler incorrectly.</w:t>
            </w:r>
          </w:p>
          <w:p w14:paraId="4D29EE6F"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Mid Jan, coughed up blood, taken to hospital and diagnosed with multiple PEs.</w:t>
            </w:r>
          </w:p>
          <w:p w14:paraId="5CAD0378"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Told unprovoked and to remain on long-term anticoagulation. Patient self-stopped anticoagulation 2018 due to impact on periods.</w:t>
            </w:r>
          </w:p>
          <w:p w14:paraId="746B090D" w14:textId="77777777" w:rsidR="007C2BA7" w:rsidRPr="00315CD2" w:rsidRDefault="007C2BA7" w:rsidP="007C2BA7">
            <w:pPr>
              <w:pStyle w:val="Paragraphnonumbers"/>
              <w:numPr>
                <w:ilvl w:val="0"/>
                <w:numId w:val="13"/>
              </w:numPr>
              <w:spacing w:after="0" w:line="240" w:lineRule="auto"/>
              <w:rPr>
                <w:rFonts w:asciiTheme="minorHAnsi" w:hAnsiTheme="minorHAnsi" w:cs="Calibri"/>
                <w:b/>
                <w:bCs/>
                <w:sz w:val="22"/>
                <w:szCs w:val="22"/>
              </w:rPr>
            </w:pPr>
            <w:r w:rsidRPr="00315CD2">
              <w:rPr>
                <w:rFonts w:asciiTheme="minorHAnsi" w:hAnsiTheme="minorHAnsi" w:cs="Calibri"/>
                <w:b/>
                <w:bCs/>
                <w:sz w:val="22"/>
                <w:szCs w:val="22"/>
              </w:rPr>
              <w:t>Becky</w:t>
            </w:r>
          </w:p>
          <w:p w14:paraId="49473E98"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Aged 27 yrs, fit &amp; healthy, keen horse rider. May 2020, realised she was increasingly short of breath and had leg muscle pain. Called 111 suggested it might be COVID-19.</w:t>
            </w:r>
          </w:p>
          <w:p w14:paraId="4D392542"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Woke in extreme pain and called 111, told COVID-19 can cause extreme pain.</w:t>
            </w:r>
          </w:p>
          <w:p w14:paraId="24573F3A"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 xml:space="preserve">Continued with increasing symptoms including pain, leg discolouration, breathless, cough, black-out and confusion. </w:t>
            </w:r>
          </w:p>
          <w:p w14:paraId="42215D47"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Family took Becky to hospital, diagnosed with multiple PEs, admitted to critical care. June 2020.</w:t>
            </w:r>
          </w:p>
          <w:p w14:paraId="15043208" w14:textId="77777777" w:rsidR="007C2BA7" w:rsidRPr="00315CD2" w:rsidRDefault="007C2BA7" w:rsidP="007C2BA7">
            <w:pPr>
              <w:pStyle w:val="Paragraphnonumbers"/>
              <w:numPr>
                <w:ilvl w:val="0"/>
                <w:numId w:val="13"/>
              </w:numPr>
              <w:spacing w:after="0" w:line="240" w:lineRule="auto"/>
              <w:rPr>
                <w:rFonts w:asciiTheme="minorHAnsi" w:hAnsiTheme="minorHAnsi" w:cs="Calibri"/>
                <w:b/>
                <w:bCs/>
                <w:sz w:val="22"/>
                <w:szCs w:val="22"/>
              </w:rPr>
            </w:pPr>
            <w:r w:rsidRPr="00315CD2">
              <w:rPr>
                <w:rFonts w:asciiTheme="minorHAnsi" w:hAnsiTheme="minorHAnsi" w:cs="Calibri"/>
                <w:b/>
                <w:bCs/>
                <w:sz w:val="22"/>
                <w:szCs w:val="22"/>
              </w:rPr>
              <w:t>Brian</w:t>
            </w:r>
          </w:p>
          <w:p w14:paraId="5D000A16"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Aged 46, had been on long distance car journey (13+ hours). Woke in intense pain. Struggled to walk but continued for 48 hours. Family took him to A&amp;E. D-dimer showed positive but scan did not show a clot. No swelling so HCPs thought unlikely it was a clot.</w:t>
            </w:r>
          </w:p>
          <w:p w14:paraId="658FDC23"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Pain persisted, second scan, no clot found.</w:t>
            </w:r>
          </w:p>
          <w:p w14:paraId="5AFD0501"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3 weeks later investigated again and clot detected. Told parts could break-off and travel round the blood. No information given and Brian spent weeks scared to move and unsure what to do. Every pain since has terrified him.</w:t>
            </w:r>
          </w:p>
          <w:p w14:paraId="37B5CC7C" w14:textId="77777777" w:rsidR="007C2BA7" w:rsidRPr="00315CD2" w:rsidRDefault="007C2BA7" w:rsidP="007C2BA7">
            <w:pPr>
              <w:pStyle w:val="Paragraphnonumbers"/>
              <w:numPr>
                <w:ilvl w:val="0"/>
                <w:numId w:val="13"/>
              </w:numPr>
              <w:spacing w:after="0" w:line="240" w:lineRule="auto"/>
              <w:rPr>
                <w:rFonts w:asciiTheme="minorHAnsi" w:hAnsiTheme="minorHAnsi" w:cs="Calibri"/>
                <w:b/>
                <w:bCs/>
                <w:sz w:val="22"/>
                <w:szCs w:val="22"/>
              </w:rPr>
            </w:pPr>
            <w:r w:rsidRPr="00315CD2">
              <w:rPr>
                <w:rFonts w:asciiTheme="minorHAnsi" w:hAnsiTheme="minorHAnsi" w:cs="Calibri"/>
                <w:b/>
                <w:bCs/>
                <w:sz w:val="22"/>
                <w:szCs w:val="22"/>
              </w:rPr>
              <w:t>Ben</w:t>
            </w:r>
          </w:p>
          <w:p w14:paraId="547271B6"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 xml:space="preserve">22 yrs old, keen walker. After a weekend walking developed back pain which quickly spread into his legs. Difficulty standing, saw GP. Suggested sciatica and prescribed pain killers. </w:t>
            </w:r>
          </w:p>
          <w:p w14:paraId="45812397"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No benefit, so returned to doctor, given stronger dose.</w:t>
            </w:r>
          </w:p>
          <w:p w14:paraId="063F34D8"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Week later returned still in a great deal of pain, and stronger dose prescribed.</w:t>
            </w:r>
          </w:p>
          <w:p w14:paraId="41DB05E8"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Fourth visit, sent for DVT investigation. Given fragmin and sent home. No information.</w:t>
            </w:r>
          </w:p>
          <w:p w14:paraId="0A7E5B0B"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 xml:space="preserve">Later went to A&amp;E due to pain, DVT confirmed and admitted, no information shared. </w:t>
            </w:r>
          </w:p>
          <w:p w14:paraId="2C776C98"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24 hrs later discharged &amp; sent to AMU where he was given information. This was to prove invaluable just a few months later when he developed swelling in his leg and sought urgent medical attention, knowing it could be a blood clot.</w:t>
            </w:r>
          </w:p>
          <w:p w14:paraId="7C8DD483" w14:textId="77777777" w:rsidR="007C2BA7" w:rsidRPr="00315CD2" w:rsidRDefault="007C2BA7" w:rsidP="007C2BA7">
            <w:pPr>
              <w:pStyle w:val="Paragraphnonumbers"/>
              <w:numPr>
                <w:ilvl w:val="0"/>
                <w:numId w:val="13"/>
              </w:numPr>
              <w:spacing w:after="0" w:line="240" w:lineRule="auto"/>
              <w:rPr>
                <w:rFonts w:asciiTheme="minorHAnsi" w:hAnsiTheme="minorHAnsi" w:cs="Calibri"/>
                <w:b/>
                <w:bCs/>
                <w:sz w:val="22"/>
                <w:szCs w:val="22"/>
              </w:rPr>
            </w:pPr>
            <w:r w:rsidRPr="00315CD2">
              <w:rPr>
                <w:rFonts w:asciiTheme="minorHAnsi" w:hAnsiTheme="minorHAnsi" w:cs="Calibri"/>
                <w:b/>
                <w:bCs/>
                <w:sz w:val="22"/>
                <w:szCs w:val="22"/>
              </w:rPr>
              <w:t>Robert</w:t>
            </w:r>
          </w:p>
          <w:p w14:paraId="681EA8DD"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Active, healthy and fit.</w:t>
            </w:r>
          </w:p>
          <w:p w14:paraId="7B41091D"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December 2019 woke with sore calf. Visited out-of-hours Dr and asked, ‘Could this be a clot?’ Told no.</w:t>
            </w:r>
          </w:p>
          <w:p w14:paraId="09078DC8"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Feb 2020 returned with pain increasing and some swelling and told to use compression stockings.</w:t>
            </w:r>
          </w:p>
          <w:p w14:paraId="01D6E908"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Easter 2020, tried to go for a run, but struggled to breath. Visited GP. Agreed to send him for a private scan – DVT and PE diagnosed.</w:t>
            </w:r>
          </w:p>
          <w:p w14:paraId="2CB6944D"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Struggling to come to terms with shock of the events. Had no previous health problems.</w:t>
            </w:r>
          </w:p>
          <w:p w14:paraId="736410E2" w14:textId="77777777" w:rsidR="007C2BA7" w:rsidRPr="00315CD2" w:rsidRDefault="007C2BA7" w:rsidP="007C2BA7">
            <w:pPr>
              <w:pStyle w:val="Paragraphnonumbers"/>
              <w:spacing w:after="0" w:line="240" w:lineRule="auto"/>
              <w:ind w:left="1080"/>
              <w:rPr>
                <w:rFonts w:asciiTheme="minorHAnsi" w:hAnsiTheme="minorHAnsi" w:cs="Calibri"/>
                <w:sz w:val="22"/>
                <w:szCs w:val="22"/>
              </w:rPr>
            </w:pPr>
            <w:r w:rsidRPr="00315CD2">
              <w:rPr>
                <w:rFonts w:asciiTheme="minorHAnsi" w:hAnsiTheme="minorHAnsi" w:cs="Calibri"/>
                <w:sz w:val="22"/>
                <w:szCs w:val="22"/>
              </w:rPr>
              <w:t>Challenge is now, “how to heal” and deal with the thought of how serious this could have been as well as find rehabilitation.</w:t>
            </w:r>
          </w:p>
          <w:p w14:paraId="60E8A6CF" w14:textId="77777777" w:rsidR="007C2BA7" w:rsidRPr="00315CD2" w:rsidRDefault="007C2BA7" w:rsidP="007C2BA7">
            <w:pPr>
              <w:rPr>
                <w:rFonts w:asciiTheme="minorHAnsi" w:hAnsiTheme="minorHAnsi" w:cs="Calibri"/>
                <w:color w:val="000000"/>
                <w:sz w:val="22"/>
                <w:szCs w:val="22"/>
              </w:rPr>
            </w:pPr>
            <w:r w:rsidRPr="00315CD2">
              <w:rPr>
                <w:rFonts w:asciiTheme="minorHAnsi" w:hAnsiTheme="minorHAnsi" w:cs="Calibri"/>
                <w:color w:val="000000"/>
                <w:sz w:val="22"/>
                <w:szCs w:val="22"/>
              </w:rPr>
              <w:t> </w:t>
            </w:r>
          </w:p>
          <w:p w14:paraId="72F0C261" w14:textId="77777777" w:rsidR="007C2BA7" w:rsidRPr="00315CD2" w:rsidRDefault="007C2BA7" w:rsidP="007C2BA7">
            <w:pPr>
              <w:pStyle w:val="Tabletext"/>
              <w:rPr>
                <w:rFonts w:asciiTheme="minorHAnsi" w:hAnsiTheme="minorHAnsi"/>
                <w:szCs w:val="22"/>
              </w:rPr>
            </w:pPr>
          </w:p>
        </w:tc>
      </w:tr>
      <w:tr w:rsidR="007C2BA7" w:rsidRPr="00315CD2" w14:paraId="70873468" w14:textId="77777777" w:rsidTr="00C156BC">
        <w:trPr>
          <w:trHeight w:val="282"/>
        </w:trPr>
        <w:tc>
          <w:tcPr>
            <w:tcW w:w="14668" w:type="dxa"/>
            <w:gridSpan w:val="6"/>
          </w:tcPr>
          <w:p w14:paraId="32DA01E3" w14:textId="45377D70" w:rsidR="007C2BA7" w:rsidRPr="00C156BC" w:rsidRDefault="007C2BA7" w:rsidP="007C2BA7">
            <w:pPr>
              <w:pStyle w:val="Tabletext"/>
              <w:rPr>
                <w:rFonts w:asciiTheme="minorHAnsi" w:hAnsiTheme="minorHAnsi"/>
                <w:b/>
                <w:bCs/>
                <w:szCs w:val="22"/>
              </w:rPr>
            </w:pPr>
            <w:r w:rsidRPr="00C156BC">
              <w:rPr>
                <w:rFonts w:asciiTheme="minorHAnsi" w:hAnsiTheme="minorHAnsi"/>
                <w:b/>
                <w:bCs/>
                <w:szCs w:val="22"/>
                <w:lang w:eastAsia="en-GB"/>
              </w:rPr>
              <w:t xml:space="preserve">General </w:t>
            </w:r>
          </w:p>
        </w:tc>
      </w:tr>
      <w:tr w:rsidR="007C2BA7" w:rsidRPr="00315CD2" w14:paraId="744835D7" w14:textId="77777777" w:rsidTr="00E52914">
        <w:trPr>
          <w:trHeight w:val="282"/>
        </w:trPr>
        <w:tc>
          <w:tcPr>
            <w:tcW w:w="558" w:type="dxa"/>
          </w:tcPr>
          <w:p w14:paraId="7747C70F" w14:textId="582CCE3D"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13</w:t>
            </w:r>
          </w:p>
        </w:tc>
        <w:tc>
          <w:tcPr>
            <w:tcW w:w="1071" w:type="dxa"/>
          </w:tcPr>
          <w:p w14:paraId="17AC86C2" w14:textId="7EA40A0D"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NHSE&amp;I</w:t>
            </w:r>
          </w:p>
        </w:tc>
        <w:tc>
          <w:tcPr>
            <w:tcW w:w="2761" w:type="dxa"/>
            <w:shd w:val="clear" w:color="auto" w:fill="FFFFFF"/>
          </w:tcPr>
          <w:p w14:paraId="50BA8124" w14:textId="7622814A"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No comments</w:t>
            </w:r>
          </w:p>
        </w:tc>
        <w:tc>
          <w:tcPr>
            <w:tcW w:w="3118" w:type="dxa"/>
          </w:tcPr>
          <w:p w14:paraId="1DF9128E" w14:textId="77777777" w:rsidR="007C2BA7" w:rsidRPr="00315CD2" w:rsidRDefault="007C2BA7" w:rsidP="007C2BA7">
            <w:pPr>
              <w:pStyle w:val="Tabletext"/>
              <w:rPr>
                <w:rFonts w:asciiTheme="minorHAnsi" w:hAnsiTheme="minorHAnsi"/>
                <w:szCs w:val="22"/>
              </w:rPr>
            </w:pPr>
          </w:p>
        </w:tc>
        <w:tc>
          <w:tcPr>
            <w:tcW w:w="3686" w:type="dxa"/>
          </w:tcPr>
          <w:p w14:paraId="77498835" w14:textId="77777777" w:rsidR="007C2BA7" w:rsidRPr="00315CD2" w:rsidRDefault="007C2BA7" w:rsidP="007C2BA7">
            <w:pPr>
              <w:pStyle w:val="Tabletext"/>
              <w:rPr>
                <w:rFonts w:asciiTheme="minorHAnsi" w:hAnsiTheme="minorHAnsi"/>
                <w:szCs w:val="22"/>
              </w:rPr>
            </w:pPr>
          </w:p>
        </w:tc>
        <w:tc>
          <w:tcPr>
            <w:tcW w:w="3474" w:type="dxa"/>
          </w:tcPr>
          <w:p w14:paraId="5AFB430D" w14:textId="77777777" w:rsidR="007C2BA7" w:rsidRPr="00315CD2" w:rsidRDefault="007C2BA7" w:rsidP="007C2BA7">
            <w:pPr>
              <w:pStyle w:val="Tabletext"/>
              <w:rPr>
                <w:rFonts w:asciiTheme="minorHAnsi" w:hAnsiTheme="minorHAnsi"/>
                <w:szCs w:val="22"/>
              </w:rPr>
            </w:pPr>
          </w:p>
        </w:tc>
      </w:tr>
      <w:tr w:rsidR="007C2BA7" w:rsidRPr="00315CD2" w14:paraId="27331B00" w14:textId="77777777" w:rsidTr="00E52914">
        <w:trPr>
          <w:trHeight w:val="282"/>
        </w:trPr>
        <w:tc>
          <w:tcPr>
            <w:tcW w:w="558" w:type="dxa"/>
          </w:tcPr>
          <w:p w14:paraId="232631FF" w14:textId="1C501ECB"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14</w:t>
            </w:r>
          </w:p>
        </w:tc>
        <w:tc>
          <w:tcPr>
            <w:tcW w:w="1071" w:type="dxa"/>
          </w:tcPr>
          <w:p w14:paraId="0B58C188" w14:textId="24C6FBB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SCM8</w:t>
            </w:r>
          </w:p>
        </w:tc>
        <w:tc>
          <w:tcPr>
            <w:tcW w:w="2761" w:type="dxa"/>
            <w:shd w:val="clear" w:color="auto" w:fill="FFFFFF"/>
          </w:tcPr>
          <w:p w14:paraId="6705333B" w14:textId="00B3F48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New international guidance from ASH and ESC should also be taken into account when considering key areas for quality improvement</w:t>
            </w:r>
          </w:p>
        </w:tc>
        <w:tc>
          <w:tcPr>
            <w:tcW w:w="3118" w:type="dxa"/>
          </w:tcPr>
          <w:p w14:paraId="4D8B3A72" w14:textId="77777777" w:rsidR="007C2BA7" w:rsidRPr="00315CD2" w:rsidRDefault="007C2BA7" w:rsidP="007C2BA7">
            <w:pPr>
              <w:pStyle w:val="Tabletext"/>
              <w:rPr>
                <w:rFonts w:asciiTheme="minorHAnsi" w:hAnsiTheme="minorHAnsi"/>
                <w:szCs w:val="22"/>
              </w:rPr>
            </w:pPr>
          </w:p>
        </w:tc>
        <w:tc>
          <w:tcPr>
            <w:tcW w:w="3686" w:type="dxa"/>
          </w:tcPr>
          <w:p w14:paraId="714E0359" w14:textId="77777777" w:rsidR="007C2BA7" w:rsidRPr="00315CD2" w:rsidRDefault="007C2BA7" w:rsidP="007C2BA7">
            <w:pPr>
              <w:pStyle w:val="Tabletext"/>
              <w:rPr>
                <w:rFonts w:asciiTheme="minorHAnsi" w:hAnsiTheme="minorHAnsi"/>
                <w:szCs w:val="22"/>
              </w:rPr>
            </w:pPr>
          </w:p>
        </w:tc>
        <w:tc>
          <w:tcPr>
            <w:tcW w:w="3474" w:type="dxa"/>
          </w:tcPr>
          <w:p w14:paraId="58E368AA" w14:textId="77777777" w:rsidR="007C2BA7" w:rsidRPr="00315CD2" w:rsidRDefault="007C2BA7" w:rsidP="007C2BA7">
            <w:pPr>
              <w:pStyle w:val="Tabletext"/>
              <w:rPr>
                <w:rFonts w:asciiTheme="minorHAnsi" w:hAnsiTheme="minorHAnsi"/>
                <w:szCs w:val="22"/>
              </w:rPr>
            </w:pPr>
          </w:p>
        </w:tc>
      </w:tr>
      <w:tr w:rsidR="007C2BA7" w:rsidRPr="00315CD2" w14:paraId="2B14B9DF" w14:textId="77777777" w:rsidTr="00E52914">
        <w:trPr>
          <w:trHeight w:val="282"/>
        </w:trPr>
        <w:tc>
          <w:tcPr>
            <w:tcW w:w="558" w:type="dxa"/>
          </w:tcPr>
          <w:p w14:paraId="4579CCD2" w14:textId="0FDEDDB7"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15</w:t>
            </w:r>
          </w:p>
        </w:tc>
        <w:tc>
          <w:tcPr>
            <w:tcW w:w="1071" w:type="dxa"/>
          </w:tcPr>
          <w:p w14:paraId="6CB37B03" w14:textId="12B980DE" w:rsidR="007C2BA7" w:rsidRPr="00315CD2" w:rsidRDefault="007C2BA7" w:rsidP="007C2BA7">
            <w:pPr>
              <w:pStyle w:val="Tabletext"/>
              <w:rPr>
                <w:rFonts w:asciiTheme="minorHAnsi" w:hAnsiTheme="minorHAnsi"/>
                <w:szCs w:val="22"/>
              </w:rPr>
            </w:pPr>
            <w:r w:rsidRPr="00315CD2">
              <w:rPr>
                <w:rFonts w:asciiTheme="minorHAnsi" w:hAnsiTheme="minorHAnsi" w:cs="Arial"/>
                <w:b/>
                <w:szCs w:val="22"/>
              </w:rPr>
              <w:t xml:space="preserve">Royal College of Nursing </w:t>
            </w:r>
          </w:p>
        </w:tc>
        <w:tc>
          <w:tcPr>
            <w:tcW w:w="2761" w:type="dxa"/>
            <w:shd w:val="clear" w:color="auto" w:fill="FFFFFF"/>
          </w:tcPr>
          <w:p w14:paraId="3C83236B" w14:textId="71918E9A"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No comments</w:t>
            </w:r>
          </w:p>
        </w:tc>
        <w:tc>
          <w:tcPr>
            <w:tcW w:w="3118" w:type="dxa"/>
          </w:tcPr>
          <w:p w14:paraId="0DF28722" w14:textId="77777777" w:rsidR="007C2BA7" w:rsidRPr="00315CD2" w:rsidRDefault="007C2BA7" w:rsidP="007C2BA7">
            <w:pPr>
              <w:pStyle w:val="Tabletext"/>
              <w:rPr>
                <w:rFonts w:asciiTheme="minorHAnsi" w:hAnsiTheme="minorHAnsi"/>
                <w:szCs w:val="22"/>
              </w:rPr>
            </w:pPr>
          </w:p>
        </w:tc>
        <w:tc>
          <w:tcPr>
            <w:tcW w:w="3686" w:type="dxa"/>
          </w:tcPr>
          <w:p w14:paraId="2C36CCDD" w14:textId="77777777" w:rsidR="007C2BA7" w:rsidRPr="00315CD2" w:rsidRDefault="007C2BA7" w:rsidP="007C2BA7">
            <w:pPr>
              <w:pStyle w:val="Tabletext"/>
              <w:rPr>
                <w:rFonts w:asciiTheme="minorHAnsi" w:hAnsiTheme="minorHAnsi"/>
                <w:szCs w:val="22"/>
              </w:rPr>
            </w:pPr>
          </w:p>
        </w:tc>
        <w:tc>
          <w:tcPr>
            <w:tcW w:w="3474" w:type="dxa"/>
          </w:tcPr>
          <w:p w14:paraId="4D5E05E3" w14:textId="77777777" w:rsidR="007C2BA7" w:rsidRPr="00315CD2" w:rsidRDefault="007C2BA7" w:rsidP="007C2BA7">
            <w:pPr>
              <w:pStyle w:val="Tabletext"/>
              <w:rPr>
                <w:rFonts w:asciiTheme="minorHAnsi" w:hAnsiTheme="minorHAnsi"/>
                <w:szCs w:val="22"/>
              </w:rPr>
            </w:pPr>
          </w:p>
        </w:tc>
      </w:tr>
      <w:tr w:rsidR="007C2BA7" w:rsidRPr="00315CD2" w14:paraId="0A7AFA00" w14:textId="77777777" w:rsidTr="00E52914">
        <w:trPr>
          <w:trHeight w:val="282"/>
        </w:trPr>
        <w:tc>
          <w:tcPr>
            <w:tcW w:w="558" w:type="dxa"/>
          </w:tcPr>
          <w:p w14:paraId="153301DA" w14:textId="7654F1D2"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16</w:t>
            </w:r>
          </w:p>
        </w:tc>
        <w:tc>
          <w:tcPr>
            <w:tcW w:w="1071" w:type="dxa"/>
          </w:tcPr>
          <w:p w14:paraId="60DACA48" w14:textId="781899FF" w:rsidR="007C2BA7" w:rsidRPr="00315CD2" w:rsidRDefault="007C2BA7" w:rsidP="007C2BA7">
            <w:pPr>
              <w:pStyle w:val="Tabletext"/>
              <w:rPr>
                <w:rFonts w:asciiTheme="minorHAnsi" w:hAnsiTheme="minorHAnsi"/>
                <w:szCs w:val="22"/>
              </w:rPr>
            </w:pPr>
            <w:r w:rsidRPr="00315CD2">
              <w:rPr>
                <w:rFonts w:asciiTheme="minorHAnsi" w:hAnsiTheme="minorHAnsi" w:cs="Arial"/>
                <w:b/>
                <w:szCs w:val="22"/>
              </w:rPr>
              <w:t>Royal of Physicians</w:t>
            </w:r>
          </w:p>
        </w:tc>
        <w:tc>
          <w:tcPr>
            <w:tcW w:w="2761" w:type="dxa"/>
            <w:shd w:val="clear" w:color="auto" w:fill="FFFFFF"/>
          </w:tcPr>
          <w:p w14:paraId="448F0DF0" w14:textId="62D8D162"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Endorses BTS and SAM comments</w:t>
            </w:r>
          </w:p>
        </w:tc>
        <w:tc>
          <w:tcPr>
            <w:tcW w:w="3118" w:type="dxa"/>
          </w:tcPr>
          <w:p w14:paraId="3F168B9A" w14:textId="77777777" w:rsidR="007C2BA7" w:rsidRPr="00315CD2" w:rsidRDefault="007C2BA7" w:rsidP="007C2BA7">
            <w:pPr>
              <w:pStyle w:val="Tabletext"/>
              <w:rPr>
                <w:rFonts w:asciiTheme="minorHAnsi" w:hAnsiTheme="minorHAnsi"/>
                <w:szCs w:val="22"/>
              </w:rPr>
            </w:pPr>
          </w:p>
        </w:tc>
        <w:tc>
          <w:tcPr>
            <w:tcW w:w="3686" w:type="dxa"/>
          </w:tcPr>
          <w:p w14:paraId="5EF65D7F" w14:textId="77777777" w:rsidR="007C2BA7" w:rsidRPr="00315CD2" w:rsidRDefault="007C2BA7" w:rsidP="007C2BA7">
            <w:pPr>
              <w:pStyle w:val="Tabletext"/>
              <w:rPr>
                <w:rFonts w:asciiTheme="minorHAnsi" w:hAnsiTheme="minorHAnsi"/>
                <w:szCs w:val="22"/>
              </w:rPr>
            </w:pPr>
          </w:p>
        </w:tc>
        <w:tc>
          <w:tcPr>
            <w:tcW w:w="3474" w:type="dxa"/>
          </w:tcPr>
          <w:p w14:paraId="2C6DC713" w14:textId="77777777" w:rsidR="007C2BA7" w:rsidRPr="00315CD2" w:rsidRDefault="007C2BA7" w:rsidP="007C2BA7">
            <w:pPr>
              <w:pStyle w:val="Tabletext"/>
              <w:rPr>
                <w:rFonts w:asciiTheme="minorHAnsi" w:hAnsiTheme="minorHAnsi"/>
                <w:szCs w:val="22"/>
              </w:rPr>
            </w:pPr>
          </w:p>
        </w:tc>
      </w:tr>
      <w:tr w:rsidR="007C2BA7" w:rsidRPr="00315CD2" w14:paraId="62FD39A0" w14:textId="77777777" w:rsidTr="00E52914">
        <w:trPr>
          <w:trHeight w:val="282"/>
        </w:trPr>
        <w:tc>
          <w:tcPr>
            <w:tcW w:w="558" w:type="dxa"/>
          </w:tcPr>
          <w:p w14:paraId="3E05A5AA" w14:textId="07222F4C"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17</w:t>
            </w:r>
          </w:p>
        </w:tc>
        <w:tc>
          <w:tcPr>
            <w:tcW w:w="1071" w:type="dxa"/>
          </w:tcPr>
          <w:p w14:paraId="79B12F50" w14:textId="32E57F49" w:rsidR="007C2BA7" w:rsidRPr="00315CD2" w:rsidRDefault="007C2BA7" w:rsidP="007C2BA7">
            <w:pPr>
              <w:pStyle w:val="Tabletext"/>
              <w:rPr>
                <w:rFonts w:asciiTheme="minorHAnsi" w:hAnsiTheme="minorHAnsi"/>
                <w:szCs w:val="22"/>
              </w:rPr>
            </w:pPr>
            <w:r w:rsidRPr="00315CD2">
              <w:rPr>
                <w:rFonts w:asciiTheme="minorHAnsi" w:hAnsiTheme="minorHAnsi" w:cs="Arial"/>
                <w:b/>
                <w:szCs w:val="22"/>
              </w:rPr>
              <w:t>Royal Pharmaceutical Society</w:t>
            </w:r>
          </w:p>
        </w:tc>
        <w:tc>
          <w:tcPr>
            <w:tcW w:w="2761" w:type="dxa"/>
            <w:shd w:val="clear" w:color="auto" w:fill="FFFFFF"/>
          </w:tcPr>
          <w:p w14:paraId="1D7117FC" w14:textId="2950CF77"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No comments</w:t>
            </w:r>
          </w:p>
        </w:tc>
        <w:tc>
          <w:tcPr>
            <w:tcW w:w="3118" w:type="dxa"/>
          </w:tcPr>
          <w:p w14:paraId="16B1E535" w14:textId="77777777" w:rsidR="007C2BA7" w:rsidRPr="00315CD2" w:rsidRDefault="007C2BA7" w:rsidP="007C2BA7">
            <w:pPr>
              <w:pStyle w:val="Tabletext"/>
              <w:rPr>
                <w:rFonts w:asciiTheme="minorHAnsi" w:hAnsiTheme="minorHAnsi"/>
                <w:szCs w:val="22"/>
              </w:rPr>
            </w:pPr>
          </w:p>
        </w:tc>
        <w:tc>
          <w:tcPr>
            <w:tcW w:w="3686" w:type="dxa"/>
          </w:tcPr>
          <w:p w14:paraId="41B2E0BF" w14:textId="77777777" w:rsidR="007C2BA7" w:rsidRPr="00315CD2" w:rsidRDefault="007C2BA7" w:rsidP="007C2BA7">
            <w:pPr>
              <w:pStyle w:val="Tabletext"/>
              <w:rPr>
                <w:rFonts w:asciiTheme="minorHAnsi" w:hAnsiTheme="minorHAnsi"/>
                <w:szCs w:val="22"/>
              </w:rPr>
            </w:pPr>
          </w:p>
        </w:tc>
        <w:tc>
          <w:tcPr>
            <w:tcW w:w="3474" w:type="dxa"/>
          </w:tcPr>
          <w:p w14:paraId="0664C599" w14:textId="77777777" w:rsidR="007C2BA7" w:rsidRPr="00315CD2" w:rsidRDefault="007C2BA7" w:rsidP="007C2BA7">
            <w:pPr>
              <w:pStyle w:val="Tabletext"/>
              <w:rPr>
                <w:rFonts w:asciiTheme="minorHAnsi" w:hAnsiTheme="minorHAnsi"/>
                <w:szCs w:val="22"/>
              </w:rPr>
            </w:pPr>
          </w:p>
        </w:tc>
      </w:tr>
      <w:tr w:rsidR="007C2BA7" w:rsidRPr="00315CD2" w14:paraId="064CEDCB" w14:textId="77777777" w:rsidTr="00E52914">
        <w:trPr>
          <w:trHeight w:val="282"/>
        </w:trPr>
        <w:tc>
          <w:tcPr>
            <w:tcW w:w="558" w:type="dxa"/>
          </w:tcPr>
          <w:p w14:paraId="362B2D9C" w14:textId="697321A9"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18</w:t>
            </w:r>
          </w:p>
        </w:tc>
        <w:tc>
          <w:tcPr>
            <w:tcW w:w="1071" w:type="dxa"/>
          </w:tcPr>
          <w:p w14:paraId="31819190" w14:textId="1C33C7B2" w:rsidR="007C2BA7" w:rsidRPr="00315CD2" w:rsidRDefault="007C2BA7" w:rsidP="007C2BA7">
            <w:pPr>
              <w:pStyle w:val="Tabletext"/>
              <w:rPr>
                <w:rFonts w:asciiTheme="minorHAnsi" w:hAnsiTheme="minorHAnsi"/>
                <w:szCs w:val="22"/>
              </w:rPr>
            </w:pPr>
            <w:r w:rsidRPr="00315CD2">
              <w:rPr>
                <w:rFonts w:asciiTheme="minorHAnsi" w:hAnsiTheme="minorHAnsi" w:cs="Arial"/>
                <w:b/>
                <w:szCs w:val="22"/>
              </w:rPr>
              <w:t>British Geriatric Society</w:t>
            </w:r>
          </w:p>
        </w:tc>
        <w:tc>
          <w:tcPr>
            <w:tcW w:w="2761" w:type="dxa"/>
            <w:shd w:val="clear" w:color="auto" w:fill="FFFFFF"/>
          </w:tcPr>
          <w:p w14:paraId="52BA1DA0" w14:textId="0980CBBD" w:rsidR="007C2BA7" w:rsidRPr="00315CD2" w:rsidRDefault="007C2BA7" w:rsidP="007C2BA7">
            <w:pPr>
              <w:pStyle w:val="Tabletext"/>
              <w:rPr>
                <w:rFonts w:asciiTheme="minorHAnsi" w:hAnsiTheme="minorHAnsi"/>
                <w:szCs w:val="22"/>
              </w:rPr>
            </w:pPr>
            <w:r w:rsidRPr="00315CD2">
              <w:rPr>
                <w:rFonts w:asciiTheme="minorHAnsi" w:hAnsiTheme="minorHAnsi" w:cs="Arial"/>
                <w:bCs/>
                <w:szCs w:val="22"/>
              </w:rPr>
              <w:t>The BGS feels that there is no area of this guideline that’s needs changing.</w:t>
            </w:r>
          </w:p>
        </w:tc>
        <w:tc>
          <w:tcPr>
            <w:tcW w:w="3118" w:type="dxa"/>
          </w:tcPr>
          <w:p w14:paraId="490F5492" w14:textId="77777777" w:rsidR="007C2BA7" w:rsidRPr="00315CD2" w:rsidRDefault="007C2BA7" w:rsidP="007C2BA7">
            <w:pPr>
              <w:pStyle w:val="Tabletext"/>
              <w:rPr>
                <w:rFonts w:asciiTheme="minorHAnsi" w:hAnsiTheme="minorHAnsi"/>
                <w:szCs w:val="22"/>
              </w:rPr>
            </w:pPr>
          </w:p>
        </w:tc>
        <w:tc>
          <w:tcPr>
            <w:tcW w:w="3686" w:type="dxa"/>
          </w:tcPr>
          <w:p w14:paraId="6C2C4FE2" w14:textId="77777777" w:rsidR="007C2BA7" w:rsidRPr="00315CD2" w:rsidRDefault="007C2BA7" w:rsidP="007C2BA7">
            <w:pPr>
              <w:pStyle w:val="Tabletext"/>
              <w:rPr>
                <w:rFonts w:asciiTheme="minorHAnsi" w:hAnsiTheme="minorHAnsi"/>
                <w:szCs w:val="22"/>
              </w:rPr>
            </w:pPr>
          </w:p>
        </w:tc>
        <w:tc>
          <w:tcPr>
            <w:tcW w:w="3474" w:type="dxa"/>
          </w:tcPr>
          <w:p w14:paraId="7B01920D" w14:textId="77777777" w:rsidR="007C2BA7" w:rsidRPr="00315CD2" w:rsidRDefault="007C2BA7" w:rsidP="007C2BA7">
            <w:pPr>
              <w:pStyle w:val="Tabletext"/>
              <w:rPr>
                <w:rFonts w:asciiTheme="minorHAnsi" w:hAnsiTheme="minorHAnsi"/>
                <w:szCs w:val="22"/>
              </w:rPr>
            </w:pPr>
          </w:p>
        </w:tc>
      </w:tr>
      <w:tr w:rsidR="007C2BA7" w:rsidRPr="00315CD2" w14:paraId="08C9616A" w14:textId="77777777" w:rsidTr="00C156BC">
        <w:trPr>
          <w:trHeight w:val="282"/>
        </w:trPr>
        <w:tc>
          <w:tcPr>
            <w:tcW w:w="14668" w:type="dxa"/>
            <w:gridSpan w:val="6"/>
          </w:tcPr>
          <w:p w14:paraId="793531EE" w14:textId="6F8B3109" w:rsidR="007C2BA7" w:rsidRPr="00C156BC" w:rsidRDefault="007C2BA7" w:rsidP="007C2BA7">
            <w:pPr>
              <w:pStyle w:val="Tabletext"/>
              <w:rPr>
                <w:rFonts w:asciiTheme="minorHAnsi" w:hAnsiTheme="minorHAnsi"/>
                <w:b/>
                <w:bCs/>
                <w:szCs w:val="22"/>
              </w:rPr>
            </w:pPr>
            <w:r w:rsidRPr="00C156BC">
              <w:rPr>
                <w:rFonts w:asciiTheme="minorHAnsi" w:hAnsiTheme="minorHAnsi"/>
                <w:b/>
                <w:bCs/>
                <w:szCs w:val="22"/>
                <w:lang w:eastAsia="en-GB"/>
              </w:rPr>
              <w:t>Support for the QS merger proposal</w:t>
            </w:r>
          </w:p>
        </w:tc>
      </w:tr>
      <w:tr w:rsidR="007C2BA7" w:rsidRPr="00315CD2" w14:paraId="45FADD5C" w14:textId="77777777" w:rsidTr="00E52914">
        <w:trPr>
          <w:trHeight w:val="282"/>
        </w:trPr>
        <w:tc>
          <w:tcPr>
            <w:tcW w:w="558" w:type="dxa"/>
          </w:tcPr>
          <w:p w14:paraId="5902E77E" w14:textId="5B754267" w:rsidR="007C2BA7" w:rsidRPr="00315CD2" w:rsidRDefault="007C2BA7" w:rsidP="007C2BA7">
            <w:pPr>
              <w:pStyle w:val="Tabletext"/>
              <w:rPr>
                <w:rFonts w:asciiTheme="minorHAnsi" w:hAnsiTheme="minorHAnsi"/>
                <w:szCs w:val="22"/>
                <w:lang w:eastAsia="en-GB"/>
              </w:rPr>
            </w:pPr>
            <w:r w:rsidRPr="00315CD2">
              <w:rPr>
                <w:rFonts w:asciiTheme="minorHAnsi" w:hAnsiTheme="minorHAnsi"/>
                <w:szCs w:val="22"/>
                <w:lang w:eastAsia="en-GB"/>
              </w:rPr>
              <w:t>1</w:t>
            </w:r>
            <w:r w:rsidR="00ED7E40">
              <w:rPr>
                <w:rFonts w:asciiTheme="minorHAnsi" w:hAnsiTheme="minorHAnsi"/>
                <w:szCs w:val="22"/>
                <w:lang w:eastAsia="en-GB"/>
              </w:rPr>
              <w:t>19</w:t>
            </w:r>
          </w:p>
        </w:tc>
        <w:tc>
          <w:tcPr>
            <w:tcW w:w="1071" w:type="dxa"/>
          </w:tcPr>
          <w:p w14:paraId="5F77A902" w14:textId="377E408D" w:rsidR="007C2BA7" w:rsidRPr="00315CD2" w:rsidRDefault="007C2BA7" w:rsidP="007C2BA7">
            <w:pPr>
              <w:pStyle w:val="Tabletext"/>
              <w:rPr>
                <w:rFonts w:asciiTheme="minorHAnsi" w:hAnsiTheme="minorHAnsi"/>
                <w:szCs w:val="22"/>
              </w:rPr>
            </w:pPr>
            <w:r w:rsidRPr="00315CD2">
              <w:rPr>
                <w:rFonts w:asciiTheme="minorHAnsi" w:hAnsiTheme="minorHAnsi" w:cs="Arial"/>
                <w:b/>
                <w:bCs/>
                <w:szCs w:val="22"/>
              </w:rPr>
              <w:t>SCM2</w:t>
            </w:r>
          </w:p>
        </w:tc>
        <w:tc>
          <w:tcPr>
            <w:tcW w:w="2761" w:type="dxa"/>
            <w:shd w:val="clear" w:color="auto" w:fill="FFFFFF"/>
          </w:tcPr>
          <w:p w14:paraId="0C9BA292" w14:textId="017F2F4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Do you support the proposal to update QS3 and QS29 into one quality standard?</w:t>
            </w:r>
          </w:p>
        </w:tc>
        <w:tc>
          <w:tcPr>
            <w:tcW w:w="3118" w:type="dxa"/>
            <w:shd w:val="clear" w:color="auto" w:fill="FFFFFF"/>
          </w:tcPr>
          <w:p w14:paraId="49B883A5" w14:textId="07465AC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Initial reaction without group discussion is not to combine. QS3, QS29 and the associated guidance appear very disparate with regard prevention in a very specific group versus diagnosis/management in a wider group.</w:t>
            </w:r>
          </w:p>
        </w:tc>
        <w:tc>
          <w:tcPr>
            <w:tcW w:w="3686" w:type="dxa"/>
            <w:shd w:val="clear" w:color="auto" w:fill="FFFFFF"/>
          </w:tcPr>
          <w:p w14:paraId="469F2B28" w14:textId="77777777" w:rsidR="007C2BA7" w:rsidRPr="00315CD2" w:rsidRDefault="007C2BA7" w:rsidP="007C2BA7">
            <w:pPr>
              <w:pStyle w:val="Tabletext"/>
              <w:rPr>
                <w:rFonts w:asciiTheme="minorHAnsi" w:hAnsiTheme="minorHAnsi"/>
                <w:szCs w:val="22"/>
              </w:rPr>
            </w:pPr>
          </w:p>
        </w:tc>
        <w:tc>
          <w:tcPr>
            <w:tcW w:w="3474" w:type="dxa"/>
            <w:shd w:val="clear" w:color="auto" w:fill="FFFFFF"/>
          </w:tcPr>
          <w:p w14:paraId="63476BAE" w14:textId="77777777" w:rsidR="007C2BA7" w:rsidRPr="00315CD2" w:rsidRDefault="007C2BA7" w:rsidP="007C2BA7">
            <w:pPr>
              <w:pStyle w:val="Tabletext"/>
              <w:rPr>
                <w:rFonts w:asciiTheme="minorHAnsi" w:hAnsiTheme="minorHAnsi"/>
                <w:szCs w:val="22"/>
              </w:rPr>
            </w:pPr>
          </w:p>
        </w:tc>
      </w:tr>
      <w:tr w:rsidR="007C2BA7" w:rsidRPr="00315CD2" w14:paraId="6263C668" w14:textId="77777777" w:rsidTr="00E52914">
        <w:trPr>
          <w:trHeight w:val="282"/>
        </w:trPr>
        <w:tc>
          <w:tcPr>
            <w:tcW w:w="558" w:type="dxa"/>
          </w:tcPr>
          <w:p w14:paraId="2A28754D" w14:textId="23A7D56C"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120</w:t>
            </w:r>
          </w:p>
        </w:tc>
        <w:tc>
          <w:tcPr>
            <w:tcW w:w="1071" w:type="dxa"/>
          </w:tcPr>
          <w:p w14:paraId="6D28C351" w14:textId="456F7BD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All Party Parliamentary Group on Vascular and Venous Disease</w:t>
            </w:r>
          </w:p>
        </w:tc>
        <w:tc>
          <w:tcPr>
            <w:tcW w:w="2761" w:type="dxa"/>
          </w:tcPr>
          <w:p w14:paraId="4FD9EB0B" w14:textId="60EFCE4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Do you support the proposal to update QS3 and QS29 into one quality standard?</w:t>
            </w:r>
          </w:p>
        </w:tc>
        <w:tc>
          <w:tcPr>
            <w:tcW w:w="3118" w:type="dxa"/>
          </w:tcPr>
          <w:p w14:paraId="761ADF22" w14:textId="6ACAA4A8" w:rsidR="007C2BA7" w:rsidRPr="00315CD2" w:rsidRDefault="007C2BA7" w:rsidP="007C2BA7">
            <w:pPr>
              <w:pStyle w:val="Tabletext"/>
              <w:rPr>
                <w:rFonts w:asciiTheme="minorHAnsi" w:hAnsiTheme="minorHAnsi"/>
                <w:szCs w:val="22"/>
              </w:rPr>
            </w:pPr>
            <w:r w:rsidRPr="00315CD2">
              <w:rPr>
                <w:rFonts w:asciiTheme="minorHAnsi" w:hAnsiTheme="minorHAnsi" w:cs="Arial"/>
                <w:i/>
                <w:iCs/>
                <w:szCs w:val="22"/>
              </w:rPr>
              <w:t>I would support an overarching quality standards document pending review of its publication.</w:t>
            </w:r>
          </w:p>
        </w:tc>
        <w:tc>
          <w:tcPr>
            <w:tcW w:w="3686" w:type="dxa"/>
          </w:tcPr>
          <w:p w14:paraId="7FEF08E5" w14:textId="77777777" w:rsidR="007C2BA7" w:rsidRPr="00315CD2" w:rsidRDefault="007C2BA7" w:rsidP="007C2BA7">
            <w:pPr>
              <w:pStyle w:val="Tabletext"/>
              <w:rPr>
                <w:rFonts w:asciiTheme="minorHAnsi" w:hAnsiTheme="minorHAnsi"/>
                <w:szCs w:val="22"/>
              </w:rPr>
            </w:pPr>
          </w:p>
        </w:tc>
        <w:tc>
          <w:tcPr>
            <w:tcW w:w="3474" w:type="dxa"/>
          </w:tcPr>
          <w:p w14:paraId="1035289D" w14:textId="77777777" w:rsidR="007C2BA7" w:rsidRPr="00315CD2" w:rsidRDefault="007C2BA7" w:rsidP="007C2BA7">
            <w:pPr>
              <w:pStyle w:val="Tabletext"/>
              <w:rPr>
                <w:rFonts w:asciiTheme="minorHAnsi" w:hAnsiTheme="minorHAnsi"/>
                <w:szCs w:val="22"/>
              </w:rPr>
            </w:pPr>
          </w:p>
        </w:tc>
      </w:tr>
      <w:tr w:rsidR="007C2BA7" w:rsidRPr="00315CD2" w14:paraId="01F557DE" w14:textId="77777777" w:rsidTr="00E52914">
        <w:trPr>
          <w:trHeight w:val="282"/>
        </w:trPr>
        <w:tc>
          <w:tcPr>
            <w:tcW w:w="558" w:type="dxa"/>
          </w:tcPr>
          <w:p w14:paraId="02667FE4" w14:textId="327EDF27"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121</w:t>
            </w:r>
          </w:p>
        </w:tc>
        <w:tc>
          <w:tcPr>
            <w:tcW w:w="1071" w:type="dxa"/>
          </w:tcPr>
          <w:p w14:paraId="3144FDC9" w14:textId="7B1BB9D0"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Anticoagulation UK</w:t>
            </w:r>
          </w:p>
        </w:tc>
        <w:tc>
          <w:tcPr>
            <w:tcW w:w="2761" w:type="dxa"/>
          </w:tcPr>
          <w:p w14:paraId="3EC8C517" w14:textId="71B4594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Do you support the proposal to update QS3 and QS29 into one quality standard?</w:t>
            </w:r>
          </w:p>
        </w:tc>
        <w:tc>
          <w:tcPr>
            <w:tcW w:w="3118" w:type="dxa"/>
          </w:tcPr>
          <w:p w14:paraId="373DCF42" w14:textId="2ED19DE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YES</w:t>
            </w:r>
          </w:p>
        </w:tc>
        <w:tc>
          <w:tcPr>
            <w:tcW w:w="3686" w:type="dxa"/>
          </w:tcPr>
          <w:p w14:paraId="5944F0E4" w14:textId="77777777" w:rsidR="007C2BA7" w:rsidRPr="00315CD2" w:rsidRDefault="007C2BA7" w:rsidP="007C2BA7">
            <w:pPr>
              <w:pStyle w:val="Tabletext"/>
              <w:rPr>
                <w:rFonts w:asciiTheme="minorHAnsi" w:hAnsiTheme="minorHAnsi"/>
                <w:szCs w:val="22"/>
              </w:rPr>
            </w:pPr>
          </w:p>
        </w:tc>
        <w:tc>
          <w:tcPr>
            <w:tcW w:w="3474" w:type="dxa"/>
          </w:tcPr>
          <w:p w14:paraId="44DA3378" w14:textId="77777777" w:rsidR="007C2BA7" w:rsidRPr="00315CD2" w:rsidRDefault="007C2BA7" w:rsidP="007C2BA7">
            <w:pPr>
              <w:pStyle w:val="Tabletext"/>
              <w:rPr>
                <w:rFonts w:asciiTheme="minorHAnsi" w:hAnsiTheme="minorHAnsi"/>
                <w:szCs w:val="22"/>
              </w:rPr>
            </w:pPr>
          </w:p>
        </w:tc>
      </w:tr>
      <w:tr w:rsidR="007C2BA7" w:rsidRPr="00315CD2" w14:paraId="57E27F19" w14:textId="77777777" w:rsidTr="00E52914">
        <w:trPr>
          <w:trHeight w:val="282"/>
        </w:trPr>
        <w:tc>
          <w:tcPr>
            <w:tcW w:w="558" w:type="dxa"/>
          </w:tcPr>
          <w:p w14:paraId="787BBB61" w14:textId="3A61328A"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122</w:t>
            </w:r>
          </w:p>
        </w:tc>
        <w:tc>
          <w:tcPr>
            <w:tcW w:w="1071" w:type="dxa"/>
          </w:tcPr>
          <w:p w14:paraId="3DD06FF9" w14:textId="3AA2BDA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Bayer Plc</w:t>
            </w:r>
          </w:p>
        </w:tc>
        <w:tc>
          <w:tcPr>
            <w:tcW w:w="2761" w:type="dxa"/>
          </w:tcPr>
          <w:p w14:paraId="0064877E" w14:textId="105234E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Do you support the proposal to update QS3 and QS29 into one quality standard?</w:t>
            </w:r>
          </w:p>
        </w:tc>
        <w:tc>
          <w:tcPr>
            <w:tcW w:w="3118" w:type="dxa"/>
          </w:tcPr>
          <w:p w14:paraId="2BAE8CB2" w14:textId="3CC4C3E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Yes, we believe combining these quality standards would simplify assessment and reduction of the risk of venous thromboembolism</w:t>
            </w:r>
            <w:r w:rsidRPr="00315CD2">
              <w:rPr>
                <w:rFonts w:asciiTheme="minorHAnsi" w:hAnsiTheme="minorHAnsi"/>
                <w:color w:val="0E0E0E"/>
                <w:szCs w:val="22"/>
              </w:rPr>
              <w:t xml:space="preserve"> </w:t>
            </w:r>
            <w:r w:rsidRPr="00315CD2">
              <w:rPr>
                <w:rFonts w:asciiTheme="minorHAnsi" w:hAnsiTheme="minorHAnsi" w:cs="Arial"/>
                <w:szCs w:val="22"/>
              </w:rPr>
              <w:t xml:space="preserve">   </w:t>
            </w:r>
          </w:p>
        </w:tc>
        <w:tc>
          <w:tcPr>
            <w:tcW w:w="3686" w:type="dxa"/>
          </w:tcPr>
          <w:p w14:paraId="62584AAD" w14:textId="77777777" w:rsidR="007C2BA7" w:rsidRPr="00315CD2" w:rsidRDefault="007C2BA7" w:rsidP="007C2BA7">
            <w:pPr>
              <w:pStyle w:val="Tabletext"/>
              <w:rPr>
                <w:rFonts w:asciiTheme="minorHAnsi" w:hAnsiTheme="minorHAnsi"/>
                <w:szCs w:val="22"/>
              </w:rPr>
            </w:pPr>
          </w:p>
        </w:tc>
        <w:tc>
          <w:tcPr>
            <w:tcW w:w="3474" w:type="dxa"/>
          </w:tcPr>
          <w:p w14:paraId="7035B80B" w14:textId="77777777" w:rsidR="007C2BA7" w:rsidRPr="00315CD2" w:rsidRDefault="007C2BA7" w:rsidP="007C2BA7">
            <w:pPr>
              <w:pStyle w:val="Tabletext"/>
              <w:rPr>
                <w:rFonts w:asciiTheme="minorHAnsi" w:hAnsiTheme="minorHAnsi"/>
                <w:szCs w:val="22"/>
              </w:rPr>
            </w:pPr>
          </w:p>
        </w:tc>
      </w:tr>
      <w:tr w:rsidR="007C2BA7" w:rsidRPr="00315CD2" w14:paraId="249F001C" w14:textId="77777777" w:rsidTr="00E52914">
        <w:trPr>
          <w:trHeight w:val="282"/>
        </w:trPr>
        <w:tc>
          <w:tcPr>
            <w:tcW w:w="558" w:type="dxa"/>
          </w:tcPr>
          <w:p w14:paraId="4A8046AC" w14:textId="69636FA3"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123</w:t>
            </w:r>
          </w:p>
        </w:tc>
        <w:tc>
          <w:tcPr>
            <w:tcW w:w="1071" w:type="dxa"/>
          </w:tcPr>
          <w:p w14:paraId="36241571" w14:textId="639C7F62"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Bristol Myers Squibb – Pfizer Alliance</w:t>
            </w:r>
          </w:p>
        </w:tc>
        <w:tc>
          <w:tcPr>
            <w:tcW w:w="2761" w:type="dxa"/>
          </w:tcPr>
          <w:p w14:paraId="21576B8A" w14:textId="05CFC638"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Do you support the proposal to update QS3 and QS29 into one quality standard?</w:t>
            </w:r>
          </w:p>
        </w:tc>
        <w:tc>
          <w:tcPr>
            <w:tcW w:w="3118" w:type="dxa"/>
          </w:tcPr>
          <w:p w14:paraId="31C55EA8" w14:textId="0EF4103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Yes.</w:t>
            </w:r>
          </w:p>
        </w:tc>
        <w:tc>
          <w:tcPr>
            <w:tcW w:w="3686" w:type="dxa"/>
          </w:tcPr>
          <w:p w14:paraId="7BCD1E7B" w14:textId="77777777" w:rsidR="007C2BA7" w:rsidRPr="00315CD2" w:rsidRDefault="007C2BA7" w:rsidP="007C2BA7">
            <w:pPr>
              <w:pStyle w:val="Tabletext"/>
              <w:rPr>
                <w:rFonts w:asciiTheme="minorHAnsi" w:hAnsiTheme="minorHAnsi"/>
                <w:szCs w:val="22"/>
              </w:rPr>
            </w:pPr>
          </w:p>
        </w:tc>
        <w:tc>
          <w:tcPr>
            <w:tcW w:w="3474" w:type="dxa"/>
          </w:tcPr>
          <w:p w14:paraId="07175185" w14:textId="77777777" w:rsidR="007C2BA7" w:rsidRPr="00315CD2" w:rsidRDefault="007C2BA7" w:rsidP="007C2BA7">
            <w:pPr>
              <w:pStyle w:val="Tabletext"/>
              <w:rPr>
                <w:rFonts w:asciiTheme="minorHAnsi" w:hAnsiTheme="minorHAnsi"/>
                <w:szCs w:val="22"/>
              </w:rPr>
            </w:pPr>
          </w:p>
        </w:tc>
      </w:tr>
      <w:tr w:rsidR="007C2BA7" w:rsidRPr="00315CD2" w14:paraId="4676888D" w14:textId="77777777" w:rsidTr="00E52914">
        <w:trPr>
          <w:trHeight w:val="282"/>
        </w:trPr>
        <w:tc>
          <w:tcPr>
            <w:tcW w:w="558" w:type="dxa"/>
          </w:tcPr>
          <w:p w14:paraId="58184704" w14:textId="219FF54A"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124</w:t>
            </w:r>
          </w:p>
        </w:tc>
        <w:tc>
          <w:tcPr>
            <w:tcW w:w="1071" w:type="dxa"/>
          </w:tcPr>
          <w:p w14:paraId="36694569" w14:textId="441FA8FC"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British Society of Interventional Radiology</w:t>
            </w:r>
          </w:p>
        </w:tc>
        <w:tc>
          <w:tcPr>
            <w:tcW w:w="2761" w:type="dxa"/>
          </w:tcPr>
          <w:p w14:paraId="0DA2A790" w14:textId="77777777" w:rsidR="007C2BA7" w:rsidRPr="00315CD2" w:rsidRDefault="007C2BA7" w:rsidP="007C2BA7">
            <w:pPr>
              <w:pStyle w:val="NormalWeb"/>
              <w:shd w:val="clear" w:color="auto" w:fill="FFFFFF"/>
              <w:spacing w:before="0" w:beforeAutospacing="0" w:after="0" w:afterAutospacing="0"/>
              <w:rPr>
                <w:rFonts w:asciiTheme="minorHAnsi" w:hAnsiTheme="minorHAnsi" w:cs="Arial"/>
                <w:sz w:val="22"/>
                <w:szCs w:val="22"/>
              </w:rPr>
            </w:pPr>
            <w:r w:rsidRPr="00315CD2">
              <w:rPr>
                <w:rFonts w:asciiTheme="minorHAnsi" w:hAnsiTheme="minorHAnsi" w:cs="Arial"/>
                <w:sz w:val="22"/>
                <w:szCs w:val="22"/>
              </w:rPr>
              <w:t>I strongly believe in supporting the quality standard to ensure both clinicians and patients are aware of developments and advancements in the management and care of DVT/P.E.</w:t>
            </w:r>
          </w:p>
          <w:p w14:paraId="3402F4E3" w14:textId="77777777" w:rsidR="007C2BA7" w:rsidRPr="00315CD2" w:rsidRDefault="007C2BA7" w:rsidP="007C2BA7">
            <w:pPr>
              <w:pStyle w:val="NormalWeb"/>
              <w:shd w:val="clear" w:color="auto" w:fill="FFFFFF"/>
              <w:spacing w:before="0" w:beforeAutospacing="0" w:after="0" w:afterAutospacing="0"/>
              <w:rPr>
                <w:rFonts w:asciiTheme="minorHAnsi" w:hAnsiTheme="minorHAnsi" w:cs="Arial"/>
                <w:sz w:val="22"/>
                <w:szCs w:val="22"/>
              </w:rPr>
            </w:pPr>
            <w:r w:rsidRPr="00315CD2">
              <w:rPr>
                <w:rFonts w:asciiTheme="minorHAnsi" w:hAnsiTheme="minorHAnsi" w:cs="Arial"/>
                <w:sz w:val="22"/>
                <w:szCs w:val="22"/>
              </w:rPr>
              <w:t xml:space="preserve">We promote this through our courses, congress work and social media. </w:t>
            </w:r>
          </w:p>
          <w:p w14:paraId="7F98A8A1" w14:textId="70797D6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We strongly collaborate with research and audit projects to ensure we are ‘on top’ of this disease.</w:t>
            </w:r>
          </w:p>
        </w:tc>
        <w:tc>
          <w:tcPr>
            <w:tcW w:w="3118" w:type="dxa"/>
          </w:tcPr>
          <w:p w14:paraId="1E8A2060" w14:textId="77777777" w:rsidR="007C2BA7" w:rsidRPr="00315CD2" w:rsidRDefault="007C2BA7" w:rsidP="007C2BA7">
            <w:pPr>
              <w:pStyle w:val="Tabletext"/>
              <w:rPr>
                <w:rFonts w:asciiTheme="minorHAnsi" w:hAnsiTheme="minorHAnsi"/>
                <w:szCs w:val="22"/>
              </w:rPr>
            </w:pPr>
          </w:p>
        </w:tc>
        <w:tc>
          <w:tcPr>
            <w:tcW w:w="3686" w:type="dxa"/>
          </w:tcPr>
          <w:p w14:paraId="3408CE54" w14:textId="77777777" w:rsidR="007C2BA7" w:rsidRPr="00315CD2" w:rsidRDefault="007C2BA7" w:rsidP="007C2BA7">
            <w:pPr>
              <w:pStyle w:val="Tabletext"/>
              <w:rPr>
                <w:rFonts w:asciiTheme="minorHAnsi" w:hAnsiTheme="minorHAnsi"/>
                <w:szCs w:val="22"/>
              </w:rPr>
            </w:pPr>
          </w:p>
        </w:tc>
        <w:tc>
          <w:tcPr>
            <w:tcW w:w="3474" w:type="dxa"/>
          </w:tcPr>
          <w:p w14:paraId="50E042FB" w14:textId="77777777" w:rsidR="007C2BA7" w:rsidRPr="00315CD2" w:rsidRDefault="007C2BA7" w:rsidP="007C2BA7">
            <w:pPr>
              <w:pStyle w:val="Tabletext"/>
              <w:rPr>
                <w:rFonts w:asciiTheme="minorHAnsi" w:hAnsiTheme="minorHAnsi"/>
                <w:szCs w:val="22"/>
              </w:rPr>
            </w:pPr>
          </w:p>
        </w:tc>
      </w:tr>
      <w:tr w:rsidR="007C2BA7" w:rsidRPr="00315CD2" w14:paraId="0248FD42" w14:textId="77777777" w:rsidTr="00E52914">
        <w:trPr>
          <w:trHeight w:val="282"/>
        </w:trPr>
        <w:tc>
          <w:tcPr>
            <w:tcW w:w="558" w:type="dxa"/>
          </w:tcPr>
          <w:p w14:paraId="2B0B843A" w14:textId="069F0502"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125</w:t>
            </w:r>
          </w:p>
        </w:tc>
        <w:tc>
          <w:tcPr>
            <w:tcW w:w="1071" w:type="dxa"/>
          </w:tcPr>
          <w:p w14:paraId="73DC78D6" w14:textId="7FCDE469"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British Society of Interventional Radiology</w:t>
            </w:r>
          </w:p>
        </w:tc>
        <w:tc>
          <w:tcPr>
            <w:tcW w:w="2761" w:type="dxa"/>
          </w:tcPr>
          <w:p w14:paraId="6C14ACCA" w14:textId="18C08F4D"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Do you support the proposal to update QS3 and QS29 into one quality standard?</w:t>
            </w:r>
          </w:p>
        </w:tc>
        <w:tc>
          <w:tcPr>
            <w:tcW w:w="3118" w:type="dxa"/>
          </w:tcPr>
          <w:p w14:paraId="7035B5BE" w14:textId="2E4639E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Yes</w:t>
            </w:r>
          </w:p>
        </w:tc>
        <w:tc>
          <w:tcPr>
            <w:tcW w:w="3686" w:type="dxa"/>
          </w:tcPr>
          <w:p w14:paraId="578A3DAC" w14:textId="77777777" w:rsidR="007C2BA7" w:rsidRPr="00315CD2" w:rsidRDefault="007C2BA7" w:rsidP="007C2BA7">
            <w:pPr>
              <w:pStyle w:val="Tabletext"/>
              <w:rPr>
                <w:rFonts w:asciiTheme="minorHAnsi" w:hAnsiTheme="minorHAnsi"/>
                <w:szCs w:val="22"/>
              </w:rPr>
            </w:pPr>
          </w:p>
        </w:tc>
        <w:tc>
          <w:tcPr>
            <w:tcW w:w="3474" w:type="dxa"/>
          </w:tcPr>
          <w:p w14:paraId="6D6CCEDE" w14:textId="77777777" w:rsidR="007C2BA7" w:rsidRPr="00315CD2" w:rsidRDefault="007C2BA7" w:rsidP="007C2BA7">
            <w:pPr>
              <w:pStyle w:val="Tabletext"/>
              <w:rPr>
                <w:rFonts w:asciiTheme="minorHAnsi" w:hAnsiTheme="minorHAnsi"/>
                <w:szCs w:val="22"/>
              </w:rPr>
            </w:pPr>
          </w:p>
        </w:tc>
      </w:tr>
      <w:tr w:rsidR="007C2BA7" w:rsidRPr="00315CD2" w14:paraId="3E41F5ED" w14:textId="77777777" w:rsidTr="00E52914">
        <w:trPr>
          <w:trHeight w:val="282"/>
        </w:trPr>
        <w:tc>
          <w:tcPr>
            <w:tcW w:w="558" w:type="dxa"/>
          </w:tcPr>
          <w:p w14:paraId="01D7825F" w14:textId="7ED646B8"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126</w:t>
            </w:r>
          </w:p>
        </w:tc>
        <w:tc>
          <w:tcPr>
            <w:tcW w:w="1071" w:type="dxa"/>
          </w:tcPr>
          <w:p w14:paraId="43B11CBA" w14:textId="5727AD2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British Thoracic Society </w:t>
            </w:r>
          </w:p>
        </w:tc>
        <w:tc>
          <w:tcPr>
            <w:tcW w:w="2761" w:type="dxa"/>
          </w:tcPr>
          <w:p w14:paraId="7CA7D779" w14:textId="282A9C64"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Do you support the proposal to update QS3 and QS29 into one quality standard?</w:t>
            </w:r>
          </w:p>
        </w:tc>
        <w:tc>
          <w:tcPr>
            <w:tcW w:w="3118" w:type="dxa"/>
          </w:tcPr>
          <w:p w14:paraId="4E022DE0" w14:textId="05BE7F6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Yes</w:t>
            </w:r>
          </w:p>
        </w:tc>
        <w:tc>
          <w:tcPr>
            <w:tcW w:w="3686" w:type="dxa"/>
          </w:tcPr>
          <w:p w14:paraId="44A6BA06" w14:textId="77777777" w:rsidR="007C2BA7" w:rsidRPr="00315CD2" w:rsidRDefault="007C2BA7" w:rsidP="007C2BA7">
            <w:pPr>
              <w:pStyle w:val="Tabletext"/>
              <w:rPr>
                <w:rFonts w:asciiTheme="minorHAnsi" w:hAnsiTheme="minorHAnsi"/>
                <w:szCs w:val="22"/>
              </w:rPr>
            </w:pPr>
          </w:p>
        </w:tc>
        <w:tc>
          <w:tcPr>
            <w:tcW w:w="3474" w:type="dxa"/>
          </w:tcPr>
          <w:p w14:paraId="4B3B553E" w14:textId="77777777" w:rsidR="007C2BA7" w:rsidRPr="00315CD2" w:rsidRDefault="007C2BA7" w:rsidP="007C2BA7">
            <w:pPr>
              <w:pStyle w:val="Tabletext"/>
              <w:rPr>
                <w:rFonts w:asciiTheme="minorHAnsi" w:hAnsiTheme="minorHAnsi"/>
                <w:szCs w:val="22"/>
              </w:rPr>
            </w:pPr>
          </w:p>
        </w:tc>
      </w:tr>
      <w:tr w:rsidR="007C2BA7" w:rsidRPr="00315CD2" w14:paraId="2E74480E" w14:textId="77777777" w:rsidTr="00E52914">
        <w:trPr>
          <w:trHeight w:val="282"/>
        </w:trPr>
        <w:tc>
          <w:tcPr>
            <w:tcW w:w="558" w:type="dxa"/>
          </w:tcPr>
          <w:p w14:paraId="33018CEC" w14:textId="1B0FB354"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127</w:t>
            </w:r>
          </w:p>
        </w:tc>
        <w:tc>
          <w:tcPr>
            <w:tcW w:w="1071" w:type="dxa"/>
          </w:tcPr>
          <w:p w14:paraId="5D881119" w14:textId="782A221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Clinical Leaders of Thrombosis</w:t>
            </w:r>
          </w:p>
        </w:tc>
        <w:tc>
          <w:tcPr>
            <w:tcW w:w="2761" w:type="dxa"/>
          </w:tcPr>
          <w:p w14:paraId="4804E457" w14:textId="036A31AF"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Do you support the proposal to update QS3 and QS29 into one quality standard?</w:t>
            </w:r>
          </w:p>
        </w:tc>
        <w:tc>
          <w:tcPr>
            <w:tcW w:w="3118" w:type="dxa"/>
          </w:tcPr>
          <w:p w14:paraId="7EB8CBE5" w14:textId="1C00C6F1"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Yes would be sensible to have all guidance around thrombosis in one document</w:t>
            </w:r>
          </w:p>
        </w:tc>
        <w:tc>
          <w:tcPr>
            <w:tcW w:w="3686" w:type="dxa"/>
          </w:tcPr>
          <w:p w14:paraId="12731EC8" w14:textId="77777777" w:rsidR="007C2BA7" w:rsidRPr="00315CD2" w:rsidRDefault="007C2BA7" w:rsidP="007C2BA7">
            <w:pPr>
              <w:pStyle w:val="Tabletext"/>
              <w:rPr>
                <w:rFonts w:asciiTheme="minorHAnsi" w:hAnsiTheme="minorHAnsi"/>
                <w:szCs w:val="22"/>
              </w:rPr>
            </w:pPr>
          </w:p>
        </w:tc>
        <w:tc>
          <w:tcPr>
            <w:tcW w:w="3474" w:type="dxa"/>
          </w:tcPr>
          <w:p w14:paraId="6570AB9B" w14:textId="77777777" w:rsidR="007C2BA7" w:rsidRPr="00315CD2" w:rsidRDefault="007C2BA7" w:rsidP="007C2BA7">
            <w:pPr>
              <w:pStyle w:val="Tabletext"/>
              <w:rPr>
                <w:rFonts w:asciiTheme="minorHAnsi" w:hAnsiTheme="minorHAnsi"/>
                <w:szCs w:val="22"/>
              </w:rPr>
            </w:pPr>
          </w:p>
        </w:tc>
      </w:tr>
      <w:tr w:rsidR="007C2BA7" w:rsidRPr="00315CD2" w14:paraId="6DAF1058" w14:textId="77777777" w:rsidTr="00E52914">
        <w:trPr>
          <w:trHeight w:val="282"/>
        </w:trPr>
        <w:tc>
          <w:tcPr>
            <w:tcW w:w="558" w:type="dxa"/>
          </w:tcPr>
          <w:p w14:paraId="786517E0" w14:textId="4A732783"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128</w:t>
            </w:r>
          </w:p>
        </w:tc>
        <w:tc>
          <w:tcPr>
            <w:tcW w:w="1071" w:type="dxa"/>
          </w:tcPr>
          <w:p w14:paraId="5951DD4A" w14:textId="64DCC026"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LEO Pharma</w:t>
            </w:r>
          </w:p>
        </w:tc>
        <w:tc>
          <w:tcPr>
            <w:tcW w:w="2761" w:type="dxa"/>
          </w:tcPr>
          <w:p w14:paraId="34A355E5" w14:textId="03C45F47"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Do you support the proposal to update QS3 and QS29 into one quality standard?</w:t>
            </w:r>
          </w:p>
        </w:tc>
        <w:tc>
          <w:tcPr>
            <w:tcW w:w="3118" w:type="dxa"/>
          </w:tcPr>
          <w:p w14:paraId="79230F40" w14:textId="1F87E8BB"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Yes in principle as would make things simpler and easier to find. However it will be important to ensure that the new combined quality standard adequately &amp; equally reflects key areas for improvement from both aspects i.e.  prevention(reducing the risk in hospital) &amp; diagnosis /management.</w:t>
            </w:r>
          </w:p>
        </w:tc>
        <w:tc>
          <w:tcPr>
            <w:tcW w:w="3686" w:type="dxa"/>
          </w:tcPr>
          <w:p w14:paraId="3BF821C7" w14:textId="77777777" w:rsidR="007C2BA7" w:rsidRPr="00315CD2" w:rsidRDefault="007C2BA7" w:rsidP="007C2BA7">
            <w:pPr>
              <w:pStyle w:val="Paragraphnonumbers"/>
              <w:rPr>
                <w:rFonts w:asciiTheme="minorHAnsi" w:hAnsiTheme="minorHAnsi" w:cs="Arial"/>
                <w:sz w:val="22"/>
                <w:szCs w:val="22"/>
              </w:rPr>
            </w:pPr>
            <w:r w:rsidRPr="00315CD2">
              <w:rPr>
                <w:rFonts w:asciiTheme="minorHAnsi" w:hAnsiTheme="minorHAnsi" w:cs="Arial"/>
                <w:sz w:val="22"/>
                <w:szCs w:val="22"/>
              </w:rPr>
              <w:t>There are still gaps and areas of improvement required in the prevention and management of VTE &amp; PE.</w:t>
            </w:r>
          </w:p>
          <w:p w14:paraId="510CFB04" w14:textId="3934B2F3"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 xml:space="preserve">A new combined single QS will need to adequately reflect these to ensure the quality of care for people with VTE &amp; PE is improved. </w:t>
            </w:r>
          </w:p>
        </w:tc>
        <w:tc>
          <w:tcPr>
            <w:tcW w:w="3474" w:type="dxa"/>
          </w:tcPr>
          <w:p w14:paraId="7A06B086" w14:textId="77777777" w:rsidR="007C2BA7" w:rsidRPr="00315CD2" w:rsidRDefault="007C2BA7" w:rsidP="007C2BA7">
            <w:pPr>
              <w:pStyle w:val="Tabletext"/>
              <w:rPr>
                <w:rFonts w:asciiTheme="minorHAnsi" w:hAnsiTheme="minorHAnsi"/>
                <w:szCs w:val="22"/>
              </w:rPr>
            </w:pPr>
          </w:p>
        </w:tc>
      </w:tr>
      <w:tr w:rsidR="007C2BA7" w:rsidRPr="00315CD2" w14:paraId="13C11F0C" w14:textId="77777777" w:rsidTr="00E52914">
        <w:trPr>
          <w:trHeight w:val="282"/>
        </w:trPr>
        <w:tc>
          <w:tcPr>
            <w:tcW w:w="558" w:type="dxa"/>
          </w:tcPr>
          <w:p w14:paraId="405B9645" w14:textId="02584268" w:rsidR="007C2BA7" w:rsidRPr="00315CD2" w:rsidRDefault="00ED7E40" w:rsidP="007C2BA7">
            <w:pPr>
              <w:pStyle w:val="Tabletext"/>
              <w:rPr>
                <w:rFonts w:asciiTheme="minorHAnsi" w:hAnsiTheme="minorHAnsi"/>
                <w:szCs w:val="22"/>
                <w:lang w:eastAsia="en-GB"/>
              </w:rPr>
            </w:pPr>
            <w:r>
              <w:rPr>
                <w:rFonts w:asciiTheme="minorHAnsi" w:hAnsiTheme="minorHAnsi"/>
                <w:szCs w:val="22"/>
                <w:lang w:eastAsia="en-GB"/>
              </w:rPr>
              <w:t>129</w:t>
            </w:r>
          </w:p>
        </w:tc>
        <w:tc>
          <w:tcPr>
            <w:tcW w:w="1071" w:type="dxa"/>
          </w:tcPr>
          <w:p w14:paraId="14A099B4" w14:textId="35C1DE15"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Thrombosis UK</w:t>
            </w:r>
          </w:p>
        </w:tc>
        <w:tc>
          <w:tcPr>
            <w:tcW w:w="2761" w:type="dxa"/>
          </w:tcPr>
          <w:p w14:paraId="7035508D" w14:textId="6971A23E" w:rsidR="007C2BA7" w:rsidRPr="00315CD2" w:rsidRDefault="007C2BA7" w:rsidP="007C2BA7">
            <w:pPr>
              <w:pStyle w:val="Tabletext"/>
              <w:rPr>
                <w:rFonts w:asciiTheme="minorHAnsi" w:hAnsiTheme="minorHAnsi"/>
                <w:szCs w:val="22"/>
              </w:rPr>
            </w:pPr>
            <w:r w:rsidRPr="00315CD2">
              <w:rPr>
                <w:rFonts w:asciiTheme="minorHAnsi" w:hAnsiTheme="minorHAnsi" w:cs="Arial"/>
                <w:szCs w:val="22"/>
              </w:rPr>
              <w:t>Do you support the proposal to update QS3 and QS29 into one quality standard?</w:t>
            </w:r>
          </w:p>
        </w:tc>
        <w:tc>
          <w:tcPr>
            <w:tcW w:w="3118" w:type="dxa"/>
          </w:tcPr>
          <w:p w14:paraId="486019F9" w14:textId="476A23D4" w:rsidR="007C2BA7" w:rsidRPr="00315CD2" w:rsidRDefault="007C2BA7" w:rsidP="007C2BA7">
            <w:pPr>
              <w:pStyle w:val="Tabletext"/>
              <w:rPr>
                <w:rFonts w:asciiTheme="minorHAnsi" w:hAnsiTheme="minorHAnsi"/>
                <w:szCs w:val="22"/>
              </w:rPr>
            </w:pPr>
            <w:r w:rsidRPr="00315CD2">
              <w:rPr>
                <w:rFonts w:asciiTheme="minorHAnsi" w:hAnsiTheme="minorHAnsi" w:cs="Calibri"/>
                <w:szCs w:val="22"/>
              </w:rPr>
              <w:t>Yes</w:t>
            </w:r>
          </w:p>
        </w:tc>
        <w:tc>
          <w:tcPr>
            <w:tcW w:w="3686" w:type="dxa"/>
          </w:tcPr>
          <w:p w14:paraId="29D13CE6" w14:textId="77777777" w:rsidR="007C2BA7" w:rsidRPr="00315CD2" w:rsidRDefault="007C2BA7" w:rsidP="007C2BA7">
            <w:pPr>
              <w:pStyle w:val="Tabletext"/>
              <w:rPr>
                <w:rFonts w:asciiTheme="minorHAnsi" w:hAnsiTheme="minorHAnsi"/>
                <w:szCs w:val="22"/>
              </w:rPr>
            </w:pPr>
          </w:p>
        </w:tc>
        <w:tc>
          <w:tcPr>
            <w:tcW w:w="3474" w:type="dxa"/>
          </w:tcPr>
          <w:p w14:paraId="5B1A1C6B" w14:textId="77777777" w:rsidR="007C2BA7" w:rsidRPr="00315CD2" w:rsidRDefault="007C2BA7" w:rsidP="007C2BA7">
            <w:pPr>
              <w:pStyle w:val="Tabletext"/>
              <w:rPr>
                <w:rFonts w:asciiTheme="minorHAnsi" w:hAnsiTheme="minorHAnsi"/>
                <w:szCs w:val="22"/>
              </w:rPr>
            </w:pPr>
          </w:p>
        </w:tc>
      </w:tr>
    </w:tbl>
    <w:p w14:paraId="51F4EDB0" w14:textId="5A8A4F98" w:rsidR="007C2BA7" w:rsidRDefault="007C2BA7" w:rsidP="00A813F7">
      <w:pPr>
        <w:pStyle w:val="Paragraph"/>
      </w:pPr>
    </w:p>
    <w:p w14:paraId="071C5316" w14:textId="77777777" w:rsidR="007C2BA7" w:rsidRDefault="007C2BA7">
      <w:pPr>
        <w:rPr>
          <w:rFonts w:ascii="Arial" w:hAnsi="Arial"/>
        </w:rPr>
      </w:pPr>
      <w:r>
        <w:br w:type="page"/>
      </w:r>
    </w:p>
    <w:p w14:paraId="5314A853" w14:textId="77777777" w:rsidR="00F27622" w:rsidRDefault="00F27622" w:rsidP="00A813F7">
      <w:pPr>
        <w:pStyle w:val="Paragraph"/>
      </w:pPr>
    </w:p>
    <w:p w14:paraId="5F431B49" w14:textId="15969370" w:rsidR="00534339" w:rsidRPr="0088696C" w:rsidRDefault="00534339" w:rsidP="00C14E34">
      <w:pPr>
        <w:pStyle w:val="Heading1"/>
      </w:pPr>
      <w:bookmarkStart w:id="160" w:name="_Toc50469741"/>
      <w:r w:rsidRPr="00FC11EC">
        <w:t xml:space="preserve">Appendix </w:t>
      </w:r>
      <w:r w:rsidR="00DD6603">
        <w:t>4</w:t>
      </w:r>
      <w:r>
        <w:t xml:space="preserve">: </w:t>
      </w:r>
      <w:r w:rsidRPr="00FC11EC">
        <w:t>Suggestions from stakeholder engagement exercise</w:t>
      </w:r>
      <w:r>
        <w:t xml:space="preserve"> – respondents with links to the tobacco industr</w:t>
      </w:r>
      <w:r w:rsidRPr="00C14E34">
        <w:t>y</w:t>
      </w:r>
      <w:r w:rsidR="00DD6603" w:rsidRPr="00C14E34">
        <w:rPr>
          <w:rStyle w:val="FootnoteReference"/>
        </w:rPr>
        <w:footnoteReference w:id="1"/>
      </w:r>
      <w:bookmarkEnd w:id="160"/>
      <w:r w:rsidRPr="00C14E34">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48"/>
        <w:gridCol w:w="1732"/>
        <w:gridCol w:w="2126"/>
        <w:gridCol w:w="2410"/>
        <w:gridCol w:w="5811"/>
        <w:gridCol w:w="2341"/>
      </w:tblGrid>
      <w:tr w:rsidR="00534339" w:rsidRPr="00C14E34" w14:paraId="1B328FCE" w14:textId="77777777" w:rsidTr="007F298D">
        <w:trPr>
          <w:tblHeader/>
        </w:trPr>
        <w:tc>
          <w:tcPr>
            <w:tcW w:w="248" w:type="dxa"/>
            <w:shd w:val="clear" w:color="auto" w:fill="auto"/>
          </w:tcPr>
          <w:p w14:paraId="2C7AAAAB" w14:textId="77777777" w:rsidR="00534339" w:rsidRPr="007F298D" w:rsidRDefault="00534339" w:rsidP="007F298D">
            <w:pPr>
              <w:rPr>
                <w:rFonts w:ascii="Calibri" w:hAnsi="Calibri" w:cs="Calibri"/>
                <w:b/>
                <w:bCs/>
                <w:color w:val="000000"/>
                <w:sz w:val="22"/>
                <w:szCs w:val="22"/>
              </w:rPr>
            </w:pPr>
            <w:r w:rsidRPr="007F298D">
              <w:rPr>
                <w:rFonts w:ascii="Calibri" w:hAnsi="Calibri" w:cs="Calibri"/>
                <w:b/>
                <w:bCs/>
                <w:color w:val="000000"/>
                <w:sz w:val="22"/>
                <w:szCs w:val="22"/>
              </w:rPr>
              <w:t>ID</w:t>
            </w:r>
          </w:p>
        </w:tc>
        <w:tc>
          <w:tcPr>
            <w:tcW w:w="1732" w:type="dxa"/>
            <w:shd w:val="clear" w:color="auto" w:fill="auto"/>
          </w:tcPr>
          <w:p w14:paraId="011D84CF" w14:textId="77777777" w:rsidR="007F298D" w:rsidRDefault="00534339" w:rsidP="007F298D">
            <w:pPr>
              <w:rPr>
                <w:rFonts w:ascii="Calibri" w:hAnsi="Calibri" w:cs="Calibri"/>
                <w:b/>
                <w:bCs/>
                <w:color w:val="000000"/>
                <w:sz w:val="22"/>
                <w:szCs w:val="22"/>
              </w:rPr>
            </w:pPr>
            <w:r w:rsidRPr="007F298D">
              <w:rPr>
                <w:rFonts w:ascii="Calibri" w:hAnsi="Calibri" w:cs="Calibri"/>
                <w:b/>
                <w:bCs/>
                <w:color w:val="000000"/>
                <w:sz w:val="22"/>
                <w:szCs w:val="22"/>
              </w:rPr>
              <w:t>Stakeholder</w:t>
            </w:r>
          </w:p>
          <w:p w14:paraId="78F23237" w14:textId="3E489233" w:rsidR="00534339" w:rsidRPr="007F298D" w:rsidRDefault="00534339" w:rsidP="007F298D">
            <w:pPr>
              <w:rPr>
                <w:rFonts w:ascii="Calibri" w:hAnsi="Calibri" w:cs="Calibri"/>
                <w:b/>
                <w:bCs/>
                <w:color w:val="000000"/>
                <w:sz w:val="22"/>
                <w:szCs w:val="22"/>
              </w:rPr>
            </w:pPr>
            <w:r w:rsidRPr="007F298D">
              <w:rPr>
                <w:rFonts w:ascii="Calibri" w:hAnsi="Calibri" w:cs="Calibri"/>
                <w:b/>
                <w:bCs/>
                <w:color w:val="000000"/>
                <w:sz w:val="22"/>
                <w:szCs w:val="22"/>
              </w:rPr>
              <w:t>Registration status and disclosed link.</w:t>
            </w:r>
          </w:p>
        </w:tc>
        <w:tc>
          <w:tcPr>
            <w:tcW w:w="2126" w:type="dxa"/>
            <w:shd w:val="clear" w:color="auto" w:fill="auto"/>
          </w:tcPr>
          <w:p w14:paraId="7E7D6ED9" w14:textId="77777777" w:rsidR="00534339" w:rsidRPr="007F298D" w:rsidRDefault="00534339" w:rsidP="007F298D">
            <w:pPr>
              <w:rPr>
                <w:rFonts w:ascii="Calibri" w:hAnsi="Calibri" w:cs="Calibri"/>
                <w:b/>
                <w:bCs/>
                <w:color w:val="000000"/>
                <w:sz w:val="22"/>
                <w:szCs w:val="22"/>
              </w:rPr>
            </w:pPr>
            <w:r w:rsidRPr="007F298D">
              <w:rPr>
                <w:rFonts w:ascii="Calibri" w:hAnsi="Calibri" w:cs="Calibri"/>
                <w:b/>
                <w:bCs/>
                <w:color w:val="000000"/>
                <w:sz w:val="22"/>
                <w:szCs w:val="22"/>
              </w:rPr>
              <w:t>Suggested key area for quality improvement</w:t>
            </w:r>
          </w:p>
        </w:tc>
        <w:tc>
          <w:tcPr>
            <w:tcW w:w="2410" w:type="dxa"/>
            <w:shd w:val="clear" w:color="auto" w:fill="auto"/>
          </w:tcPr>
          <w:p w14:paraId="2D12793D" w14:textId="77777777" w:rsidR="00534339" w:rsidRPr="007F298D" w:rsidRDefault="00534339" w:rsidP="007F298D">
            <w:pPr>
              <w:rPr>
                <w:rFonts w:ascii="Calibri" w:hAnsi="Calibri" w:cs="Calibri"/>
                <w:b/>
                <w:bCs/>
                <w:color w:val="000000"/>
                <w:sz w:val="22"/>
                <w:szCs w:val="22"/>
              </w:rPr>
            </w:pPr>
            <w:r w:rsidRPr="007F298D">
              <w:rPr>
                <w:rFonts w:ascii="Calibri" w:hAnsi="Calibri" w:cs="Calibri"/>
                <w:b/>
                <w:bCs/>
                <w:color w:val="000000"/>
                <w:sz w:val="22"/>
                <w:szCs w:val="22"/>
              </w:rPr>
              <w:t>Why is this important?</w:t>
            </w:r>
          </w:p>
        </w:tc>
        <w:tc>
          <w:tcPr>
            <w:tcW w:w="5811" w:type="dxa"/>
            <w:shd w:val="clear" w:color="auto" w:fill="auto"/>
          </w:tcPr>
          <w:p w14:paraId="38C1DD1F" w14:textId="77777777" w:rsidR="00534339" w:rsidRPr="007F298D" w:rsidRDefault="00534339" w:rsidP="007F298D">
            <w:pPr>
              <w:rPr>
                <w:rFonts w:ascii="Calibri" w:hAnsi="Calibri" w:cs="Calibri"/>
                <w:b/>
                <w:bCs/>
                <w:color w:val="000000"/>
                <w:sz w:val="22"/>
                <w:szCs w:val="22"/>
              </w:rPr>
            </w:pPr>
            <w:r w:rsidRPr="007F298D">
              <w:rPr>
                <w:rFonts w:ascii="Calibri" w:hAnsi="Calibri" w:cs="Calibri"/>
                <w:b/>
                <w:bCs/>
                <w:color w:val="000000"/>
                <w:sz w:val="22"/>
                <w:szCs w:val="22"/>
              </w:rPr>
              <w:t>Why is this a key area for quality improvement?</w:t>
            </w:r>
          </w:p>
        </w:tc>
        <w:tc>
          <w:tcPr>
            <w:tcW w:w="2341" w:type="dxa"/>
            <w:shd w:val="clear" w:color="auto" w:fill="auto"/>
          </w:tcPr>
          <w:p w14:paraId="004CBE70" w14:textId="77777777" w:rsidR="00534339" w:rsidRPr="007F298D" w:rsidRDefault="00534339" w:rsidP="007F298D">
            <w:pPr>
              <w:rPr>
                <w:rFonts w:ascii="Calibri" w:hAnsi="Calibri" w:cs="Calibri"/>
                <w:b/>
                <w:bCs/>
                <w:color w:val="000000"/>
                <w:sz w:val="22"/>
                <w:szCs w:val="22"/>
              </w:rPr>
            </w:pPr>
            <w:r w:rsidRPr="007F298D">
              <w:rPr>
                <w:rFonts w:ascii="Calibri" w:hAnsi="Calibri" w:cs="Calibri"/>
                <w:b/>
                <w:bCs/>
                <w:color w:val="000000"/>
                <w:sz w:val="22"/>
                <w:szCs w:val="22"/>
              </w:rPr>
              <w:t>Supporting information</w:t>
            </w:r>
          </w:p>
        </w:tc>
      </w:tr>
      <w:tr w:rsidR="00C14E34" w:rsidRPr="00C14E34" w14:paraId="764D198C" w14:textId="77777777" w:rsidTr="007F298D">
        <w:tc>
          <w:tcPr>
            <w:tcW w:w="248" w:type="dxa"/>
            <w:shd w:val="clear" w:color="auto" w:fill="auto"/>
          </w:tcPr>
          <w:p w14:paraId="4C0BCCBB" w14:textId="77777777" w:rsidR="00C14E34" w:rsidRPr="007F298D" w:rsidRDefault="00C14E34" w:rsidP="007F298D">
            <w:pPr>
              <w:rPr>
                <w:rFonts w:ascii="Calibri" w:hAnsi="Calibri" w:cs="Calibri"/>
                <w:color w:val="000000"/>
                <w:sz w:val="22"/>
                <w:szCs w:val="22"/>
              </w:rPr>
            </w:pPr>
            <w:r w:rsidRPr="007F298D">
              <w:rPr>
                <w:rFonts w:ascii="Calibri" w:hAnsi="Calibri" w:cs="Calibri"/>
                <w:color w:val="000000"/>
                <w:sz w:val="22"/>
                <w:szCs w:val="22"/>
              </w:rPr>
              <w:t>1</w:t>
            </w:r>
          </w:p>
        </w:tc>
        <w:tc>
          <w:tcPr>
            <w:tcW w:w="1732" w:type="dxa"/>
            <w:shd w:val="clear" w:color="auto" w:fill="auto"/>
          </w:tcPr>
          <w:p w14:paraId="7BB9F22E" w14:textId="79C1C20C"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 xml:space="preserve">Bayer </w:t>
            </w:r>
            <w:r w:rsidRPr="007F298D">
              <w:rPr>
                <w:rFonts w:ascii="Calibri" w:hAnsi="Calibri" w:cs="Calibri"/>
                <w:color w:val="000000"/>
                <w:sz w:val="22"/>
                <w:szCs w:val="22"/>
              </w:rPr>
              <w:t>plc</w:t>
            </w:r>
          </w:p>
        </w:tc>
        <w:tc>
          <w:tcPr>
            <w:tcW w:w="2126" w:type="dxa"/>
          </w:tcPr>
          <w:p w14:paraId="1F2CDF16"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 xml:space="preserve">Patients should be routinely offered extended (post hospital) VTE prophylaxis as clinically appropriate in accordance with </w:t>
            </w:r>
            <w:hyperlink r:id="rId138" w:history="1">
              <w:r w:rsidRPr="00C14E34">
                <w:rPr>
                  <w:rFonts w:ascii="Calibri" w:hAnsi="Calibri" w:cs="Calibri"/>
                  <w:color w:val="000000"/>
                </w:rPr>
                <w:t>NICE clinical guidelines</w:t>
              </w:r>
            </w:hyperlink>
            <w:r w:rsidRPr="00C14E34">
              <w:rPr>
                <w:rFonts w:ascii="Calibri" w:hAnsi="Calibri" w:cs="Calibri"/>
                <w:color w:val="000000"/>
                <w:sz w:val="22"/>
                <w:szCs w:val="22"/>
              </w:rPr>
              <w:t>.</w:t>
            </w:r>
          </w:p>
          <w:p w14:paraId="278CBD28" w14:textId="17771640"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 xml:space="preserve">[QS3 – Quality statement 7 - </w:t>
            </w:r>
            <w:hyperlink r:id="rId139" w:history="1">
              <w:r w:rsidRPr="00C14E34">
                <w:rPr>
                  <w:rFonts w:ascii="Calibri" w:hAnsi="Calibri" w:cs="Calibri"/>
                  <w:color w:val="000000"/>
                </w:rPr>
                <w:t>Extended VTE prophylaxis</w:t>
              </w:r>
            </w:hyperlink>
            <w:r w:rsidRPr="00C14E34">
              <w:rPr>
                <w:rFonts w:ascii="Calibri" w:hAnsi="Calibri" w:cs="Calibri"/>
                <w:color w:val="000000"/>
                <w:sz w:val="22"/>
                <w:szCs w:val="22"/>
              </w:rPr>
              <w:t>]</w:t>
            </w:r>
          </w:p>
        </w:tc>
        <w:tc>
          <w:tcPr>
            <w:tcW w:w="2410" w:type="dxa"/>
          </w:tcPr>
          <w:p w14:paraId="33917C41" w14:textId="4E9D651F"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In 2018/19, 57 deaths recorded from venous thromboembolism (VTE) related events within 90 days post discharge from hospital per 100,000 adult hospital admissions.</w:t>
            </w:r>
          </w:p>
        </w:tc>
        <w:tc>
          <w:tcPr>
            <w:tcW w:w="5811" w:type="dxa"/>
          </w:tcPr>
          <w:p w14:paraId="6F58A9E5" w14:textId="073D483B"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A key patient safety priority for hospitals and an indicator within the NHS Outcomes Framework. By linking deaths from VTE to a recent hospitalisation, the indicator captures where an omission of prophylaxis or errors in diagnosis or treatment are likely to contribute to the outcome.</w:t>
            </w:r>
          </w:p>
        </w:tc>
        <w:tc>
          <w:tcPr>
            <w:tcW w:w="2341" w:type="dxa"/>
          </w:tcPr>
          <w:p w14:paraId="5508BD79"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See NHS Outcomes Framework indicator 5.1, Deaths from venous thromboembolism (VTE) related events within 90 days post discharge from hospital.</w:t>
            </w:r>
          </w:p>
          <w:p w14:paraId="4B59B415" w14:textId="77777777" w:rsidR="00C14E34" w:rsidRPr="00C14E34" w:rsidRDefault="00473E39" w:rsidP="007F298D">
            <w:pPr>
              <w:rPr>
                <w:rFonts w:ascii="Calibri" w:hAnsi="Calibri" w:cs="Calibri"/>
                <w:color w:val="000000"/>
              </w:rPr>
            </w:pPr>
            <w:hyperlink r:id="rId140" w:history="1">
              <w:r w:rsidR="00C14E34" w:rsidRPr="00C14E34">
                <w:rPr>
                  <w:rFonts w:ascii="Calibri" w:hAnsi="Calibri" w:cs="Calibri"/>
                  <w:color w:val="000000"/>
                </w:rPr>
                <w:t>https://digital.nhs.uk/data-and-information/publications/statistical/nhs-outcomes-framework/may-2020/domain-5-treating-and-caring-for-people-in-a-safe-environment-and-protecting-them-from-avoidable-harm-nof/5-1-deaths-from-venous-thromboembolism-vte-related-events-within-90-days-post-discharge-from-hospital</w:t>
              </w:r>
            </w:hyperlink>
          </w:p>
          <w:p w14:paraId="377A9FB1" w14:textId="4B5E5D66" w:rsidR="00C14E34" w:rsidRPr="00C14E34" w:rsidRDefault="00473E39" w:rsidP="007F298D">
            <w:pPr>
              <w:rPr>
                <w:rFonts w:ascii="Calibri" w:hAnsi="Calibri" w:cs="Calibri"/>
                <w:color w:val="000000"/>
                <w:sz w:val="22"/>
                <w:szCs w:val="22"/>
              </w:rPr>
            </w:pPr>
            <w:hyperlink r:id="rId141" w:history="1">
              <w:r w:rsidR="00C14E34" w:rsidRPr="00C14E34">
                <w:rPr>
                  <w:rFonts w:ascii="Calibri" w:hAnsi="Calibri" w:cs="Calibri"/>
                  <w:color w:val="000000"/>
                </w:rPr>
                <w:t>https://files.digital.nhs.uk/E3/5E254F/NHSOF_5.1_I00675_Q.pdf</w:t>
              </w:r>
            </w:hyperlink>
          </w:p>
        </w:tc>
      </w:tr>
      <w:tr w:rsidR="00C14E34" w:rsidRPr="00C14E34" w14:paraId="5A25A863" w14:textId="77777777" w:rsidTr="007F298D">
        <w:tc>
          <w:tcPr>
            <w:tcW w:w="248" w:type="dxa"/>
            <w:shd w:val="clear" w:color="auto" w:fill="auto"/>
          </w:tcPr>
          <w:p w14:paraId="43A6C531" w14:textId="66151138" w:rsidR="00C14E34" w:rsidRPr="00C14E34" w:rsidRDefault="007F298D" w:rsidP="007F298D">
            <w:pPr>
              <w:rPr>
                <w:sz w:val="22"/>
                <w:szCs w:val="22"/>
                <w:highlight w:val="cyan"/>
              </w:rPr>
            </w:pPr>
            <w:r>
              <w:rPr>
                <w:rFonts w:ascii="Calibri" w:hAnsi="Calibri" w:cs="Calibri"/>
                <w:color w:val="000000"/>
                <w:sz w:val="22"/>
                <w:szCs w:val="22"/>
              </w:rPr>
              <w:t>2</w:t>
            </w:r>
          </w:p>
        </w:tc>
        <w:tc>
          <w:tcPr>
            <w:tcW w:w="1732" w:type="dxa"/>
            <w:shd w:val="clear" w:color="auto" w:fill="auto"/>
          </w:tcPr>
          <w:p w14:paraId="6FE7BFCA" w14:textId="77777777" w:rsidR="00C14E34" w:rsidRPr="00C14E34" w:rsidRDefault="00C14E34" w:rsidP="007F298D">
            <w:pPr>
              <w:rPr>
                <w:rFonts w:ascii="Calibri" w:hAnsi="Calibri" w:cs="Calibri"/>
                <w:color w:val="000000"/>
                <w:sz w:val="22"/>
                <w:szCs w:val="22"/>
              </w:rPr>
            </w:pPr>
          </w:p>
        </w:tc>
        <w:tc>
          <w:tcPr>
            <w:tcW w:w="2126" w:type="dxa"/>
          </w:tcPr>
          <w:p w14:paraId="194E5265"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Patients/carers should be offered verbal and written information on VTE prevention as part of the discharge process, including advice on therapy where appropriate and importance of adherence.</w:t>
            </w:r>
          </w:p>
          <w:p w14:paraId="28B5A42B" w14:textId="6CBBAF4D"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w:t>
            </w:r>
            <w:hyperlink r:id="rId142">
              <w:r w:rsidRPr="00C14E34">
                <w:rPr>
                  <w:rFonts w:ascii="Calibri" w:hAnsi="Calibri" w:cs="Calibri"/>
                  <w:color w:val="000000"/>
                </w:rPr>
                <w:t>QS3 - Quality statement 6</w:t>
              </w:r>
            </w:hyperlink>
            <w:r w:rsidRPr="00C14E34">
              <w:rPr>
                <w:rFonts w:ascii="Calibri" w:hAnsi="Calibri" w:cs="Calibri"/>
                <w:color w:val="000000"/>
              </w:rPr>
              <w:t xml:space="preserve"> – information for patients and carers</w:t>
            </w:r>
            <w:r w:rsidRPr="00C14E34">
              <w:rPr>
                <w:rFonts w:ascii="Calibri" w:hAnsi="Calibri" w:cs="Calibri"/>
                <w:color w:val="000000"/>
                <w:sz w:val="22"/>
                <w:szCs w:val="22"/>
              </w:rPr>
              <w:t>]</w:t>
            </w:r>
          </w:p>
        </w:tc>
        <w:tc>
          <w:tcPr>
            <w:tcW w:w="2410" w:type="dxa"/>
          </w:tcPr>
          <w:p w14:paraId="7741092B"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The All-Party Parliamentary Thrombosis Group Annual Survey of NHS Trusts has repeatedly highlighted patients experiencing “disjointed” and “fragmented” care after being discharged from hospital, putting them at risk of harm.</w:t>
            </w:r>
          </w:p>
          <w:p w14:paraId="5B67BBCB" w14:textId="77777777" w:rsidR="00C14E34" w:rsidRPr="00C14E34" w:rsidRDefault="00C14E34" w:rsidP="007F298D">
            <w:pPr>
              <w:rPr>
                <w:rFonts w:ascii="Calibri" w:hAnsi="Calibri" w:cs="Calibri"/>
                <w:color w:val="000000"/>
                <w:sz w:val="22"/>
                <w:szCs w:val="22"/>
              </w:rPr>
            </w:pPr>
          </w:p>
        </w:tc>
        <w:tc>
          <w:tcPr>
            <w:tcW w:w="5811" w:type="dxa"/>
          </w:tcPr>
          <w:p w14:paraId="15099B8D"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 xml:space="preserve">This quality statement should be retained. </w:t>
            </w:r>
          </w:p>
          <w:p w14:paraId="2CA13D7A"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In the most recent report from The All-Party Parliamentary Thrombosis Group Annual Survey of NHS Trusts, it highlighted that while the vast majority of trusts provide their own information leaflet to patients on VTE; less than half (48%) indicated that a documented discussion between an HCP and patient takes place at discharge regarding their ongoing management.</w:t>
            </w:r>
          </w:p>
          <w:p w14:paraId="359C4119" w14:textId="40C02F36"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Discharge planning should be tailored to each person's needs and equip them with realistic strategies they can implement once discharged from hospital.  This should include appropriate information and advice on VTE prevention which covers prescribed therapies, duration of treatment and possible side effects.</w:t>
            </w:r>
          </w:p>
        </w:tc>
        <w:tc>
          <w:tcPr>
            <w:tcW w:w="2341" w:type="dxa"/>
          </w:tcPr>
          <w:p w14:paraId="27E005CF"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 xml:space="preserve">APPTG Annual Survey 2019: </w:t>
            </w:r>
            <w:hyperlink r:id="rId143" w:history="1">
              <w:r w:rsidRPr="00C14E34">
                <w:rPr>
                  <w:rFonts w:ascii="Calibri" w:hAnsi="Calibri" w:cs="Calibri"/>
                  <w:color w:val="000000"/>
                </w:rPr>
                <w:t>https://thrombosisuk.org/downloads/APPTG%20Annual%20Review%202019%20100320.pdf</w:t>
              </w:r>
            </w:hyperlink>
          </w:p>
          <w:p w14:paraId="467A3A91" w14:textId="77777777" w:rsidR="00C14E34" w:rsidRPr="00C14E34" w:rsidRDefault="00C14E34" w:rsidP="007F298D">
            <w:pPr>
              <w:rPr>
                <w:rFonts w:ascii="Calibri" w:hAnsi="Calibri" w:cs="Calibri"/>
                <w:color w:val="000000"/>
                <w:sz w:val="22"/>
                <w:szCs w:val="22"/>
              </w:rPr>
            </w:pPr>
          </w:p>
        </w:tc>
      </w:tr>
      <w:tr w:rsidR="00C14E34" w:rsidRPr="00C14E34" w14:paraId="787A58BF" w14:textId="77777777" w:rsidTr="007F298D">
        <w:tc>
          <w:tcPr>
            <w:tcW w:w="248" w:type="dxa"/>
            <w:shd w:val="clear" w:color="auto" w:fill="auto"/>
          </w:tcPr>
          <w:p w14:paraId="6657C3A9" w14:textId="3D3D3C73" w:rsidR="00C14E34" w:rsidRPr="00C14E34" w:rsidRDefault="007F298D" w:rsidP="007F298D">
            <w:pPr>
              <w:rPr>
                <w:sz w:val="22"/>
                <w:szCs w:val="22"/>
                <w:highlight w:val="cyan"/>
              </w:rPr>
            </w:pPr>
            <w:r>
              <w:rPr>
                <w:rFonts w:ascii="Calibri" w:hAnsi="Calibri" w:cs="Calibri"/>
                <w:color w:val="000000"/>
                <w:sz w:val="22"/>
                <w:szCs w:val="22"/>
              </w:rPr>
              <w:t>3</w:t>
            </w:r>
          </w:p>
        </w:tc>
        <w:tc>
          <w:tcPr>
            <w:tcW w:w="1732" w:type="dxa"/>
            <w:shd w:val="clear" w:color="auto" w:fill="auto"/>
          </w:tcPr>
          <w:p w14:paraId="4FFA0BE0" w14:textId="77777777" w:rsidR="00C14E34" w:rsidRPr="00C14E34" w:rsidRDefault="00C14E34" w:rsidP="007F298D">
            <w:pPr>
              <w:rPr>
                <w:rFonts w:ascii="Calibri" w:hAnsi="Calibri" w:cs="Calibri"/>
                <w:color w:val="000000"/>
                <w:sz w:val="22"/>
                <w:szCs w:val="22"/>
              </w:rPr>
            </w:pPr>
          </w:p>
        </w:tc>
        <w:tc>
          <w:tcPr>
            <w:tcW w:w="2126" w:type="dxa"/>
          </w:tcPr>
          <w:p w14:paraId="131987DB"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Key area for quality improvement 3</w:t>
            </w:r>
          </w:p>
          <w:p w14:paraId="557D8E63"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Planned review of anticoagulation therapy to discuss the risks and benefits of continuing anticoagulation therapy</w:t>
            </w:r>
          </w:p>
          <w:p w14:paraId="46A67647" w14:textId="4CCC3DC9"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w:t>
            </w:r>
            <w:hyperlink r:id="rId144">
              <w:r w:rsidRPr="00C14E34">
                <w:rPr>
                  <w:rFonts w:ascii="Calibri" w:hAnsi="Calibri" w:cs="Calibri"/>
                  <w:color w:val="000000"/>
                  <w:sz w:val="22"/>
                  <w:szCs w:val="22"/>
                </w:rPr>
                <w:t>QS29 - Quality statement 8: Follow</w:t>
              </w:r>
              <w:r w:rsidRPr="00C14E34">
                <w:rPr>
                  <w:rFonts w:ascii="Cambria Math" w:hAnsi="Cambria Math" w:cs="Cambria Math"/>
                  <w:color w:val="000000"/>
                  <w:sz w:val="22"/>
                  <w:szCs w:val="22"/>
                </w:rPr>
                <w:t>‑</w:t>
              </w:r>
              <w:r w:rsidRPr="00C14E34">
                <w:rPr>
                  <w:rFonts w:ascii="Calibri" w:hAnsi="Calibri" w:cs="Calibri"/>
                  <w:color w:val="000000"/>
                  <w:sz w:val="22"/>
                  <w:szCs w:val="22"/>
                </w:rPr>
                <w:t>up for people without cancer</w:t>
              </w:r>
            </w:hyperlink>
            <w:r w:rsidRPr="00C14E34">
              <w:rPr>
                <w:rFonts w:ascii="Calibri" w:hAnsi="Calibri" w:cs="Calibri"/>
                <w:color w:val="000000"/>
                <w:sz w:val="22"/>
                <w:szCs w:val="22"/>
              </w:rPr>
              <w:t xml:space="preserve"> and Quality statement 9: Follow</w:t>
            </w:r>
            <w:r w:rsidRPr="00C14E34">
              <w:rPr>
                <w:rFonts w:ascii="Calibri" w:hAnsi="Calibri" w:cs="Calibri"/>
                <w:color w:val="000000"/>
                <w:sz w:val="22"/>
                <w:szCs w:val="22"/>
              </w:rPr>
              <w:noBreakHyphen/>
              <w:t>up for people with cancer]</w:t>
            </w:r>
          </w:p>
        </w:tc>
        <w:tc>
          <w:tcPr>
            <w:tcW w:w="2410" w:type="dxa"/>
          </w:tcPr>
          <w:p w14:paraId="526B2F58"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NICE clinical guidelines recommend that people who receive anticoagulation therapy have a review within 3 months of diagnosis of confirmed proximal DVT or PE.</w:t>
            </w:r>
          </w:p>
          <w:p w14:paraId="7B145CD4" w14:textId="75042F50"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Patients with VTE and cancer should be reviewed within 3 to 6 months (combine these recommendations into 1).</w:t>
            </w:r>
          </w:p>
        </w:tc>
        <w:tc>
          <w:tcPr>
            <w:tcW w:w="5811" w:type="dxa"/>
          </w:tcPr>
          <w:p w14:paraId="3C9802EE"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These quality statements should be retained. Many patients commence treatment for VTE in hospital and are discharged to ongoing care in the community. Throughout this phase of the pathway, maintaining adherence and persistence with extended anticoagulation therapy is a crucial.</w:t>
            </w:r>
          </w:p>
          <w:p w14:paraId="2EB52979"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 xml:space="preserve">Equally, as anticoagulation therapy carries potential risks such as bleeding there is a need to ensure the therapy remains beneficial. </w:t>
            </w:r>
          </w:p>
          <w:p w14:paraId="573A2574" w14:textId="7704C598"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Therefore, ensuring all patients are regularly reviewed to evaluate the clinical impact of anticoagulation therapy and consider any adjustments is critical.</w:t>
            </w:r>
          </w:p>
        </w:tc>
        <w:tc>
          <w:tcPr>
            <w:tcW w:w="2341" w:type="dxa"/>
          </w:tcPr>
          <w:p w14:paraId="6CBBB778" w14:textId="77777777" w:rsidR="00C14E34" w:rsidRPr="00C14E34" w:rsidRDefault="00C14E34" w:rsidP="007F298D">
            <w:pPr>
              <w:rPr>
                <w:rFonts w:ascii="Calibri" w:hAnsi="Calibri" w:cs="Calibri"/>
                <w:color w:val="000000"/>
                <w:sz w:val="22"/>
                <w:szCs w:val="22"/>
              </w:rPr>
            </w:pPr>
          </w:p>
        </w:tc>
      </w:tr>
      <w:tr w:rsidR="00C14E34" w:rsidRPr="00C14E34" w14:paraId="54AAB307" w14:textId="77777777" w:rsidTr="007F298D">
        <w:tc>
          <w:tcPr>
            <w:tcW w:w="248" w:type="dxa"/>
            <w:shd w:val="clear" w:color="auto" w:fill="auto"/>
          </w:tcPr>
          <w:p w14:paraId="4630AA76" w14:textId="7BF4AC08" w:rsidR="00C14E34" w:rsidRPr="00C14E34" w:rsidRDefault="007F298D" w:rsidP="007F298D">
            <w:pPr>
              <w:rPr>
                <w:sz w:val="22"/>
                <w:szCs w:val="22"/>
                <w:highlight w:val="cyan"/>
              </w:rPr>
            </w:pPr>
            <w:r>
              <w:rPr>
                <w:rFonts w:ascii="Calibri" w:hAnsi="Calibri" w:cs="Calibri"/>
                <w:color w:val="000000"/>
                <w:sz w:val="22"/>
                <w:szCs w:val="22"/>
              </w:rPr>
              <w:t>4</w:t>
            </w:r>
          </w:p>
        </w:tc>
        <w:tc>
          <w:tcPr>
            <w:tcW w:w="1732" w:type="dxa"/>
            <w:shd w:val="clear" w:color="auto" w:fill="auto"/>
          </w:tcPr>
          <w:p w14:paraId="54085259" w14:textId="77777777" w:rsidR="00C14E34" w:rsidRPr="00C14E34" w:rsidRDefault="00C14E34" w:rsidP="007F298D">
            <w:pPr>
              <w:rPr>
                <w:rFonts w:ascii="Calibri" w:hAnsi="Calibri" w:cs="Calibri"/>
                <w:color w:val="000000"/>
                <w:sz w:val="22"/>
                <w:szCs w:val="22"/>
              </w:rPr>
            </w:pPr>
          </w:p>
        </w:tc>
        <w:tc>
          <w:tcPr>
            <w:tcW w:w="2126" w:type="dxa"/>
          </w:tcPr>
          <w:p w14:paraId="32A35B5F"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Key area for quality improvement 4</w:t>
            </w:r>
          </w:p>
          <w:p w14:paraId="5E4C063C" w14:textId="3FF51B29"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Hospitals should have a named VTE clinical lead/clinical team who should be consulted in all cases of suspected hospital-acquired venous thromboembolism (HAT).</w:t>
            </w:r>
          </w:p>
        </w:tc>
        <w:tc>
          <w:tcPr>
            <w:tcW w:w="2410" w:type="dxa"/>
          </w:tcPr>
          <w:p w14:paraId="259806D6" w14:textId="391FD0F5"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Incidences of HAT can occur in many areas of a hospital. The presence of a designated clinical lead/clinical team with clear processes for referral, diagnosis and treatment will reduce variation for patients, optimise treatment whilst in hospital and ensure discharge planning meets the standards covered in QS3-Quality Statement 6</w:t>
            </w:r>
          </w:p>
        </w:tc>
        <w:tc>
          <w:tcPr>
            <w:tcW w:w="5811" w:type="dxa"/>
          </w:tcPr>
          <w:p w14:paraId="544B0DD1" w14:textId="14A01169"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 xml:space="preserve">Evidence of pathways in hospitals where all patients with suspected HAT are referred to a designated team for diagnosis, treatment and discharge planning. </w:t>
            </w:r>
          </w:p>
        </w:tc>
        <w:tc>
          <w:tcPr>
            <w:tcW w:w="2341" w:type="dxa"/>
          </w:tcPr>
          <w:p w14:paraId="5BC8AAC8"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 xml:space="preserve">Nana M, et al. Multidisciplinary, patient-centred approach to improving compliance with venous thromboembolism (VTE) prophylaxis in a district general hospital. BMJ Open Quality 2020;9:e000680. doi:10.1136/ bmjoq-2019-000680 </w:t>
            </w:r>
            <w:hyperlink r:id="rId145" w:history="1">
              <w:r w:rsidRPr="00C14E34">
                <w:rPr>
                  <w:rFonts w:ascii="Calibri" w:hAnsi="Calibri" w:cs="Calibri"/>
                  <w:color w:val="000000"/>
                  <w:sz w:val="22"/>
                  <w:szCs w:val="22"/>
                </w:rPr>
                <w:t>https://bmjopenquality.bmj.com/content/bmjqir/9/3/e000680.full.pdf</w:t>
              </w:r>
            </w:hyperlink>
          </w:p>
          <w:p w14:paraId="3C4C98FE"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 xml:space="preserve">Mauger C, et al. Impact of multidisciplinary team meetings on the management of venous thromboembolism. A clinical study of 142 cases. J Med Vasc 2020 Jul;45(4):192-197.  doi: 10.1016/j.jdmv.2020.04.011. </w:t>
            </w:r>
            <w:hyperlink r:id="rId146" w:history="1">
              <w:r w:rsidRPr="00C14E34">
                <w:rPr>
                  <w:rFonts w:ascii="Calibri" w:hAnsi="Calibri" w:cs="Calibri"/>
                  <w:color w:val="000000"/>
                  <w:sz w:val="22"/>
                  <w:szCs w:val="22"/>
                </w:rPr>
                <w:t>https://www.sciencedirect.com/science/article/abs/pii/S2542451320302650</w:t>
              </w:r>
            </w:hyperlink>
          </w:p>
          <w:p w14:paraId="5E5DEF1A" w14:textId="6196160C"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 xml:space="preserve">McAuley H, Brij S, Calvert L.  P179 Utilisation of respiratory and haematology multi-disciplinary team (mdt) meeting for effective follow-up and management of pulmonary embolism (pe) in a district general hospital.  Thorax 2017;72:A179. </w:t>
            </w:r>
            <w:hyperlink r:id="rId147" w:history="1">
              <w:r w:rsidRPr="00C14E34">
                <w:rPr>
                  <w:rFonts w:ascii="Calibri" w:hAnsi="Calibri" w:cs="Calibri"/>
                  <w:color w:val="000000"/>
                  <w:sz w:val="22"/>
                  <w:szCs w:val="22"/>
                </w:rPr>
                <w:t>https://thorax.bmj.com/content/72/Suppl_3/A179.1.abstract</w:t>
              </w:r>
            </w:hyperlink>
          </w:p>
        </w:tc>
      </w:tr>
      <w:tr w:rsidR="00C14E34" w:rsidRPr="00C14E34" w14:paraId="7415C2AC" w14:textId="77777777" w:rsidTr="007F298D">
        <w:tc>
          <w:tcPr>
            <w:tcW w:w="248" w:type="dxa"/>
            <w:shd w:val="clear" w:color="auto" w:fill="auto"/>
          </w:tcPr>
          <w:p w14:paraId="03F20EA8" w14:textId="52FFACA5" w:rsidR="00C14E34" w:rsidRPr="00C14E34" w:rsidRDefault="007F298D" w:rsidP="007F298D">
            <w:pPr>
              <w:rPr>
                <w:sz w:val="22"/>
                <w:szCs w:val="22"/>
                <w:highlight w:val="cyan"/>
              </w:rPr>
            </w:pPr>
            <w:r>
              <w:rPr>
                <w:rFonts w:ascii="Calibri" w:hAnsi="Calibri" w:cs="Calibri"/>
                <w:color w:val="000000"/>
                <w:sz w:val="22"/>
                <w:szCs w:val="22"/>
              </w:rPr>
              <w:t>5</w:t>
            </w:r>
          </w:p>
        </w:tc>
        <w:tc>
          <w:tcPr>
            <w:tcW w:w="1732" w:type="dxa"/>
            <w:shd w:val="clear" w:color="auto" w:fill="auto"/>
          </w:tcPr>
          <w:p w14:paraId="7828E665" w14:textId="77777777" w:rsidR="00C14E34" w:rsidRPr="00C14E34" w:rsidRDefault="00C14E34" w:rsidP="007F298D">
            <w:pPr>
              <w:rPr>
                <w:rFonts w:ascii="Calibri" w:hAnsi="Calibri" w:cs="Calibri"/>
                <w:color w:val="000000"/>
                <w:sz w:val="22"/>
                <w:szCs w:val="22"/>
              </w:rPr>
            </w:pPr>
          </w:p>
        </w:tc>
        <w:tc>
          <w:tcPr>
            <w:tcW w:w="2126" w:type="dxa"/>
          </w:tcPr>
          <w:p w14:paraId="541BA6B4" w14:textId="0C84A0BF"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Consider outpatient treatment for suspected or confirmed low-risk PE, using a validated risk stratification tool to determine the suitability of outpatient treatment.</w:t>
            </w:r>
          </w:p>
        </w:tc>
        <w:tc>
          <w:tcPr>
            <w:tcW w:w="2410" w:type="dxa"/>
          </w:tcPr>
          <w:p w14:paraId="5717825F"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Outpatient treatment for people with PE who have a low risk of poor outcomes is increasingly being used in settings such as ambulatory care units.</w:t>
            </w:r>
          </w:p>
          <w:p w14:paraId="43D72487" w14:textId="3BF15F30"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People with low risk PE carry a low risk of mortality and patient experience and cost effectiveness is improved in the outpatient setting</w:t>
            </w:r>
          </w:p>
        </w:tc>
        <w:tc>
          <w:tcPr>
            <w:tcW w:w="5811" w:type="dxa"/>
          </w:tcPr>
          <w:p w14:paraId="35DD84C3"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Home Treatment of Patients with Low-Risk Pulmonary Embolism with the Oral Factor Xa Inhibitor Rivaroxaban (HoT-PE) trial, the aim was to investigate the efficacy and safety of early transition from hospital to ambulatory treatment in low-risk acute PE, using the oral factor Xa inhibitor rivaroxaban.</w:t>
            </w:r>
          </w:p>
          <w:p w14:paraId="2FA1206B" w14:textId="0E3AFBE4"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Conclusion: Early discharge and home treatment with rivaroxaban is effective and safe in carefully selected patients with acute low-risk PE. The results of the present trial support the selection of appropriate patients for ambulatory treatment of PE.</w:t>
            </w:r>
          </w:p>
        </w:tc>
        <w:tc>
          <w:tcPr>
            <w:tcW w:w="2341" w:type="dxa"/>
          </w:tcPr>
          <w:p w14:paraId="07DE2582" w14:textId="77777777"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Barco S, et al. Early discharge and home treatment of patients with low-risk pulmonary embolism with the oral factor Xa inhibitor rivaroxaban: an international multicentre single-arm clinical trial, European Heart Journal, Volume 41, Issue 4, 21 January 2020, Pages 509–518</w:t>
            </w:r>
          </w:p>
          <w:p w14:paraId="53656663" w14:textId="7051B13C"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 xml:space="preserve">The committee agreed that outpatient care offers substantial benefits for people with PE and for hospital services and should be considered for those with suspected or confirmed low-risk PE. </w:t>
            </w:r>
            <w:hyperlink r:id="rId148" w:anchor="outpatient-treatment-for-low-risk-pe">
              <w:r w:rsidRPr="00C14E34">
                <w:rPr>
                  <w:rFonts w:ascii="Calibri" w:hAnsi="Calibri" w:cs="Calibri"/>
                  <w:color w:val="000000"/>
                  <w:sz w:val="22"/>
                  <w:szCs w:val="22"/>
                </w:rPr>
                <w:t>https://www.nice.org.uk/guidance/ng158/chapter/Recommendations#outpatient-treatment-for-low-risk-pe</w:t>
              </w:r>
            </w:hyperlink>
          </w:p>
        </w:tc>
      </w:tr>
      <w:tr w:rsidR="00C14E34" w:rsidRPr="00C14E34" w14:paraId="2D7B6D3E" w14:textId="77777777" w:rsidTr="007F298D">
        <w:tc>
          <w:tcPr>
            <w:tcW w:w="248" w:type="dxa"/>
            <w:shd w:val="clear" w:color="auto" w:fill="auto"/>
          </w:tcPr>
          <w:p w14:paraId="6E43DAD8" w14:textId="4D9F2ED8" w:rsidR="00C14E34" w:rsidRPr="00C14E34" w:rsidRDefault="007F298D" w:rsidP="007F298D">
            <w:pPr>
              <w:rPr>
                <w:sz w:val="22"/>
                <w:szCs w:val="22"/>
                <w:highlight w:val="cyan"/>
              </w:rPr>
            </w:pPr>
            <w:r>
              <w:rPr>
                <w:rFonts w:ascii="Calibri" w:hAnsi="Calibri" w:cs="Calibri"/>
                <w:color w:val="000000"/>
                <w:sz w:val="22"/>
                <w:szCs w:val="22"/>
              </w:rPr>
              <w:t>6</w:t>
            </w:r>
          </w:p>
        </w:tc>
        <w:tc>
          <w:tcPr>
            <w:tcW w:w="1732" w:type="dxa"/>
            <w:shd w:val="clear" w:color="auto" w:fill="auto"/>
          </w:tcPr>
          <w:p w14:paraId="3C2F913C" w14:textId="77777777" w:rsidR="00C14E34" w:rsidRPr="00C14E34" w:rsidRDefault="00C14E34" w:rsidP="007F298D">
            <w:pPr>
              <w:rPr>
                <w:rFonts w:ascii="Calibri" w:hAnsi="Calibri" w:cs="Calibri"/>
                <w:color w:val="000000"/>
                <w:sz w:val="22"/>
                <w:szCs w:val="22"/>
              </w:rPr>
            </w:pPr>
          </w:p>
        </w:tc>
        <w:tc>
          <w:tcPr>
            <w:tcW w:w="2126" w:type="dxa"/>
          </w:tcPr>
          <w:p w14:paraId="07E3774D" w14:textId="219EDE2D" w:rsidR="00C14E34" w:rsidRPr="007F298D" w:rsidRDefault="00C14E34" w:rsidP="007F298D">
            <w:pPr>
              <w:rPr>
                <w:rFonts w:ascii="Calibri" w:hAnsi="Calibri" w:cs="Calibri"/>
                <w:b/>
                <w:bCs/>
                <w:color w:val="000000"/>
                <w:sz w:val="22"/>
                <w:szCs w:val="22"/>
              </w:rPr>
            </w:pPr>
            <w:r w:rsidRPr="00ED7E40">
              <w:rPr>
                <w:rFonts w:ascii="Calibri" w:hAnsi="Calibri" w:cs="Calibri"/>
                <w:color w:val="000000"/>
                <w:sz w:val="22"/>
                <w:szCs w:val="22"/>
              </w:rPr>
              <w:t>Do you support the proposal to update QS3 and QS29 into one quality standard</w:t>
            </w:r>
            <w:r w:rsidRPr="007F298D">
              <w:rPr>
                <w:rFonts w:ascii="Calibri" w:hAnsi="Calibri" w:cs="Calibri"/>
                <w:b/>
                <w:bCs/>
                <w:color w:val="000000"/>
                <w:sz w:val="22"/>
                <w:szCs w:val="22"/>
              </w:rPr>
              <w:t>?</w:t>
            </w:r>
          </w:p>
        </w:tc>
        <w:tc>
          <w:tcPr>
            <w:tcW w:w="2410" w:type="dxa"/>
          </w:tcPr>
          <w:p w14:paraId="3C6489E8" w14:textId="66BE37D1" w:rsidR="00C14E34" w:rsidRPr="00C14E34" w:rsidRDefault="00C14E34" w:rsidP="007F298D">
            <w:pPr>
              <w:rPr>
                <w:rFonts w:ascii="Calibri" w:hAnsi="Calibri" w:cs="Calibri"/>
                <w:color w:val="000000"/>
                <w:sz w:val="22"/>
                <w:szCs w:val="22"/>
              </w:rPr>
            </w:pPr>
            <w:r w:rsidRPr="00C14E34">
              <w:rPr>
                <w:rFonts w:ascii="Calibri" w:hAnsi="Calibri" w:cs="Calibri"/>
                <w:color w:val="000000"/>
                <w:sz w:val="22"/>
                <w:szCs w:val="22"/>
              </w:rPr>
              <w:t xml:space="preserve">Yes, we believe combining these quality standards would simplify assessment and reduction of the risk of venous thromboembolism    </w:t>
            </w:r>
          </w:p>
        </w:tc>
        <w:tc>
          <w:tcPr>
            <w:tcW w:w="5811" w:type="dxa"/>
            <w:shd w:val="clear" w:color="auto" w:fill="auto"/>
          </w:tcPr>
          <w:p w14:paraId="780B6750" w14:textId="77777777" w:rsidR="00C14E34" w:rsidRPr="00C14E34" w:rsidRDefault="00C14E34" w:rsidP="007F298D">
            <w:pPr>
              <w:rPr>
                <w:rFonts w:ascii="Calibri" w:hAnsi="Calibri" w:cs="Calibri"/>
                <w:color w:val="000000"/>
                <w:sz w:val="22"/>
                <w:szCs w:val="22"/>
              </w:rPr>
            </w:pPr>
          </w:p>
        </w:tc>
        <w:tc>
          <w:tcPr>
            <w:tcW w:w="2341" w:type="dxa"/>
            <w:shd w:val="clear" w:color="auto" w:fill="auto"/>
          </w:tcPr>
          <w:p w14:paraId="688766B0" w14:textId="77777777" w:rsidR="00C14E34" w:rsidRPr="00C14E34" w:rsidRDefault="00C14E34" w:rsidP="007F298D">
            <w:pPr>
              <w:rPr>
                <w:rFonts w:ascii="Calibri" w:hAnsi="Calibri" w:cs="Calibri"/>
                <w:color w:val="000000"/>
                <w:sz w:val="22"/>
                <w:szCs w:val="22"/>
              </w:rPr>
            </w:pPr>
          </w:p>
        </w:tc>
      </w:tr>
    </w:tbl>
    <w:p w14:paraId="5BDA8847" w14:textId="76E666E2" w:rsidR="007B068F" w:rsidRDefault="007F298D" w:rsidP="00C14E34">
      <w:pPr>
        <w:pStyle w:val="Heading1"/>
      </w:pPr>
      <w:r>
        <w:br w:type="textWrapping" w:clear="all"/>
      </w:r>
      <w:r w:rsidR="00534339">
        <w:br w:type="page"/>
      </w:r>
      <w:bookmarkStart w:id="161" w:name="_Hlk50323292"/>
      <w:bookmarkStart w:id="162" w:name="_Toc50469742"/>
      <w:r w:rsidR="00626943" w:rsidRPr="00FC11EC">
        <w:t xml:space="preserve">Appendix </w:t>
      </w:r>
      <w:r w:rsidR="00DD6603">
        <w:t>5</w:t>
      </w:r>
      <w:r w:rsidR="00626943">
        <w:t>:</w:t>
      </w:r>
      <w:bookmarkEnd w:id="161"/>
      <w:r w:rsidR="007B068F">
        <w:t xml:space="preserve"> </w:t>
      </w:r>
      <w:r w:rsidR="007B068F" w:rsidRPr="007B068F">
        <w:t>Suggestions from NHS England &amp; Improvement Patient Safety</w:t>
      </w:r>
      <w:bookmarkEnd w:id="162"/>
    </w:p>
    <w:tbl>
      <w:tblPr>
        <w:tblW w:w="14668" w:type="dxa"/>
        <w:tblLook w:val="04A0" w:firstRow="1" w:lastRow="0" w:firstColumn="1" w:lastColumn="0" w:noHBand="0" w:noVBand="1"/>
      </w:tblPr>
      <w:tblGrid>
        <w:gridCol w:w="883"/>
        <w:gridCol w:w="1473"/>
        <w:gridCol w:w="1875"/>
        <w:gridCol w:w="2034"/>
        <w:gridCol w:w="2466"/>
        <w:gridCol w:w="5937"/>
      </w:tblGrid>
      <w:tr w:rsidR="00ED7E40" w14:paraId="695AA222" w14:textId="77777777" w:rsidTr="00ED7E40">
        <w:trPr>
          <w:trHeight w:val="576"/>
        </w:trPr>
        <w:tc>
          <w:tcPr>
            <w:tcW w:w="883" w:type="dxa"/>
            <w:tcBorders>
              <w:top w:val="single" w:sz="4" w:space="0" w:color="auto"/>
              <w:left w:val="single" w:sz="4" w:space="0" w:color="auto"/>
              <w:bottom w:val="single" w:sz="4" w:space="0" w:color="auto"/>
              <w:right w:val="single" w:sz="4" w:space="0" w:color="auto"/>
            </w:tcBorders>
          </w:tcPr>
          <w:p w14:paraId="05EF3F37" w14:textId="472C1764" w:rsidR="00ED7E40" w:rsidRDefault="00ED7E40" w:rsidP="008C6FC0">
            <w:pPr>
              <w:rPr>
                <w:rFonts w:ascii="Calibri" w:hAnsi="Calibri" w:cs="Calibri"/>
                <w:b/>
                <w:bCs/>
                <w:color w:val="000000"/>
                <w:sz w:val="22"/>
                <w:szCs w:val="22"/>
              </w:rPr>
            </w:pPr>
            <w:r>
              <w:rPr>
                <w:rFonts w:ascii="Calibri" w:hAnsi="Calibri" w:cs="Calibri"/>
                <w:b/>
                <w:bCs/>
                <w:color w:val="000000"/>
                <w:sz w:val="22"/>
                <w:szCs w:val="22"/>
              </w:rPr>
              <w:t>ID</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604EA228" w14:textId="20520750" w:rsidR="00ED7E40" w:rsidRDefault="00ED7E40" w:rsidP="008C6FC0">
            <w:pPr>
              <w:rPr>
                <w:rFonts w:ascii="Calibri" w:hAnsi="Calibri" w:cs="Calibri"/>
                <w:b/>
                <w:bCs/>
                <w:color w:val="000000"/>
                <w:sz w:val="22"/>
                <w:szCs w:val="22"/>
                <w:lang w:eastAsia="en-GB"/>
              </w:rPr>
            </w:pPr>
            <w:r>
              <w:rPr>
                <w:rFonts w:ascii="Calibri" w:hAnsi="Calibri" w:cs="Calibri"/>
                <w:b/>
                <w:bCs/>
                <w:color w:val="000000"/>
                <w:sz w:val="22"/>
                <w:szCs w:val="22"/>
              </w:rPr>
              <w:t>Stakeholder</w:t>
            </w:r>
          </w:p>
        </w:tc>
        <w:tc>
          <w:tcPr>
            <w:tcW w:w="1875" w:type="dxa"/>
            <w:tcBorders>
              <w:top w:val="single" w:sz="4" w:space="0" w:color="auto"/>
              <w:left w:val="nil"/>
              <w:bottom w:val="single" w:sz="4" w:space="0" w:color="auto"/>
              <w:right w:val="single" w:sz="4" w:space="0" w:color="auto"/>
            </w:tcBorders>
            <w:shd w:val="clear" w:color="auto" w:fill="auto"/>
            <w:hideMark/>
          </w:tcPr>
          <w:p w14:paraId="43AFC507" w14:textId="77777777" w:rsidR="00ED7E40" w:rsidRDefault="00ED7E40" w:rsidP="008C6FC0">
            <w:pPr>
              <w:rPr>
                <w:rFonts w:ascii="Calibri" w:hAnsi="Calibri" w:cs="Calibri"/>
                <w:b/>
                <w:bCs/>
                <w:color w:val="000000"/>
                <w:sz w:val="22"/>
                <w:szCs w:val="22"/>
              </w:rPr>
            </w:pPr>
            <w:r>
              <w:rPr>
                <w:rFonts w:ascii="Calibri" w:hAnsi="Calibri" w:cs="Calibri"/>
                <w:b/>
                <w:bCs/>
                <w:color w:val="000000"/>
                <w:sz w:val="22"/>
                <w:szCs w:val="22"/>
              </w:rPr>
              <w:t>Key area for quality improvement</w:t>
            </w:r>
          </w:p>
        </w:tc>
        <w:tc>
          <w:tcPr>
            <w:tcW w:w="2034" w:type="dxa"/>
            <w:tcBorders>
              <w:top w:val="single" w:sz="4" w:space="0" w:color="auto"/>
              <w:left w:val="nil"/>
              <w:bottom w:val="single" w:sz="4" w:space="0" w:color="auto"/>
              <w:right w:val="single" w:sz="4" w:space="0" w:color="auto"/>
            </w:tcBorders>
            <w:shd w:val="clear" w:color="auto" w:fill="auto"/>
            <w:hideMark/>
          </w:tcPr>
          <w:p w14:paraId="492677FB" w14:textId="77777777" w:rsidR="00ED7E40" w:rsidRDefault="00ED7E40" w:rsidP="008C6FC0">
            <w:pPr>
              <w:rPr>
                <w:rFonts w:ascii="Calibri" w:hAnsi="Calibri" w:cs="Calibri"/>
                <w:b/>
                <w:bCs/>
                <w:color w:val="000000"/>
                <w:sz w:val="22"/>
                <w:szCs w:val="22"/>
              </w:rPr>
            </w:pPr>
            <w:r>
              <w:rPr>
                <w:rFonts w:ascii="Calibri" w:hAnsi="Calibri" w:cs="Calibri"/>
                <w:b/>
                <w:bCs/>
                <w:color w:val="000000"/>
                <w:sz w:val="22"/>
                <w:szCs w:val="22"/>
              </w:rPr>
              <w:t>Why is this important?</w:t>
            </w:r>
          </w:p>
        </w:tc>
        <w:tc>
          <w:tcPr>
            <w:tcW w:w="2466" w:type="dxa"/>
            <w:tcBorders>
              <w:top w:val="single" w:sz="4" w:space="0" w:color="auto"/>
              <w:left w:val="nil"/>
              <w:bottom w:val="single" w:sz="4" w:space="0" w:color="auto"/>
              <w:right w:val="single" w:sz="4" w:space="0" w:color="auto"/>
            </w:tcBorders>
            <w:shd w:val="clear" w:color="auto" w:fill="auto"/>
            <w:hideMark/>
          </w:tcPr>
          <w:p w14:paraId="63D5BB3D" w14:textId="77777777" w:rsidR="00ED7E40" w:rsidRDefault="00ED7E40" w:rsidP="008C6FC0">
            <w:pPr>
              <w:rPr>
                <w:rFonts w:ascii="Calibri" w:hAnsi="Calibri" w:cs="Calibri"/>
                <w:b/>
                <w:bCs/>
                <w:color w:val="000000"/>
                <w:sz w:val="22"/>
                <w:szCs w:val="22"/>
              </w:rPr>
            </w:pPr>
            <w:r>
              <w:rPr>
                <w:rFonts w:ascii="Calibri" w:hAnsi="Calibri" w:cs="Calibri"/>
                <w:b/>
                <w:bCs/>
                <w:color w:val="000000"/>
                <w:sz w:val="22"/>
                <w:szCs w:val="22"/>
              </w:rPr>
              <w:t>Why is it key area for quality improvement?</w:t>
            </w:r>
          </w:p>
        </w:tc>
        <w:tc>
          <w:tcPr>
            <w:tcW w:w="5937" w:type="dxa"/>
            <w:tcBorders>
              <w:top w:val="single" w:sz="4" w:space="0" w:color="auto"/>
              <w:left w:val="nil"/>
              <w:bottom w:val="single" w:sz="4" w:space="0" w:color="auto"/>
              <w:right w:val="single" w:sz="4" w:space="0" w:color="auto"/>
            </w:tcBorders>
            <w:shd w:val="clear" w:color="auto" w:fill="auto"/>
            <w:hideMark/>
          </w:tcPr>
          <w:p w14:paraId="197CF1F2" w14:textId="77777777" w:rsidR="00ED7E40" w:rsidRDefault="00ED7E40" w:rsidP="008C6FC0">
            <w:pPr>
              <w:rPr>
                <w:rFonts w:ascii="Calibri" w:hAnsi="Calibri" w:cs="Calibri"/>
                <w:b/>
                <w:bCs/>
                <w:color w:val="000000"/>
                <w:sz w:val="22"/>
                <w:szCs w:val="22"/>
              </w:rPr>
            </w:pPr>
            <w:r>
              <w:rPr>
                <w:rFonts w:ascii="Calibri" w:hAnsi="Calibri" w:cs="Calibri"/>
                <w:b/>
                <w:bCs/>
                <w:color w:val="000000"/>
                <w:sz w:val="22"/>
                <w:szCs w:val="22"/>
              </w:rPr>
              <w:t>Supporting information</w:t>
            </w:r>
          </w:p>
        </w:tc>
      </w:tr>
      <w:tr w:rsidR="00ED7E40" w14:paraId="585D3368" w14:textId="77777777" w:rsidTr="00ED7E40">
        <w:trPr>
          <w:trHeight w:val="3744"/>
        </w:trPr>
        <w:tc>
          <w:tcPr>
            <w:tcW w:w="883" w:type="dxa"/>
            <w:tcBorders>
              <w:top w:val="nil"/>
              <w:left w:val="single" w:sz="4" w:space="0" w:color="auto"/>
              <w:bottom w:val="single" w:sz="4" w:space="0" w:color="auto"/>
              <w:right w:val="single" w:sz="4" w:space="0" w:color="auto"/>
            </w:tcBorders>
          </w:tcPr>
          <w:p w14:paraId="570F72DE" w14:textId="018A3764" w:rsidR="00ED7E40" w:rsidRDefault="00ED7E40" w:rsidP="007B068F">
            <w:pPr>
              <w:rPr>
                <w:rFonts w:ascii="Calibri" w:hAnsi="Calibri" w:cs="Calibri"/>
                <w:color w:val="000000"/>
                <w:sz w:val="22"/>
                <w:szCs w:val="22"/>
              </w:rPr>
            </w:pPr>
            <w:r>
              <w:rPr>
                <w:rFonts w:ascii="Calibri" w:hAnsi="Calibri" w:cs="Calibri"/>
                <w:color w:val="000000"/>
                <w:sz w:val="22"/>
                <w:szCs w:val="22"/>
              </w:rPr>
              <w:t>1</w:t>
            </w:r>
          </w:p>
        </w:tc>
        <w:tc>
          <w:tcPr>
            <w:tcW w:w="1473" w:type="dxa"/>
            <w:tcBorders>
              <w:top w:val="nil"/>
              <w:left w:val="single" w:sz="4" w:space="0" w:color="auto"/>
              <w:bottom w:val="single" w:sz="4" w:space="0" w:color="auto"/>
              <w:right w:val="single" w:sz="4" w:space="0" w:color="auto"/>
            </w:tcBorders>
            <w:shd w:val="clear" w:color="auto" w:fill="auto"/>
            <w:hideMark/>
          </w:tcPr>
          <w:p w14:paraId="550AEEA8" w14:textId="4658C878" w:rsidR="00ED7E40" w:rsidRDefault="00ED7E40" w:rsidP="007B068F">
            <w:pPr>
              <w:rPr>
                <w:rFonts w:ascii="Calibri" w:hAnsi="Calibri" w:cs="Calibri"/>
                <w:color w:val="000000"/>
                <w:sz w:val="22"/>
                <w:szCs w:val="22"/>
              </w:rPr>
            </w:pPr>
            <w:r>
              <w:rPr>
                <w:rFonts w:ascii="Calibri" w:hAnsi="Calibri" w:cs="Calibri"/>
                <w:color w:val="000000"/>
                <w:sz w:val="22"/>
                <w:szCs w:val="22"/>
              </w:rPr>
              <w:t>NHS England &amp; Improvement Patient Safety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1F7289FC" w14:textId="595BFC09" w:rsidR="00ED7E40"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Support to continue VTE prophylaxis and/or treatment across care setting boundaries </w:t>
            </w:r>
          </w:p>
        </w:tc>
        <w:tc>
          <w:tcPr>
            <w:tcW w:w="2034" w:type="dxa"/>
            <w:tcBorders>
              <w:top w:val="single" w:sz="4" w:space="0" w:color="auto"/>
              <w:left w:val="single" w:sz="4" w:space="0" w:color="auto"/>
              <w:bottom w:val="single" w:sz="4" w:space="0" w:color="auto"/>
              <w:right w:val="single" w:sz="4" w:space="0" w:color="auto"/>
            </w:tcBorders>
            <w:shd w:val="clear" w:color="auto" w:fill="FFFFFF"/>
            <w:hideMark/>
          </w:tcPr>
          <w:p w14:paraId="0824520E" w14:textId="38E0C867" w:rsidR="00ED7E40"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VTE prophylaxis and/or treatment often needs to continue after hospital discharge </w:t>
            </w:r>
          </w:p>
        </w:tc>
        <w:tc>
          <w:tcPr>
            <w:tcW w:w="2466" w:type="dxa"/>
            <w:tcBorders>
              <w:top w:val="single" w:sz="4" w:space="0" w:color="auto"/>
              <w:left w:val="single" w:sz="4" w:space="0" w:color="auto"/>
              <w:bottom w:val="single" w:sz="4" w:space="0" w:color="auto"/>
              <w:right w:val="single" w:sz="4" w:space="0" w:color="auto"/>
            </w:tcBorders>
            <w:shd w:val="clear" w:color="auto" w:fill="FFFFFF"/>
            <w:hideMark/>
          </w:tcPr>
          <w:p w14:paraId="746C9DD4" w14:textId="2274D6CF" w:rsidR="00ED7E40"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Successful continuation relies on both practical and educational support and smooth transition of any heath or social care services needed to continue treatment </w:t>
            </w:r>
          </w:p>
        </w:tc>
        <w:tc>
          <w:tcPr>
            <w:tcW w:w="5937" w:type="dxa"/>
            <w:tcBorders>
              <w:top w:val="single" w:sz="4" w:space="0" w:color="auto"/>
              <w:left w:val="single" w:sz="4" w:space="0" w:color="auto"/>
              <w:bottom w:val="single" w:sz="4" w:space="0" w:color="auto"/>
              <w:right w:val="single" w:sz="4" w:space="0" w:color="auto"/>
            </w:tcBorders>
            <w:shd w:val="clear" w:color="auto" w:fill="FFFFFF"/>
            <w:hideMark/>
          </w:tcPr>
          <w:p w14:paraId="05EFB772" w14:textId="7761904C" w:rsidR="00ED7E40"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Incident reports describe situations where patients may not have recognised the importance of the treatment, or were less confident to self-inject than had been believed at discharge, or did not have dexterity or carer support to apply stockings, etc. </w:t>
            </w:r>
          </w:p>
        </w:tc>
      </w:tr>
      <w:tr w:rsidR="00ED7E40" w14:paraId="43B6C788" w14:textId="77777777" w:rsidTr="00ED7E40">
        <w:trPr>
          <w:trHeight w:val="2154"/>
        </w:trPr>
        <w:tc>
          <w:tcPr>
            <w:tcW w:w="883" w:type="dxa"/>
            <w:tcBorders>
              <w:top w:val="single" w:sz="4" w:space="0" w:color="auto"/>
              <w:left w:val="single" w:sz="4" w:space="0" w:color="auto"/>
              <w:bottom w:val="single" w:sz="4" w:space="0" w:color="auto"/>
              <w:right w:val="single" w:sz="4" w:space="0" w:color="auto"/>
            </w:tcBorders>
          </w:tcPr>
          <w:p w14:paraId="24A1A972" w14:textId="2E7BA58F" w:rsidR="00ED7E40" w:rsidRDefault="00ED7E40" w:rsidP="007B068F">
            <w:pPr>
              <w:rPr>
                <w:rFonts w:ascii="Calibri" w:hAnsi="Calibri" w:cs="Calibri"/>
                <w:color w:val="000000"/>
                <w:sz w:val="22"/>
                <w:szCs w:val="22"/>
              </w:rPr>
            </w:pPr>
            <w:r>
              <w:rPr>
                <w:rFonts w:ascii="Calibri" w:hAnsi="Calibri" w:cs="Calibri"/>
                <w:color w:val="000000"/>
                <w:sz w:val="22"/>
                <w:szCs w:val="22"/>
              </w:rPr>
              <w:t>2</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0A89EFF5" w14:textId="06B68F3C" w:rsidR="00ED7E40" w:rsidRDefault="00ED7E40" w:rsidP="007B068F">
            <w:pPr>
              <w:rPr>
                <w:rFonts w:ascii="Calibri" w:hAnsi="Calibri" w:cs="Calibri"/>
                <w:color w:val="000000"/>
                <w:sz w:val="22"/>
                <w:szCs w:val="22"/>
              </w:rPr>
            </w:pPr>
            <w:r>
              <w:rPr>
                <w:rFonts w:ascii="Calibri" w:hAnsi="Calibri" w:cs="Calibri"/>
                <w:color w:val="000000"/>
                <w:sz w:val="22"/>
                <w:szCs w:val="22"/>
              </w:rPr>
              <w:t>NHS England &amp; Improvement Patient Safety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68C72EF1" w14:textId="74E9B04A" w:rsidR="00ED7E40" w:rsidRDefault="00ED7E40" w:rsidP="007B068F">
            <w:pPr>
              <w:rPr>
                <w:rFonts w:ascii="Calibri" w:hAnsi="Calibri" w:cs="Calibri"/>
                <w:color w:val="000000"/>
                <w:sz w:val="22"/>
                <w:szCs w:val="22"/>
              </w:rPr>
            </w:pPr>
            <w:r w:rsidRPr="007B068F">
              <w:rPr>
                <w:rFonts w:ascii="Calibri" w:hAnsi="Calibri" w:cs="Calibri"/>
                <w:color w:val="000000"/>
                <w:sz w:val="22"/>
                <w:szCs w:val="22"/>
              </w:rPr>
              <w:t>Patient awareness of unintended consequences of VTE prophylaxis and/or treatment</w:t>
            </w:r>
          </w:p>
        </w:tc>
        <w:tc>
          <w:tcPr>
            <w:tcW w:w="2034" w:type="dxa"/>
            <w:tcBorders>
              <w:top w:val="single" w:sz="4" w:space="0" w:color="auto"/>
              <w:left w:val="single" w:sz="4" w:space="0" w:color="auto"/>
              <w:bottom w:val="single" w:sz="4" w:space="0" w:color="auto"/>
              <w:right w:val="single" w:sz="4" w:space="0" w:color="auto"/>
            </w:tcBorders>
            <w:shd w:val="clear" w:color="auto" w:fill="FFFFFF"/>
            <w:hideMark/>
          </w:tcPr>
          <w:p w14:paraId="3C60C272" w14:textId="441CEA50" w:rsidR="00ED7E40"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To ensure early minimisation of consequences </w:t>
            </w:r>
          </w:p>
        </w:tc>
        <w:tc>
          <w:tcPr>
            <w:tcW w:w="2466" w:type="dxa"/>
            <w:tcBorders>
              <w:top w:val="single" w:sz="4" w:space="0" w:color="auto"/>
              <w:left w:val="single" w:sz="4" w:space="0" w:color="auto"/>
              <w:bottom w:val="single" w:sz="4" w:space="0" w:color="auto"/>
              <w:right w:val="single" w:sz="4" w:space="0" w:color="auto"/>
            </w:tcBorders>
            <w:shd w:val="clear" w:color="auto" w:fill="FFFFFF"/>
            <w:hideMark/>
          </w:tcPr>
          <w:p w14:paraId="671062A8" w14:textId="2455DA67" w:rsidR="00ED7E40" w:rsidRDefault="00ED7E40" w:rsidP="007B068F">
            <w:pPr>
              <w:rPr>
                <w:rFonts w:ascii="Calibri" w:hAnsi="Calibri" w:cs="Calibri"/>
                <w:color w:val="000000"/>
                <w:sz w:val="22"/>
                <w:szCs w:val="22"/>
              </w:rPr>
            </w:pPr>
            <w:r w:rsidRPr="007B068F">
              <w:rPr>
                <w:rFonts w:ascii="Calibri" w:hAnsi="Calibri" w:cs="Calibri"/>
                <w:color w:val="000000"/>
                <w:sz w:val="22"/>
                <w:szCs w:val="22"/>
              </w:rPr>
              <w:t>Whilst the benefits of approximately prescribed VTE prophylaxis and/or treatment will outweigh the risks, awareness of early signs of unintended effects of treatment and which need urgent medical advice (and how to seek it) means help can be sought to reduce the risk of severe harm</w:t>
            </w:r>
          </w:p>
        </w:tc>
        <w:tc>
          <w:tcPr>
            <w:tcW w:w="5937" w:type="dxa"/>
            <w:tcBorders>
              <w:top w:val="single" w:sz="4" w:space="0" w:color="auto"/>
              <w:left w:val="single" w:sz="4" w:space="0" w:color="auto"/>
              <w:bottom w:val="single" w:sz="4" w:space="0" w:color="auto"/>
              <w:right w:val="single" w:sz="4" w:space="0" w:color="auto"/>
            </w:tcBorders>
            <w:shd w:val="clear" w:color="auto" w:fill="FFFFFF"/>
            <w:hideMark/>
          </w:tcPr>
          <w:p w14:paraId="7AA5BFAA" w14:textId="0CA86502" w:rsidR="00ED7E40"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Incident reports describe situations where there have been delays in recognition </w:t>
            </w:r>
          </w:p>
        </w:tc>
      </w:tr>
      <w:tr w:rsidR="00ED7E40" w14:paraId="0814399B" w14:textId="77777777" w:rsidTr="00ED7E40">
        <w:trPr>
          <w:trHeight w:val="2154"/>
        </w:trPr>
        <w:tc>
          <w:tcPr>
            <w:tcW w:w="883" w:type="dxa"/>
            <w:tcBorders>
              <w:top w:val="single" w:sz="4" w:space="0" w:color="auto"/>
              <w:left w:val="single" w:sz="4" w:space="0" w:color="auto"/>
              <w:bottom w:val="single" w:sz="4" w:space="0" w:color="auto"/>
              <w:right w:val="single" w:sz="4" w:space="0" w:color="auto"/>
            </w:tcBorders>
          </w:tcPr>
          <w:p w14:paraId="163AC04B" w14:textId="588B3B90" w:rsidR="00ED7E40" w:rsidRPr="007B068F" w:rsidRDefault="00ED7E40" w:rsidP="007B068F">
            <w:pPr>
              <w:rPr>
                <w:rFonts w:ascii="Calibri" w:hAnsi="Calibri" w:cs="Calibri"/>
                <w:color w:val="000000"/>
                <w:sz w:val="22"/>
                <w:szCs w:val="22"/>
              </w:rPr>
            </w:pPr>
            <w:r>
              <w:rPr>
                <w:rFonts w:ascii="Calibri" w:hAnsi="Calibri" w:cs="Calibri"/>
                <w:color w:val="000000"/>
                <w:sz w:val="22"/>
                <w:szCs w:val="22"/>
              </w:rPr>
              <w:t>3</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2E9EFBC1" w14:textId="68EE3A2D" w:rsidR="00ED7E40" w:rsidRDefault="00ED7E40" w:rsidP="007B068F">
            <w:pPr>
              <w:rPr>
                <w:rFonts w:ascii="Calibri" w:hAnsi="Calibri" w:cs="Calibri"/>
                <w:color w:val="000000"/>
                <w:sz w:val="22"/>
                <w:szCs w:val="22"/>
              </w:rPr>
            </w:pPr>
            <w:r w:rsidRPr="007B068F">
              <w:rPr>
                <w:rFonts w:ascii="Calibri" w:hAnsi="Calibri" w:cs="Calibri"/>
                <w:color w:val="000000"/>
                <w:sz w:val="22"/>
                <w:szCs w:val="22"/>
              </w:rPr>
              <w:t>NHS England &amp; Improvement Patient Safety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242CFA33" w14:textId="1AB7C09B"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VTE risk assessment positioned clearly as a means to an end, not an end in itself </w:t>
            </w:r>
          </w:p>
        </w:tc>
        <w:tc>
          <w:tcPr>
            <w:tcW w:w="2034" w:type="dxa"/>
            <w:tcBorders>
              <w:top w:val="single" w:sz="4" w:space="0" w:color="auto"/>
              <w:left w:val="single" w:sz="4" w:space="0" w:color="auto"/>
              <w:bottom w:val="single" w:sz="4" w:space="0" w:color="auto"/>
              <w:right w:val="single" w:sz="4" w:space="0" w:color="auto"/>
            </w:tcBorders>
            <w:shd w:val="clear" w:color="auto" w:fill="FFFFFF"/>
          </w:tcPr>
          <w:p w14:paraId="6C873D42" w14:textId="1664A7F1"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There is much more national monitoring of assessment than of appropriate intervention </w:t>
            </w:r>
          </w:p>
        </w:tc>
        <w:tc>
          <w:tcPr>
            <w:tcW w:w="2466" w:type="dxa"/>
            <w:tcBorders>
              <w:top w:val="single" w:sz="4" w:space="0" w:color="auto"/>
              <w:left w:val="single" w:sz="4" w:space="0" w:color="auto"/>
              <w:bottom w:val="single" w:sz="4" w:space="0" w:color="auto"/>
              <w:right w:val="single" w:sz="4" w:space="0" w:color="auto"/>
            </w:tcBorders>
            <w:shd w:val="clear" w:color="auto" w:fill="FFFFFF"/>
          </w:tcPr>
          <w:p w14:paraId="1B45F8CD" w14:textId="2E8B93C8"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The QS will provide a helpful balance in terms of greater emphasis on interventions in response to risk assessment </w:t>
            </w:r>
          </w:p>
        </w:tc>
        <w:tc>
          <w:tcPr>
            <w:tcW w:w="5937" w:type="dxa"/>
            <w:tcBorders>
              <w:top w:val="single" w:sz="4" w:space="0" w:color="auto"/>
              <w:left w:val="single" w:sz="4" w:space="0" w:color="auto"/>
              <w:bottom w:val="single" w:sz="4" w:space="0" w:color="auto"/>
              <w:right w:val="single" w:sz="4" w:space="0" w:color="auto"/>
            </w:tcBorders>
            <w:shd w:val="clear" w:color="auto" w:fill="FFFFFF"/>
          </w:tcPr>
          <w:p w14:paraId="666692A2" w14:textId="633D08D2"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Example of how assessment data is more easily available than other aspects of VTE prophylaxis and/or treatment </w:t>
            </w:r>
            <w:hyperlink r:id="rId149" w:history="1">
              <w:r w:rsidRPr="00F53D39">
                <w:rPr>
                  <w:rStyle w:val="Hyperlink"/>
                  <w:rFonts w:asciiTheme="minorHAnsi" w:hAnsiTheme="minorHAnsi" w:cstheme="minorHAnsi"/>
                </w:rPr>
                <w:t>https://www.england.nhs.uk/statistics/statistical-work-areas/vte/</w:t>
              </w:r>
            </w:hyperlink>
          </w:p>
        </w:tc>
      </w:tr>
      <w:tr w:rsidR="00ED7E40" w14:paraId="4C330812" w14:textId="77777777" w:rsidTr="00ED7E40">
        <w:trPr>
          <w:trHeight w:val="2154"/>
        </w:trPr>
        <w:tc>
          <w:tcPr>
            <w:tcW w:w="883" w:type="dxa"/>
            <w:tcBorders>
              <w:top w:val="single" w:sz="4" w:space="0" w:color="auto"/>
              <w:left w:val="single" w:sz="4" w:space="0" w:color="auto"/>
              <w:bottom w:val="single" w:sz="4" w:space="0" w:color="auto"/>
              <w:right w:val="single" w:sz="4" w:space="0" w:color="auto"/>
            </w:tcBorders>
          </w:tcPr>
          <w:p w14:paraId="167DA24F" w14:textId="7078D5C5" w:rsidR="00ED7E40" w:rsidRPr="007B068F" w:rsidRDefault="00ED7E40" w:rsidP="007B068F">
            <w:pPr>
              <w:rPr>
                <w:rFonts w:ascii="Calibri" w:hAnsi="Calibri" w:cs="Calibri"/>
                <w:color w:val="000000"/>
                <w:sz w:val="22"/>
                <w:szCs w:val="22"/>
              </w:rPr>
            </w:pPr>
            <w:r>
              <w:rPr>
                <w:rFonts w:ascii="Calibri" w:hAnsi="Calibri" w:cs="Calibri"/>
                <w:color w:val="000000"/>
                <w:sz w:val="22"/>
                <w:szCs w:val="22"/>
              </w:rPr>
              <w:t>4</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3F916245" w14:textId="66EFBEF5" w:rsidR="00ED7E40" w:rsidRDefault="00ED7E40" w:rsidP="007B068F">
            <w:pPr>
              <w:rPr>
                <w:rFonts w:ascii="Calibri" w:hAnsi="Calibri" w:cs="Calibri"/>
                <w:color w:val="000000"/>
                <w:sz w:val="22"/>
                <w:szCs w:val="22"/>
              </w:rPr>
            </w:pPr>
            <w:r w:rsidRPr="007B068F">
              <w:rPr>
                <w:rFonts w:ascii="Calibri" w:hAnsi="Calibri" w:cs="Calibri"/>
                <w:color w:val="000000"/>
                <w:sz w:val="22"/>
                <w:szCs w:val="22"/>
              </w:rPr>
              <w:t>NHS England &amp; Improvement Patient Safety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4773B89F" w14:textId="155438B7"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Links to pressure ulcer prevention/skin integrity/diabetic foot ulceration </w:t>
            </w:r>
          </w:p>
        </w:tc>
        <w:tc>
          <w:tcPr>
            <w:tcW w:w="2034" w:type="dxa"/>
            <w:tcBorders>
              <w:top w:val="single" w:sz="4" w:space="0" w:color="auto"/>
              <w:left w:val="single" w:sz="4" w:space="0" w:color="auto"/>
              <w:bottom w:val="single" w:sz="4" w:space="0" w:color="auto"/>
              <w:right w:val="single" w:sz="4" w:space="0" w:color="auto"/>
            </w:tcBorders>
            <w:shd w:val="clear" w:color="auto" w:fill="FFFFFF"/>
          </w:tcPr>
          <w:p w14:paraId="3D7E9782" w14:textId="5B107003"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Risk factors for VTE often overlap with risk factors for pressure ulcers or diabetic foot ulceration </w:t>
            </w:r>
          </w:p>
        </w:tc>
        <w:tc>
          <w:tcPr>
            <w:tcW w:w="2466" w:type="dxa"/>
            <w:tcBorders>
              <w:top w:val="single" w:sz="4" w:space="0" w:color="auto"/>
              <w:left w:val="single" w:sz="4" w:space="0" w:color="auto"/>
              <w:bottom w:val="single" w:sz="4" w:space="0" w:color="auto"/>
              <w:right w:val="single" w:sz="4" w:space="0" w:color="auto"/>
            </w:tcBorders>
            <w:shd w:val="clear" w:color="auto" w:fill="FFFFFF"/>
          </w:tcPr>
          <w:p w14:paraId="3C8737B5" w14:textId="20A61163"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Early reaction to any signs of pressure/ulceration/skin damage important to prevent more serious damage  </w:t>
            </w:r>
          </w:p>
        </w:tc>
        <w:tc>
          <w:tcPr>
            <w:tcW w:w="5937" w:type="dxa"/>
            <w:tcBorders>
              <w:top w:val="single" w:sz="4" w:space="0" w:color="auto"/>
              <w:left w:val="single" w:sz="4" w:space="0" w:color="auto"/>
              <w:bottom w:val="single" w:sz="4" w:space="0" w:color="auto"/>
              <w:right w:val="single" w:sz="4" w:space="0" w:color="auto"/>
            </w:tcBorders>
            <w:shd w:val="clear" w:color="auto" w:fill="FFFFFF"/>
          </w:tcPr>
          <w:p w14:paraId="2A7100A8" w14:textId="0B60DCE3"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Incident reports describe situations where patients have undertaken less skin care/skin checks because of anti-embolism stockings at home and even in care environments, the frequency with stockings are removed for skin checks is almost always less frequent than would be possible  for bare feet/loose socks for patients who are nursed in bed. Heels are a common site for pressure damage </w:t>
            </w:r>
            <w:hyperlink r:id="rId150" w:history="1">
              <w:r w:rsidRPr="007B068F">
                <w:rPr>
                  <w:rStyle w:val="Hyperlink"/>
                  <w:rFonts w:ascii="Calibri" w:hAnsi="Calibri" w:cs="Calibri"/>
                  <w:sz w:val="22"/>
                  <w:szCs w:val="22"/>
                </w:rPr>
                <w:t>https://www.nice.org.uk/guidance/cg179/resources/pressure-ulcers-prevention-and-management-pdf-35109760631749</w:t>
              </w:r>
            </w:hyperlink>
            <w:r w:rsidRPr="007B068F">
              <w:rPr>
                <w:rFonts w:ascii="Calibri" w:hAnsi="Calibri" w:cs="Calibri"/>
                <w:color w:val="000000"/>
                <w:sz w:val="22"/>
                <w:szCs w:val="22"/>
              </w:rPr>
              <w:t xml:space="preserve"> </w:t>
            </w:r>
          </w:p>
        </w:tc>
      </w:tr>
      <w:tr w:rsidR="00ED7E40" w14:paraId="4CFCC4AA" w14:textId="77777777" w:rsidTr="00ED7E40">
        <w:trPr>
          <w:trHeight w:val="2154"/>
        </w:trPr>
        <w:tc>
          <w:tcPr>
            <w:tcW w:w="883" w:type="dxa"/>
            <w:tcBorders>
              <w:top w:val="single" w:sz="4" w:space="0" w:color="auto"/>
              <w:left w:val="single" w:sz="4" w:space="0" w:color="auto"/>
              <w:bottom w:val="single" w:sz="4" w:space="0" w:color="auto"/>
              <w:right w:val="single" w:sz="4" w:space="0" w:color="auto"/>
            </w:tcBorders>
          </w:tcPr>
          <w:p w14:paraId="620ABDBD" w14:textId="66ADCF9D" w:rsidR="00ED7E40" w:rsidRPr="007B068F" w:rsidRDefault="00ED7E40" w:rsidP="007B068F">
            <w:pPr>
              <w:rPr>
                <w:rFonts w:ascii="Calibri" w:hAnsi="Calibri" w:cs="Calibri"/>
                <w:color w:val="000000"/>
                <w:sz w:val="22"/>
                <w:szCs w:val="22"/>
              </w:rPr>
            </w:pPr>
            <w:r>
              <w:rPr>
                <w:rFonts w:ascii="Calibri" w:hAnsi="Calibri" w:cs="Calibri"/>
                <w:color w:val="000000"/>
                <w:sz w:val="22"/>
                <w:szCs w:val="22"/>
              </w:rPr>
              <w:t>5</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1E704A97" w14:textId="6CC87A5A" w:rsidR="00ED7E40" w:rsidRDefault="00ED7E40" w:rsidP="007B068F">
            <w:pPr>
              <w:rPr>
                <w:rFonts w:ascii="Calibri" w:hAnsi="Calibri" w:cs="Calibri"/>
                <w:color w:val="000000"/>
                <w:sz w:val="22"/>
                <w:szCs w:val="22"/>
              </w:rPr>
            </w:pPr>
            <w:r w:rsidRPr="007B068F">
              <w:rPr>
                <w:rFonts w:ascii="Calibri" w:hAnsi="Calibri" w:cs="Calibri"/>
                <w:color w:val="000000"/>
                <w:sz w:val="22"/>
                <w:szCs w:val="22"/>
              </w:rPr>
              <w:t>NHS England &amp; Improvement Patient Safety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54EA356E" w14:textId="5D8076B5"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Emphasis on consistent delivery of VTE prophylaxis and/or treatment</w:t>
            </w:r>
          </w:p>
        </w:tc>
        <w:tc>
          <w:tcPr>
            <w:tcW w:w="2034" w:type="dxa"/>
            <w:tcBorders>
              <w:top w:val="single" w:sz="4" w:space="0" w:color="auto"/>
              <w:left w:val="single" w:sz="4" w:space="0" w:color="auto"/>
              <w:bottom w:val="single" w:sz="4" w:space="0" w:color="auto"/>
              <w:right w:val="single" w:sz="4" w:space="0" w:color="auto"/>
            </w:tcBorders>
            <w:shd w:val="clear" w:color="auto" w:fill="FFFFFF"/>
          </w:tcPr>
          <w:p w14:paraId="3810AE1A" w14:textId="2456F4F8"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Prescribing the prophylaxis and/or treatment a less challenging quality area than delivering it </w:t>
            </w:r>
          </w:p>
        </w:tc>
        <w:tc>
          <w:tcPr>
            <w:tcW w:w="2466" w:type="dxa"/>
            <w:tcBorders>
              <w:top w:val="single" w:sz="4" w:space="0" w:color="auto"/>
              <w:left w:val="single" w:sz="4" w:space="0" w:color="auto"/>
              <w:bottom w:val="single" w:sz="4" w:space="0" w:color="auto"/>
              <w:right w:val="single" w:sz="4" w:space="0" w:color="auto"/>
            </w:tcBorders>
            <w:shd w:val="clear" w:color="auto" w:fill="FFFFFF"/>
          </w:tcPr>
          <w:p w14:paraId="72F3FFEC" w14:textId="37008132"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The nature of ongoing prophylaxis and/or treatment creates a high reliability challenge – ensuring no treatment doses are skipped, stockings always replaced after showers, mechanical devices always applied for the hours intended, etc. </w:t>
            </w:r>
          </w:p>
        </w:tc>
        <w:tc>
          <w:tcPr>
            <w:tcW w:w="5937" w:type="dxa"/>
            <w:tcBorders>
              <w:top w:val="single" w:sz="4" w:space="0" w:color="auto"/>
              <w:left w:val="single" w:sz="4" w:space="0" w:color="auto"/>
              <w:bottom w:val="single" w:sz="4" w:space="0" w:color="auto"/>
              <w:right w:val="single" w:sz="4" w:space="0" w:color="auto"/>
            </w:tcBorders>
            <w:shd w:val="clear" w:color="auto" w:fill="FFFFFF"/>
          </w:tcPr>
          <w:p w14:paraId="15ADF0D4" w14:textId="4118D2D3"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We understand that local audit often identified issues with consistent implementation even in exemplar centres </w:t>
            </w:r>
            <w:hyperlink r:id="rId151" w:history="1">
              <w:r w:rsidRPr="007B068F">
                <w:rPr>
                  <w:rStyle w:val="Hyperlink"/>
                  <w:rFonts w:ascii="Calibri" w:hAnsi="Calibri" w:cs="Calibri"/>
                  <w:sz w:val="22"/>
                  <w:szCs w:val="22"/>
                </w:rPr>
                <w:t>http://www.vteengland.org.uk/audit-and-quality-improvement.php</w:t>
              </w:r>
            </w:hyperlink>
            <w:r w:rsidRPr="007B068F">
              <w:rPr>
                <w:rFonts w:ascii="Calibri" w:hAnsi="Calibri" w:cs="Calibri"/>
                <w:color w:val="000000"/>
                <w:sz w:val="22"/>
                <w:szCs w:val="22"/>
              </w:rPr>
              <w:t xml:space="preserve"> </w:t>
            </w:r>
          </w:p>
        </w:tc>
      </w:tr>
      <w:tr w:rsidR="00ED7E40" w14:paraId="013C3ED8" w14:textId="77777777" w:rsidTr="00ED7E40">
        <w:trPr>
          <w:trHeight w:val="2154"/>
        </w:trPr>
        <w:tc>
          <w:tcPr>
            <w:tcW w:w="883" w:type="dxa"/>
            <w:tcBorders>
              <w:top w:val="single" w:sz="4" w:space="0" w:color="auto"/>
              <w:left w:val="single" w:sz="4" w:space="0" w:color="auto"/>
              <w:bottom w:val="single" w:sz="4" w:space="0" w:color="auto"/>
              <w:right w:val="single" w:sz="4" w:space="0" w:color="auto"/>
            </w:tcBorders>
          </w:tcPr>
          <w:p w14:paraId="01B3D43E" w14:textId="3502AD5A" w:rsidR="00ED7E40" w:rsidRDefault="00ED7E40" w:rsidP="007B068F">
            <w:pPr>
              <w:rPr>
                <w:rFonts w:ascii="Calibri" w:hAnsi="Calibri" w:cs="Calibri"/>
                <w:color w:val="000000"/>
                <w:sz w:val="22"/>
                <w:szCs w:val="22"/>
              </w:rPr>
            </w:pPr>
            <w:r>
              <w:rPr>
                <w:rFonts w:ascii="Calibri" w:hAnsi="Calibri" w:cs="Calibri"/>
                <w:color w:val="000000"/>
                <w:sz w:val="22"/>
                <w:szCs w:val="22"/>
              </w:rPr>
              <w:t>6</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1A92F0C6" w14:textId="511DDCFE" w:rsidR="00ED7E40" w:rsidRDefault="00ED7E40" w:rsidP="007B068F">
            <w:pPr>
              <w:rPr>
                <w:rFonts w:ascii="Calibri" w:hAnsi="Calibri" w:cs="Calibri"/>
                <w:color w:val="000000"/>
                <w:sz w:val="22"/>
                <w:szCs w:val="22"/>
              </w:rPr>
            </w:pP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122B92B5" w14:textId="4371010E"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Do you support the proposal to update QS3 and QS29 into one quality standard?</w:t>
            </w:r>
          </w:p>
        </w:tc>
        <w:tc>
          <w:tcPr>
            <w:tcW w:w="2034" w:type="dxa"/>
            <w:tcBorders>
              <w:top w:val="single" w:sz="4" w:space="0" w:color="auto"/>
              <w:left w:val="single" w:sz="4" w:space="0" w:color="auto"/>
              <w:bottom w:val="single" w:sz="4" w:space="0" w:color="auto"/>
              <w:right w:val="single" w:sz="4" w:space="0" w:color="auto"/>
            </w:tcBorders>
            <w:shd w:val="clear" w:color="auto" w:fill="FFFFFF"/>
          </w:tcPr>
          <w:p w14:paraId="2CA7D4C4" w14:textId="61424270"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Support if handled with care in relation to where any components of the final QS are and are not applicable. </w:t>
            </w:r>
          </w:p>
        </w:tc>
        <w:tc>
          <w:tcPr>
            <w:tcW w:w="2466" w:type="dxa"/>
            <w:tcBorders>
              <w:top w:val="single" w:sz="4" w:space="0" w:color="auto"/>
              <w:left w:val="single" w:sz="4" w:space="0" w:color="auto"/>
              <w:bottom w:val="single" w:sz="4" w:space="0" w:color="auto"/>
              <w:right w:val="single" w:sz="4" w:space="0" w:color="auto"/>
            </w:tcBorders>
            <w:shd w:val="clear" w:color="auto" w:fill="FFFFFF"/>
          </w:tcPr>
          <w:p w14:paraId="3D9A20B8" w14:textId="45FBA00C"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w:t>
            </w:r>
          </w:p>
        </w:tc>
        <w:tc>
          <w:tcPr>
            <w:tcW w:w="5937" w:type="dxa"/>
            <w:tcBorders>
              <w:top w:val="single" w:sz="4" w:space="0" w:color="auto"/>
              <w:left w:val="single" w:sz="4" w:space="0" w:color="auto"/>
              <w:bottom w:val="single" w:sz="4" w:space="0" w:color="auto"/>
              <w:right w:val="single" w:sz="4" w:space="0" w:color="auto"/>
            </w:tcBorders>
            <w:shd w:val="clear" w:color="auto" w:fill="FFFFFF"/>
          </w:tcPr>
          <w:p w14:paraId="5CE6118D" w14:textId="6137D2A3"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We note in the past some confusion with hospital risk assessment attempted in other settings (e.g. the former Safety Thermometer asked community nurses to collect data on home many people living in their own homes had been assessed for risk of VTE) which CG does not recommend.</w:t>
            </w:r>
          </w:p>
        </w:tc>
      </w:tr>
      <w:tr w:rsidR="00ED7E40" w14:paraId="5F0AF29F" w14:textId="77777777" w:rsidTr="00ED7E40">
        <w:trPr>
          <w:trHeight w:val="2154"/>
        </w:trPr>
        <w:tc>
          <w:tcPr>
            <w:tcW w:w="883" w:type="dxa"/>
            <w:tcBorders>
              <w:top w:val="single" w:sz="4" w:space="0" w:color="auto"/>
              <w:left w:val="single" w:sz="4" w:space="0" w:color="auto"/>
              <w:bottom w:val="single" w:sz="4" w:space="0" w:color="auto"/>
              <w:right w:val="single" w:sz="4" w:space="0" w:color="auto"/>
            </w:tcBorders>
          </w:tcPr>
          <w:p w14:paraId="7CDDBB60" w14:textId="42C11E14" w:rsidR="00ED7E40" w:rsidRPr="007B068F" w:rsidRDefault="00ED7E40" w:rsidP="007B068F">
            <w:pPr>
              <w:rPr>
                <w:rFonts w:ascii="Calibri" w:hAnsi="Calibri" w:cs="Calibri"/>
                <w:color w:val="000000"/>
                <w:sz w:val="22"/>
                <w:szCs w:val="22"/>
              </w:rPr>
            </w:pPr>
            <w:r>
              <w:rPr>
                <w:rFonts w:ascii="Calibri" w:hAnsi="Calibri" w:cs="Calibri"/>
                <w:color w:val="000000"/>
                <w:sz w:val="22"/>
                <w:szCs w:val="22"/>
              </w:rPr>
              <w:t>7</w:t>
            </w:r>
          </w:p>
        </w:tc>
        <w:tc>
          <w:tcPr>
            <w:tcW w:w="13785" w:type="dxa"/>
            <w:gridSpan w:val="5"/>
            <w:tcBorders>
              <w:top w:val="single" w:sz="4" w:space="0" w:color="auto"/>
              <w:left w:val="single" w:sz="4" w:space="0" w:color="auto"/>
              <w:bottom w:val="single" w:sz="4" w:space="0" w:color="auto"/>
              <w:right w:val="single" w:sz="4" w:space="0" w:color="auto"/>
            </w:tcBorders>
            <w:shd w:val="clear" w:color="auto" w:fill="auto"/>
          </w:tcPr>
          <w:p w14:paraId="04D396AB" w14:textId="6AE20B70"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The new QS will need to be mindful of any special considerations for COVID-19 patients and associated VTE risk (including stroke alongside VTE in COVID-19 patients)</w:t>
            </w:r>
          </w:p>
          <w:p w14:paraId="4447C9CE" w14:textId="77777777" w:rsidR="00ED7E40" w:rsidRPr="007B068F" w:rsidRDefault="00ED7E40" w:rsidP="007B068F">
            <w:pPr>
              <w:rPr>
                <w:rFonts w:ascii="Calibri" w:hAnsi="Calibri" w:cs="Calibri"/>
                <w:color w:val="000000"/>
                <w:sz w:val="22"/>
                <w:szCs w:val="22"/>
              </w:rPr>
            </w:pPr>
          </w:p>
          <w:p w14:paraId="1115B9B5" w14:textId="77777777"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The QS needs to acknowledge the challenge that arises from the NICE CG in that there is no validated VTE risk assessment to recommend, as would normally be expected in the field of clinical evidence-based risk assessment, and common practice is to use one published in 2010 that does not fully reflect the current NICE CG recommendations.  </w:t>
            </w:r>
          </w:p>
          <w:p w14:paraId="09820E61" w14:textId="77777777" w:rsidR="00ED7E40" w:rsidRPr="007B068F" w:rsidRDefault="00ED7E40" w:rsidP="007B068F">
            <w:pPr>
              <w:rPr>
                <w:rFonts w:ascii="Calibri" w:hAnsi="Calibri" w:cs="Calibri"/>
                <w:color w:val="000000"/>
                <w:sz w:val="22"/>
                <w:szCs w:val="22"/>
              </w:rPr>
            </w:pPr>
          </w:p>
          <w:p w14:paraId="13DB4C4D" w14:textId="5D6E4680" w:rsidR="00ED7E40" w:rsidRPr="007B068F" w:rsidRDefault="00ED7E40" w:rsidP="007B068F">
            <w:pPr>
              <w:rPr>
                <w:rFonts w:ascii="Calibri" w:hAnsi="Calibri" w:cs="Calibri"/>
                <w:color w:val="000000"/>
                <w:sz w:val="22"/>
                <w:szCs w:val="22"/>
              </w:rPr>
            </w:pPr>
            <w:r w:rsidRPr="007B068F">
              <w:rPr>
                <w:rFonts w:ascii="Calibri" w:hAnsi="Calibri" w:cs="Calibri"/>
                <w:color w:val="000000"/>
                <w:sz w:val="22"/>
                <w:szCs w:val="22"/>
              </w:rPr>
              <w:t xml:space="preserve">There have been some oft-repeated statistics on healthcare-associated VTE deaths without a clear reference trail – note there is good and recent data here </w:t>
            </w:r>
            <w:hyperlink r:id="rId152" w:history="1">
              <w:r w:rsidRPr="007B068F">
                <w:rPr>
                  <w:rStyle w:val="Hyperlink"/>
                  <w:rFonts w:ascii="Calibri" w:hAnsi="Calibri" w:cs="Calibri"/>
                  <w:sz w:val="22"/>
                  <w:szCs w:val="22"/>
                </w:rPr>
                <w:t>https://digital.nhs.uk/data-and-information/publications/statistical/nhs-outcomes-framework/may-2020/domain-5-treating-and-caring-for-people-in-a-safe-environment-and-protecting-them-from-avoidable-harm-nof/5-1-deaths-from-venous-thromboembolism-vte-related-events-within-90-days-post-discharge-from-hospital</w:t>
              </w:r>
            </w:hyperlink>
          </w:p>
        </w:tc>
      </w:tr>
    </w:tbl>
    <w:p w14:paraId="140E511E" w14:textId="77777777" w:rsidR="007B068F" w:rsidRDefault="007B068F" w:rsidP="00626943">
      <w:pPr>
        <w:pStyle w:val="Paragraph"/>
      </w:pPr>
    </w:p>
    <w:sectPr w:rsidR="007B068F"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61DB5" w14:textId="77777777" w:rsidR="00FF197F" w:rsidRDefault="00FF197F" w:rsidP="00446BEE">
      <w:r>
        <w:separator/>
      </w:r>
    </w:p>
    <w:p w14:paraId="37BE7E2C" w14:textId="77777777" w:rsidR="00FF197F" w:rsidRDefault="00FF197F"/>
  </w:endnote>
  <w:endnote w:type="continuationSeparator" w:id="0">
    <w:p w14:paraId="3E00E6AB" w14:textId="77777777" w:rsidR="00FF197F" w:rsidRDefault="00FF197F" w:rsidP="00446BEE">
      <w:r>
        <w:continuationSeparator/>
      </w:r>
    </w:p>
    <w:p w14:paraId="439E0C9B" w14:textId="77777777" w:rsidR="00FF197F" w:rsidRDefault="00FF1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ademy Sans Light">
    <w:altName w:val="Academy Sans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1103F" w14:textId="77777777" w:rsidR="00FF197F" w:rsidRDefault="00FF197F"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0F16A" w14:textId="77777777" w:rsidR="00FF197F" w:rsidRDefault="00FF197F">
    <w:pPr>
      <w:pStyle w:val="Footer"/>
      <w:jc w:val="right"/>
    </w:pPr>
    <w:r>
      <w:fldChar w:fldCharType="begin"/>
    </w:r>
    <w:r>
      <w:instrText xml:space="preserve"> PAGE   \* MERGEFORMAT </w:instrText>
    </w:r>
    <w:r>
      <w:fldChar w:fldCharType="separate"/>
    </w:r>
    <w:r>
      <w:rPr>
        <w:noProof/>
      </w:rPr>
      <w:t>1</w:t>
    </w:r>
    <w:r>
      <w:rPr>
        <w:noProof/>
      </w:rPr>
      <w:fldChar w:fldCharType="end"/>
    </w:r>
  </w:p>
  <w:p w14:paraId="6C7A2FF2" w14:textId="77777777" w:rsidR="00FF197F" w:rsidRDefault="00FF1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F532E" w14:textId="77777777" w:rsidR="00FF197F" w:rsidRDefault="00FF197F" w:rsidP="00446BEE">
      <w:r>
        <w:separator/>
      </w:r>
    </w:p>
    <w:p w14:paraId="2FF70240" w14:textId="77777777" w:rsidR="00FF197F" w:rsidRDefault="00FF197F"/>
  </w:footnote>
  <w:footnote w:type="continuationSeparator" w:id="0">
    <w:p w14:paraId="46B34DB4" w14:textId="77777777" w:rsidR="00FF197F" w:rsidRDefault="00FF197F" w:rsidP="00446BEE">
      <w:r>
        <w:continuationSeparator/>
      </w:r>
    </w:p>
    <w:p w14:paraId="67B8DD03" w14:textId="77777777" w:rsidR="00FF197F" w:rsidRDefault="00FF197F"/>
  </w:footnote>
  <w:footnote w:id="1">
    <w:p w14:paraId="2E90CEC9" w14:textId="26683704" w:rsidR="00FF197F" w:rsidRPr="00C14E34" w:rsidRDefault="00FF197F" w:rsidP="007F298D">
      <w:pPr>
        <w:pStyle w:val="FootnoteText"/>
        <w:numPr>
          <w:ilvl w:val="0"/>
          <w:numId w:val="8"/>
        </w:numPr>
        <w:rPr>
          <w:rFonts w:cs="Arial"/>
        </w:rPr>
      </w:pPr>
      <w:r w:rsidRPr="00C14E34">
        <w:rPr>
          <w:rStyle w:val="FootnoteReference"/>
        </w:rPr>
        <w:footnoteRef/>
      </w:r>
      <w:r w:rsidRPr="00C14E34">
        <w:rPr>
          <w:rFonts w:cs="Arial"/>
        </w:rPr>
        <w:t>Bayer plc it does not have direct or indirect links with, or funding from, manufacturers, distributors or sellers of smoking products but Bayer provides pesticides for crops, which would therefore include tobacco crops.  </w:t>
      </w:r>
    </w:p>
    <w:p w14:paraId="0459C246" w14:textId="77777777" w:rsidR="00FF197F" w:rsidRPr="00C14E34" w:rsidRDefault="00FF197F" w:rsidP="007F298D">
      <w:pPr>
        <w:pStyle w:val="FootnoteText"/>
        <w:numPr>
          <w:ilvl w:val="0"/>
          <w:numId w:val="8"/>
        </w:numPr>
        <w:rPr>
          <w:rFonts w:cs="Arial"/>
          <w:lang w:val="en-US"/>
        </w:rPr>
      </w:pPr>
      <w:r w:rsidRPr="00C14E34">
        <w:rPr>
          <w:rFonts w:cs="Arial"/>
        </w:rPr>
        <w:t xml:space="preserve">Bayer is a member of </w:t>
      </w:r>
      <w:r w:rsidRPr="00C14E34">
        <w:rPr>
          <w:rFonts w:cs="Arial"/>
          <w:lang w:val="en-US"/>
        </w:rPr>
        <w:t>the Cooperation Centre for Scientific Research Relative to Tobacco (CORESTA) (</w:t>
      </w:r>
      <w:hyperlink r:id="rId1" w:history="1">
        <w:r w:rsidRPr="00C14E34">
          <w:rPr>
            <w:rStyle w:val="Hyperlink"/>
            <w:rFonts w:cs="Arial"/>
            <w:lang w:val="en-US"/>
          </w:rPr>
          <w:t>http://www.coresta.org/</w:t>
        </w:r>
      </w:hyperlink>
      <w:r w:rsidRPr="00C14E34">
        <w:rPr>
          <w:rFonts w:cs="Arial"/>
          <w:lang w:val="en-US"/>
        </w:rPr>
        <w:t xml:space="preserve">) within the scope of recommendations of pesticides used for protection of tobacco plants. </w:t>
      </w:r>
    </w:p>
    <w:p w14:paraId="027EB553" w14:textId="77777777" w:rsidR="00FF197F" w:rsidRPr="00C14E34" w:rsidRDefault="00FF197F" w:rsidP="007F298D">
      <w:pPr>
        <w:pStyle w:val="FootnoteText"/>
        <w:numPr>
          <w:ilvl w:val="0"/>
          <w:numId w:val="9"/>
        </w:numPr>
        <w:rPr>
          <w:rFonts w:cs="Arial"/>
          <w:lang w:val="en-US"/>
        </w:rPr>
      </w:pPr>
      <w:r w:rsidRPr="00C14E34">
        <w:rPr>
          <w:rFonts w:cs="Arial"/>
          <w:lang w:val="en-US"/>
        </w:rPr>
        <w:t>It is also a member of country and EU business federations such as the Confederation of British Industry (CBI) and </w:t>
      </w:r>
      <w:r w:rsidRPr="00C14E34">
        <w:rPr>
          <w:rFonts w:cs="Arial"/>
          <w:lang w:val="en"/>
        </w:rPr>
        <w:t xml:space="preserve">‘Business Europe’, which include tobacco companies. </w:t>
      </w:r>
    </w:p>
    <w:p w14:paraId="2AFA42B7" w14:textId="51FEE5FA" w:rsidR="00FF197F" w:rsidRDefault="00FF197F" w:rsidP="00DD660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75B"/>
    <w:multiLevelType w:val="multilevel"/>
    <w:tmpl w:val="9FBEB3FE"/>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3E59A7"/>
    <w:multiLevelType w:val="hybridMultilevel"/>
    <w:tmpl w:val="7924EF90"/>
    <w:lvl w:ilvl="0" w:tplc="2618BE9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B0DA4"/>
    <w:multiLevelType w:val="hybridMultilevel"/>
    <w:tmpl w:val="117C2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29CC3584"/>
    <w:multiLevelType w:val="multilevel"/>
    <w:tmpl w:val="7AFA6020"/>
    <w:lvl w:ilvl="0">
      <w:start w:val="1"/>
      <w:numFmt w:val="decimal"/>
      <w:lvlText w:val="%1"/>
      <w:lvlJc w:val="left"/>
      <w:pPr>
        <w:tabs>
          <w:tab w:val="num" w:pos="1418"/>
        </w:tabs>
        <w:ind w:left="1418" w:hanging="1134"/>
      </w:pPr>
      <w:rPr>
        <w:rFonts w:hint="default"/>
      </w:rPr>
    </w:lvl>
    <w:lvl w:ilvl="1">
      <w:start w:val="1"/>
      <w:numFmt w:val="decimal"/>
      <w:lvlText w:val="%1.%2"/>
      <w:lvlJc w:val="left"/>
      <w:pPr>
        <w:tabs>
          <w:tab w:val="num" w:pos="1276"/>
        </w:tabs>
        <w:ind w:left="1276"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4337BA"/>
    <w:multiLevelType w:val="hybridMultilevel"/>
    <w:tmpl w:val="2F24D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A20EEB"/>
    <w:multiLevelType w:val="hybridMultilevel"/>
    <w:tmpl w:val="1B0CDCD0"/>
    <w:lvl w:ilvl="0" w:tplc="59A6A4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3A5B70"/>
    <w:multiLevelType w:val="multilevel"/>
    <w:tmpl w:val="BAA84E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2E45CD"/>
    <w:multiLevelType w:val="multilevel"/>
    <w:tmpl w:val="1D90863A"/>
    <w:lvl w:ilvl="0">
      <w:start w:val="4"/>
      <w:numFmt w:val="decimal"/>
      <w:lvlText w:val="%1"/>
      <w:lvlJc w:val="left"/>
      <w:pPr>
        <w:ind w:left="555" w:hanging="55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4E65B4"/>
    <w:multiLevelType w:val="hybridMultilevel"/>
    <w:tmpl w:val="E78EB4EE"/>
    <w:lvl w:ilvl="0" w:tplc="E4BEE080">
      <w:numFmt w:val="bullet"/>
      <w:lvlText w:val="•"/>
      <w:lvlJc w:val="left"/>
      <w:pPr>
        <w:ind w:left="908" w:hanging="454"/>
      </w:pPr>
      <w:rPr>
        <w:rFonts w:ascii="Arial" w:eastAsia="Times New Roman" w:hAnsi="Arial" w:cs="Aria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2" w15:restartNumberingAfterBreak="0">
    <w:nsid w:val="57604B1D"/>
    <w:multiLevelType w:val="hybridMultilevel"/>
    <w:tmpl w:val="ED2067A2"/>
    <w:lvl w:ilvl="0" w:tplc="BAF28C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4" w15:restartNumberingAfterBreak="0">
    <w:nsid w:val="6FBC424D"/>
    <w:multiLevelType w:val="hybridMultilevel"/>
    <w:tmpl w:val="BC162A7A"/>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num w:numId="1">
    <w:abstractNumId w:val="13"/>
  </w:num>
  <w:num w:numId="2">
    <w:abstractNumId w:val="4"/>
  </w:num>
  <w:num w:numId="3">
    <w:abstractNumId w:val="9"/>
  </w:num>
  <w:num w:numId="4">
    <w:abstractNumId w:val="6"/>
  </w:num>
  <w:num w:numId="5">
    <w:abstractNumId w:val="0"/>
  </w:num>
  <w:num w:numId="6">
    <w:abstractNumId w:val="10"/>
  </w:num>
  <w:num w:numId="7">
    <w:abstractNumId w:val="8"/>
  </w:num>
  <w:num w:numId="8">
    <w:abstractNumId w:val="2"/>
  </w:num>
  <w:num w:numId="9">
    <w:abstractNumId w:val="14"/>
  </w:num>
  <w:num w:numId="10">
    <w:abstractNumId w:val="3"/>
  </w:num>
  <w:num w:numId="11">
    <w:abstractNumId w:val="12"/>
  </w:num>
  <w:num w:numId="12">
    <w:abstractNumId w:val="1"/>
  </w:num>
  <w:num w:numId="13">
    <w:abstractNumId w:val="7"/>
  </w:num>
  <w:num w:numId="14">
    <w:abstractNumId w:val="5"/>
  </w:num>
  <w:num w:numId="15">
    <w:abstractNumId w:val="13"/>
  </w:num>
  <w:num w:numId="16">
    <w:abstractNumId w:val="11"/>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9A6ABF"/>
    <w:rsid w:val="000030E8"/>
    <w:rsid w:val="0000482A"/>
    <w:rsid w:val="00006509"/>
    <w:rsid w:val="0001067F"/>
    <w:rsid w:val="000109F1"/>
    <w:rsid w:val="00011EBF"/>
    <w:rsid w:val="00012958"/>
    <w:rsid w:val="0001392D"/>
    <w:rsid w:val="00014ECB"/>
    <w:rsid w:val="000158CB"/>
    <w:rsid w:val="00017D6D"/>
    <w:rsid w:val="000219EC"/>
    <w:rsid w:val="00021BF3"/>
    <w:rsid w:val="000227E2"/>
    <w:rsid w:val="000241C3"/>
    <w:rsid w:val="0002445C"/>
    <w:rsid w:val="00024D0A"/>
    <w:rsid w:val="00026B56"/>
    <w:rsid w:val="000304D4"/>
    <w:rsid w:val="00031277"/>
    <w:rsid w:val="00031F8F"/>
    <w:rsid w:val="0003252C"/>
    <w:rsid w:val="0004009D"/>
    <w:rsid w:val="00040A87"/>
    <w:rsid w:val="00040B71"/>
    <w:rsid w:val="00040E52"/>
    <w:rsid w:val="00040EAA"/>
    <w:rsid w:val="00041DC8"/>
    <w:rsid w:val="00043F74"/>
    <w:rsid w:val="000447EC"/>
    <w:rsid w:val="000448B7"/>
    <w:rsid w:val="00046804"/>
    <w:rsid w:val="000478F6"/>
    <w:rsid w:val="0005058A"/>
    <w:rsid w:val="0005195E"/>
    <w:rsid w:val="00053CB8"/>
    <w:rsid w:val="00054313"/>
    <w:rsid w:val="000549EA"/>
    <w:rsid w:val="00055399"/>
    <w:rsid w:val="00056D75"/>
    <w:rsid w:val="000604CD"/>
    <w:rsid w:val="00060C31"/>
    <w:rsid w:val="0006134B"/>
    <w:rsid w:val="000638D2"/>
    <w:rsid w:val="00064819"/>
    <w:rsid w:val="0006541D"/>
    <w:rsid w:val="00065914"/>
    <w:rsid w:val="00066A50"/>
    <w:rsid w:val="00070065"/>
    <w:rsid w:val="00070F91"/>
    <w:rsid w:val="00071416"/>
    <w:rsid w:val="0007231D"/>
    <w:rsid w:val="000729BA"/>
    <w:rsid w:val="00073E70"/>
    <w:rsid w:val="000750FD"/>
    <w:rsid w:val="00075A7E"/>
    <w:rsid w:val="0007740A"/>
    <w:rsid w:val="000806D1"/>
    <w:rsid w:val="00080ED4"/>
    <w:rsid w:val="00081716"/>
    <w:rsid w:val="00081B14"/>
    <w:rsid w:val="00086C0D"/>
    <w:rsid w:val="00091BE3"/>
    <w:rsid w:val="00095B40"/>
    <w:rsid w:val="0009709D"/>
    <w:rsid w:val="00097970"/>
    <w:rsid w:val="000A007F"/>
    <w:rsid w:val="000A03CC"/>
    <w:rsid w:val="000A03E4"/>
    <w:rsid w:val="000A085C"/>
    <w:rsid w:val="000A1A67"/>
    <w:rsid w:val="000A1D82"/>
    <w:rsid w:val="000A1F76"/>
    <w:rsid w:val="000A2859"/>
    <w:rsid w:val="000A2F07"/>
    <w:rsid w:val="000B167D"/>
    <w:rsid w:val="000B1A96"/>
    <w:rsid w:val="000B3CE9"/>
    <w:rsid w:val="000B588C"/>
    <w:rsid w:val="000B5939"/>
    <w:rsid w:val="000B76F8"/>
    <w:rsid w:val="000C01C6"/>
    <w:rsid w:val="000C135B"/>
    <w:rsid w:val="000C389A"/>
    <w:rsid w:val="000C3BD7"/>
    <w:rsid w:val="000C5484"/>
    <w:rsid w:val="000C6195"/>
    <w:rsid w:val="000D09A9"/>
    <w:rsid w:val="000D121A"/>
    <w:rsid w:val="000D3561"/>
    <w:rsid w:val="000D3E1F"/>
    <w:rsid w:val="000D48CF"/>
    <w:rsid w:val="000D6F9B"/>
    <w:rsid w:val="000D7F66"/>
    <w:rsid w:val="000E0B99"/>
    <w:rsid w:val="000E11B2"/>
    <w:rsid w:val="000E1203"/>
    <w:rsid w:val="000E34F7"/>
    <w:rsid w:val="000E401D"/>
    <w:rsid w:val="000E44DF"/>
    <w:rsid w:val="000E52DC"/>
    <w:rsid w:val="000E6AF0"/>
    <w:rsid w:val="000E7129"/>
    <w:rsid w:val="000F03DD"/>
    <w:rsid w:val="000F2919"/>
    <w:rsid w:val="000F2E75"/>
    <w:rsid w:val="000F32F7"/>
    <w:rsid w:val="000F37EA"/>
    <w:rsid w:val="000F45B0"/>
    <w:rsid w:val="000F4C3A"/>
    <w:rsid w:val="000F77C9"/>
    <w:rsid w:val="000F7811"/>
    <w:rsid w:val="0010168A"/>
    <w:rsid w:val="0010218E"/>
    <w:rsid w:val="001044F8"/>
    <w:rsid w:val="00106994"/>
    <w:rsid w:val="001078C7"/>
    <w:rsid w:val="00111379"/>
    <w:rsid w:val="00111FAF"/>
    <w:rsid w:val="001134E7"/>
    <w:rsid w:val="00113D4E"/>
    <w:rsid w:val="00114F2A"/>
    <w:rsid w:val="0011675B"/>
    <w:rsid w:val="00120936"/>
    <w:rsid w:val="00121AF9"/>
    <w:rsid w:val="0012302C"/>
    <w:rsid w:val="001230CE"/>
    <w:rsid w:val="00123A4A"/>
    <w:rsid w:val="0012414A"/>
    <w:rsid w:val="00124A83"/>
    <w:rsid w:val="0012636D"/>
    <w:rsid w:val="00127583"/>
    <w:rsid w:val="001304F2"/>
    <w:rsid w:val="00130DF7"/>
    <w:rsid w:val="0013205D"/>
    <w:rsid w:val="00132C51"/>
    <w:rsid w:val="0013437C"/>
    <w:rsid w:val="00134FDA"/>
    <w:rsid w:val="0013658C"/>
    <w:rsid w:val="001378EB"/>
    <w:rsid w:val="00137DE8"/>
    <w:rsid w:val="00137F31"/>
    <w:rsid w:val="001406AD"/>
    <w:rsid w:val="00140C3A"/>
    <w:rsid w:val="00141CA0"/>
    <w:rsid w:val="00141D9C"/>
    <w:rsid w:val="001431DF"/>
    <w:rsid w:val="00145BDB"/>
    <w:rsid w:val="001472A5"/>
    <w:rsid w:val="001524B1"/>
    <w:rsid w:val="00153DAC"/>
    <w:rsid w:val="00154BEC"/>
    <w:rsid w:val="00155CA1"/>
    <w:rsid w:val="001565C4"/>
    <w:rsid w:val="0016506B"/>
    <w:rsid w:val="00165C83"/>
    <w:rsid w:val="00171399"/>
    <w:rsid w:val="00171590"/>
    <w:rsid w:val="0017169E"/>
    <w:rsid w:val="00171A41"/>
    <w:rsid w:val="00173C82"/>
    <w:rsid w:val="001753FE"/>
    <w:rsid w:val="00180E49"/>
    <w:rsid w:val="001811FE"/>
    <w:rsid w:val="001826C9"/>
    <w:rsid w:val="0018389D"/>
    <w:rsid w:val="00184409"/>
    <w:rsid w:val="00185C85"/>
    <w:rsid w:val="001901BB"/>
    <w:rsid w:val="001902D3"/>
    <w:rsid w:val="00190C0B"/>
    <w:rsid w:val="00193F8D"/>
    <w:rsid w:val="00194435"/>
    <w:rsid w:val="001A0354"/>
    <w:rsid w:val="001A2072"/>
    <w:rsid w:val="001A230A"/>
    <w:rsid w:val="001A23E4"/>
    <w:rsid w:val="001A481C"/>
    <w:rsid w:val="001A528A"/>
    <w:rsid w:val="001A542E"/>
    <w:rsid w:val="001A5435"/>
    <w:rsid w:val="001A5F04"/>
    <w:rsid w:val="001A6F0E"/>
    <w:rsid w:val="001A7E1A"/>
    <w:rsid w:val="001B0B96"/>
    <w:rsid w:val="001B10FA"/>
    <w:rsid w:val="001B248D"/>
    <w:rsid w:val="001B4362"/>
    <w:rsid w:val="001B515B"/>
    <w:rsid w:val="001B65B3"/>
    <w:rsid w:val="001B6602"/>
    <w:rsid w:val="001B6962"/>
    <w:rsid w:val="001B69FF"/>
    <w:rsid w:val="001B7A2F"/>
    <w:rsid w:val="001C217D"/>
    <w:rsid w:val="001C6DD9"/>
    <w:rsid w:val="001C7AC5"/>
    <w:rsid w:val="001D0915"/>
    <w:rsid w:val="001D2208"/>
    <w:rsid w:val="001D256F"/>
    <w:rsid w:val="001D3BAE"/>
    <w:rsid w:val="001D4753"/>
    <w:rsid w:val="001D510F"/>
    <w:rsid w:val="001D5C13"/>
    <w:rsid w:val="001E17F0"/>
    <w:rsid w:val="001E3574"/>
    <w:rsid w:val="001E3D1A"/>
    <w:rsid w:val="001E7267"/>
    <w:rsid w:val="001F060B"/>
    <w:rsid w:val="001F0D5F"/>
    <w:rsid w:val="001F1AEC"/>
    <w:rsid w:val="001F2352"/>
    <w:rsid w:val="001F2FA2"/>
    <w:rsid w:val="001F3861"/>
    <w:rsid w:val="001F3DAC"/>
    <w:rsid w:val="001F4BB0"/>
    <w:rsid w:val="001F4FA4"/>
    <w:rsid w:val="001F50A4"/>
    <w:rsid w:val="001F5655"/>
    <w:rsid w:val="001F677F"/>
    <w:rsid w:val="00202B02"/>
    <w:rsid w:val="00202B9D"/>
    <w:rsid w:val="00203B2D"/>
    <w:rsid w:val="00203D17"/>
    <w:rsid w:val="0020691A"/>
    <w:rsid w:val="00210C97"/>
    <w:rsid w:val="00211174"/>
    <w:rsid w:val="0021515E"/>
    <w:rsid w:val="00215A7F"/>
    <w:rsid w:val="00216965"/>
    <w:rsid w:val="00220A8E"/>
    <w:rsid w:val="00221892"/>
    <w:rsid w:val="00222D0F"/>
    <w:rsid w:val="002235F1"/>
    <w:rsid w:val="00223E15"/>
    <w:rsid w:val="00225730"/>
    <w:rsid w:val="00226A4D"/>
    <w:rsid w:val="00230249"/>
    <w:rsid w:val="00230CD3"/>
    <w:rsid w:val="002321B3"/>
    <w:rsid w:val="0023266C"/>
    <w:rsid w:val="0023376A"/>
    <w:rsid w:val="00235882"/>
    <w:rsid w:val="00237E01"/>
    <w:rsid w:val="002408EA"/>
    <w:rsid w:val="00245B14"/>
    <w:rsid w:val="00245D55"/>
    <w:rsid w:val="0025206D"/>
    <w:rsid w:val="00252673"/>
    <w:rsid w:val="00252D2F"/>
    <w:rsid w:val="002536AB"/>
    <w:rsid w:val="00254C0B"/>
    <w:rsid w:val="00255F77"/>
    <w:rsid w:val="002578E4"/>
    <w:rsid w:val="0026302E"/>
    <w:rsid w:val="00263614"/>
    <w:rsid w:val="00263A98"/>
    <w:rsid w:val="002641FE"/>
    <w:rsid w:val="002643EE"/>
    <w:rsid w:val="00265A34"/>
    <w:rsid w:val="00265D33"/>
    <w:rsid w:val="00266AD4"/>
    <w:rsid w:val="00267D60"/>
    <w:rsid w:val="0027053F"/>
    <w:rsid w:val="00270605"/>
    <w:rsid w:val="00270E94"/>
    <w:rsid w:val="0027103E"/>
    <w:rsid w:val="00272BBC"/>
    <w:rsid w:val="002731A6"/>
    <w:rsid w:val="00276267"/>
    <w:rsid w:val="00276A95"/>
    <w:rsid w:val="00277952"/>
    <w:rsid w:val="00277A2D"/>
    <w:rsid w:val="0028007E"/>
    <w:rsid w:val="00282250"/>
    <w:rsid w:val="00282C5B"/>
    <w:rsid w:val="00285183"/>
    <w:rsid w:val="00285885"/>
    <w:rsid w:val="00290B5B"/>
    <w:rsid w:val="00291517"/>
    <w:rsid w:val="0029335E"/>
    <w:rsid w:val="00293B5A"/>
    <w:rsid w:val="00296096"/>
    <w:rsid w:val="00296372"/>
    <w:rsid w:val="002A0E3E"/>
    <w:rsid w:val="002A2D00"/>
    <w:rsid w:val="002A33D2"/>
    <w:rsid w:val="002A511E"/>
    <w:rsid w:val="002A52EE"/>
    <w:rsid w:val="002A5BF4"/>
    <w:rsid w:val="002A665B"/>
    <w:rsid w:val="002A6CFB"/>
    <w:rsid w:val="002A77D6"/>
    <w:rsid w:val="002B019F"/>
    <w:rsid w:val="002B0CA5"/>
    <w:rsid w:val="002B28FB"/>
    <w:rsid w:val="002B41A8"/>
    <w:rsid w:val="002B5A6E"/>
    <w:rsid w:val="002B6109"/>
    <w:rsid w:val="002B61C4"/>
    <w:rsid w:val="002B67EA"/>
    <w:rsid w:val="002B6862"/>
    <w:rsid w:val="002B6A12"/>
    <w:rsid w:val="002C0CCC"/>
    <w:rsid w:val="002C13B0"/>
    <w:rsid w:val="002C1A7E"/>
    <w:rsid w:val="002C1BF3"/>
    <w:rsid w:val="002C2447"/>
    <w:rsid w:val="002C296A"/>
    <w:rsid w:val="002C34CC"/>
    <w:rsid w:val="002C3AFC"/>
    <w:rsid w:val="002C40D2"/>
    <w:rsid w:val="002C783B"/>
    <w:rsid w:val="002C7BF6"/>
    <w:rsid w:val="002D0242"/>
    <w:rsid w:val="002D0382"/>
    <w:rsid w:val="002D06B9"/>
    <w:rsid w:val="002D0A3B"/>
    <w:rsid w:val="002D0BA7"/>
    <w:rsid w:val="002D1293"/>
    <w:rsid w:val="002D1A12"/>
    <w:rsid w:val="002D22B1"/>
    <w:rsid w:val="002E0F65"/>
    <w:rsid w:val="002E1493"/>
    <w:rsid w:val="002E1541"/>
    <w:rsid w:val="002E2FBB"/>
    <w:rsid w:val="002E4721"/>
    <w:rsid w:val="002E7460"/>
    <w:rsid w:val="002E74A3"/>
    <w:rsid w:val="002F02BB"/>
    <w:rsid w:val="002F0519"/>
    <w:rsid w:val="002F2EEF"/>
    <w:rsid w:val="002F3295"/>
    <w:rsid w:val="002F33E2"/>
    <w:rsid w:val="002F4E93"/>
    <w:rsid w:val="002F64BD"/>
    <w:rsid w:val="002F68C2"/>
    <w:rsid w:val="002F6C0D"/>
    <w:rsid w:val="002F6DF6"/>
    <w:rsid w:val="002F7E53"/>
    <w:rsid w:val="00302664"/>
    <w:rsid w:val="003027CD"/>
    <w:rsid w:val="00302BE7"/>
    <w:rsid w:val="00304C30"/>
    <w:rsid w:val="0030560A"/>
    <w:rsid w:val="00305C6E"/>
    <w:rsid w:val="00306E17"/>
    <w:rsid w:val="00307736"/>
    <w:rsid w:val="00307973"/>
    <w:rsid w:val="00307AD6"/>
    <w:rsid w:val="0031001B"/>
    <w:rsid w:val="00311ED0"/>
    <w:rsid w:val="00313237"/>
    <w:rsid w:val="0031416A"/>
    <w:rsid w:val="003143E0"/>
    <w:rsid w:val="003153EB"/>
    <w:rsid w:val="00315638"/>
    <w:rsid w:val="00315CD2"/>
    <w:rsid w:val="003167EB"/>
    <w:rsid w:val="00320158"/>
    <w:rsid w:val="00322138"/>
    <w:rsid w:val="00322631"/>
    <w:rsid w:val="0032263A"/>
    <w:rsid w:val="00322954"/>
    <w:rsid w:val="003240F0"/>
    <w:rsid w:val="00324607"/>
    <w:rsid w:val="00324CC5"/>
    <w:rsid w:val="0032610C"/>
    <w:rsid w:val="00330692"/>
    <w:rsid w:val="00330A91"/>
    <w:rsid w:val="00330C35"/>
    <w:rsid w:val="00330E07"/>
    <w:rsid w:val="00333357"/>
    <w:rsid w:val="00333416"/>
    <w:rsid w:val="00334132"/>
    <w:rsid w:val="003341C8"/>
    <w:rsid w:val="003347DA"/>
    <w:rsid w:val="003347E5"/>
    <w:rsid w:val="00334FF0"/>
    <w:rsid w:val="0034067D"/>
    <w:rsid w:val="003408D2"/>
    <w:rsid w:val="003441F7"/>
    <w:rsid w:val="00344BF2"/>
    <w:rsid w:val="00344D0E"/>
    <w:rsid w:val="00346449"/>
    <w:rsid w:val="00346DBA"/>
    <w:rsid w:val="00350B5E"/>
    <w:rsid w:val="00352C1D"/>
    <w:rsid w:val="00353952"/>
    <w:rsid w:val="00354C5D"/>
    <w:rsid w:val="0036152E"/>
    <w:rsid w:val="00362D0C"/>
    <w:rsid w:val="00363872"/>
    <w:rsid w:val="00363F9C"/>
    <w:rsid w:val="0036452E"/>
    <w:rsid w:val="003648BE"/>
    <w:rsid w:val="00364E15"/>
    <w:rsid w:val="003708C8"/>
    <w:rsid w:val="00370B6D"/>
    <w:rsid w:val="0037136B"/>
    <w:rsid w:val="003713FB"/>
    <w:rsid w:val="0037224D"/>
    <w:rsid w:val="003722FA"/>
    <w:rsid w:val="003731A3"/>
    <w:rsid w:val="0037339D"/>
    <w:rsid w:val="0037450E"/>
    <w:rsid w:val="00375903"/>
    <w:rsid w:val="00377277"/>
    <w:rsid w:val="00381146"/>
    <w:rsid w:val="00381592"/>
    <w:rsid w:val="003816D1"/>
    <w:rsid w:val="00382AFE"/>
    <w:rsid w:val="00384CFD"/>
    <w:rsid w:val="0038506C"/>
    <w:rsid w:val="003869B0"/>
    <w:rsid w:val="003906D7"/>
    <w:rsid w:val="0039079F"/>
    <w:rsid w:val="00391E95"/>
    <w:rsid w:val="00391E9F"/>
    <w:rsid w:val="003926B7"/>
    <w:rsid w:val="00395ACE"/>
    <w:rsid w:val="003979F0"/>
    <w:rsid w:val="003A093D"/>
    <w:rsid w:val="003A09D5"/>
    <w:rsid w:val="003A1825"/>
    <w:rsid w:val="003A1D38"/>
    <w:rsid w:val="003A27D7"/>
    <w:rsid w:val="003A6AA8"/>
    <w:rsid w:val="003A6FF6"/>
    <w:rsid w:val="003A746A"/>
    <w:rsid w:val="003B109E"/>
    <w:rsid w:val="003B1747"/>
    <w:rsid w:val="003B1C33"/>
    <w:rsid w:val="003B49F8"/>
    <w:rsid w:val="003B5177"/>
    <w:rsid w:val="003B6DDC"/>
    <w:rsid w:val="003B7567"/>
    <w:rsid w:val="003C0A48"/>
    <w:rsid w:val="003C50D4"/>
    <w:rsid w:val="003C527B"/>
    <w:rsid w:val="003C6E82"/>
    <w:rsid w:val="003C6FAD"/>
    <w:rsid w:val="003C7AAF"/>
    <w:rsid w:val="003D3532"/>
    <w:rsid w:val="003D4ED3"/>
    <w:rsid w:val="003D6F5F"/>
    <w:rsid w:val="003D77AF"/>
    <w:rsid w:val="003E073D"/>
    <w:rsid w:val="003E12B1"/>
    <w:rsid w:val="003E1C13"/>
    <w:rsid w:val="003E1DE1"/>
    <w:rsid w:val="003E1E24"/>
    <w:rsid w:val="003E1FE5"/>
    <w:rsid w:val="003E4281"/>
    <w:rsid w:val="003E436E"/>
    <w:rsid w:val="003E4BA1"/>
    <w:rsid w:val="003E4C4B"/>
    <w:rsid w:val="003E575D"/>
    <w:rsid w:val="003E58F8"/>
    <w:rsid w:val="003F0523"/>
    <w:rsid w:val="003F0552"/>
    <w:rsid w:val="003F130E"/>
    <w:rsid w:val="003F14F7"/>
    <w:rsid w:val="003F18BC"/>
    <w:rsid w:val="003F2EC0"/>
    <w:rsid w:val="003F41A3"/>
    <w:rsid w:val="003F4508"/>
    <w:rsid w:val="003F542C"/>
    <w:rsid w:val="003F70B8"/>
    <w:rsid w:val="003F7F4C"/>
    <w:rsid w:val="0040068A"/>
    <w:rsid w:val="00400EA8"/>
    <w:rsid w:val="00402A3A"/>
    <w:rsid w:val="00404869"/>
    <w:rsid w:val="00404F49"/>
    <w:rsid w:val="004067F2"/>
    <w:rsid w:val="004075B6"/>
    <w:rsid w:val="00411201"/>
    <w:rsid w:val="00415864"/>
    <w:rsid w:val="00415F41"/>
    <w:rsid w:val="0041660E"/>
    <w:rsid w:val="00416F0B"/>
    <w:rsid w:val="0041736E"/>
    <w:rsid w:val="004202F9"/>
    <w:rsid w:val="00420333"/>
    <w:rsid w:val="00420952"/>
    <w:rsid w:val="0042183E"/>
    <w:rsid w:val="004240BC"/>
    <w:rsid w:val="00424CED"/>
    <w:rsid w:val="0042628F"/>
    <w:rsid w:val="00427135"/>
    <w:rsid w:val="00431DE3"/>
    <w:rsid w:val="0043294A"/>
    <w:rsid w:val="00432BBB"/>
    <w:rsid w:val="004330FF"/>
    <w:rsid w:val="004338C5"/>
    <w:rsid w:val="00435DD2"/>
    <w:rsid w:val="00435EA3"/>
    <w:rsid w:val="0043703F"/>
    <w:rsid w:val="0044048C"/>
    <w:rsid w:val="004405D7"/>
    <w:rsid w:val="004408D8"/>
    <w:rsid w:val="00441B3C"/>
    <w:rsid w:val="00444032"/>
    <w:rsid w:val="00444EA6"/>
    <w:rsid w:val="0044519F"/>
    <w:rsid w:val="004455CA"/>
    <w:rsid w:val="00445784"/>
    <w:rsid w:val="004462F7"/>
    <w:rsid w:val="004463FB"/>
    <w:rsid w:val="00446498"/>
    <w:rsid w:val="00446BEE"/>
    <w:rsid w:val="00447152"/>
    <w:rsid w:val="00450090"/>
    <w:rsid w:val="004510E0"/>
    <w:rsid w:val="0045126F"/>
    <w:rsid w:val="0045225D"/>
    <w:rsid w:val="00454048"/>
    <w:rsid w:val="00456881"/>
    <w:rsid w:val="00460410"/>
    <w:rsid w:val="00462FAD"/>
    <w:rsid w:val="00463BD8"/>
    <w:rsid w:val="00464586"/>
    <w:rsid w:val="00465C36"/>
    <w:rsid w:val="00466B16"/>
    <w:rsid w:val="00466E99"/>
    <w:rsid w:val="004706E6"/>
    <w:rsid w:val="0047072F"/>
    <w:rsid w:val="00471920"/>
    <w:rsid w:val="004730BA"/>
    <w:rsid w:val="00473BB1"/>
    <w:rsid w:val="00473E39"/>
    <w:rsid w:val="00474F01"/>
    <w:rsid w:val="00476394"/>
    <w:rsid w:val="004773EE"/>
    <w:rsid w:val="00481D2B"/>
    <w:rsid w:val="00481E56"/>
    <w:rsid w:val="00482B8E"/>
    <w:rsid w:val="00483981"/>
    <w:rsid w:val="00485987"/>
    <w:rsid w:val="00486BA7"/>
    <w:rsid w:val="00491211"/>
    <w:rsid w:val="00491FE4"/>
    <w:rsid w:val="0049241F"/>
    <w:rsid w:val="0049289D"/>
    <w:rsid w:val="00494C8B"/>
    <w:rsid w:val="00496BE3"/>
    <w:rsid w:val="00497DA0"/>
    <w:rsid w:val="004A2A32"/>
    <w:rsid w:val="004A325A"/>
    <w:rsid w:val="004A44A3"/>
    <w:rsid w:val="004A45E6"/>
    <w:rsid w:val="004A5F0D"/>
    <w:rsid w:val="004A6456"/>
    <w:rsid w:val="004A6C8B"/>
    <w:rsid w:val="004A6FCF"/>
    <w:rsid w:val="004A75DC"/>
    <w:rsid w:val="004A7BD3"/>
    <w:rsid w:val="004B00AC"/>
    <w:rsid w:val="004B1AC3"/>
    <w:rsid w:val="004B4112"/>
    <w:rsid w:val="004B474F"/>
    <w:rsid w:val="004B5922"/>
    <w:rsid w:val="004B62C1"/>
    <w:rsid w:val="004C02B5"/>
    <w:rsid w:val="004C05ED"/>
    <w:rsid w:val="004C14F4"/>
    <w:rsid w:val="004C1561"/>
    <w:rsid w:val="004C1AB9"/>
    <w:rsid w:val="004C3051"/>
    <w:rsid w:val="004C38A3"/>
    <w:rsid w:val="004C3F55"/>
    <w:rsid w:val="004C4168"/>
    <w:rsid w:val="004C7591"/>
    <w:rsid w:val="004D410E"/>
    <w:rsid w:val="004D472D"/>
    <w:rsid w:val="004D4FC4"/>
    <w:rsid w:val="004D6906"/>
    <w:rsid w:val="004D71BE"/>
    <w:rsid w:val="004D7EF1"/>
    <w:rsid w:val="004E072F"/>
    <w:rsid w:val="004E1FD4"/>
    <w:rsid w:val="004E3A88"/>
    <w:rsid w:val="004E4ABA"/>
    <w:rsid w:val="004E6D91"/>
    <w:rsid w:val="004E731F"/>
    <w:rsid w:val="004F0D77"/>
    <w:rsid w:val="004F457A"/>
    <w:rsid w:val="00500434"/>
    <w:rsid w:val="005010E2"/>
    <w:rsid w:val="00502580"/>
    <w:rsid w:val="005025A1"/>
    <w:rsid w:val="00502C4B"/>
    <w:rsid w:val="005048FB"/>
    <w:rsid w:val="00504F90"/>
    <w:rsid w:val="005061F9"/>
    <w:rsid w:val="005102BE"/>
    <w:rsid w:val="0051111E"/>
    <w:rsid w:val="0051622C"/>
    <w:rsid w:val="00516718"/>
    <w:rsid w:val="00517CA6"/>
    <w:rsid w:val="0052055D"/>
    <w:rsid w:val="0052161D"/>
    <w:rsid w:val="0052315D"/>
    <w:rsid w:val="00524B93"/>
    <w:rsid w:val="00526CC1"/>
    <w:rsid w:val="00527EE4"/>
    <w:rsid w:val="00533B58"/>
    <w:rsid w:val="00534339"/>
    <w:rsid w:val="00534720"/>
    <w:rsid w:val="00534AD1"/>
    <w:rsid w:val="0054323C"/>
    <w:rsid w:val="00543FBB"/>
    <w:rsid w:val="005456D5"/>
    <w:rsid w:val="00545E03"/>
    <w:rsid w:val="00545FF6"/>
    <w:rsid w:val="00546183"/>
    <w:rsid w:val="00547BC2"/>
    <w:rsid w:val="00547D49"/>
    <w:rsid w:val="005507C8"/>
    <w:rsid w:val="00553560"/>
    <w:rsid w:val="00554721"/>
    <w:rsid w:val="00554DE9"/>
    <w:rsid w:val="0055600F"/>
    <w:rsid w:val="00556203"/>
    <w:rsid w:val="00557616"/>
    <w:rsid w:val="00557EBB"/>
    <w:rsid w:val="005622CE"/>
    <w:rsid w:val="00562D25"/>
    <w:rsid w:val="00565C8C"/>
    <w:rsid w:val="00566CA5"/>
    <w:rsid w:val="005677C2"/>
    <w:rsid w:val="005702EE"/>
    <w:rsid w:val="00574385"/>
    <w:rsid w:val="00576024"/>
    <w:rsid w:val="00580D6D"/>
    <w:rsid w:val="00581557"/>
    <w:rsid w:val="00582AF4"/>
    <w:rsid w:val="00582D94"/>
    <w:rsid w:val="00583D78"/>
    <w:rsid w:val="005868B1"/>
    <w:rsid w:val="00586982"/>
    <w:rsid w:val="00587E96"/>
    <w:rsid w:val="005921BE"/>
    <w:rsid w:val="005929B1"/>
    <w:rsid w:val="00594085"/>
    <w:rsid w:val="00594431"/>
    <w:rsid w:val="00596195"/>
    <w:rsid w:val="005966BC"/>
    <w:rsid w:val="005A058A"/>
    <w:rsid w:val="005A0AC9"/>
    <w:rsid w:val="005A19AE"/>
    <w:rsid w:val="005A2D2B"/>
    <w:rsid w:val="005A39F5"/>
    <w:rsid w:val="005A46AA"/>
    <w:rsid w:val="005A49EA"/>
    <w:rsid w:val="005A4F22"/>
    <w:rsid w:val="005A5841"/>
    <w:rsid w:val="005A61AD"/>
    <w:rsid w:val="005A7628"/>
    <w:rsid w:val="005B2306"/>
    <w:rsid w:val="005B4E96"/>
    <w:rsid w:val="005B78C1"/>
    <w:rsid w:val="005C08AE"/>
    <w:rsid w:val="005C0A82"/>
    <w:rsid w:val="005C0E53"/>
    <w:rsid w:val="005C14AF"/>
    <w:rsid w:val="005C179D"/>
    <w:rsid w:val="005C54A0"/>
    <w:rsid w:val="005C6004"/>
    <w:rsid w:val="005C6281"/>
    <w:rsid w:val="005C6F10"/>
    <w:rsid w:val="005C7AB9"/>
    <w:rsid w:val="005D09B7"/>
    <w:rsid w:val="005D35D7"/>
    <w:rsid w:val="005D3CF1"/>
    <w:rsid w:val="005D3F1C"/>
    <w:rsid w:val="005D5F66"/>
    <w:rsid w:val="005D769A"/>
    <w:rsid w:val="005D78A9"/>
    <w:rsid w:val="005D7CAB"/>
    <w:rsid w:val="005E0299"/>
    <w:rsid w:val="005E0409"/>
    <w:rsid w:val="005E1D65"/>
    <w:rsid w:val="005E2091"/>
    <w:rsid w:val="005E2BA0"/>
    <w:rsid w:val="005E3AD4"/>
    <w:rsid w:val="005E4983"/>
    <w:rsid w:val="005E5E3B"/>
    <w:rsid w:val="005E6115"/>
    <w:rsid w:val="005E6A41"/>
    <w:rsid w:val="005E6F8F"/>
    <w:rsid w:val="005F3784"/>
    <w:rsid w:val="005F6820"/>
    <w:rsid w:val="005F76B7"/>
    <w:rsid w:val="00600D6F"/>
    <w:rsid w:val="00601B60"/>
    <w:rsid w:val="0060307C"/>
    <w:rsid w:val="00603263"/>
    <w:rsid w:val="00604500"/>
    <w:rsid w:val="00604751"/>
    <w:rsid w:val="00604E28"/>
    <w:rsid w:val="00607B3D"/>
    <w:rsid w:val="006110B7"/>
    <w:rsid w:val="006144F6"/>
    <w:rsid w:val="00620648"/>
    <w:rsid w:val="0062116C"/>
    <w:rsid w:val="00621435"/>
    <w:rsid w:val="0062214D"/>
    <w:rsid w:val="00623619"/>
    <w:rsid w:val="00626943"/>
    <w:rsid w:val="00626EBC"/>
    <w:rsid w:val="00627895"/>
    <w:rsid w:val="00627E87"/>
    <w:rsid w:val="00627EAB"/>
    <w:rsid w:val="00630DBE"/>
    <w:rsid w:val="006316DB"/>
    <w:rsid w:val="00632C95"/>
    <w:rsid w:val="006340F4"/>
    <w:rsid w:val="00634347"/>
    <w:rsid w:val="00634941"/>
    <w:rsid w:val="00637B54"/>
    <w:rsid w:val="0064039D"/>
    <w:rsid w:val="00641033"/>
    <w:rsid w:val="00642E91"/>
    <w:rsid w:val="00644595"/>
    <w:rsid w:val="0064504B"/>
    <w:rsid w:val="00650290"/>
    <w:rsid w:val="006504BC"/>
    <w:rsid w:val="00650AE7"/>
    <w:rsid w:val="00652A99"/>
    <w:rsid w:val="00652CCB"/>
    <w:rsid w:val="006541B3"/>
    <w:rsid w:val="006544D3"/>
    <w:rsid w:val="006557CF"/>
    <w:rsid w:val="0066015A"/>
    <w:rsid w:val="00660953"/>
    <w:rsid w:val="00661C18"/>
    <w:rsid w:val="00665120"/>
    <w:rsid w:val="006700FC"/>
    <w:rsid w:val="006711C4"/>
    <w:rsid w:val="00671949"/>
    <w:rsid w:val="00671A65"/>
    <w:rsid w:val="00672367"/>
    <w:rsid w:val="00673ED1"/>
    <w:rsid w:val="006744FF"/>
    <w:rsid w:val="0067455E"/>
    <w:rsid w:val="0067493D"/>
    <w:rsid w:val="00675CEE"/>
    <w:rsid w:val="00677032"/>
    <w:rsid w:val="0068026C"/>
    <w:rsid w:val="006809E4"/>
    <w:rsid w:val="0068121A"/>
    <w:rsid w:val="00683301"/>
    <w:rsid w:val="006844BA"/>
    <w:rsid w:val="006844CB"/>
    <w:rsid w:val="006854A8"/>
    <w:rsid w:val="00685A26"/>
    <w:rsid w:val="00685B78"/>
    <w:rsid w:val="00686E51"/>
    <w:rsid w:val="00687199"/>
    <w:rsid w:val="00690382"/>
    <w:rsid w:val="00691454"/>
    <w:rsid w:val="006918DB"/>
    <w:rsid w:val="006921E1"/>
    <w:rsid w:val="006929A2"/>
    <w:rsid w:val="00695209"/>
    <w:rsid w:val="00697C6A"/>
    <w:rsid w:val="006A055D"/>
    <w:rsid w:val="006A4A64"/>
    <w:rsid w:val="006A548B"/>
    <w:rsid w:val="006A60F0"/>
    <w:rsid w:val="006A72B6"/>
    <w:rsid w:val="006A7B30"/>
    <w:rsid w:val="006B0958"/>
    <w:rsid w:val="006B0D4E"/>
    <w:rsid w:val="006B2BBF"/>
    <w:rsid w:val="006B56CF"/>
    <w:rsid w:val="006B5E3E"/>
    <w:rsid w:val="006C0F6B"/>
    <w:rsid w:val="006C3A3A"/>
    <w:rsid w:val="006C3BE4"/>
    <w:rsid w:val="006C3DF2"/>
    <w:rsid w:val="006C3EEF"/>
    <w:rsid w:val="006C45F8"/>
    <w:rsid w:val="006C6335"/>
    <w:rsid w:val="006D1003"/>
    <w:rsid w:val="006D2029"/>
    <w:rsid w:val="006D3B0D"/>
    <w:rsid w:val="006D3F19"/>
    <w:rsid w:val="006D4113"/>
    <w:rsid w:val="006D4956"/>
    <w:rsid w:val="006D50F4"/>
    <w:rsid w:val="006D55A6"/>
    <w:rsid w:val="006E02D9"/>
    <w:rsid w:val="006E1B30"/>
    <w:rsid w:val="006E1B96"/>
    <w:rsid w:val="006E1E00"/>
    <w:rsid w:val="006E3831"/>
    <w:rsid w:val="006E4690"/>
    <w:rsid w:val="006E608E"/>
    <w:rsid w:val="006E74CA"/>
    <w:rsid w:val="006E7A31"/>
    <w:rsid w:val="006F0D9A"/>
    <w:rsid w:val="006F1C1B"/>
    <w:rsid w:val="006F21DF"/>
    <w:rsid w:val="006F298C"/>
    <w:rsid w:val="006F398A"/>
    <w:rsid w:val="006F7937"/>
    <w:rsid w:val="006F7D33"/>
    <w:rsid w:val="0070562E"/>
    <w:rsid w:val="00707F29"/>
    <w:rsid w:val="007109C9"/>
    <w:rsid w:val="00710A3E"/>
    <w:rsid w:val="00711385"/>
    <w:rsid w:val="007134DF"/>
    <w:rsid w:val="00714903"/>
    <w:rsid w:val="007179D5"/>
    <w:rsid w:val="00717A3E"/>
    <w:rsid w:val="007203AD"/>
    <w:rsid w:val="00720DF9"/>
    <w:rsid w:val="007228AE"/>
    <w:rsid w:val="007232CC"/>
    <w:rsid w:val="007250E7"/>
    <w:rsid w:val="00726D27"/>
    <w:rsid w:val="00726F9F"/>
    <w:rsid w:val="00727A9D"/>
    <w:rsid w:val="00730CE3"/>
    <w:rsid w:val="007318B0"/>
    <w:rsid w:val="00734970"/>
    <w:rsid w:val="00734C6B"/>
    <w:rsid w:val="00734EB2"/>
    <w:rsid w:val="00735A18"/>
    <w:rsid w:val="00736348"/>
    <w:rsid w:val="0073638F"/>
    <w:rsid w:val="00741501"/>
    <w:rsid w:val="007419FC"/>
    <w:rsid w:val="007438DF"/>
    <w:rsid w:val="00744AC4"/>
    <w:rsid w:val="00744CBD"/>
    <w:rsid w:val="00744E23"/>
    <w:rsid w:val="007453FD"/>
    <w:rsid w:val="00745BB0"/>
    <w:rsid w:val="00746901"/>
    <w:rsid w:val="00746FEB"/>
    <w:rsid w:val="00750BD6"/>
    <w:rsid w:val="0075162E"/>
    <w:rsid w:val="007519CE"/>
    <w:rsid w:val="00752671"/>
    <w:rsid w:val="0075385C"/>
    <w:rsid w:val="00756656"/>
    <w:rsid w:val="00757102"/>
    <w:rsid w:val="00761031"/>
    <w:rsid w:val="0076154E"/>
    <w:rsid w:val="00761E21"/>
    <w:rsid w:val="00763316"/>
    <w:rsid w:val="00764BB0"/>
    <w:rsid w:val="00766AE9"/>
    <w:rsid w:val="007676C0"/>
    <w:rsid w:val="00767ABA"/>
    <w:rsid w:val="00770B9A"/>
    <w:rsid w:val="00773244"/>
    <w:rsid w:val="00776773"/>
    <w:rsid w:val="00780D9B"/>
    <w:rsid w:val="007813F8"/>
    <w:rsid w:val="007814AC"/>
    <w:rsid w:val="00781987"/>
    <w:rsid w:val="00781F53"/>
    <w:rsid w:val="00782AD8"/>
    <w:rsid w:val="00784333"/>
    <w:rsid w:val="00785BAE"/>
    <w:rsid w:val="00786120"/>
    <w:rsid w:val="00786971"/>
    <w:rsid w:val="0079042A"/>
    <w:rsid w:val="007904F7"/>
    <w:rsid w:val="0079085E"/>
    <w:rsid w:val="0079179D"/>
    <w:rsid w:val="00791E62"/>
    <w:rsid w:val="0079479A"/>
    <w:rsid w:val="00796ECB"/>
    <w:rsid w:val="007972D5"/>
    <w:rsid w:val="007A00FC"/>
    <w:rsid w:val="007A1B0A"/>
    <w:rsid w:val="007A34BC"/>
    <w:rsid w:val="007A4E4B"/>
    <w:rsid w:val="007A4ED6"/>
    <w:rsid w:val="007A6DEE"/>
    <w:rsid w:val="007B068F"/>
    <w:rsid w:val="007B0D6A"/>
    <w:rsid w:val="007B1BCD"/>
    <w:rsid w:val="007B1C0E"/>
    <w:rsid w:val="007B2087"/>
    <w:rsid w:val="007B272A"/>
    <w:rsid w:val="007B4872"/>
    <w:rsid w:val="007B54CD"/>
    <w:rsid w:val="007B5F92"/>
    <w:rsid w:val="007B624F"/>
    <w:rsid w:val="007B6A17"/>
    <w:rsid w:val="007C2022"/>
    <w:rsid w:val="007C2BA7"/>
    <w:rsid w:val="007C3BFB"/>
    <w:rsid w:val="007C45A7"/>
    <w:rsid w:val="007C5211"/>
    <w:rsid w:val="007C5853"/>
    <w:rsid w:val="007C6EB9"/>
    <w:rsid w:val="007D08FA"/>
    <w:rsid w:val="007D0A6D"/>
    <w:rsid w:val="007D3112"/>
    <w:rsid w:val="007D333F"/>
    <w:rsid w:val="007D3BBE"/>
    <w:rsid w:val="007D4B1A"/>
    <w:rsid w:val="007D69CE"/>
    <w:rsid w:val="007D7479"/>
    <w:rsid w:val="007D7952"/>
    <w:rsid w:val="007E0BC3"/>
    <w:rsid w:val="007E18A8"/>
    <w:rsid w:val="007E41B3"/>
    <w:rsid w:val="007E4546"/>
    <w:rsid w:val="007F0768"/>
    <w:rsid w:val="007F158B"/>
    <w:rsid w:val="007F182C"/>
    <w:rsid w:val="007F1B53"/>
    <w:rsid w:val="007F21F8"/>
    <w:rsid w:val="007F298D"/>
    <w:rsid w:val="007F2999"/>
    <w:rsid w:val="007F7AF7"/>
    <w:rsid w:val="00800565"/>
    <w:rsid w:val="00800CD8"/>
    <w:rsid w:val="00801EA9"/>
    <w:rsid w:val="00802592"/>
    <w:rsid w:val="00804D70"/>
    <w:rsid w:val="00805042"/>
    <w:rsid w:val="00805EF0"/>
    <w:rsid w:val="008068ED"/>
    <w:rsid w:val="00810720"/>
    <w:rsid w:val="00810EAB"/>
    <w:rsid w:val="00811B28"/>
    <w:rsid w:val="00811F99"/>
    <w:rsid w:val="00813B1B"/>
    <w:rsid w:val="00813E13"/>
    <w:rsid w:val="0081501A"/>
    <w:rsid w:val="008155F2"/>
    <w:rsid w:val="00820719"/>
    <w:rsid w:val="00820A8F"/>
    <w:rsid w:val="0082220F"/>
    <w:rsid w:val="008222C5"/>
    <w:rsid w:val="00824B73"/>
    <w:rsid w:val="00825151"/>
    <w:rsid w:val="00825BBE"/>
    <w:rsid w:val="00825D3C"/>
    <w:rsid w:val="00825D5B"/>
    <w:rsid w:val="00825FB4"/>
    <w:rsid w:val="00826EB6"/>
    <w:rsid w:val="00833514"/>
    <w:rsid w:val="00833719"/>
    <w:rsid w:val="00833D79"/>
    <w:rsid w:val="00834011"/>
    <w:rsid w:val="00834EA8"/>
    <w:rsid w:val="00835D8B"/>
    <w:rsid w:val="00837B47"/>
    <w:rsid w:val="008419F4"/>
    <w:rsid w:val="008434B1"/>
    <w:rsid w:val="0084433F"/>
    <w:rsid w:val="008443A7"/>
    <w:rsid w:val="008461D4"/>
    <w:rsid w:val="00850647"/>
    <w:rsid w:val="008525DB"/>
    <w:rsid w:val="00853304"/>
    <w:rsid w:val="00854952"/>
    <w:rsid w:val="00854ADE"/>
    <w:rsid w:val="0085513A"/>
    <w:rsid w:val="00857851"/>
    <w:rsid w:val="00862555"/>
    <w:rsid w:val="008637D6"/>
    <w:rsid w:val="008637EA"/>
    <w:rsid w:val="00863E38"/>
    <w:rsid w:val="008666CB"/>
    <w:rsid w:val="00866C8E"/>
    <w:rsid w:val="008671B4"/>
    <w:rsid w:val="008678BA"/>
    <w:rsid w:val="008702AE"/>
    <w:rsid w:val="008706FF"/>
    <w:rsid w:val="00872097"/>
    <w:rsid w:val="00873000"/>
    <w:rsid w:val="00873312"/>
    <w:rsid w:val="00875376"/>
    <w:rsid w:val="00875B8D"/>
    <w:rsid w:val="008804D8"/>
    <w:rsid w:val="00882F29"/>
    <w:rsid w:val="00882F63"/>
    <w:rsid w:val="00884CF8"/>
    <w:rsid w:val="0088696C"/>
    <w:rsid w:val="00887284"/>
    <w:rsid w:val="00887594"/>
    <w:rsid w:val="008922EB"/>
    <w:rsid w:val="00893AF1"/>
    <w:rsid w:val="00894225"/>
    <w:rsid w:val="0089737A"/>
    <w:rsid w:val="00897382"/>
    <w:rsid w:val="008A009C"/>
    <w:rsid w:val="008A4B1B"/>
    <w:rsid w:val="008A4E56"/>
    <w:rsid w:val="008A5783"/>
    <w:rsid w:val="008A5E6E"/>
    <w:rsid w:val="008A60D2"/>
    <w:rsid w:val="008B0F5A"/>
    <w:rsid w:val="008B1A94"/>
    <w:rsid w:val="008B1C4C"/>
    <w:rsid w:val="008B2D89"/>
    <w:rsid w:val="008B4E10"/>
    <w:rsid w:val="008C0762"/>
    <w:rsid w:val="008C17FA"/>
    <w:rsid w:val="008C4468"/>
    <w:rsid w:val="008C4704"/>
    <w:rsid w:val="008C4998"/>
    <w:rsid w:val="008C5661"/>
    <w:rsid w:val="008C6A7E"/>
    <w:rsid w:val="008C6FC0"/>
    <w:rsid w:val="008C743A"/>
    <w:rsid w:val="008C7C37"/>
    <w:rsid w:val="008D0068"/>
    <w:rsid w:val="008D0C83"/>
    <w:rsid w:val="008D1359"/>
    <w:rsid w:val="008D318F"/>
    <w:rsid w:val="008D52FD"/>
    <w:rsid w:val="008D5584"/>
    <w:rsid w:val="008D578A"/>
    <w:rsid w:val="008D5869"/>
    <w:rsid w:val="008D5B3C"/>
    <w:rsid w:val="008D5DC6"/>
    <w:rsid w:val="008D7866"/>
    <w:rsid w:val="008E2D91"/>
    <w:rsid w:val="008E37F5"/>
    <w:rsid w:val="008E3962"/>
    <w:rsid w:val="008E658D"/>
    <w:rsid w:val="008F2E73"/>
    <w:rsid w:val="008F3881"/>
    <w:rsid w:val="008F3AF0"/>
    <w:rsid w:val="008F6AB4"/>
    <w:rsid w:val="008F7740"/>
    <w:rsid w:val="009008F5"/>
    <w:rsid w:val="0090118F"/>
    <w:rsid w:val="00902E8A"/>
    <w:rsid w:val="0090418A"/>
    <w:rsid w:val="00905E96"/>
    <w:rsid w:val="00906005"/>
    <w:rsid w:val="00910C02"/>
    <w:rsid w:val="00910C07"/>
    <w:rsid w:val="0091193E"/>
    <w:rsid w:val="00911DF5"/>
    <w:rsid w:val="00912949"/>
    <w:rsid w:val="0091423E"/>
    <w:rsid w:val="009142F4"/>
    <w:rsid w:val="00920194"/>
    <w:rsid w:val="00921B29"/>
    <w:rsid w:val="009220E2"/>
    <w:rsid w:val="00925F15"/>
    <w:rsid w:val="0092726B"/>
    <w:rsid w:val="00930054"/>
    <w:rsid w:val="00932219"/>
    <w:rsid w:val="00933944"/>
    <w:rsid w:val="00936328"/>
    <w:rsid w:val="0094289B"/>
    <w:rsid w:val="00947FEE"/>
    <w:rsid w:val="00951AE1"/>
    <w:rsid w:val="0095467B"/>
    <w:rsid w:val="0096053F"/>
    <w:rsid w:val="009615DD"/>
    <w:rsid w:val="0096348A"/>
    <w:rsid w:val="009656CF"/>
    <w:rsid w:val="00965823"/>
    <w:rsid w:val="009716C3"/>
    <w:rsid w:val="0097347B"/>
    <w:rsid w:val="00974CAD"/>
    <w:rsid w:val="0097542C"/>
    <w:rsid w:val="00976FC3"/>
    <w:rsid w:val="00980080"/>
    <w:rsid w:val="0098213B"/>
    <w:rsid w:val="00983D3D"/>
    <w:rsid w:val="0098521B"/>
    <w:rsid w:val="0098542D"/>
    <w:rsid w:val="00986845"/>
    <w:rsid w:val="0098686E"/>
    <w:rsid w:val="00986940"/>
    <w:rsid w:val="00987796"/>
    <w:rsid w:val="009916B0"/>
    <w:rsid w:val="009920D7"/>
    <w:rsid w:val="0099376B"/>
    <w:rsid w:val="00993F21"/>
    <w:rsid w:val="00996A73"/>
    <w:rsid w:val="00997BA0"/>
    <w:rsid w:val="009A194C"/>
    <w:rsid w:val="009A357D"/>
    <w:rsid w:val="009A6232"/>
    <w:rsid w:val="009A6ABF"/>
    <w:rsid w:val="009B3412"/>
    <w:rsid w:val="009B362C"/>
    <w:rsid w:val="009B3D74"/>
    <w:rsid w:val="009B45BA"/>
    <w:rsid w:val="009B711C"/>
    <w:rsid w:val="009B7C78"/>
    <w:rsid w:val="009C1687"/>
    <w:rsid w:val="009C2A42"/>
    <w:rsid w:val="009C2E4C"/>
    <w:rsid w:val="009C32E3"/>
    <w:rsid w:val="009C3C8C"/>
    <w:rsid w:val="009C64CF"/>
    <w:rsid w:val="009C7E6B"/>
    <w:rsid w:val="009D090E"/>
    <w:rsid w:val="009D22AB"/>
    <w:rsid w:val="009D48E3"/>
    <w:rsid w:val="009D4BF0"/>
    <w:rsid w:val="009D4FD2"/>
    <w:rsid w:val="009D599B"/>
    <w:rsid w:val="009E1291"/>
    <w:rsid w:val="009E156C"/>
    <w:rsid w:val="009E23E2"/>
    <w:rsid w:val="009E470D"/>
    <w:rsid w:val="009E485C"/>
    <w:rsid w:val="009E663E"/>
    <w:rsid w:val="009E680B"/>
    <w:rsid w:val="009E6DF0"/>
    <w:rsid w:val="009E7A4A"/>
    <w:rsid w:val="009F089D"/>
    <w:rsid w:val="009F0BB7"/>
    <w:rsid w:val="009F1802"/>
    <w:rsid w:val="009F3D9C"/>
    <w:rsid w:val="009F4837"/>
    <w:rsid w:val="009F5C68"/>
    <w:rsid w:val="009F672A"/>
    <w:rsid w:val="009F7239"/>
    <w:rsid w:val="00A02CE9"/>
    <w:rsid w:val="00A04598"/>
    <w:rsid w:val="00A04FA0"/>
    <w:rsid w:val="00A077E2"/>
    <w:rsid w:val="00A07A23"/>
    <w:rsid w:val="00A07F46"/>
    <w:rsid w:val="00A11399"/>
    <w:rsid w:val="00A1559F"/>
    <w:rsid w:val="00A15A1F"/>
    <w:rsid w:val="00A160CE"/>
    <w:rsid w:val="00A16278"/>
    <w:rsid w:val="00A16DB5"/>
    <w:rsid w:val="00A16E20"/>
    <w:rsid w:val="00A203A3"/>
    <w:rsid w:val="00A22122"/>
    <w:rsid w:val="00A22C77"/>
    <w:rsid w:val="00A3325A"/>
    <w:rsid w:val="00A33FAA"/>
    <w:rsid w:val="00A37E21"/>
    <w:rsid w:val="00A42A08"/>
    <w:rsid w:val="00A452C1"/>
    <w:rsid w:val="00A45F29"/>
    <w:rsid w:val="00A50393"/>
    <w:rsid w:val="00A51C09"/>
    <w:rsid w:val="00A52F43"/>
    <w:rsid w:val="00A53184"/>
    <w:rsid w:val="00A53A6F"/>
    <w:rsid w:val="00A54AAE"/>
    <w:rsid w:val="00A56E08"/>
    <w:rsid w:val="00A57108"/>
    <w:rsid w:val="00A61103"/>
    <w:rsid w:val="00A64AB2"/>
    <w:rsid w:val="00A64E85"/>
    <w:rsid w:val="00A650E0"/>
    <w:rsid w:val="00A65485"/>
    <w:rsid w:val="00A6567C"/>
    <w:rsid w:val="00A66C8F"/>
    <w:rsid w:val="00A707F7"/>
    <w:rsid w:val="00A7163E"/>
    <w:rsid w:val="00A7294F"/>
    <w:rsid w:val="00A739AE"/>
    <w:rsid w:val="00A73D39"/>
    <w:rsid w:val="00A74C02"/>
    <w:rsid w:val="00A756BB"/>
    <w:rsid w:val="00A76F0E"/>
    <w:rsid w:val="00A7748B"/>
    <w:rsid w:val="00A80CFB"/>
    <w:rsid w:val="00A813F7"/>
    <w:rsid w:val="00A82B58"/>
    <w:rsid w:val="00A84DFF"/>
    <w:rsid w:val="00A84F04"/>
    <w:rsid w:val="00A85E44"/>
    <w:rsid w:val="00A917F1"/>
    <w:rsid w:val="00A91A1E"/>
    <w:rsid w:val="00A93478"/>
    <w:rsid w:val="00A93A8B"/>
    <w:rsid w:val="00A944E0"/>
    <w:rsid w:val="00A973CD"/>
    <w:rsid w:val="00AA04F1"/>
    <w:rsid w:val="00AA267D"/>
    <w:rsid w:val="00AA283E"/>
    <w:rsid w:val="00AA367B"/>
    <w:rsid w:val="00AA3A48"/>
    <w:rsid w:val="00AA4379"/>
    <w:rsid w:val="00AA4C10"/>
    <w:rsid w:val="00AA60BA"/>
    <w:rsid w:val="00AA69A7"/>
    <w:rsid w:val="00AA71AD"/>
    <w:rsid w:val="00AA77B8"/>
    <w:rsid w:val="00AA7AF0"/>
    <w:rsid w:val="00AB14D0"/>
    <w:rsid w:val="00AB16C8"/>
    <w:rsid w:val="00AB39FB"/>
    <w:rsid w:val="00AB415F"/>
    <w:rsid w:val="00AB5D35"/>
    <w:rsid w:val="00AC1F93"/>
    <w:rsid w:val="00AC24CF"/>
    <w:rsid w:val="00AC2573"/>
    <w:rsid w:val="00AC3F23"/>
    <w:rsid w:val="00AC3FAC"/>
    <w:rsid w:val="00AC42E2"/>
    <w:rsid w:val="00AC4E68"/>
    <w:rsid w:val="00AC5F2A"/>
    <w:rsid w:val="00AC7689"/>
    <w:rsid w:val="00AD0F7C"/>
    <w:rsid w:val="00AD1E86"/>
    <w:rsid w:val="00AD3118"/>
    <w:rsid w:val="00AD39C7"/>
    <w:rsid w:val="00AD3F91"/>
    <w:rsid w:val="00AD4815"/>
    <w:rsid w:val="00AD5959"/>
    <w:rsid w:val="00AD7675"/>
    <w:rsid w:val="00AD7CFC"/>
    <w:rsid w:val="00AE05C4"/>
    <w:rsid w:val="00AE0BDD"/>
    <w:rsid w:val="00AE15B1"/>
    <w:rsid w:val="00AE19AA"/>
    <w:rsid w:val="00AE42E7"/>
    <w:rsid w:val="00AE6A73"/>
    <w:rsid w:val="00AE788F"/>
    <w:rsid w:val="00AF05D2"/>
    <w:rsid w:val="00AF108A"/>
    <w:rsid w:val="00AF13BF"/>
    <w:rsid w:val="00AF1BE4"/>
    <w:rsid w:val="00AF3886"/>
    <w:rsid w:val="00AF5DE4"/>
    <w:rsid w:val="00AF6728"/>
    <w:rsid w:val="00AF6C03"/>
    <w:rsid w:val="00AF76D1"/>
    <w:rsid w:val="00B02E55"/>
    <w:rsid w:val="00B03B57"/>
    <w:rsid w:val="00B048D2"/>
    <w:rsid w:val="00B04F34"/>
    <w:rsid w:val="00B05B51"/>
    <w:rsid w:val="00B07336"/>
    <w:rsid w:val="00B100B4"/>
    <w:rsid w:val="00B1069A"/>
    <w:rsid w:val="00B11FB2"/>
    <w:rsid w:val="00B124AC"/>
    <w:rsid w:val="00B12848"/>
    <w:rsid w:val="00B12A48"/>
    <w:rsid w:val="00B13A6C"/>
    <w:rsid w:val="00B15F22"/>
    <w:rsid w:val="00B176A7"/>
    <w:rsid w:val="00B17FB4"/>
    <w:rsid w:val="00B2002C"/>
    <w:rsid w:val="00B20FA1"/>
    <w:rsid w:val="00B25C9D"/>
    <w:rsid w:val="00B27357"/>
    <w:rsid w:val="00B274E0"/>
    <w:rsid w:val="00B30BFA"/>
    <w:rsid w:val="00B33059"/>
    <w:rsid w:val="00B342A0"/>
    <w:rsid w:val="00B345AC"/>
    <w:rsid w:val="00B34674"/>
    <w:rsid w:val="00B37E86"/>
    <w:rsid w:val="00B41247"/>
    <w:rsid w:val="00B419E2"/>
    <w:rsid w:val="00B42A05"/>
    <w:rsid w:val="00B42E8E"/>
    <w:rsid w:val="00B4349B"/>
    <w:rsid w:val="00B451A1"/>
    <w:rsid w:val="00B45641"/>
    <w:rsid w:val="00B45FE5"/>
    <w:rsid w:val="00B46013"/>
    <w:rsid w:val="00B47D3C"/>
    <w:rsid w:val="00B51347"/>
    <w:rsid w:val="00B53050"/>
    <w:rsid w:val="00B544EE"/>
    <w:rsid w:val="00B54904"/>
    <w:rsid w:val="00B5575B"/>
    <w:rsid w:val="00B558D1"/>
    <w:rsid w:val="00B621C7"/>
    <w:rsid w:val="00B64536"/>
    <w:rsid w:val="00B64B86"/>
    <w:rsid w:val="00B66D23"/>
    <w:rsid w:val="00B672F4"/>
    <w:rsid w:val="00B676A4"/>
    <w:rsid w:val="00B72A4C"/>
    <w:rsid w:val="00B73352"/>
    <w:rsid w:val="00B74A50"/>
    <w:rsid w:val="00B74A5B"/>
    <w:rsid w:val="00B7780A"/>
    <w:rsid w:val="00B81DD9"/>
    <w:rsid w:val="00B8205D"/>
    <w:rsid w:val="00B835F0"/>
    <w:rsid w:val="00B840F4"/>
    <w:rsid w:val="00B85EFA"/>
    <w:rsid w:val="00B86157"/>
    <w:rsid w:val="00B86518"/>
    <w:rsid w:val="00B879EA"/>
    <w:rsid w:val="00B87A6F"/>
    <w:rsid w:val="00B9081B"/>
    <w:rsid w:val="00B917FF"/>
    <w:rsid w:val="00B91B64"/>
    <w:rsid w:val="00B92D4F"/>
    <w:rsid w:val="00B9324E"/>
    <w:rsid w:val="00B93440"/>
    <w:rsid w:val="00B947E8"/>
    <w:rsid w:val="00B94C02"/>
    <w:rsid w:val="00B96992"/>
    <w:rsid w:val="00B96A88"/>
    <w:rsid w:val="00BA005C"/>
    <w:rsid w:val="00BA3D40"/>
    <w:rsid w:val="00BA420C"/>
    <w:rsid w:val="00BA47A0"/>
    <w:rsid w:val="00BB009A"/>
    <w:rsid w:val="00BB0BC1"/>
    <w:rsid w:val="00BB204D"/>
    <w:rsid w:val="00BB217E"/>
    <w:rsid w:val="00BB3CE1"/>
    <w:rsid w:val="00BB496F"/>
    <w:rsid w:val="00BB518B"/>
    <w:rsid w:val="00BB6D7B"/>
    <w:rsid w:val="00BB6E83"/>
    <w:rsid w:val="00BB728C"/>
    <w:rsid w:val="00BB791B"/>
    <w:rsid w:val="00BC197D"/>
    <w:rsid w:val="00BC4A49"/>
    <w:rsid w:val="00BC5B49"/>
    <w:rsid w:val="00BC6C14"/>
    <w:rsid w:val="00BD1581"/>
    <w:rsid w:val="00BD2437"/>
    <w:rsid w:val="00BD66D9"/>
    <w:rsid w:val="00BD6C65"/>
    <w:rsid w:val="00BD74A7"/>
    <w:rsid w:val="00BE07A7"/>
    <w:rsid w:val="00BE234B"/>
    <w:rsid w:val="00BE3611"/>
    <w:rsid w:val="00BE50DF"/>
    <w:rsid w:val="00BE564B"/>
    <w:rsid w:val="00BE5835"/>
    <w:rsid w:val="00BE67AD"/>
    <w:rsid w:val="00BE68AE"/>
    <w:rsid w:val="00BE6E04"/>
    <w:rsid w:val="00BE75F0"/>
    <w:rsid w:val="00BE7ABA"/>
    <w:rsid w:val="00BF09F3"/>
    <w:rsid w:val="00BF0DA7"/>
    <w:rsid w:val="00BF3925"/>
    <w:rsid w:val="00BF5E39"/>
    <w:rsid w:val="00BF70EA"/>
    <w:rsid w:val="00BF7FE0"/>
    <w:rsid w:val="00C00132"/>
    <w:rsid w:val="00C00D7D"/>
    <w:rsid w:val="00C0331D"/>
    <w:rsid w:val="00C040A1"/>
    <w:rsid w:val="00C0457B"/>
    <w:rsid w:val="00C05404"/>
    <w:rsid w:val="00C06A7A"/>
    <w:rsid w:val="00C06E45"/>
    <w:rsid w:val="00C0714C"/>
    <w:rsid w:val="00C071D4"/>
    <w:rsid w:val="00C077C4"/>
    <w:rsid w:val="00C12669"/>
    <w:rsid w:val="00C12EF3"/>
    <w:rsid w:val="00C142A8"/>
    <w:rsid w:val="00C14E34"/>
    <w:rsid w:val="00C14EFD"/>
    <w:rsid w:val="00C156BC"/>
    <w:rsid w:val="00C17EA4"/>
    <w:rsid w:val="00C20597"/>
    <w:rsid w:val="00C20A28"/>
    <w:rsid w:val="00C22771"/>
    <w:rsid w:val="00C22AC5"/>
    <w:rsid w:val="00C22DED"/>
    <w:rsid w:val="00C30037"/>
    <w:rsid w:val="00C32B9D"/>
    <w:rsid w:val="00C353C1"/>
    <w:rsid w:val="00C366CB"/>
    <w:rsid w:val="00C37F55"/>
    <w:rsid w:val="00C42695"/>
    <w:rsid w:val="00C4442F"/>
    <w:rsid w:val="00C448E8"/>
    <w:rsid w:val="00C4562D"/>
    <w:rsid w:val="00C478DE"/>
    <w:rsid w:val="00C47DDE"/>
    <w:rsid w:val="00C50031"/>
    <w:rsid w:val="00C53BC4"/>
    <w:rsid w:val="00C541CE"/>
    <w:rsid w:val="00C553BA"/>
    <w:rsid w:val="00C56256"/>
    <w:rsid w:val="00C568D0"/>
    <w:rsid w:val="00C57A0B"/>
    <w:rsid w:val="00C57E99"/>
    <w:rsid w:val="00C57EA4"/>
    <w:rsid w:val="00C6011A"/>
    <w:rsid w:val="00C61380"/>
    <w:rsid w:val="00C63D16"/>
    <w:rsid w:val="00C642B7"/>
    <w:rsid w:val="00C64CB1"/>
    <w:rsid w:val="00C651C2"/>
    <w:rsid w:val="00C655DF"/>
    <w:rsid w:val="00C67E1D"/>
    <w:rsid w:val="00C7005B"/>
    <w:rsid w:val="00C70657"/>
    <w:rsid w:val="00C7237C"/>
    <w:rsid w:val="00C74477"/>
    <w:rsid w:val="00C744BE"/>
    <w:rsid w:val="00C74BF8"/>
    <w:rsid w:val="00C7744D"/>
    <w:rsid w:val="00C80386"/>
    <w:rsid w:val="00C80FF0"/>
    <w:rsid w:val="00C84213"/>
    <w:rsid w:val="00C84457"/>
    <w:rsid w:val="00C849D8"/>
    <w:rsid w:val="00C859C6"/>
    <w:rsid w:val="00C867D6"/>
    <w:rsid w:val="00C920C9"/>
    <w:rsid w:val="00C92D69"/>
    <w:rsid w:val="00C931DC"/>
    <w:rsid w:val="00C94C89"/>
    <w:rsid w:val="00C94F0D"/>
    <w:rsid w:val="00C952B4"/>
    <w:rsid w:val="00C971BF"/>
    <w:rsid w:val="00CA0360"/>
    <w:rsid w:val="00CA1B03"/>
    <w:rsid w:val="00CA284C"/>
    <w:rsid w:val="00CA36CC"/>
    <w:rsid w:val="00CA6009"/>
    <w:rsid w:val="00CA7B51"/>
    <w:rsid w:val="00CB1A41"/>
    <w:rsid w:val="00CB1B05"/>
    <w:rsid w:val="00CB4083"/>
    <w:rsid w:val="00CB40AC"/>
    <w:rsid w:val="00CB5430"/>
    <w:rsid w:val="00CB7B63"/>
    <w:rsid w:val="00CC1517"/>
    <w:rsid w:val="00CC4B4E"/>
    <w:rsid w:val="00CC7F77"/>
    <w:rsid w:val="00CD0A72"/>
    <w:rsid w:val="00CD1691"/>
    <w:rsid w:val="00CD16AC"/>
    <w:rsid w:val="00CD3D03"/>
    <w:rsid w:val="00CD52D6"/>
    <w:rsid w:val="00CD5BE9"/>
    <w:rsid w:val="00CD60CE"/>
    <w:rsid w:val="00CD6AFA"/>
    <w:rsid w:val="00CE2F48"/>
    <w:rsid w:val="00CE3CF7"/>
    <w:rsid w:val="00CE3E45"/>
    <w:rsid w:val="00CE4759"/>
    <w:rsid w:val="00CF0A18"/>
    <w:rsid w:val="00CF1546"/>
    <w:rsid w:val="00CF2B10"/>
    <w:rsid w:val="00CF3B07"/>
    <w:rsid w:val="00CF3DD7"/>
    <w:rsid w:val="00CF499F"/>
    <w:rsid w:val="00CF4DE0"/>
    <w:rsid w:val="00CF5207"/>
    <w:rsid w:val="00CF58B7"/>
    <w:rsid w:val="00CF6816"/>
    <w:rsid w:val="00CF7797"/>
    <w:rsid w:val="00D0095E"/>
    <w:rsid w:val="00D01D55"/>
    <w:rsid w:val="00D022A5"/>
    <w:rsid w:val="00D027C1"/>
    <w:rsid w:val="00D02A66"/>
    <w:rsid w:val="00D033FE"/>
    <w:rsid w:val="00D04185"/>
    <w:rsid w:val="00D04B91"/>
    <w:rsid w:val="00D07806"/>
    <w:rsid w:val="00D078F5"/>
    <w:rsid w:val="00D12A75"/>
    <w:rsid w:val="00D13854"/>
    <w:rsid w:val="00D13ABD"/>
    <w:rsid w:val="00D141F5"/>
    <w:rsid w:val="00D14392"/>
    <w:rsid w:val="00D14FE3"/>
    <w:rsid w:val="00D15A6D"/>
    <w:rsid w:val="00D160E0"/>
    <w:rsid w:val="00D16399"/>
    <w:rsid w:val="00D163C0"/>
    <w:rsid w:val="00D16D6B"/>
    <w:rsid w:val="00D2065C"/>
    <w:rsid w:val="00D2187A"/>
    <w:rsid w:val="00D21887"/>
    <w:rsid w:val="00D221DA"/>
    <w:rsid w:val="00D228EF"/>
    <w:rsid w:val="00D2295E"/>
    <w:rsid w:val="00D2407B"/>
    <w:rsid w:val="00D24E89"/>
    <w:rsid w:val="00D260EB"/>
    <w:rsid w:val="00D26751"/>
    <w:rsid w:val="00D30CCC"/>
    <w:rsid w:val="00D3146E"/>
    <w:rsid w:val="00D32441"/>
    <w:rsid w:val="00D33B5E"/>
    <w:rsid w:val="00D345AA"/>
    <w:rsid w:val="00D3467D"/>
    <w:rsid w:val="00D351C1"/>
    <w:rsid w:val="00D35F14"/>
    <w:rsid w:val="00D376BD"/>
    <w:rsid w:val="00D41D49"/>
    <w:rsid w:val="00D4396E"/>
    <w:rsid w:val="00D439AA"/>
    <w:rsid w:val="00D43D36"/>
    <w:rsid w:val="00D44D8A"/>
    <w:rsid w:val="00D47575"/>
    <w:rsid w:val="00D501CA"/>
    <w:rsid w:val="00D50532"/>
    <w:rsid w:val="00D50FCD"/>
    <w:rsid w:val="00D568DD"/>
    <w:rsid w:val="00D57CEB"/>
    <w:rsid w:val="00D60B05"/>
    <w:rsid w:val="00D612F3"/>
    <w:rsid w:val="00D6638A"/>
    <w:rsid w:val="00D66CC8"/>
    <w:rsid w:val="00D66EC6"/>
    <w:rsid w:val="00D670D3"/>
    <w:rsid w:val="00D672F1"/>
    <w:rsid w:val="00D67885"/>
    <w:rsid w:val="00D71678"/>
    <w:rsid w:val="00D71B5E"/>
    <w:rsid w:val="00D731A9"/>
    <w:rsid w:val="00D73371"/>
    <w:rsid w:val="00D74CA1"/>
    <w:rsid w:val="00D75EEC"/>
    <w:rsid w:val="00D80157"/>
    <w:rsid w:val="00D80A47"/>
    <w:rsid w:val="00D814B3"/>
    <w:rsid w:val="00D83CAF"/>
    <w:rsid w:val="00D84014"/>
    <w:rsid w:val="00D8515B"/>
    <w:rsid w:val="00D858B6"/>
    <w:rsid w:val="00D862D3"/>
    <w:rsid w:val="00D86BF0"/>
    <w:rsid w:val="00D923BF"/>
    <w:rsid w:val="00D92764"/>
    <w:rsid w:val="00D94311"/>
    <w:rsid w:val="00D94834"/>
    <w:rsid w:val="00D95CC2"/>
    <w:rsid w:val="00D95FA4"/>
    <w:rsid w:val="00D97876"/>
    <w:rsid w:val="00DA3BE2"/>
    <w:rsid w:val="00DA5A53"/>
    <w:rsid w:val="00DB2828"/>
    <w:rsid w:val="00DB42C9"/>
    <w:rsid w:val="00DB4D4C"/>
    <w:rsid w:val="00DB523C"/>
    <w:rsid w:val="00DB5DB4"/>
    <w:rsid w:val="00DB77EC"/>
    <w:rsid w:val="00DB792F"/>
    <w:rsid w:val="00DB7FA2"/>
    <w:rsid w:val="00DC23A9"/>
    <w:rsid w:val="00DC2522"/>
    <w:rsid w:val="00DD0BD8"/>
    <w:rsid w:val="00DD1198"/>
    <w:rsid w:val="00DD138B"/>
    <w:rsid w:val="00DD2F2D"/>
    <w:rsid w:val="00DD343A"/>
    <w:rsid w:val="00DD36E5"/>
    <w:rsid w:val="00DD4DDA"/>
    <w:rsid w:val="00DD56F6"/>
    <w:rsid w:val="00DD610B"/>
    <w:rsid w:val="00DD6603"/>
    <w:rsid w:val="00DE05AF"/>
    <w:rsid w:val="00DE26B5"/>
    <w:rsid w:val="00DF0B6F"/>
    <w:rsid w:val="00DF11E0"/>
    <w:rsid w:val="00DF1BE4"/>
    <w:rsid w:val="00DF2D9D"/>
    <w:rsid w:val="00DF479B"/>
    <w:rsid w:val="00DF54C4"/>
    <w:rsid w:val="00E00A46"/>
    <w:rsid w:val="00E01157"/>
    <w:rsid w:val="00E01FA7"/>
    <w:rsid w:val="00E02F6D"/>
    <w:rsid w:val="00E03454"/>
    <w:rsid w:val="00E06F3D"/>
    <w:rsid w:val="00E10156"/>
    <w:rsid w:val="00E10769"/>
    <w:rsid w:val="00E10BDD"/>
    <w:rsid w:val="00E112A3"/>
    <w:rsid w:val="00E123CE"/>
    <w:rsid w:val="00E12A17"/>
    <w:rsid w:val="00E12D66"/>
    <w:rsid w:val="00E14A25"/>
    <w:rsid w:val="00E14EFB"/>
    <w:rsid w:val="00E1550C"/>
    <w:rsid w:val="00E15716"/>
    <w:rsid w:val="00E15955"/>
    <w:rsid w:val="00E160E0"/>
    <w:rsid w:val="00E21C70"/>
    <w:rsid w:val="00E23626"/>
    <w:rsid w:val="00E257A6"/>
    <w:rsid w:val="00E257B1"/>
    <w:rsid w:val="00E2590A"/>
    <w:rsid w:val="00E30665"/>
    <w:rsid w:val="00E30E0D"/>
    <w:rsid w:val="00E32B16"/>
    <w:rsid w:val="00E346B5"/>
    <w:rsid w:val="00E354A2"/>
    <w:rsid w:val="00E36527"/>
    <w:rsid w:val="00E377C9"/>
    <w:rsid w:val="00E4022E"/>
    <w:rsid w:val="00E40480"/>
    <w:rsid w:val="00E418DC"/>
    <w:rsid w:val="00E42A7A"/>
    <w:rsid w:val="00E43595"/>
    <w:rsid w:val="00E50B54"/>
    <w:rsid w:val="00E51920"/>
    <w:rsid w:val="00E52914"/>
    <w:rsid w:val="00E53214"/>
    <w:rsid w:val="00E55D72"/>
    <w:rsid w:val="00E56515"/>
    <w:rsid w:val="00E578AE"/>
    <w:rsid w:val="00E57DDE"/>
    <w:rsid w:val="00E61EF3"/>
    <w:rsid w:val="00E62F68"/>
    <w:rsid w:val="00E63C49"/>
    <w:rsid w:val="00E64120"/>
    <w:rsid w:val="00E657DB"/>
    <w:rsid w:val="00E663A4"/>
    <w:rsid w:val="00E66616"/>
    <w:rsid w:val="00E678D5"/>
    <w:rsid w:val="00E70992"/>
    <w:rsid w:val="00E738D9"/>
    <w:rsid w:val="00E74B1E"/>
    <w:rsid w:val="00E81054"/>
    <w:rsid w:val="00E81A23"/>
    <w:rsid w:val="00E81D4B"/>
    <w:rsid w:val="00E82A51"/>
    <w:rsid w:val="00E83FB5"/>
    <w:rsid w:val="00E842B3"/>
    <w:rsid w:val="00E9062C"/>
    <w:rsid w:val="00E91003"/>
    <w:rsid w:val="00E934D9"/>
    <w:rsid w:val="00E94EED"/>
    <w:rsid w:val="00E95619"/>
    <w:rsid w:val="00E96A3D"/>
    <w:rsid w:val="00E96E5B"/>
    <w:rsid w:val="00E9717F"/>
    <w:rsid w:val="00E9784F"/>
    <w:rsid w:val="00EA1211"/>
    <w:rsid w:val="00EA29C8"/>
    <w:rsid w:val="00EA529C"/>
    <w:rsid w:val="00EA55DC"/>
    <w:rsid w:val="00EA5D1E"/>
    <w:rsid w:val="00EB22DD"/>
    <w:rsid w:val="00EB2585"/>
    <w:rsid w:val="00EB4D61"/>
    <w:rsid w:val="00EB5C1B"/>
    <w:rsid w:val="00EB616D"/>
    <w:rsid w:val="00EB7EC0"/>
    <w:rsid w:val="00EC079E"/>
    <w:rsid w:val="00EC1020"/>
    <w:rsid w:val="00EC2A86"/>
    <w:rsid w:val="00EC3567"/>
    <w:rsid w:val="00EC383E"/>
    <w:rsid w:val="00EC5082"/>
    <w:rsid w:val="00EC667E"/>
    <w:rsid w:val="00EC6922"/>
    <w:rsid w:val="00EC6E13"/>
    <w:rsid w:val="00EC7558"/>
    <w:rsid w:val="00EC7C1F"/>
    <w:rsid w:val="00ED33AB"/>
    <w:rsid w:val="00ED41D4"/>
    <w:rsid w:val="00ED42B7"/>
    <w:rsid w:val="00ED7E40"/>
    <w:rsid w:val="00EE4C3D"/>
    <w:rsid w:val="00EE692E"/>
    <w:rsid w:val="00EE7099"/>
    <w:rsid w:val="00EF078D"/>
    <w:rsid w:val="00EF2532"/>
    <w:rsid w:val="00EF2592"/>
    <w:rsid w:val="00EF269B"/>
    <w:rsid w:val="00EF3C3A"/>
    <w:rsid w:val="00F02C53"/>
    <w:rsid w:val="00F04826"/>
    <w:rsid w:val="00F055F1"/>
    <w:rsid w:val="00F05CD5"/>
    <w:rsid w:val="00F076C4"/>
    <w:rsid w:val="00F07DA1"/>
    <w:rsid w:val="00F1031F"/>
    <w:rsid w:val="00F11229"/>
    <w:rsid w:val="00F11B51"/>
    <w:rsid w:val="00F11EE1"/>
    <w:rsid w:val="00F13D08"/>
    <w:rsid w:val="00F1763A"/>
    <w:rsid w:val="00F17DB3"/>
    <w:rsid w:val="00F20713"/>
    <w:rsid w:val="00F208DB"/>
    <w:rsid w:val="00F211AC"/>
    <w:rsid w:val="00F22EF7"/>
    <w:rsid w:val="00F2333B"/>
    <w:rsid w:val="00F24096"/>
    <w:rsid w:val="00F27622"/>
    <w:rsid w:val="00F31FAB"/>
    <w:rsid w:val="00F32D0F"/>
    <w:rsid w:val="00F333EC"/>
    <w:rsid w:val="00F33551"/>
    <w:rsid w:val="00F353AD"/>
    <w:rsid w:val="00F357B7"/>
    <w:rsid w:val="00F35EE9"/>
    <w:rsid w:val="00F37AEA"/>
    <w:rsid w:val="00F40216"/>
    <w:rsid w:val="00F4062B"/>
    <w:rsid w:val="00F41978"/>
    <w:rsid w:val="00F42F2E"/>
    <w:rsid w:val="00F45BD5"/>
    <w:rsid w:val="00F45FBA"/>
    <w:rsid w:val="00F5150D"/>
    <w:rsid w:val="00F52150"/>
    <w:rsid w:val="00F5305E"/>
    <w:rsid w:val="00F53D39"/>
    <w:rsid w:val="00F53FF6"/>
    <w:rsid w:val="00F543BA"/>
    <w:rsid w:val="00F54CC5"/>
    <w:rsid w:val="00F55046"/>
    <w:rsid w:val="00F566ED"/>
    <w:rsid w:val="00F56DE9"/>
    <w:rsid w:val="00F570B9"/>
    <w:rsid w:val="00F5717E"/>
    <w:rsid w:val="00F5760D"/>
    <w:rsid w:val="00F603D8"/>
    <w:rsid w:val="00F606A4"/>
    <w:rsid w:val="00F67192"/>
    <w:rsid w:val="00F76EDE"/>
    <w:rsid w:val="00F77391"/>
    <w:rsid w:val="00F77659"/>
    <w:rsid w:val="00F8088B"/>
    <w:rsid w:val="00F83776"/>
    <w:rsid w:val="00F83BC9"/>
    <w:rsid w:val="00F84508"/>
    <w:rsid w:val="00F852EB"/>
    <w:rsid w:val="00F85BF7"/>
    <w:rsid w:val="00F86B2B"/>
    <w:rsid w:val="00F904D4"/>
    <w:rsid w:val="00F90A03"/>
    <w:rsid w:val="00F9187A"/>
    <w:rsid w:val="00F91DF8"/>
    <w:rsid w:val="00F93FDF"/>
    <w:rsid w:val="00F94538"/>
    <w:rsid w:val="00F95A57"/>
    <w:rsid w:val="00F973E3"/>
    <w:rsid w:val="00FA0345"/>
    <w:rsid w:val="00FA102A"/>
    <w:rsid w:val="00FA1131"/>
    <w:rsid w:val="00FA127D"/>
    <w:rsid w:val="00FA1373"/>
    <w:rsid w:val="00FA414C"/>
    <w:rsid w:val="00FA61CA"/>
    <w:rsid w:val="00FA6360"/>
    <w:rsid w:val="00FA68D0"/>
    <w:rsid w:val="00FA6FCE"/>
    <w:rsid w:val="00FA7AA2"/>
    <w:rsid w:val="00FB0056"/>
    <w:rsid w:val="00FB03B6"/>
    <w:rsid w:val="00FB3264"/>
    <w:rsid w:val="00FB36DE"/>
    <w:rsid w:val="00FB3BAF"/>
    <w:rsid w:val="00FB4EA7"/>
    <w:rsid w:val="00FB5CCC"/>
    <w:rsid w:val="00FB6682"/>
    <w:rsid w:val="00FB73AC"/>
    <w:rsid w:val="00FC0B50"/>
    <w:rsid w:val="00FC10ED"/>
    <w:rsid w:val="00FC11EC"/>
    <w:rsid w:val="00FC2D11"/>
    <w:rsid w:val="00FC5901"/>
    <w:rsid w:val="00FC6099"/>
    <w:rsid w:val="00FC6230"/>
    <w:rsid w:val="00FC7507"/>
    <w:rsid w:val="00FD1A1D"/>
    <w:rsid w:val="00FD2318"/>
    <w:rsid w:val="00FD2A12"/>
    <w:rsid w:val="00FD3EDC"/>
    <w:rsid w:val="00FD3FF6"/>
    <w:rsid w:val="00FD4045"/>
    <w:rsid w:val="00FD4E96"/>
    <w:rsid w:val="00FD55A4"/>
    <w:rsid w:val="00FE033C"/>
    <w:rsid w:val="00FE282D"/>
    <w:rsid w:val="00FE3CA5"/>
    <w:rsid w:val="00FE4584"/>
    <w:rsid w:val="00FE4D7E"/>
    <w:rsid w:val="00FE6933"/>
    <w:rsid w:val="00FF0361"/>
    <w:rsid w:val="00FF197F"/>
    <w:rsid w:val="00FF265C"/>
    <w:rsid w:val="00FF2669"/>
    <w:rsid w:val="00FF30C4"/>
    <w:rsid w:val="00FF3436"/>
    <w:rsid w:val="00FF35AF"/>
    <w:rsid w:val="00FF4E7C"/>
    <w:rsid w:val="00FF61E7"/>
    <w:rsid w:val="00FF6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DD6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lsdException w:name="heading 1" w:locked="0" w:semiHidden="1" w:uiPriority="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iPriority="99"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99"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rsid w:val="001B6962"/>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semiHidden/>
    <w:qFormat/>
    <w:rsid w:val="00F276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uiPriority w:val="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locked/>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uiPriority w:val="99"/>
    <w:qFormat/>
    <w:rsid w:val="002A2D00"/>
    <w:rPr>
      <w:color w:val="0000FF"/>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uiPriority w:val="99"/>
    <w:rsid w:val="0009709D"/>
    <w:rPr>
      <w:sz w:val="16"/>
      <w:szCs w:val="16"/>
    </w:rPr>
  </w:style>
  <w:style w:type="paragraph" w:styleId="CommentText">
    <w:name w:val="annotation text"/>
    <w:basedOn w:val="Normal"/>
    <w:link w:val="CommentTextChar"/>
    <w:uiPriority w:val="99"/>
    <w:rsid w:val="0009709D"/>
    <w:rPr>
      <w:sz w:val="20"/>
      <w:szCs w:val="20"/>
    </w:rPr>
  </w:style>
  <w:style w:type="character" w:customStyle="1" w:styleId="CommentTextChar">
    <w:name w:val="Comment Text Char"/>
    <w:link w:val="CommentText"/>
    <w:uiPriority w:val="99"/>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ormal"/>
    <w:qFormat/>
    <w:rsid w:val="00140C3A"/>
    <w:pPr>
      <w:spacing w:line="360" w:lineRule="auto"/>
    </w:pPr>
    <w:rPr>
      <w:rFonts w:cs="Arial"/>
      <w:sz w:val="32"/>
      <w:szCs w:val="24"/>
    </w:rPr>
  </w:style>
  <w:style w:type="paragraph" w:customStyle="1" w:styleId="Numberedheading2">
    <w:name w:val="Numbered heading 2"/>
    <w:basedOn w:val="Heading2"/>
    <w:next w:val="Normal"/>
    <w:qFormat/>
    <w:rsid w:val="00884CF8"/>
    <w:pPr>
      <w:spacing w:after="240"/>
    </w:pPr>
    <w:rPr>
      <w:rFonts w:cs="Arial"/>
    </w:rPr>
  </w:style>
  <w:style w:type="paragraph" w:customStyle="1" w:styleId="Numberedheading3">
    <w:name w:val="Numbered heading 3"/>
    <w:basedOn w:val="Heading3"/>
    <w:next w:val="Paragraph"/>
    <w:qFormat/>
    <w:rsid w:val="00884CF8"/>
    <w:pPr>
      <w:spacing w:after="240" w:line="360" w:lineRule="auto"/>
    </w:pPr>
    <w:rPr>
      <w:rFonts w:cs="Arial"/>
      <w:sz w:val="26"/>
      <w:szCs w:val="24"/>
    </w:r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D862D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3"/>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semiHidden/>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F27622"/>
    <w:rPr>
      <w:rFonts w:asciiTheme="majorHAnsi" w:eastAsiaTheme="majorEastAsia" w:hAnsiTheme="majorHAnsi" w:cstheme="majorBidi"/>
      <w:i/>
      <w:iCs/>
      <w:color w:val="365F91" w:themeColor="accent1" w:themeShade="BF"/>
      <w:sz w:val="24"/>
      <w:szCs w:val="24"/>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customStyle="1" w:styleId="NICEnormal">
    <w:name w:val="NICE normal"/>
    <w:link w:val="NICEnormalChar"/>
    <w:qFormat/>
    <w:rsid w:val="00E30E0D"/>
    <w:pPr>
      <w:spacing w:after="240" w:line="360" w:lineRule="auto"/>
    </w:pPr>
    <w:rPr>
      <w:rFonts w:ascii="Arial" w:hAnsi="Arial"/>
      <w:sz w:val="24"/>
      <w:szCs w:val="24"/>
      <w:lang w:eastAsia="en-US"/>
    </w:rPr>
  </w:style>
  <w:style w:type="character" w:customStyle="1" w:styleId="NICEnormalChar">
    <w:name w:val="NICE normal Char"/>
    <w:link w:val="NICEnormal"/>
    <w:rsid w:val="00E30E0D"/>
    <w:rPr>
      <w:rFonts w:ascii="Arial" w:hAnsi="Arial"/>
      <w:sz w:val="24"/>
      <w:szCs w:val="24"/>
      <w:lang w:eastAsia="en-US"/>
    </w:rPr>
  </w:style>
  <w:style w:type="paragraph" w:styleId="NormalWeb">
    <w:name w:val="Normal (Web)"/>
    <w:basedOn w:val="Normal"/>
    <w:uiPriority w:val="99"/>
    <w:unhideWhenUsed/>
    <w:locked/>
    <w:rsid w:val="00AE788F"/>
    <w:pPr>
      <w:spacing w:before="100" w:beforeAutospacing="1" w:after="100" w:afterAutospacing="1"/>
    </w:pPr>
    <w:rPr>
      <w:lang w:eastAsia="en-GB"/>
    </w:rPr>
  </w:style>
  <w:style w:type="table" w:styleId="TableGridLight">
    <w:name w:val="Grid Table Light"/>
    <w:basedOn w:val="TableNormal"/>
    <w:uiPriority w:val="40"/>
    <w:locked/>
    <w:rsid w:val="001069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locked/>
    <w:rsid w:val="00F904D4"/>
    <w:pPr>
      <w:ind w:left="720"/>
      <w:contextualSpacing/>
    </w:pPr>
  </w:style>
  <w:style w:type="paragraph" w:customStyle="1" w:styleId="Paragraphnonumbers">
    <w:name w:val="Paragraph no numbers"/>
    <w:basedOn w:val="Normal"/>
    <w:uiPriority w:val="99"/>
    <w:qFormat/>
    <w:rsid w:val="00C14E34"/>
    <w:pPr>
      <w:spacing w:after="240" w:line="276" w:lineRule="auto"/>
    </w:pPr>
    <w:rPr>
      <w:rFonts w:ascii="Arial" w:hAnsi="Arial"/>
      <w:lang w:eastAsia="en-GB"/>
    </w:rPr>
  </w:style>
  <w:style w:type="paragraph" w:customStyle="1" w:styleId="Bulletleft1">
    <w:name w:val="Bullet left 1"/>
    <w:basedOn w:val="Normal"/>
    <w:rsid w:val="00E74B1E"/>
    <w:pPr>
      <w:numPr>
        <w:numId w:val="10"/>
      </w:numPr>
      <w:spacing w:line="360" w:lineRule="auto"/>
    </w:pPr>
    <w:rPr>
      <w:rFonts w:ascii="Arial" w:hAnsi="Arial"/>
    </w:rPr>
  </w:style>
  <w:style w:type="paragraph" w:customStyle="1" w:styleId="TableText1">
    <w:name w:val="Table Text 1"/>
    <w:basedOn w:val="Normal"/>
    <w:qFormat/>
    <w:rsid w:val="00D15A6D"/>
    <w:rPr>
      <w:rFonts w:ascii="Arial" w:hAnsi="Arial"/>
      <w:sz w:val="22"/>
      <w:lang w:eastAsia="en-GB"/>
    </w:rPr>
  </w:style>
  <w:style w:type="character" w:customStyle="1" w:styleId="mixed-citation">
    <w:name w:val="mixed-citation"/>
    <w:rsid w:val="00D15A6D"/>
  </w:style>
  <w:style w:type="character" w:styleId="Strong">
    <w:name w:val="Strong"/>
    <w:uiPriority w:val="22"/>
    <w:qFormat/>
    <w:locked/>
    <w:rsid w:val="00D15A6D"/>
    <w:rPr>
      <w:b/>
      <w:bCs/>
    </w:rPr>
  </w:style>
  <w:style w:type="character" w:customStyle="1" w:styleId="period">
    <w:name w:val="period"/>
    <w:rsid w:val="007C2BA7"/>
  </w:style>
  <w:style w:type="character" w:customStyle="1" w:styleId="cit">
    <w:name w:val="cit"/>
    <w:rsid w:val="007C2BA7"/>
  </w:style>
  <w:style w:type="character" w:customStyle="1" w:styleId="citation-doi">
    <w:name w:val="citation-doi"/>
    <w:rsid w:val="007C2BA7"/>
  </w:style>
  <w:style w:type="character" w:customStyle="1" w:styleId="A0">
    <w:name w:val="A0"/>
    <w:uiPriority w:val="99"/>
    <w:rsid w:val="007C2BA7"/>
    <w:rPr>
      <w:rFonts w:cs="Academy Sans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78998">
      <w:bodyDiv w:val="1"/>
      <w:marLeft w:val="0"/>
      <w:marRight w:val="0"/>
      <w:marTop w:val="0"/>
      <w:marBottom w:val="0"/>
      <w:divBdr>
        <w:top w:val="none" w:sz="0" w:space="0" w:color="auto"/>
        <w:left w:val="none" w:sz="0" w:space="0" w:color="auto"/>
        <w:bottom w:val="none" w:sz="0" w:space="0" w:color="auto"/>
        <w:right w:val="none" w:sz="0" w:space="0" w:color="auto"/>
      </w:divBdr>
    </w:div>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14909064">
      <w:bodyDiv w:val="1"/>
      <w:marLeft w:val="0"/>
      <w:marRight w:val="0"/>
      <w:marTop w:val="0"/>
      <w:marBottom w:val="0"/>
      <w:divBdr>
        <w:top w:val="none" w:sz="0" w:space="0" w:color="auto"/>
        <w:left w:val="none" w:sz="0" w:space="0" w:color="auto"/>
        <w:bottom w:val="none" w:sz="0" w:space="0" w:color="auto"/>
        <w:right w:val="none" w:sz="0" w:space="0" w:color="auto"/>
      </w:divBdr>
      <w:divsChild>
        <w:div w:id="1241793197">
          <w:marLeft w:val="960"/>
          <w:marRight w:val="0"/>
          <w:marTop w:val="0"/>
          <w:marBottom w:val="0"/>
          <w:divBdr>
            <w:top w:val="none" w:sz="0" w:space="0" w:color="auto"/>
            <w:left w:val="none" w:sz="0" w:space="0" w:color="auto"/>
            <w:bottom w:val="none" w:sz="0" w:space="0" w:color="auto"/>
            <w:right w:val="none" w:sz="0" w:space="0" w:color="auto"/>
          </w:divBdr>
        </w:div>
      </w:divsChild>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2807626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8296650">
      <w:bodyDiv w:val="1"/>
      <w:marLeft w:val="0"/>
      <w:marRight w:val="0"/>
      <w:marTop w:val="0"/>
      <w:marBottom w:val="0"/>
      <w:divBdr>
        <w:top w:val="none" w:sz="0" w:space="0" w:color="auto"/>
        <w:left w:val="none" w:sz="0" w:space="0" w:color="auto"/>
        <w:bottom w:val="none" w:sz="0" w:space="0" w:color="auto"/>
        <w:right w:val="none" w:sz="0" w:space="0" w:color="auto"/>
      </w:divBdr>
      <w:divsChild>
        <w:div w:id="1986811357">
          <w:marLeft w:val="960"/>
          <w:marRight w:val="0"/>
          <w:marTop w:val="0"/>
          <w:marBottom w:val="0"/>
          <w:divBdr>
            <w:top w:val="none" w:sz="0" w:space="0" w:color="auto"/>
            <w:left w:val="none" w:sz="0" w:space="0" w:color="auto"/>
            <w:bottom w:val="none" w:sz="0" w:space="0" w:color="auto"/>
            <w:right w:val="none" w:sz="0" w:space="0" w:color="auto"/>
          </w:divBdr>
        </w:div>
      </w:divsChild>
    </w:div>
    <w:div w:id="272521797">
      <w:bodyDiv w:val="1"/>
      <w:marLeft w:val="0"/>
      <w:marRight w:val="0"/>
      <w:marTop w:val="0"/>
      <w:marBottom w:val="0"/>
      <w:divBdr>
        <w:top w:val="none" w:sz="0" w:space="0" w:color="auto"/>
        <w:left w:val="none" w:sz="0" w:space="0" w:color="auto"/>
        <w:bottom w:val="none" w:sz="0" w:space="0" w:color="auto"/>
        <w:right w:val="none" w:sz="0" w:space="0" w:color="auto"/>
      </w:divBdr>
      <w:divsChild>
        <w:div w:id="958881552">
          <w:marLeft w:val="960"/>
          <w:marRight w:val="0"/>
          <w:marTop w:val="0"/>
          <w:marBottom w:val="0"/>
          <w:divBdr>
            <w:top w:val="none" w:sz="0" w:space="0" w:color="auto"/>
            <w:left w:val="none" w:sz="0" w:space="0" w:color="auto"/>
            <w:bottom w:val="none" w:sz="0" w:space="0" w:color="auto"/>
            <w:right w:val="none" w:sz="0" w:space="0" w:color="auto"/>
          </w:divBdr>
        </w:div>
      </w:divsChild>
    </w:div>
    <w:div w:id="295061479">
      <w:bodyDiv w:val="1"/>
      <w:marLeft w:val="0"/>
      <w:marRight w:val="0"/>
      <w:marTop w:val="0"/>
      <w:marBottom w:val="0"/>
      <w:divBdr>
        <w:top w:val="none" w:sz="0" w:space="0" w:color="auto"/>
        <w:left w:val="none" w:sz="0" w:space="0" w:color="auto"/>
        <w:bottom w:val="none" w:sz="0" w:space="0" w:color="auto"/>
        <w:right w:val="none" w:sz="0" w:space="0" w:color="auto"/>
      </w:divBdr>
    </w:div>
    <w:div w:id="339741306">
      <w:bodyDiv w:val="1"/>
      <w:marLeft w:val="0"/>
      <w:marRight w:val="0"/>
      <w:marTop w:val="0"/>
      <w:marBottom w:val="0"/>
      <w:divBdr>
        <w:top w:val="none" w:sz="0" w:space="0" w:color="auto"/>
        <w:left w:val="none" w:sz="0" w:space="0" w:color="auto"/>
        <w:bottom w:val="none" w:sz="0" w:space="0" w:color="auto"/>
        <w:right w:val="none" w:sz="0" w:space="0" w:color="auto"/>
      </w:divBdr>
      <w:divsChild>
        <w:div w:id="399442708">
          <w:marLeft w:val="960"/>
          <w:marRight w:val="0"/>
          <w:marTop w:val="0"/>
          <w:marBottom w:val="0"/>
          <w:divBdr>
            <w:top w:val="none" w:sz="0" w:space="0" w:color="auto"/>
            <w:left w:val="none" w:sz="0" w:space="0" w:color="auto"/>
            <w:bottom w:val="none" w:sz="0" w:space="0" w:color="auto"/>
            <w:right w:val="none" w:sz="0" w:space="0" w:color="auto"/>
          </w:divBdr>
        </w:div>
      </w:divsChild>
    </w:div>
    <w:div w:id="351415756">
      <w:bodyDiv w:val="1"/>
      <w:marLeft w:val="0"/>
      <w:marRight w:val="0"/>
      <w:marTop w:val="0"/>
      <w:marBottom w:val="0"/>
      <w:divBdr>
        <w:top w:val="none" w:sz="0" w:space="0" w:color="auto"/>
        <w:left w:val="none" w:sz="0" w:space="0" w:color="auto"/>
        <w:bottom w:val="none" w:sz="0" w:space="0" w:color="auto"/>
        <w:right w:val="none" w:sz="0" w:space="0" w:color="auto"/>
      </w:divBdr>
    </w:div>
    <w:div w:id="393356982">
      <w:bodyDiv w:val="1"/>
      <w:marLeft w:val="0"/>
      <w:marRight w:val="0"/>
      <w:marTop w:val="0"/>
      <w:marBottom w:val="0"/>
      <w:divBdr>
        <w:top w:val="none" w:sz="0" w:space="0" w:color="auto"/>
        <w:left w:val="none" w:sz="0" w:space="0" w:color="auto"/>
        <w:bottom w:val="none" w:sz="0" w:space="0" w:color="auto"/>
        <w:right w:val="none" w:sz="0" w:space="0" w:color="auto"/>
      </w:divBdr>
    </w:div>
    <w:div w:id="409041444">
      <w:bodyDiv w:val="1"/>
      <w:marLeft w:val="0"/>
      <w:marRight w:val="0"/>
      <w:marTop w:val="0"/>
      <w:marBottom w:val="0"/>
      <w:divBdr>
        <w:top w:val="none" w:sz="0" w:space="0" w:color="auto"/>
        <w:left w:val="none" w:sz="0" w:space="0" w:color="auto"/>
        <w:bottom w:val="none" w:sz="0" w:space="0" w:color="auto"/>
        <w:right w:val="none" w:sz="0" w:space="0" w:color="auto"/>
      </w:divBdr>
      <w:divsChild>
        <w:div w:id="1200360780">
          <w:marLeft w:val="0"/>
          <w:marRight w:val="0"/>
          <w:marTop w:val="0"/>
          <w:marBottom w:val="180"/>
          <w:divBdr>
            <w:top w:val="none" w:sz="0" w:space="0" w:color="auto"/>
            <w:left w:val="none" w:sz="0" w:space="0" w:color="auto"/>
            <w:bottom w:val="none" w:sz="0" w:space="0" w:color="auto"/>
            <w:right w:val="none" w:sz="0" w:space="0" w:color="auto"/>
          </w:divBdr>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883513">
      <w:bodyDiv w:val="1"/>
      <w:marLeft w:val="0"/>
      <w:marRight w:val="0"/>
      <w:marTop w:val="0"/>
      <w:marBottom w:val="0"/>
      <w:divBdr>
        <w:top w:val="none" w:sz="0" w:space="0" w:color="auto"/>
        <w:left w:val="none" w:sz="0" w:space="0" w:color="auto"/>
        <w:bottom w:val="none" w:sz="0" w:space="0" w:color="auto"/>
        <w:right w:val="none" w:sz="0" w:space="0" w:color="auto"/>
      </w:divBdr>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831375">
      <w:bodyDiv w:val="1"/>
      <w:marLeft w:val="0"/>
      <w:marRight w:val="0"/>
      <w:marTop w:val="0"/>
      <w:marBottom w:val="0"/>
      <w:divBdr>
        <w:top w:val="none" w:sz="0" w:space="0" w:color="auto"/>
        <w:left w:val="none" w:sz="0" w:space="0" w:color="auto"/>
        <w:bottom w:val="none" w:sz="0" w:space="0" w:color="auto"/>
        <w:right w:val="none" w:sz="0" w:space="0" w:color="auto"/>
      </w:divBdr>
      <w:divsChild>
        <w:div w:id="279993935">
          <w:marLeft w:val="960"/>
          <w:marRight w:val="0"/>
          <w:marTop w:val="0"/>
          <w:marBottom w:val="0"/>
          <w:divBdr>
            <w:top w:val="none" w:sz="0" w:space="0" w:color="auto"/>
            <w:left w:val="none" w:sz="0" w:space="0" w:color="auto"/>
            <w:bottom w:val="none" w:sz="0" w:space="0" w:color="auto"/>
            <w:right w:val="none" w:sz="0" w:space="0" w:color="auto"/>
          </w:divBdr>
        </w:div>
      </w:divsChild>
    </w:div>
    <w:div w:id="484248090">
      <w:bodyDiv w:val="1"/>
      <w:marLeft w:val="0"/>
      <w:marRight w:val="0"/>
      <w:marTop w:val="0"/>
      <w:marBottom w:val="0"/>
      <w:divBdr>
        <w:top w:val="none" w:sz="0" w:space="0" w:color="auto"/>
        <w:left w:val="none" w:sz="0" w:space="0" w:color="auto"/>
        <w:bottom w:val="none" w:sz="0" w:space="0" w:color="auto"/>
        <w:right w:val="none" w:sz="0" w:space="0" w:color="auto"/>
      </w:divBdr>
    </w:div>
    <w:div w:id="498228291">
      <w:bodyDiv w:val="1"/>
      <w:marLeft w:val="0"/>
      <w:marRight w:val="0"/>
      <w:marTop w:val="0"/>
      <w:marBottom w:val="0"/>
      <w:divBdr>
        <w:top w:val="none" w:sz="0" w:space="0" w:color="auto"/>
        <w:left w:val="none" w:sz="0" w:space="0" w:color="auto"/>
        <w:bottom w:val="none" w:sz="0" w:space="0" w:color="auto"/>
        <w:right w:val="none" w:sz="0" w:space="0" w:color="auto"/>
      </w:divBdr>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2090990">
      <w:bodyDiv w:val="1"/>
      <w:marLeft w:val="0"/>
      <w:marRight w:val="0"/>
      <w:marTop w:val="0"/>
      <w:marBottom w:val="0"/>
      <w:divBdr>
        <w:top w:val="none" w:sz="0" w:space="0" w:color="auto"/>
        <w:left w:val="none" w:sz="0" w:space="0" w:color="auto"/>
        <w:bottom w:val="none" w:sz="0" w:space="0" w:color="auto"/>
        <w:right w:val="none" w:sz="0" w:space="0" w:color="auto"/>
      </w:divBdr>
    </w:div>
    <w:div w:id="533425510">
      <w:bodyDiv w:val="1"/>
      <w:marLeft w:val="0"/>
      <w:marRight w:val="0"/>
      <w:marTop w:val="0"/>
      <w:marBottom w:val="0"/>
      <w:divBdr>
        <w:top w:val="none" w:sz="0" w:space="0" w:color="auto"/>
        <w:left w:val="none" w:sz="0" w:space="0" w:color="auto"/>
        <w:bottom w:val="none" w:sz="0" w:space="0" w:color="auto"/>
        <w:right w:val="none" w:sz="0" w:space="0" w:color="auto"/>
      </w:divBdr>
      <w:divsChild>
        <w:div w:id="2011636355">
          <w:marLeft w:val="0"/>
          <w:marRight w:val="0"/>
          <w:marTop w:val="360"/>
          <w:marBottom w:val="360"/>
          <w:divBdr>
            <w:top w:val="none" w:sz="0" w:space="0" w:color="auto"/>
            <w:left w:val="none" w:sz="0" w:space="0" w:color="auto"/>
            <w:bottom w:val="none" w:sz="0" w:space="0" w:color="auto"/>
            <w:right w:val="none" w:sz="0" w:space="0" w:color="auto"/>
          </w:divBdr>
        </w:div>
        <w:div w:id="546995274">
          <w:marLeft w:val="0"/>
          <w:marRight w:val="0"/>
          <w:marTop w:val="360"/>
          <w:marBottom w:val="360"/>
          <w:divBdr>
            <w:top w:val="none" w:sz="0" w:space="0" w:color="auto"/>
            <w:left w:val="none" w:sz="0" w:space="0" w:color="auto"/>
            <w:bottom w:val="none" w:sz="0" w:space="0" w:color="auto"/>
            <w:right w:val="none" w:sz="0" w:space="0" w:color="auto"/>
          </w:divBdr>
        </w:div>
        <w:div w:id="1062871405">
          <w:marLeft w:val="0"/>
          <w:marRight w:val="0"/>
          <w:marTop w:val="360"/>
          <w:marBottom w:val="360"/>
          <w:divBdr>
            <w:top w:val="none" w:sz="0" w:space="0" w:color="auto"/>
            <w:left w:val="none" w:sz="0" w:space="0" w:color="auto"/>
            <w:bottom w:val="none" w:sz="0" w:space="0" w:color="auto"/>
            <w:right w:val="none" w:sz="0" w:space="0" w:color="auto"/>
          </w:divBdr>
        </w:div>
        <w:div w:id="1734424851">
          <w:marLeft w:val="0"/>
          <w:marRight w:val="0"/>
          <w:marTop w:val="360"/>
          <w:marBottom w:val="360"/>
          <w:divBdr>
            <w:top w:val="none" w:sz="0" w:space="0" w:color="auto"/>
            <w:left w:val="none" w:sz="0" w:space="0" w:color="auto"/>
            <w:bottom w:val="none" w:sz="0" w:space="0" w:color="auto"/>
            <w:right w:val="none" w:sz="0" w:space="0" w:color="auto"/>
          </w:divBdr>
        </w:div>
        <w:div w:id="417025891">
          <w:marLeft w:val="0"/>
          <w:marRight w:val="0"/>
          <w:marTop w:val="360"/>
          <w:marBottom w:val="360"/>
          <w:divBdr>
            <w:top w:val="none" w:sz="0" w:space="0" w:color="auto"/>
            <w:left w:val="none" w:sz="0" w:space="0" w:color="auto"/>
            <w:bottom w:val="none" w:sz="0" w:space="0" w:color="auto"/>
            <w:right w:val="none" w:sz="0" w:space="0" w:color="auto"/>
          </w:divBdr>
        </w:div>
      </w:divsChild>
    </w:div>
    <w:div w:id="553665219">
      <w:bodyDiv w:val="1"/>
      <w:marLeft w:val="0"/>
      <w:marRight w:val="0"/>
      <w:marTop w:val="0"/>
      <w:marBottom w:val="0"/>
      <w:divBdr>
        <w:top w:val="none" w:sz="0" w:space="0" w:color="auto"/>
        <w:left w:val="none" w:sz="0" w:space="0" w:color="auto"/>
        <w:bottom w:val="none" w:sz="0" w:space="0" w:color="auto"/>
        <w:right w:val="none" w:sz="0" w:space="0" w:color="auto"/>
      </w:divBdr>
    </w:div>
    <w:div w:id="574977286">
      <w:bodyDiv w:val="1"/>
      <w:marLeft w:val="0"/>
      <w:marRight w:val="0"/>
      <w:marTop w:val="0"/>
      <w:marBottom w:val="0"/>
      <w:divBdr>
        <w:top w:val="none" w:sz="0" w:space="0" w:color="auto"/>
        <w:left w:val="none" w:sz="0" w:space="0" w:color="auto"/>
        <w:bottom w:val="none" w:sz="0" w:space="0" w:color="auto"/>
        <w:right w:val="none" w:sz="0" w:space="0" w:color="auto"/>
      </w:divBdr>
      <w:divsChild>
        <w:div w:id="475538729">
          <w:marLeft w:val="960"/>
          <w:marRight w:val="0"/>
          <w:marTop w:val="0"/>
          <w:marBottom w:val="0"/>
          <w:divBdr>
            <w:top w:val="none" w:sz="0" w:space="0" w:color="auto"/>
            <w:left w:val="none" w:sz="0" w:space="0" w:color="auto"/>
            <w:bottom w:val="none" w:sz="0" w:space="0" w:color="auto"/>
            <w:right w:val="none" w:sz="0" w:space="0" w:color="auto"/>
          </w:divBdr>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859146">
      <w:bodyDiv w:val="1"/>
      <w:marLeft w:val="0"/>
      <w:marRight w:val="0"/>
      <w:marTop w:val="0"/>
      <w:marBottom w:val="0"/>
      <w:divBdr>
        <w:top w:val="none" w:sz="0" w:space="0" w:color="auto"/>
        <w:left w:val="none" w:sz="0" w:space="0" w:color="auto"/>
        <w:bottom w:val="none" w:sz="0" w:space="0" w:color="auto"/>
        <w:right w:val="none" w:sz="0" w:space="0" w:color="auto"/>
      </w:divBdr>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8171784">
      <w:bodyDiv w:val="1"/>
      <w:marLeft w:val="0"/>
      <w:marRight w:val="0"/>
      <w:marTop w:val="0"/>
      <w:marBottom w:val="0"/>
      <w:divBdr>
        <w:top w:val="none" w:sz="0" w:space="0" w:color="auto"/>
        <w:left w:val="none" w:sz="0" w:space="0" w:color="auto"/>
        <w:bottom w:val="none" w:sz="0" w:space="0" w:color="auto"/>
        <w:right w:val="none" w:sz="0" w:space="0" w:color="auto"/>
      </w:divBdr>
      <w:divsChild>
        <w:div w:id="1653678994">
          <w:marLeft w:val="960"/>
          <w:marRight w:val="0"/>
          <w:marTop w:val="0"/>
          <w:marBottom w:val="0"/>
          <w:divBdr>
            <w:top w:val="none" w:sz="0" w:space="0" w:color="auto"/>
            <w:left w:val="none" w:sz="0" w:space="0" w:color="auto"/>
            <w:bottom w:val="none" w:sz="0" w:space="0" w:color="auto"/>
            <w:right w:val="none" w:sz="0" w:space="0" w:color="auto"/>
          </w:divBdr>
        </w:div>
      </w:divsChild>
    </w:div>
    <w:div w:id="631520192">
      <w:bodyDiv w:val="1"/>
      <w:marLeft w:val="0"/>
      <w:marRight w:val="0"/>
      <w:marTop w:val="0"/>
      <w:marBottom w:val="0"/>
      <w:divBdr>
        <w:top w:val="none" w:sz="0" w:space="0" w:color="auto"/>
        <w:left w:val="none" w:sz="0" w:space="0" w:color="auto"/>
        <w:bottom w:val="none" w:sz="0" w:space="0" w:color="auto"/>
        <w:right w:val="none" w:sz="0" w:space="0" w:color="auto"/>
      </w:divBdr>
    </w:div>
    <w:div w:id="640231019">
      <w:bodyDiv w:val="1"/>
      <w:marLeft w:val="0"/>
      <w:marRight w:val="0"/>
      <w:marTop w:val="0"/>
      <w:marBottom w:val="0"/>
      <w:divBdr>
        <w:top w:val="none" w:sz="0" w:space="0" w:color="auto"/>
        <w:left w:val="none" w:sz="0" w:space="0" w:color="auto"/>
        <w:bottom w:val="none" w:sz="0" w:space="0" w:color="auto"/>
        <w:right w:val="none" w:sz="0" w:space="0" w:color="auto"/>
      </w:divBdr>
    </w:div>
    <w:div w:id="651833699">
      <w:bodyDiv w:val="1"/>
      <w:marLeft w:val="0"/>
      <w:marRight w:val="0"/>
      <w:marTop w:val="0"/>
      <w:marBottom w:val="0"/>
      <w:divBdr>
        <w:top w:val="none" w:sz="0" w:space="0" w:color="auto"/>
        <w:left w:val="none" w:sz="0" w:space="0" w:color="auto"/>
        <w:bottom w:val="none" w:sz="0" w:space="0" w:color="auto"/>
        <w:right w:val="none" w:sz="0" w:space="0" w:color="auto"/>
      </w:divBdr>
      <w:divsChild>
        <w:div w:id="1329556692">
          <w:marLeft w:val="960"/>
          <w:marRight w:val="0"/>
          <w:marTop w:val="0"/>
          <w:marBottom w:val="0"/>
          <w:divBdr>
            <w:top w:val="none" w:sz="0" w:space="0" w:color="auto"/>
            <w:left w:val="none" w:sz="0" w:space="0" w:color="auto"/>
            <w:bottom w:val="none" w:sz="0" w:space="0" w:color="auto"/>
            <w:right w:val="none" w:sz="0" w:space="0" w:color="auto"/>
          </w:divBdr>
        </w:div>
      </w:divsChild>
    </w:div>
    <w:div w:id="652027599">
      <w:bodyDiv w:val="1"/>
      <w:marLeft w:val="0"/>
      <w:marRight w:val="0"/>
      <w:marTop w:val="0"/>
      <w:marBottom w:val="0"/>
      <w:divBdr>
        <w:top w:val="none" w:sz="0" w:space="0" w:color="auto"/>
        <w:left w:val="none" w:sz="0" w:space="0" w:color="auto"/>
        <w:bottom w:val="none" w:sz="0" w:space="0" w:color="auto"/>
        <w:right w:val="none" w:sz="0" w:space="0" w:color="auto"/>
      </w:divBdr>
      <w:divsChild>
        <w:div w:id="1495610276">
          <w:marLeft w:val="960"/>
          <w:marRight w:val="0"/>
          <w:marTop w:val="0"/>
          <w:marBottom w:val="0"/>
          <w:divBdr>
            <w:top w:val="none" w:sz="0" w:space="0" w:color="auto"/>
            <w:left w:val="none" w:sz="0" w:space="0" w:color="auto"/>
            <w:bottom w:val="none" w:sz="0" w:space="0" w:color="auto"/>
            <w:right w:val="none" w:sz="0" w:space="0" w:color="auto"/>
          </w:divBdr>
        </w:div>
      </w:divsChild>
    </w:div>
    <w:div w:id="653141081">
      <w:bodyDiv w:val="1"/>
      <w:marLeft w:val="0"/>
      <w:marRight w:val="0"/>
      <w:marTop w:val="0"/>
      <w:marBottom w:val="0"/>
      <w:divBdr>
        <w:top w:val="none" w:sz="0" w:space="0" w:color="auto"/>
        <w:left w:val="none" w:sz="0" w:space="0" w:color="auto"/>
        <w:bottom w:val="none" w:sz="0" w:space="0" w:color="auto"/>
        <w:right w:val="none" w:sz="0" w:space="0" w:color="auto"/>
      </w:divBdr>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385690">
      <w:bodyDiv w:val="1"/>
      <w:marLeft w:val="0"/>
      <w:marRight w:val="0"/>
      <w:marTop w:val="0"/>
      <w:marBottom w:val="0"/>
      <w:divBdr>
        <w:top w:val="none" w:sz="0" w:space="0" w:color="auto"/>
        <w:left w:val="none" w:sz="0" w:space="0" w:color="auto"/>
        <w:bottom w:val="none" w:sz="0" w:space="0" w:color="auto"/>
        <w:right w:val="none" w:sz="0" w:space="0" w:color="auto"/>
      </w:divBdr>
      <w:divsChild>
        <w:div w:id="50547435">
          <w:marLeft w:val="960"/>
          <w:marRight w:val="0"/>
          <w:marTop w:val="0"/>
          <w:marBottom w:val="0"/>
          <w:divBdr>
            <w:top w:val="none" w:sz="0" w:space="0" w:color="auto"/>
            <w:left w:val="none" w:sz="0" w:space="0" w:color="auto"/>
            <w:bottom w:val="none" w:sz="0" w:space="0" w:color="auto"/>
            <w:right w:val="none" w:sz="0" w:space="0" w:color="auto"/>
          </w:divBdr>
          <w:divsChild>
            <w:div w:id="10499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1458950">
          <w:marLeft w:val="960"/>
          <w:marRight w:val="0"/>
          <w:marTop w:val="0"/>
          <w:marBottom w:val="0"/>
          <w:divBdr>
            <w:top w:val="none" w:sz="0" w:space="0" w:color="auto"/>
            <w:left w:val="none" w:sz="0" w:space="0" w:color="auto"/>
            <w:bottom w:val="none" w:sz="0" w:space="0" w:color="auto"/>
            <w:right w:val="none" w:sz="0" w:space="0" w:color="auto"/>
          </w:divBdr>
        </w:div>
      </w:divsChild>
    </w:div>
    <w:div w:id="852458907">
      <w:bodyDiv w:val="1"/>
      <w:marLeft w:val="0"/>
      <w:marRight w:val="0"/>
      <w:marTop w:val="0"/>
      <w:marBottom w:val="0"/>
      <w:divBdr>
        <w:top w:val="none" w:sz="0" w:space="0" w:color="auto"/>
        <w:left w:val="none" w:sz="0" w:space="0" w:color="auto"/>
        <w:bottom w:val="none" w:sz="0" w:space="0" w:color="auto"/>
        <w:right w:val="none" w:sz="0" w:space="0" w:color="auto"/>
      </w:divBdr>
      <w:divsChild>
        <w:div w:id="1126509172">
          <w:marLeft w:val="960"/>
          <w:marRight w:val="0"/>
          <w:marTop w:val="0"/>
          <w:marBottom w:val="0"/>
          <w:divBdr>
            <w:top w:val="none" w:sz="0" w:space="0" w:color="auto"/>
            <w:left w:val="none" w:sz="0" w:space="0" w:color="auto"/>
            <w:bottom w:val="none" w:sz="0" w:space="0" w:color="auto"/>
            <w:right w:val="none" w:sz="0" w:space="0" w:color="auto"/>
          </w:divBdr>
        </w:div>
      </w:divsChild>
    </w:div>
    <w:div w:id="869073397">
      <w:bodyDiv w:val="1"/>
      <w:marLeft w:val="0"/>
      <w:marRight w:val="0"/>
      <w:marTop w:val="0"/>
      <w:marBottom w:val="0"/>
      <w:divBdr>
        <w:top w:val="none" w:sz="0" w:space="0" w:color="auto"/>
        <w:left w:val="none" w:sz="0" w:space="0" w:color="auto"/>
        <w:bottom w:val="none" w:sz="0" w:space="0" w:color="auto"/>
        <w:right w:val="none" w:sz="0" w:space="0" w:color="auto"/>
      </w:divBdr>
      <w:divsChild>
        <w:div w:id="1286935017">
          <w:marLeft w:val="960"/>
          <w:marRight w:val="0"/>
          <w:marTop w:val="0"/>
          <w:marBottom w:val="0"/>
          <w:divBdr>
            <w:top w:val="none" w:sz="0" w:space="0" w:color="auto"/>
            <w:left w:val="none" w:sz="0" w:space="0" w:color="auto"/>
            <w:bottom w:val="none" w:sz="0" w:space="0" w:color="auto"/>
            <w:right w:val="none" w:sz="0" w:space="0" w:color="auto"/>
          </w:divBdr>
        </w:div>
      </w:divsChild>
    </w:div>
    <w:div w:id="894240376">
      <w:bodyDiv w:val="1"/>
      <w:marLeft w:val="0"/>
      <w:marRight w:val="0"/>
      <w:marTop w:val="0"/>
      <w:marBottom w:val="0"/>
      <w:divBdr>
        <w:top w:val="none" w:sz="0" w:space="0" w:color="auto"/>
        <w:left w:val="none" w:sz="0" w:space="0" w:color="auto"/>
        <w:bottom w:val="none" w:sz="0" w:space="0" w:color="auto"/>
        <w:right w:val="none" w:sz="0" w:space="0" w:color="auto"/>
      </w:divBdr>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776903">
      <w:bodyDiv w:val="1"/>
      <w:marLeft w:val="0"/>
      <w:marRight w:val="0"/>
      <w:marTop w:val="0"/>
      <w:marBottom w:val="0"/>
      <w:divBdr>
        <w:top w:val="none" w:sz="0" w:space="0" w:color="auto"/>
        <w:left w:val="none" w:sz="0" w:space="0" w:color="auto"/>
        <w:bottom w:val="none" w:sz="0" w:space="0" w:color="auto"/>
        <w:right w:val="none" w:sz="0" w:space="0" w:color="auto"/>
      </w:divBdr>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977301331">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670108">
      <w:bodyDiv w:val="1"/>
      <w:marLeft w:val="0"/>
      <w:marRight w:val="0"/>
      <w:marTop w:val="0"/>
      <w:marBottom w:val="0"/>
      <w:divBdr>
        <w:top w:val="none" w:sz="0" w:space="0" w:color="auto"/>
        <w:left w:val="none" w:sz="0" w:space="0" w:color="auto"/>
        <w:bottom w:val="none" w:sz="0" w:space="0" w:color="auto"/>
        <w:right w:val="none" w:sz="0" w:space="0" w:color="auto"/>
      </w:divBdr>
      <w:divsChild>
        <w:div w:id="287712330">
          <w:marLeft w:val="960"/>
          <w:marRight w:val="0"/>
          <w:marTop w:val="0"/>
          <w:marBottom w:val="0"/>
          <w:divBdr>
            <w:top w:val="none" w:sz="0" w:space="0" w:color="auto"/>
            <w:left w:val="none" w:sz="0" w:space="0" w:color="auto"/>
            <w:bottom w:val="none" w:sz="0" w:space="0" w:color="auto"/>
            <w:right w:val="none" w:sz="0" w:space="0" w:color="auto"/>
          </w:divBdr>
        </w:div>
      </w:divsChild>
    </w:div>
    <w:div w:id="1070075128">
      <w:bodyDiv w:val="1"/>
      <w:marLeft w:val="0"/>
      <w:marRight w:val="0"/>
      <w:marTop w:val="0"/>
      <w:marBottom w:val="0"/>
      <w:divBdr>
        <w:top w:val="none" w:sz="0" w:space="0" w:color="auto"/>
        <w:left w:val="none" w:sz="0" w:space="0" w:color="auto"/>
        <w:bottom w:val="none" w:sz="0" w:space="0" w:color="auto"/>
        <w:right w:val="none" w:sz="0" w:space="0" w:color="auto"/>
      </w:divBdr>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426277">
      <w:bodyDiv w:val="1"/>
      <w:marLeft w:val="0"/>
      <w:marRight w:val="0"/>
      <w:marTop w:val="0"/>
      <w:marBottom w:val="0"/>
      <w:divBdr>
        <w:top w:val="none" w:sz="0" w:space="0" w:color="auto"/>
        <w:left w:val="none" w:sz="0" w:space="0" w:color="auto"/>
        <w:bottom w:val="none" w:sz="0" w:space="0" w:color="auto"/>
        <w:right w:val="none" w:sz="0" w:space="0" w:color="auto"/>
      </w:divBdr>
      <w:divsChild>
        <w:div w:id="2076513910">
          <w:marLeft w:val="960"/>
          <w:marRight w:val="0"/>
          <w:marTop w:val="0"/>
          <w:marBottom w:val="0"/>
          <w:divBdr>
            <w:top w:val="none" w:sz="0" w:space="0" w:color="auto"/>
            <w:left w:val="none" w:sz="0" w:space="0" w:color="auto"/>
            <w:bottom w:val="none" w:sz="0" w:space="0" w:color="auto"/>
            <w:right w:val="none" w:sz="0" w:space="0" w:color="auto"/>
          </w:divBdr>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73296316">
      <w:bodyDiv w:val="1"/>
      <w:marLeft w:val="0"/>
      <w:marRight w:val="0"/>
      <w:marTop w:val="0"/>
      <w:marBottom w:val="0"/>
      <w:divBdr>
        <w:top w:val="none" w:sz="0" w:space="0" w:color="auto"/>
        <w:left w:val="none" w:sz="0" w:space="0" w:color="auto"/>
        <w:bottom w:val="none" w:sz="0" w:space="0" w:color="auto"/>
        <w:right w:val="none" w:sz="0" w:space="0" w:color="auto"/>
      </w:divBdr>
      <w:divsChild>
        <w:div w:id="1627269788">
          <w:marLeft w:val="960"/>
          <w:marRight w:val="0"/>
          <w:marTop w:val="0"/>
          <w:marBottom w:val="0"/>
          <w:divBdr>
            <w:top w:val="none" w:sz="0" w:space="0" w:color="auto"/>
            <w:left w:val="none" w:sz="0" w:space="0" w:color="auto"/>
            <w:bottom w:val="none" w:sz="0" w:space="0" w:color="auto"/>
            <w:right w:val="none" w:sz="0" w:space="0" w:color="auto"/>
          </w:divBdr>
        </w:div>
      </w:divsChild>
    </w:div>
    <w:div w:id="1177043098">
      <w:bodyDiv w:val="1"/>
      <w:marLeft w:val="0"/>
      <w:marRight w:val="0"/>
      <w:marTop w:val="0"/>
      <w:marBottom w:val="0"/>
      <w:divBdr>
        <w:top w:val="none" w:sz="0" w:space="0" w:color="auto"/>
        <w:left w:val="none" w:sz="0" w:space="0" w:color="auto"/>
        <w:bottom w:val="none" w:sz="0" w:space="0" w:color="auto"/>
        <w:right w:val="none" w:sz="0" w:space="0" w:color="auto"/>
      </w:divBdr>
      <w:divsChild>
        <w:div w:id="1921523756">
          <w:marLeft w:val="960"/>
          <w:marRight w:val="0"/>
          <w:marTop w:val="0"/>
          <w:marBottom w:val="0"/>
          <w:divBdr>
            <w:top w:val="none" w:sz="0" w:space="0" w:color="auto"/>
            <w:left w:val="none" w:sz="0" w:space="0" w:color="auto"/>
            <w:bottom w:val="none" w:sz="0" w:space="0" w:color="auto"/>
            <w:right w:val="none" w:sz="0" w:space="0" w:color="auto"/>
          </w:divBdr>
        </w:div>
      </w:divsChild>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148299">
      <w:bodyDiv w:val="1"/>
      <w:marLeft w:val="0"/>
      <w:marRight w:val="0"/>
      <w:marTop w:val="0"/>
      <w:marBottom w:val="0"/>
      <w:divBdr>
        <w:top w:val="none" w:sz="0" w:space="0" w:color="auto"/>
        <w:left w:val="none" w:sz="0" w:space="0" w:color="auto"/>
        <w:bottom w:val="none" w:sz="0" w:space="0" w:color="auto"/>
        <w:right w:val="none" w:sz="0" w:space="0" w:color="auto"/>
      </w:divBdr>
    </w:div>
    <w:div w:id="1206987237">
      <w:bodyDiv w:val="1"/>
      <w:marLeft w:val="0"/>
      <w:marRight w:val="0"/>
      <w:marTop w:val="0"/>
      <w:marBottom w:val="0"/>
      <w:divBdr>
        <w:top w:val="none" w:sz="0" w:space="0" w:color="auto"/>
        <w:left w:val="none" w:sz="0" w:space="0" w:color="auto"/>
        <w:bottom w:val="none" w:sz="0" w:space="0" w:color="auto"/>
        <w:right w:val="none" w:sz="0" w:space="0" w:color="auto"/>
      </w:divBdr>
    </w:div>
    <w:div w:id="1213927188">
      <w:bodyDiv w:val="1"/>
      <w:marLeft w:val="0"/>
      <w:marRight w:val="0"/>
      <w:marTop w:val="0"/>
      <w:marBottom w:val="0"/>
      <w:divBdr>
        <w:top w:val="none" w:sz="0" w:space="0" w:color="auto"/>
        <w:left w:val="none" w:sz="0" w:space="0" w:color="auto"/>
        <w:bottom w:val="none" w:sz="0" w:space="0" w:color="auto"/>
        <w:right w:val="none" w:sz="0" w:space="0" w:color="auto"/>
      </w:divBdr>
      <w:divsChild>
        <w:div w:id="314459810">
          <w:marLeft w:val="960"/>
          <w:marRight w:val="0"/>
          <w:marTop w:val="0"/>
          <w:marBottom w:val="0"/>
          <w:divBdr>
            <w:top w:val="none" w:sz="0" w:space="0" w:color="auto"/>
            <w:left w:val="none" w:sz="0" w:space="0" w:color="auto"/>
            <w:bottom w:val="none" w:sz="0" w:space="0" w:color="auto"/>
            <w:right w:val="none" w:sz="0" w:space="0" w:color="auto"/>
          </w:divBdr>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232547893">
      <w:bodyDiv w:val="1"/>
      <w:marLeft w:val="0"/>
      <w:marRight w:val="0"/>
      <w:marTop w:val="0"/>
      <w:marBottom w:val="0"/>
      <w:divBdr>
        <w:top w:val="none" w:sz="0" w:space="0" w:color="auto"/>
        <w:left w:val="none" w:sz="0" w:space="0" w:color="auto"/>
        <w:bottom w:val="none" w:sz="0" w:space="0" w:color="auto"/>
        <w:right w:val="none" w:sz="0" w:space="0" w:color="auto"/>
      </w:divBdr>
      <w:divsChild>
        <w:div w:id="655568954">
          <w:marLeft w:val="960"/>
          <w:marRight w:val="0"/>
          <w:marTop w:val="0"/>
          <w:marBottom w:val="0"/>
          <w:divBdr>
            <w:top w:val="none" w:sz="0" w:space="0" w:color="auto"/>
            <w:left w:val="none" w:sz="0" w:space="0" w:color="auto"/>
            <w:bottom w:val="none" w:sz="0" w:space="0" w:color="auto"/>
            <w:right w:val="none" w:sz="0" w:space="0" w:color="auto"/>
          </w:divBdr>
        </w:div>
      </w:divsChild>
    </w:div>
    <w:div w:id="1240018990">
      <w:bodyDiv w:val="1"/>
      <w:marLeft w:val="0"/>
      <w:marRight w:val="0"/>
      <w:marTop w:val="0"/>
      <w:marBottom w:val="0"/>
      <w:divBdr>
        <w:top w:val="none" w:sz="0" w:space="0" w:color="auto"/>
        <w:left w:val="none" w:sz="0" w:space="0" w:color="auto"/>
        <w:bottom w:val="none" w:sz="0" w:space="0" w:color="auto"/>
        <w:right w:val="none" w:sz="0" w:space="0" w:color="auto"/>
      </w:divBdr>
    </w:div>
    <w:div w:id="1240404469">
      <w:bodyDiv w:val="1"/>
      <w:marLeft w:val="0"/>
      <w:marRight w:val="0"/>
      <w:marTop w:val="0"/>
      <w:marBottom w:val="0"/>
      <w:divBdr>
        <w:top w:val="none" w:sz="0" w:space="0" w:color="auto"/>
        <w:left w:val="none" w:sz="0" w:space="0" w:color="auto"/>
        <w:bottom w:val="none" w:sz="0" w:space="0" w:color="auto"/>
        <w:right w:val="none" w:sz="0" w:space="0" w:color="auto"/>
      </w:divBdr>
    </w:div>
    <w:div w:id="1272324256">
      <w:bodyDiv w:val="1"/>
      <w:marLeft w:val="0"/>
      <w:marRight w:val="0"/>
      <w:marTop w:val="0"/>
      <w:marBottom w:val="0"/>
      <w:divBdr>
        <w:top w:val="none" w:sz="0" w:space="0" w:color="auto"/>
        <w:left w:val="none" w:sz="0" w:space="0" w:color="auto"/>
        <w:bottom w:val="none" w:sz="0" w:space="0" w:color="auto"/>
        <w:right w:val="none" w:sz="0" w:space="0" w:color="auto"/>
      </w:divBdr>
    </w:div>
    <w:div w:id="1277252623">
      <w:bodyDiv w:val="1"/>
      <w:marLeft w:val="0"/>
      <w:marRight w:val="0"/>
      <w:marTop w:val="0"/>
      <w:marBottom w:val="0"/>
      <w:divBdr>
        <w:top w:val="none" w:sz="0" w:space="0" w:color="auto"/>
        <w:left w:val="none" w:sz="0" w:space="0" w:color="auto"/>
        <w:bottom w:val="none" w:sz="0" w:space="0" w:color="auto"/>
        <w:right w:val="none" w:sz="0" w:space="0" w:color="auto"/>
      </w:divBdr>
    </w:div>
    <w:div w:id="1284729444">
      <w:bodyDiv w:val="1"/>
      <w:marLeft w:val="0"/>
      <w:marRight w:val="0"/>
      <w:marTop w:val="0"/>
      <w:marBottom w:val="0"/>
      <w:divBdr>
        <w:top w:val="none" w:sz="0" w:space="0" w:color="auto"/>
        <w:left w:val="none" w:sz="0" w:space="0" w:color="auto"/>
        <w:bottom w:val="none" w:sz="0" w:space="0" w:color="auto"/>
        <w:right w:val="none" w:sz="0" w:space="0" w:color="auto"/>
      </w:divBdr>
    </w:div>
    <w:div w:id="1295283835">
      <w:bodyDiv w:val="1"/>
      <w:marLeft w:val="0"/>
      <w:marRight w:val="0"/>
      <w:marTop w:val="0"/>
      <w:marBottom w:val="0"/>
      <w:divBdr>
        <w:top w:val="none" w:sz="0" w:space="0" w:color="auto"/>
        <w:left w:val="none" w:sz="0" w:space="0" w:color="auto"/>
        <w:bottom w:val="none" w:sz="0" w:space="0" w:color="auto"/>
        <w:right w:val="none" w:sz="0" w:space="0" w:color="auto"/>
      </w:divBdr>
    </w:div>
    <w:div w:id="1300961147">
      <w:bodyDiv w:val="1"/>
      <w:marLeft w:val="0"/>
      <w:marRight w:val="0"/>
      <w:marTop w:val="0"/>
      <w:marBottom w:val="0"/>
      <w:divBdr>
        <w:top w:val="none" w:sz="0" w:space="0" w:color="auto"/>
        <w:left w:val="none" w:sz="0" w:space="0" w:color="auto"/>
        <w:bottom w:val="none" w:sz="0" w:space="0" w:color="auto"/>
        <w:right w:val="none" w:sz="0" w:space="0" w:color="auto"/>
      </w:divBdr>
      <w:divsChild>
        <w:div w:id="1634673781">
          <w:marLeft w:val="0"/>
          <w:marRight w:val="0"/>
          <w:marTop w:val="360"/>
          <w:marBottom w:val="360"/>
          <w:divBdr>
            <w:top w:val="none" w:sz="0" w:space="0" w:color="auto"/>
            <w:left w:val="none" w:sz="0" w:space="0" w:color="auto"/>
            <w:bottom w:val="none" w:sz="0" w:space="0" w:color="auto"/>
            <w:right w:val="none" w:sz="0" w:space="0" w:color="auto"/>
          </w:divBdr>
        </w:div>
        <w:div w:id="722369166">
          <w:marLeft w:val="0"/>
          <w:marRight w:val="0"/>
          <w:marTop w:val="360"/>
          <w:marBottom w:val="360"/>
          <w:divBdr>
            <w:top w:val="none" w:sz="0" w:space="0" w:color="auto"/>
            <w:left w:val="none" w:sz="0" w:space="0" w:color="auto"/>
            <w:bottom w:val="none" w:sz="0" w:space="0" w:color="auto"/>
            <w:right w:val="none" w:sz="0" w:space="0" w:color="auto"/>
          </w:divBdr>
        </w:div>
      </w:divsChild>
    </w:div>
    <w:div w:id="1313221565">
      <w:bodyDiv w:val="1"/>
      <w:marLeft w:val="0"/>
      <w:marRight w:val="0"/>
      <w:marTop w:val="0"/>
      <w:marBottom w:val="0"/>
      <w:divBdr>
        <w:top w:val="none" w:sz="0" w:space="0" w:color="auto"/>
        <w:left w:val="none" w:sz="0" w:space="0" w:color="auto"/>
        <w:bottom w:val="none" w:sz="0" w:space="0" w:color="auto"/>
        <w:right w:val="none" w:sz="0" w:space="0" w:color="auto"/>
      </w:divBdr>
      <w:divsChild>
        <w:div w:id="426466352">
          <w:marLeft w:val="960"/>
          <w:marRight w:val="0"/>
          <w:marTop w:val="0"/>
          <w:marBottom w:val="0"/>
          <w:divBdr>
            <w:top w:val="none" w:sz="0" w:space="0" w:color="auto"/>
            <w:left w:val="none" w:sz="0" w:space="0" w:color="auto"/>
            <w:bottom w:val="none" w:sz="0" w:space="0" w:color="auto"/>
            <w:right w:val="none" w:sz="0" w:space="0" w:color="auto"/>
          </w:divBdr>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92145">
      <w:bodyDiv w:val="1"/>
      <w:marLeft w:val="0"/>
      <w:marRight w:val="0"/>
      <w:marTop w:val="0"/>
      <w:marBottom w:val="0"/>
      <w:divBdr>
        <w:top w:val="none" w:sz="0" w:space="0" w:color="auto"/>
        <w:left w:val="none" w:sz="0" w:space="0" w:color="auto"/>
        <w:bottom w:val="none" w:sz="0" w:space="0" w:color="auto"/>
        <w:right w:val="none" w:sz="0" w:space="0" w:color="auto"/>
      </w:divBdr>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355289">
      <w:bodyDiv w:val="1"/>
      <w:marLeft w:val="0"/>
      <w:marRight w:val="0"/>
      <w:marTop w:val="0"/>
      <w:marBottom w:val="0"/>
      <w:divBdr>
        <w:top w:val="none" w:sz="0" w:space="0" w:color="auto"/>
        <w:left w:val="none" w:sz="0" w:space="0" w:color="auto"/>
        <w:bottom w:val="none" w:sz="0" w:space="0" w:color="auto"/>
        <w:right w:val="none" w:sz="0" w:space="0" w:color="auto"/>
      </w:divBdr>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064276">
      <w:bodyDiv w:val="1"/>
      <w:marLeft w:val="0"/>
      <w:marRight w:val="0"/>
      <w:marTop w:val="0"/>
      <w:marBottom w:val="0"/>
      <w:divBdr>
        <w:top w:val="none" w:sz="0" w:space="0" w:color="auto"/>
        <w:left w:val="none" w:sz="0" w:space="0" w:color="auto"/>
        <w:bottom w:val="none" w:sz="0" w:space="0" w:color="auto"/>
        <w:right w:val="none" w:sz="0" w:space="0" w:color="auto"/>
      </w:divBdr>
      <w:divsChild>
        <w:div w:id="1456829303">
          <w:marLeft w:val="960"/>
          <w:marRight w:val="0"/>
          <w:marTop w:val="0"/>
          <w:marBottom w:val="0"/>
          <w:divBdr>
            <w:top w:val="none" w:sz="0" w:space="0" w:color="auto"/>
            <w:left w:val="none" w:sz="0" w:space="0" w:color="auto"/>
            <w:bottom w:val="none" w:sz="0" w:space="0" w:color="auto"/>
            <w:right w:val="none" w:sz="0" w:space="0" w:color="auto"/>
          </w:divBdr>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276350">
      <w:bodyDiv w:val="1"/>
      <w:marLeft w:val="0"/>
      <w:marRight w:val="0"/>
      <w:marTop w:val="0"/>
      <w:marBottom w:val="0"/>
      <w:divBdr>
        <w:top w:val="none" w:sz="0" w:space="0" w:color="auto"/>
        <w:left w:val="none" w:sz="0" w:space="0" w:color="auto"/>
        <w:bottom w:val="none" w:sz="0" w:space="0" w:color="auto"/>
        <w:right w:val="none" w:sz="0" w:space="0" w:color="auto"/>
      </w:divBdr>
      <w:divsChild>
        <w:div w:id="293756617">
          <w:marLeft w:val="960"/>
          <w:marRight w:val="0"/>
          <w:marTop w:val="0"/>
          <w:marBottom w:val="0"/>
          <w:divBdr>
            <w:top w:val="none" w:sz="0" w:space="0" w:color="auto"/>
            <w:left w:val="none" w:sz="0" w:space="0" w:color="auto"/>
            <w:bottom w:val="none" w:sz="0" w:space="0" w:color="auto"/>
            <w:right w:val="none" w:sz="0" w:space="0" w:color="auto"/>
          </w:divBdr>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2221778">
      <w:bodyDiv w:val="1"/>
      <w:marLeft w:val="0"/>
      <w:marRight w:val="0"/>
      <w:marTop w:val="0"/>
      <w:marBottom w:val="0"/>
      <w:divBdr>
        <w:top w:val="none" w:sz="0" w:space="0" w:color="auto"/>
        <w:left w:val="none" w:sz="0" w:space="0" w:color="auto"/>
        <w:bottom w:val="none" w:sz="0" w:space="0" w:color="auto"/>
        <w:right w:val="none" w:sz="0" w:space="0" w:color="auto"/>
      </w:divBdr>
      <w:divsChild>
        <w:div w:id="1642998686">
          <w:marLeft w:val="960"/>
          <w:marRight w:val="0"/>
          <w:marTop w:val="0"/>
          <w:marBottom w:val="0"/>
          <w:divBdr>
            <w:top w:val="none" w:sz="0" w:space="0" w:color="auto"/>
            <w:left w:val="none" w:sz="0" w:space="0" w:color="auto"/>
            <w:bottom w:val="none" w:sz="0" w:space="0" w:color="auto"/>
            <w:right w:val="none" w:sz="0" w:space="0" w:color="auto"/>
          </w:divBdr>
        </w:div>
      </w:divsChild>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783459106">
      <w:bodyDiv w:val="1"/>
      <w:marLeft w:val="0"/>
      <w:marRight w:val="0"/>
      <w:marTop w:val="0"/>
      <w:marBottom w:val="0"/>
      <w:divBdr>
        <w:top w:val="none" w:sz="0" w:space="0" w:color="auto"/>
        <w:left w:val="none" w:sz="0" w:space="0" w:color="auto"/>
        <w:bottom w:val="none" w:sz="0" w:space="0" w:color="auto"/>
        <w:right w:val="none" w:sz="0" w:space="0" w:color="auto"/>
      </w:divBdr>
    </w:div>
    <w:div w:id="1809519081">
      <w:bodyDiv w:val="1"/>
      <w:marLeft w:val="0"/>
      <w:marRight w:val="0"/>
      <w:marTop w:val="0"/>
      <w:marBottom w:val="0"/>
      <w:divBdr>
        <w:top w:val="none" w:sz="0" w:space="0" w:color="auto"/>
        <w:left w:val="none" w:sz="0" w:space="0" w:color="auto"/>
        <w:bottom w:val="none" w:sz="0" w:space="0" w:color="auto"/>
        <w:right w:val="none" w:sz="0" w:space="0" w:color="auto"/>
      </w:divBdr>
      <w:divsChild>
        <w:div w:id="337929746">
          <w:marLeft w:val="960"/>
          <w:marRight w:val="0"/>
          <w:marTop w:val="0"/>
          <w:marBottom w:val="0"/>
          <w:divBdr>
            <w:top w:val="none" w:sz="0" w:space="0" w:color="auto"/>
            <w:left w:val="none" w:sz="0" w:space="0" w:color="auto"/>
            <w:bottom w:val="none" w:sz="0" w:space="0" w:color="auto"/>
            <w:right w:val="none" w:sz="0" w:space="0" w:color="auto"/>
          </w:divBdr>
        </w:div>
      </w:divsChild>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7185332">
      <w:bodyDiv w:val="1"/>
      <w:marLeft w:val="0"/>
      <w:marRight w:val="0"/>
      <w:marTop w:val="0"/>
      <w:marBottom w:val="0"/>
      <w:divBdr>
        <w:top w:val="none" w:sz="0" w:space="0" w:color="auto"/>
        <w:left w:val="none" w:sz="0" w:space="0" w:color="auto"/>
        <w:bottom w:val="none" w:sz="0" w:space="0" w:color="auto"/>
        <w:right w:val="none" w:sz="0" w:space="0" w:color="auto"/>
      </w:divBdr>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885754216">
      <w:bodyDiv w:val="1"/>
      <w:marLeft w:val="0"/>
      <w:marRight w:val="0"/>
      <w:marTop w:val="0"/>
      <w:marBottom w:val="0"/>
      <w:divBdr>
        <w:top w:val="none" w:sz="0" w:space="0" w:color="auto"/>
        <w:left w:val="none" w:sz="0" w:space="0" w:color="auto"/>
        <w:bottom w:val="none" w:sz="0" w:space="0" w:color="auto"/>
        <w:right w:val="none" w:sz="0" w:space="0" w:color="auto"/>
      </w:divBdr>
      <w:divsChild>
        <w:div w:id="1239900186">
          <w:marLeft w:val="960"/>
          <w:marRight w:val="0"/>
          <w:marTop w:val="0"/>
          <w:marBottom w:val="0"/>
          <w:divBdr>
            <w:top w:val="none" w:sz="0" w:space="0" w:color="auto"/>
            <w:left w:val="none" w:sz="0" w:space="0" w:color="auto"/>
            <w:bottom w:val="none" w:sz="0" w:space="0" w:color="auto"/>
            <w:right w:val="none" w:sz="0" w:space="0" w:color="auto"/>
          </w:divBdr>
        </w:div>
      </w:divsChild>
    </w:div>
    <w:div w:id="1904560336">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562732">
      <w:bodyDiv w:val="1"/>
      <w:marLeft w:val="0"/>
      <w:marRight w:val="0"/>
      <w:marTop w:val="0"/>
      <w:marBottom w:val="0"/>
      <w:divBdr>
        <w:top w:val="none" w:sz="0" w:space="0" w:color="auto"/>
        <w:left w:val="none" w:sz="0" w:space="0" w:color="auto"/>
        <w:bottom w:val="none" w:sz="0" w:space="0" w:color="auto"/>
        <w:right w:val="none" w:sz="0" w:space="0" w:color="auto"/>
      </w:divBdr>
    </w:div>
    <w:div w:id="2016225596">
      <w:bodyDiv w:val="1"/>
      <w:marLeft w:val="0"/>
      <w:marRight w:val="0"/>
      <w:marTop w:val="0"/>
      <w:marBottom w:val="0"/>
      <w:divBdr>
        <w:top w:val="none" w:sz="0" w:space="0" w:color="auto"/>
        <w:left w:val="none" w:sz="0" w:space="0" w:color="auto"/>
        <w:bottom w:val="none" w:sz="0" w:space="0" w:color="auto"/>
        <w:right w:val="none" w:sz="0" w:space="0" w:color="auto"/>
      </w:divBdr>
      <w:divsChild>
        <w:div w:id="1268544917">
          <w:marLeft w:val="960"/>
          <w:marRight w:val="0"/>
          <w:marTop w:val="0"/>
          <w:marBottom w:val="0"/>
          <w:divBdr>
            <w:top w:val="none" w:sz="0" w:space="0" w:color="auto"/>
            <w:left w:val="none" w:sz="0" w:space="0" w:color="auto"/>
            <w:bottom w:val="none" w:sz="0" w:space="0" w:color="auto"/>
            <w:right w:val="none" w:sz="0" w:space="0" w:color="auto"/>
          </w:divBdr>
        </w:div>
      </w:divsChild>
    </w:div>
    <w:div w:id="2028408810">
      <w:bodyDiv w:val="1"/>
      <w:marLeft w:val="0"/>
      <w:marRight w:val="0"/>
      <w:marTop w:val="0"/>
      <w:marBottom w:val="0"/>
      <w:divBdr>
        <w:top w:val="none" w:sz="0" w:space="0" w:color="auto"/>
        <w:left w:val="none" w:sz="0" w:space="0" w:color="auto"/>
        <w:bottom w:val="none" w:sz="0" w:space="0" w:color="auto"/>
        <w:right w:val="none" w:sz="0" w:space="0" w:color="auto"/>
      </w:divBdr>
      <w:divsChild>
        <w:div w:id="601113871">
          <w:marLeft w:val="960"/>
          <w:marRight w:val="0"/>
          <w:marTop w:val="0"/>
          <w:marBottom w:val="0"/>
          <w:divBdr>
            <w:top w:val="none" w:sz="0" w:space="0" w:color="auto"/>
            <w:left w:val="none" w:sz="0" w:space="0" w:color="auto"/>
            <w:bottom w:val="none" w:sz="0" w:space="0" w:color="auto"/>
            <w:right w:val="none" w:sz="0" w:space="0" w:color="auto"/>
          </w:divBdr>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5134589">
      <w:bodyDiv w:val="1"/>
      <w:marLeft w:val="0"/>
      <w:marRight w:val="0"/>
      <w:marTop w:val="0"/>
      <w:marBottom w:val="0"/>
      <w:divBdr>
        <w:top w:val="none" w:sz="0" w:space="0" w:color="auto"/>
        <w:left w:val="none" w:sz="0" w:space="0" w:color="auto"/>
        <w:bottom w:val="none" w:sz="0" w:space="0" w:color="auto"/>
        <w:right w:val="none" w:sz="0" w:space="0" w:color="auto"/>
      </w:divBdr>
    </w:div>
    <w:div w:id="210510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mc/articles/PMC5220196/pdf/cdt-06-06-599.pdf" TargetMode="External"/><Relationship Id="rId21" Type="http://schemas.openxmlformats.org/officeDocument/2006/relationships/hyperlink" Target="https://www.nice.org.uk/guidance/ng89/chapter/Recommendations" TargetMode="External"/><Relationship Id="rId42" Type="http://schemas.openxmlformats.org/officeDocument/2006/relationships/hyperlink" Target="https://www.nice.org.uk/guidance/ng158/chapter/Recommendations" TargetMode="External"/><Relationship Id="rId63" Type="http://schemas.openxmlformats.org/officeDocument/2006/relationships/hyperlink" Target="https://www.nice.org.uk/guidance/ng89/chapter/Recommendations" TargetMode="External"/><Relationship Id="rId84" Type="http://schemas.openxmlformats.org/officeDocument/2006/relationships/footer" Target="footer1.xml"/><Relationship Id="rId138" Type="http://schemas.openxmlformats.org/officeDocument/2006/relationships/hyperlink" Target="https://www.nice.org.uk/guidance/ng89" TargetMode="External"/><Relationship Id="rId107" Type="http://schemas.openxmlformats.org/officeDocument/2006/relationships/hyperlink" Target="https://www.nice.org.uk/guidance/ng158/chapter/Recommendations" TargetMode="External"/><Relationship Id="rId11" Type="http://schemas.openxmlformats.org/officeDocument/2006/relationships/hyperlink" Target="https://www.nice.org.uk/guidance/ng89" TargetMode="External"/><Relationship Id="rId32" Type="http://schemas.openxmlformats.org/officeDocument/2006/relationships/hyperlink" Target="https://thrombosisuk.org/downloads/APPTG%20Annual%20Review%202019%20100320.pdf" TargetMode="External"/><Relationship Id="rId53" Type="http://schemas.openxmlformats.org/officeDocument/2006/relationships/hyperlink" Target="https://www.nice.org.uk/guidance/cg76" TargetMode="External"/><Relationship Id="rId74" Type="http://schemas.openxmlformats.org/officeDocument/2006/relationships/hyperlink" Target="https://www.nice.org.uk/guidance/ng5" TargetMode="External"/><Relationship Id="rId128" Type="http://schemas.openxmlformats.org/officeDocument/2006/relationships/hyperlink" Target="https://www.isth.org/news/517212/A-Systematic-Approach-for-Managing-Venous-Thromboembolism-in-Patients-with-COVID-19.htm" TargetMode="External"/><Relationship Id="rId149" Type="http://schemas.openxmlformats.org/officeDocument/2006/relationships/hyperlink" Target="https://www.england.nhs.uk/statistics/statistical-work-areas/vte/" TargetMode="External"/><Relationship Id="rId5" Type="http://schemas.openxmlformats.org/officeDocument/2006/relationships/webSettings" Target="webSettings.xml"/><Relationship Id="rId95" Type="http://schemas.openxmlformats.org/officeDocument/2006/relationships/hyperlink" Target="https://thrombosisuk.org/media-patient-films.php" TargetMode="External"/><Relationship Id="rId22" Type="http://schemas.openxmlformats.org/officeDocument/2006/relationships/hyperlink" Target="https://www.nice.org.uk/guidance/ng89/chapter/Recommendations" TargetMode="External"/><Relationship Id="rId27" Type="http://schemas.openxmlformats.org/officeDocument/2006/relationships/hyperlink" Target="https://www.nice.org.uk/guidance/ng89/chapter/recommendations" TargetMode="External"/><Relationship Id="rId43" Type="http://schemas.openxmlformats.org/officeDocument/2006/relationships/hyperlink" Target="https://www.nice.org.uk/guidance/ng158/chapter/Recommendations" TargetMode="External"/><Relationship Id="rId48" Type="http://schemas.openxmlformats.org/officeDocument/2006/relationships/hyperlink" Target="https://www.nice.org.uk/guidance/ng158/chapter/recommendations" TargetMode="External"/><Relationship Id="rId64" Type="http://schemas.openxmlformats.org/officeDocument/2006/relationships/hyperlink" Target="https://www.nice.org.uk/guidance/ng89/chapter/Recommendations" TargetMode="External"/><Relationship Id="rId69" Type="http://schemas.openxmlformats.org/officeDocument/2006/relationships/hyperlink" Target="https://www.ncepod.org.uk/2019pe.html" TargetMode="External"/><Relationship Id="rId113" Type="http://schemas.openxmlformats.org/officeDocument/2006/relationships/hyperlink" Target="https://www.nice.org.uk/guidance/qs29/chapter/Quality-statement-8-Followup-for-people-without-cancer" TargetMode="External"/><Relationship Id="rId118" Type="http://schemas.openxmlformats.org/officeDocument/2006/relationships/hyperlink" Target="http://www.indianvascularsurgery.com/wp-content/uploads/2019/06/Aspiration-thrombectomy-for-acute-iliofemoral-or-central-deep-venous-thrombosis.pdf" TargetMode="External"/><Relationship Id="rId134" Type="http://schemas.openxmlformats.org/officeDocument/2006/relationships/hyperlink" Target="https://bmjopenquality.bmj.com/content/bmjqir/9/3/e000680.full.pdf" TargetMode="External"/><Relationship Id="rId139" Type="http://schemas.openxmlformats.org/officeDocument/2006/relationships/hyperlink" Target="https://www.nice.org.uk/guidance/qs3/chapter/Quality-statement-7-Extended-VTE-prophylaxis" TargetMode="External"/><Relationship Id="rId80" Type="http://schemas.openxmlformats.org/officeDocument/2006/relationships/hyperlink" Target="https://www.nice.org.uk/terms-and-conditions" TargetMode="External"/><Relationship Id="rId85" Type="http://schemas.openxmlformats.org/officeDocument/2006/relationships/footer" Target="footer2.xml"/><Relationship Id="rId150" Type="http://schemas.openxmlformats.org/officeDocument/2006/relationships/hyperlink" Target="https://www.nice.org.uk/guidance/cg179/resources/pressure-ulcers-prevention-and-management-pdf-35109760631749" TargetMode="External"/><Relationship Id="rId12" Type="http://schemas.openxmlformats.org/officeDocument/2006/relationships/hyperlink" Target="https://thrombosisuk.org/downloads/APPTG%20Annual%20Review%202019%20100320.pdf" TargetMode="External"/><Relationship Id="rId17" Type="http://schemas.openxmlformats.org/officeDocument/2006/relationships/hyperlink" Target="https://www.england.nhs.uk/coronavirus/secondary-care/other-resources/specialty-guides/" TargetMode="External"/><Relationship Id="rId33" Type="http://schemas.openxmlformats.org/officeDocument/2006/relationships/hyperlink" Target="https://www.ncepod.org.uk/2019pe.html" TargetMode="External"/><Relationship Id="rId38" Type="http://schemas.openxmlformats.org/officeDocument/2006/relationships/hyperlink" Target="https://www.nice.org.uk/guidance/ng158/chapter/recommendations" TargetMode="External"/><Relationship Id="rId59" Type="http://schemas.openxmlformats.org/officeDocument/2006/relationships/hyperlink" Target="https://www.nice.org.uk/guidance/ng158/chapter/Recommendations" TargetMode="External"/><Relationship Id="rId103" Type="http://schemas.openxmlformats.org/officeDocument/2006/relationships/hyperlink" Target="https://www.kingstonhospital.nhs.uk/media/92030/DVT-Lower-Limb-Pathway-.pdf" TargetMode="External"/><Relationship Id="rId108" Type="http://schemas.openxmlformats.org/officeDocument/2006/relationships/hyperlink" Target="https://www.bmj.com/content/360/bmj.k351/rr-0" TargetMode="External"/><Relationship Id="rId124" Type="http://schemas.openxmlformats.org/officeDocument/2006/relationships/hyperlink" Target="https://www.nice.org.uk/advice/ktt23" TargetMode="External"/><Relationship Id="rId129" Type="http://schemas.openxmlformats.org/officeDocument/2006/relationships/hyperlink" Target="https://bmjopen.bmj.com/content/9/2/e024805" TargetMode="External"/><Relationship Id="rId54" Type="http://schemas.openxmlformats.org/officeDocument/2006/relationships/hyperlink" Target="https://www.nice.org.uk/guidance/cg138" TargetMode="External"/><Relationship Id="rId70" Type="http://schemas.openxmlformats.org/officeDocument/2006/relationships/hyperlink" Target="https://www.ncepod.org.uk/2019pe.html" TargetMode="External"/><Relationship Id="rId75" Type="http://schemas.openxmlformats.org/officeDocument/2006/relationships/hyperlink" Target="https://www.nice.org.uk/guidance/cg76" TargetMode="External"/><Relationship Id="rId91" Type="http://schemas.openxmlformats.org/officeDocument/2006/relationships/hyperlink" Target="https://www.bmj.com/content/365/bmj.l4239" TargetMode="External"/><Relationship Id="rId96" Type="http://schemas.openxmlformats.org/officeDocument/2006/relationships/hyperlink" Target="https://www.nice.org.uk/guidance/ng89" TargetMode="External"/><Relationship Id="rId140" Type="http://schemas.openxmlformats.org/officeDocument/2006/relationships/hyperlink" Target="https://digital.nhs.uk/data-and-information/publications/statistical/nhs-outcomes-framework/may-2020/domain-5-treating-and-caring-for-people-in-a-safe-environment-and-protecting-them-from-avoidable-harm-nof/5-1-deaths-from-venous-thromboembolism-vte-related-events-within-90-days-post-discharge-from-hospital" TargetMode="External"/><Relationship Id="rId145" Type="http://schemas.openxmlformats.org/officeDocument/2006/relationships/hyperlink" Target="https://bmjopenquality.bmj.com/content/bmjqir/9/3/e000680.full.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ice.org.uk/guidance/ng89/chapter/Recommendations" TargetMode="External"/><Relationship Id="rId28" Type="http://schemas.openxmlformats.org/officeDocument/2006/relationships/hyperlink" Target="https://www.nice.org.uk/guidance/ng89/chapter/Recommendations" TargetMode="External"/><Relationship Id="rId49" Type="http://schemas.openxmlformats.org/officeDocument/2006/relationships/hyperlink" Target="https://www.nice.org.uk/guidance/ng158/chapter/recommendations" TargetMode="External"/><Relationship Id="rId114" Type="http://schemas.openxmlformats.org/officeDocument/2006/relationships/hyperlink" Target="https://www.nice.org.uk/guidance/ng158" TargetMode="External"/><Relationship Id="rId119" Type="http://schemas.openxmlformats.org/officeDocument/2006/relationships/hyperlink" Target="https://thorax.bmj.com/content/73/Suppl_2/ii1?int_source=trendmd&amp;int_campaign=usage-042019&amp;int_medium=cpc" TargetMode="External"/><Relationship Id="rId44" Type="http://schemas.openxmlformats.org/officeDocument/2006/relationships/hyperlink" Target="https://www.nice.org.uk/guidance/ng158/chapter/recommendations" TargetMode="External"/><Relationship Id="rId60" Type="http://schemas.openxmlformats.org/officeDocument/2006/relationships/hyperlink" Target="https://www.nice.org.uk/guidance/ng89/chapter/Recommendations" TargetMode="External"/><Relationship Id="rId65" Type="http://schemas.openxmlformats.org/officeDocument/2006/relationships/hyperlink" Target="https://www.nice.org.uk/guidance/ng89/chapter/Recommendations" TargetMode="External"/><Relationship Id="rId81" Type="http://schemas.openxmlformats.org/officeDocument/2006/relationships/hyperlink" Target="https://www.nice.org.uk/guidance/ng89" TargetMode="External"/><Relationship Id="rId86" Type="http://schemas.openxmlformats.org/officeDocument/2006/relationships/hyperlink" Target="https://thrombosisuk.org/downloads/APPTG%20Annual%20Review%202019%20100320.pdf" TargetMode="External"/><Relationship Id="rId130" Type="http://schemas.openxmlformats.org/officeDocument/2006/relationships/hyperlink" Target="https://doi.org/10.1016/j.ahj.2019.01.005" TargetMode="External"/><Relationship Id="rId135" Type="http://schemas.openxmlformats.org/officeDocument/2006/relationships/hyperlink" Target="https://www.sciencedirect.com/science/article/abs/pii/S2542451320302650" TargetMode="External"/><Relationship Id="rId151" Type="http://schemas.openxmlformats.org/officeDocument/2006/relationships/hyperlink" Target="http://www.vteengland.org.uk/audit-and-quality-improvement.php" TargetMode="External"/><Relationship Id="rId13" Type="http://schemas.openxmlformats.org/officeDocument/2006/relationships/hyperlink" Target="https://www.england.nhs.uk/publication/nhs-standard-contract-2020-21-technical-guidance/" TargetMode="External"/><Relationship Id="rId18" Type="http://schemas.openxmlformats.org/officeDocument/2006/relationships/hyperlink" Target="https://brit-thoracic.org.uk/about-us/covid-19-information-for-the-respiratory-community/" TargetMode="External"/><Relationship Id="rId39" Type="http://schemas.openxmlformats.org/officeDocument/2006/relationships/hyperlink" Target="https://www.nice.org.uk/guidance/ng158/chapter/recommendations" TargetMode="External"/><Relationship Id="rId109" Type="http://schemas.openxmlformats.org/officeDocument/2006/relationships/hyperlink" Target="https://fundingawards.nihr.ac.uk/award/02/03/01" TargetMode="External"/><Relationship Id="rId34" Type="http://schemas.openxmlformats.org/officeDocument/2006/relationships/hyperlink" Target="https://www.nice.org.uk/guidance/ng158/chapter/Recommendations" TargetMode="External"/><Relationship Id="rId50" Type="http://schemas.openxmlformats.org/officeDocument/2006/relationships/hyperlink" Target="https://www.nice.org.uk/guidance/ng158/chapter/recommendations" TargetMode="External"/><Relationship Id="rId55" Type="http://schemas.openxmlformats.org/officeDocument/2006/relationships/hyperlink" Target="https://www.nice.org.uk/guidance/ng158/chapter/recommendations" TargetMode="External"/><Relationship Id="rId76" Type="http://schemas.openxmlformats.org/officeDocument/2006/relationships/hyperlink" Target="https://www.nice.org.uk/guidance/cg138" TargetMode="External"/><Relationship Id="rId97" Type="http://schemas.openxmlformats.org/officeDocument/2006/relationships/hyperlink" Target="https://www.nice.org.uk/guidance/qs3/chapter/Quality-statement-7-Extended-VTE-prophylaxis" TargetMode="External"/><Relationship Id="rId104" Type="http://schemas.openxmlformats.org/officeDocument/2006/relationships/hyperlink" Target="https://www.harrogateandruraldistrictccg.nhs.uk/data/uploads/liam/test/hard_dvt-pathway.pdf" TargetMode="External"/><Relationship Id="rId120" Type="http://schemas.openxmlformats.org/officeDocument/2006/relationships/hyperlink" Target="https://bmjopenrespres.bmj.com/content/7/1/e000636" TargetMode="External"/><Relationship Id="rId125" Type="http://schemas.openxmlformats.org/officeDocument/2006/relationships/hyperlink" Target="https://www.nice.org.uk/guidance/ng158" TargetMode="External"/><Relationship Id="rId141" Type="http://schemas.openxmlformats.org/officeDocument/2006/relationships/hyperlink" Target="https://files.digital.nhs.uk/E3/5E254F/NHSOF_5.1_I00675_Q.pdf" TargetMode="External"/><Relationship Id="rId146" Type="http://schemas.openxmlformats.org/officeDocument/2006/relationships/hyperlink" Target="https://www.sciencedirect.com/science/article/abs/pii/S2542451320302650" TargetMode="External"/><Relationship Id="rId7" Type="http://schemas.openxmlformats.org/officeDocument/2006/relationships/endnotes" Target="endnotes.xml"/><Relationship Id="rId71" Type="http://schemas.openxmlformats.org/officeDocument/2006/relationships/hyperlink" Target="https://www.ncepod.org.uk/2019pe.html" TargetMode="External"/><Relationship Id="rId92" Type="http://schemas.openxmlformats.org/officeDocument/2006/relationships/hyperlink" Target="https://jamanetwork.com/journals/jamainternalmedicine/fullarticle/216501" TargetMode="External"/><Relationship Id="rId2" Type="http://schemas.openxmlformats.org/officeDocument/2006/relationships/numbering" Target="numbering.xml"/><Relationship Id="rId29" Type="http://schemas.openxmlformats.org/officeDocument/2006/relationships/hyperlink" Target="https://www.nice.org.uk/guidance/ng89/chapter/Recommendations" TargetMode="External"/><Relationship Id="rId24" Type="http://schemas.openxmlformats.org/officeDocument/2006/relationships/hyperlink" Target="https://www.nice.org.uk/guidance/ng89/chapter/recommendations" TargetMode="External"/><Relationship Id="rId40" Type="http://schemas.openxmlformats.org/officeDocument/2006/relationships/hyperlink" Target="https://www.ncepod.org.uk/2019pe.html" TargetMode="External"/><Relationship Id="rId45" Type="http://schemas.openxmlformats.org/officeDocument/2006/relationships/hyperlink" Target="https://www.nice.org.uk/guidance/ng158/chapter/recommendations" TargetMode="External"/><Relationship Id="rId66" Type="http://schemas.openxmlformats.org/officeDocument/2006/relationships/hyperlink" Target="https://www.nice.org.uk/guidance/ng158/chapter/recommendations" TargetMode="External"/><Relationship Id="rId87" Type="http://schemas.openxmlformats.org/officeDocument/2006/relationships/hyperlink" Target="https://thrombosisuk.org/downloads/APPTG%20Annual%20Review%202019%20100320.pdf" TargetMode="External"/><Relationship Id="rId110" Type="http://schemas.openxmlformats.org/officeDocument/2006/relationships/hyperlink" Target="https://www.nice.org.uk/guidance/ng158" TargetMode="External"/><Relationship Id="rId115" Type="http://schemas.openxmlformats.org/officeDocument/2006/relationships/hyperlink" Target="https://pubmed.ncbi.nlm.nih.gov/14644891/" TargetMode="External"/><Relationship Id="rId131" Type="http://schemas.openxmlformats.org/officeDocument/2006/relationships/hyperlink" Target="https://doi.org/10.1111/ggi.13058|" TargetMode="External"/><Relationship Id="rId136" Type="http://schemas.openxmlformats.org/officeDocument/2006/relationships/hyperlink" Target="https://thorax.bmj.com/content/72/Suppl_3/A179.1.abstract" TargetMode="External"/><Relationship Id="rId61" Type="http://schemas.openxmlformats.org/officeDocument/2006/relationships/hyperlink" Target="https://www.nice.org.uk/guidance/ng158/chapter/recommendations" TargetMode="External"/><Relationship Id="rId82" Type="http://schemas.openxmlformats.org/officeDocument/2006/relationships/hyperlink" Target="https://www.nice.org.uk/guidance/NG158" TargetMode="External"/><Relationship Id="rId152" Type="http://schemas.openxmlformats.org/officeDocument/2006/relationships/hyperlink" Target="https://digital.nhs.uk/data-and-information/publications/statistical/nhs-outcomes-framework/may-2020/domain-5-treating-and-caring-for-people-in-a-safe-environment-and-protecting-them-from-avoidable-harm-nof/5-1-deaths-from-venous-thromboembolism-vte-related-events-within-90-days-post-discharge-from-hospital" TargetMode="External"/><Relationship Id="rId19" Type="http://schemas.openxmlformats.org/officeDocument/2006/relationships/hyperlink" Target="https://www.nice.org.uk/guidance/ng89/chapter/Recommendations" TargetMode="External"/><Relationship Id="rId14" Type="http://schemas.openxmlformats.org/officeDocument/2006/relationships/hyperlink" Target="https://pathways.nice.org.uk/pathways/venous-thromboembolism" TargetMode="External"/><Relationship Id="rId30" Type="http://schemas.openxmlformats.org/officeDocument/2006/relationships/hyperlink" Target="https://thrombosisuk.org/downloads/APPTG%20Annual%20Review%202019%20100320.pdf" TargetMode="External"/><Relationship Id="rId35" Type="http://schemas.openxmlformats.org/officeDocument/2006/relationships/hyperlink" Target="https://www.nice.org.uk/guidance/ng158/chapter/Recommendations" TargetMode="External"/><Relationship Id="rId56" Type="http://schemas.openxmlformats.org/officeDocument/2006/relationships/hyperlink" Target="https://www.nice.org.uk/guidance/ng158/chapter/recommendations" TargetMode="External"/><Relationship Id="rId77" Type="http://schemas.openxmlformats.org/officeDocument/2006/relationships/hyperlink" Target="https://www.ncepod.org.uk/2019pe.html" TargetMode="External"/><Relationship Id="rId100" Type="http://schemas.openxmlformats.org/officeDocument/2006/relationships/hyperlink" Target="https://www.rcem.ac.uk/docs/QI%20+%20Clinical%20Audit/RCEM%20VTE%20national%20report%20(July%202019).pdf" TargetMode="External"/><Relationship Id="rId105" Type="http://schemas.openxmlformats.org/officeDocument/2006/relationships/hyperlink" Target="https://www.wwl.nhs.uk/Library/All_New_PI_Docs/VTE/VTE%20002%20DVT%2011.21%20v2.pdf" TargetMode="External"/><Relationship Id="rId126" Type="http://schemas.openxmlformats.org/officeDocument/2006/relationships/hyperlink" Target="https://www.england.nhs.uk/shared-decision-making/why-is-shared-decision-making-important/" TargetMode="External"/><Relationship Id="rId147" Type="http://schemas.openxmlformats.org/officeDocument/2006/relationships/hyperlink" Target="https://thorax.bmj.com/content/72/Suppl_3/A179.1.abstract" TargetMode="External"/><Relationship Id="rId8" Type="http://schemas.openxmlformats.org/officeDocument/2006/relationships/hyperlink" Target="https://www.nice.org.uk/guidance/qs3" TargetMode="External"/><Relationship Id="rId51" Type="http://schemas.openxmlformats.org/officeDocument/2006/relationships/hyperlink" Target="https://www.nice.org.uk/guidance/ng158/chapter/recommendations" TargetMode="External"/><Relationship Id="rId72" Type="http://schemas.openxmlformats.org/officeDocument/2006/relationships/hyperlink" Target="https://www.nice.org.uk/guidance/ng158/chapter/Recommendations" TargetMode="External"/><Relationship Id="rId93" Type="http://schemas.openxmlformats.org/officeDocument/2006/relationships/hyperlink" Target="https://www.nice.org.uk/guidance/qs3/chapter/Quality-statement-6-Information-for-patients-and-carers" TargetMode="External"/><Relationship Id="rId98" Type="http://schemas.openxmlformats.org/officeDocument/2006/relationships/hyperlink" Target="https://digital.nhs.uk/data-and-information/publications/statistical/nhs-outcomes-framework/may-2020/domain-5-treating-and-caring-for-people-in-a-safe-environment-and-protecting-them-from-avoidable-harm-nof/5-1-deaths-from-venous-thromboembolism-vte-related-events-within-90-days-post-discharge-from-hospital" TargetMode="External"/><Relationship Id="rId121" Type="http://schemas.openxmlformats.org/officeDocument/2006/relationships/hyperlink" Target="https://thorax.bmj.com/content/73/Suppl_2/ii1?int_source=trendmd&amp;int_campaign=usage-042019&amp;int_medium=cpc" TargetMode="External"/><Relationship Id="rId142" Type="http://schemas.openxmlformats.org/officeDocument/2006/relationships/hyperlink" Target="https://www.nice.org.uk/guidance/qs3/chapter/Quality-statement-6-Information-for-patients-and-carers" TargetMode="External"/><Relationship Id="rId3" Type="http://schemas.openxmlformats.org/officeDocument/2006/relationships/styles" Target="styles.xml"/><Relationship Id="rId25" Type="http://schemas.openxmlformats.org/officeDocument/2006/relationships/hyperlink" Target="https://www.nice.org.uk/guidance/ng89/resources/department-of-health-vte-risk-assessment-tool-pdf-4787149213" TargetMode="External"/><Relationship Id="rId46" Type="http://schemas.openxmlformats.org/officeDocument/2006/relationships/hyperlink" Target="https://www.nice.org.uk/guidance/ng158/chapter/recommendations" TargetMode="External"/><Relationship Id="rId67" Type="http://schemas.openxmlformats.org/officeDocument/2006/relationships/hyperlink" Target="https://www.nice.org.uk/guidance/ng12" TargetMode="External"/><Relationship Id="rId116" Type="http://schemas.openxmlformats.org/officeDocument/2006/relationships/hyperlink" Target="https://www.dicardiology.com/channel/thrombectomy-devices" TargetMode="External"/><Relationship Id="rId137" Type="http://schemas.openxmlformats.org/officeDocument/2006/relationships/hyperlink" Target="https://www.acutemedicine.org.uk/guidelines-and-reports/samba-2019-national-report/" TargetMode="External"/><Relationship Id="rId20" Type="http://schemas.openxmlformats.org/officeDocument/2006/relationships/hyperlink" Target="https://www.nice.org.uk/guidance/ng158/chapter/Recommendations" TargetMode="External"/><Relationship Id="rId41" Type="http://schemas.openxmlformats.org/officeDocument/2006/relationships/hyperlink" Target="https://www.ncepod.org.uk/2019pe.html" TargetMode="External"/><Relationship Id="rId62" Type="http://schemas.openxmlformats.org/officeDocument/2006/relationships/hyperlink" Target="https://www.nice.org.uk/guidance/ng158/chapter/recommendations" TargetMode="External"/><Relationship Id="rId83" Type="http://schemas.openxmlformats.org/officeDocument/2006/relationships/hyperlink" Target="https://www.nice.org.uk/guidance/cg182" TargetMode="External"/><Relationship Id="rId88" Type="http://schemas.openxmlformats.org/officeDocument/2006/relationships/hyperlink" Target="https://www.rcem.ac.uk/docs/QI%20+%20Clinical%20Audit/RCEM%20VTE%20national%20report%20(July%202019).pdf" TargetMode="External"/><Relationship Id="rId111" Type="http://schemas.openxmlformats.org/officeDocument/2006/relationships/hyperlink" Target="https://www.nice.org.uk/guidance/ng158/chapter/Recommendations" TargetMode="External"/><Relationship Id="rId132" Type="http://schemas.openxmlformats.org/officeDocument/2006/relationships/hyperlink" Target="https://doi.org/10.2147/PPA.S79373" TargetMode="External"/><Relationship Id="rId153" Type="http://schemas.openxmlformats.org/officeDocument/2006/relationships/fontTable" Target="fontTable.xml"/><Relationship Id="rId15" Type="http://schemas.openxmlformats.org/officeDocument/2006/relationships/hyperlink" Target="https://www.nice.org.uk/guidance/ng89" TargetMode="External"/><Relationship Id="rId36" Type="http://schemas.openxmlformats.org/officeDocument/2006/relationships/hyperlink" Target="https://www.nice.org.uk/guidance/ng158/chapter/recommendations" TargetMode="External"/><Relationship Id="rId57" Type="http://schemas.openxmlformats.org/officeDocument/2006/relationships/hyperlink" Target="https://www.ncepod.org.uk/2019pe.html" TargetMode="External"/><Relationship Id="rId106" Type="http://schemas.openxmlformats.org/officeDocument/2006/relationships/hyperlink" Target="https://thrombosisuk.org/downloads/APPTG%20Annual%20Review%202019%20100320.pdf" TargetMode="External"/><Relationship Id="rId127" Type="http://schemas.openxmlformats.org/officeDocument/2006/relationships/hyperlink" Target="https://digital.nhs.uk/data-and-information/publications/statistical/nhs-outcomes-framework/may-2020/domain-5-treating-and-caring-for-people-in-a-safe-environment-and-protecting-them-from-avoidable-harm-nof/5-1-deaths-from-venous-thromboembolism-vte-related-events-within-90-days-post-discharge-from-hospital" TargetMode="External"/><Relationship Id="rId10" Type="http://schemas.openxmlformats.org/officeDocument/2006/relationships/hyperlink" Target="https://www.nice.org.uk/guidance/NG158" TargetMode="External"/><Relationship Id="rId31" Type="http://schemas.openxmlformats.org/officeDocument/2006/relationships/hyperlink" Target="https://improvement.nhs.uk/resources/vte-risk-assessment-q1-201920/" TargetMode="External"/><Relationship Id="rId52" Type="http://schemas.openxmlformats.org/officeDocument/2006/relationships/hyperlink" Target="https://www.nice.org.uk/guidance/ng5" TargetMode="External"/><Relationship Id="rId73" Type="http://schemas.openxmlformats.org/officeDocument/2006/relationships/hyperlink" Target="https://www.nice.org.uk/guidance/ng158/chapter/Recommendations" TargetMode="External"/><Relationship Id="rId78" Type="http://schemas.openxmlformats.org/officeDocument/2006/relationships/hyperlink" Target="https://www.ncepod.org.uk/2019pe.html" TargetMode="External"/><Relationship Id="rId94" Type="http://schemas.openxmlformats.org/officeDocument/2006/relationships/hyperlink" Target="https://thrombosisuk.org/downloads/APPTG%20Annual%20Review%202019%20100320.pdf" TargetMode="External"/><Relationship Id="rId99" Type="http://schemas.openxmlformats.org/officeDocument/2006/relationships/hyperlink" Target="https://files.digital.nhs.uk/E3/5E254F/NHSOF_5.1_I00675_Q.pdf" TargetMode="External"/><Relationship Id="rId101" Type="http://schemas.openxmlformats.org/officeDocument/2006/relationships/hyperlink" Target="https://fundingawards.nihr.ac.uk/award/15/187/06" TargetMode="External"/><Relationship Id="rId122" Type="http://schemas.openxmlformats.org/officeDocument/2006/relationships/hyperlink" Target="https://bmjopenrespres.bmj.com/content/7/1/e000636" TargetMode="External"/><Relationship Id="rId143" Type="http://schemas.openxmlformats.org/officeDocument/2006/relationships/hyperlink" Target="https://thrombosisuk.org/downloads/APPTG%20Annual%20Review%202019%20100320.pdf" TargetMode="External"/><Relationship Id="rId148" Type="http://schemas.openxmlformats.org/officeDocument/2006/relationships/hyperlink" Target="https://www.nice.org.uk/guidance/ng158/chapter/Recommendations" TargetMode="External"/><Relationship Id="rId4" Type="http://schemas.openxmlformats.org/officeDocument/2006/relationships/settings" Target="settings.xml"/><Relationship Id="rId9" Type="http://schemas.openxmlformats.org/officeDocument/2006/relationships/hyperlink" Target="https://www.nice.org.uk/guidance/qs29" TargetMode="External"/><Relationship Id="rId26" Type="http://schemas.openxmlformats.org/officeDocument/2006/relationships/hyperlink" Target="https://www.mdcalc.com/perc-rule-pulmonary-embolism" TargetMode="External"/><Relationship Id="rId47" Type="http://schemas.openxmlformats.org/officeDocument/2006/relationships/hyperlink" Target="https://www.nice.org.uk/guidance/ng158/chapter/recommendations" TargetMode="External"/><Relationship Id="rId68" Type="http://schemas.openxmlformats.org/officeDocument/2006/relationships/hyperlink" Target="https://www.nice.org.uk/guidance/ng158/chapter/recommendations" TargetMode="External"/><Relationship Id="rId89" Type="http://schemas.openxmlformats.org/officeDocument/2006/relationships/hyperlink" Target="https://www.bmj.com/content/369/bmj.m1309" TargetMode="External"/><Relationship Id="rId112" Type="http://schemas.openxmlformats.org/officeDocument/2006/relationships/hyperlink" Target="https://www.cambridge.org/core/services/aop-cambridge-core/content/view/24C34506FF0A90FB9349E0D291EEC57F/S1463423620000171a.pdf/implementation_of_a_standardised_annual_anticoagulation_specialist_review_in_primary_care.pdf" TargetMode="External"/><Relationship Id="rId133" Type="http://schemas.openxmlformats.org/officeDocument/2006/relationships/hyperlink" Target="http://apptg.org.uk/wp-content/uploads/2016/12/VTE-in-Cancer-Patients-2016.pdf" TargetMode="External"/><Relationship Id="rId154" Type="http://schemas.openxmlformats.org/officeDocument/2006/relationships/theme" Target="theme/theme1.xml"/><Relationship Id="rId16" Type="http://schemas.openxmlformats.org/officeDocument/2006/relationships/hyperlink" Target="https://www.nice.org.uk/guidance/NG158" TargetMode="External"/><Relationship Id="rId37" Type="http://schemas.openxmlformats.org/officeDocument/2006/relationships/hyperlink" Target="https://www.nice.org.uk/guidance/ng158/chapter/recommendations" TargetMode="External"/><Relationship Id="rId58" Type="http://schemas.openxmlformats.org/officeDocument/2006/relationships/hyperlink" Target="https://www.ncepod.org.uk/2019pe.html" TargetMode="External"/><Relationship Id="rId79" Type="http://schemas.openxmlformats.org/officeDocument/2006/relationships/hyperlink" Target="https://www.nice.org.uk/guidance/ipg523/chapter/1-Recommendations" TargetMode="External"/><Relationship Id="rId102" Type="http://schemas.openxmlformats.org/officeDocument/2006/relationships/hyperlink" Target="https://emj.bmj.com/content/37/1/36" TargetMode="External"/><Relationship Id="rId123" Type="http://schemas.openxmlformats.org/officeDocument/2006/relationships/hyperlink" Target="https://www.nice.org.uk/guidance/ng158/chapter/Recommendations" TargetMode="External"/><Relationship Id="rId144" Type="http://schemas.openxmlformats.org/officeDocument/2006/relationships/hyperlink" Target="https://www.nice.org.uk/guidance/qs29/chapter/Quality-statement-8-Followup-for-people-without-cancer" TargetMode="External"/><Relationship Id="rId90" Type="http://schemas.openxmlformats.org/officeDocument/2006/relationships/hyperlink" Target="https://thrombosisuk.org/downloads/bmj.m1309.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res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25026</Words>
  <Characters>142651</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167343</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2020-11-19T11:29:00Z</dcterms:created>
  <dcterms:modified xsi:type="dcterms:W3CDTF">2020-11-19T11:34:00Z</dcterms:modified>
</cp:coreProperties>
</file>