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CD830"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05FE8993" w14:textId="77777777" w:rsidR="00DE6F78" w:rsidRDefault="00DE6F78" w:rsidP="00DE6F78">
      <w:pPr>
        <w:pStyle w:val="Title"/>
      </w:pPr>
      <w:r>
        <w:t>HEALTH AND SOCIAL CARE DIRECTORATE</w:t>
      </w:r>
    </w:p>
    <w:p w14:paraId="10F0819B" w14:textId="77777777" w:rsidR="00DE6F78" w:rsidRDefault="00DE6F78" w:rsidP="00DE6F78">
      <w:pPr>
        <w:pStyle w:val="Title"/>
      </w:pPr>
      <w:r w:rsidRPr="00712CAA">
        <w:t>QUALITY STANDARD CONSULTATION</w:t>
      </w:r>
    </w:p>
    <w:p w14:paraId="75A8C96F" w14:textId="77777777" w:rsidR="00DE6F78" w:rsidRDefault="00DE6F78" w:rsidP="00DE6F78">
      <w:pPr>
        <w:pStyle w:val="Title"/>
      </w:pPr>
      <w:r w:rsidRPr="00712CAA">
        <w:t>SUMMARY REPORT</w:t>
      </w:r>
    </w:p>
    <w:p w14:paraId="67449504" w14:textId="77777777" w:rsidR="00DE6F78" w:rsidRPr="00712CAA" w:rsidRDefault="00DE6F78" w:rsidP="00DE6F78">
      <w:pPr>
        <w:keepNext/>
        <w:spacing w:before="240" w:after="240"/>
        <w:jc w:val="center"/>
        <w:outlineLvl w:val="0"/>
        <w:rPr>
          <w:rFonts w:ascii="Arial" w:hAnsi="Arial" w:cs="Arial"/>
          <w:b/>
          <w:bCs/>
          <w:kern w:val="28"/>
          <w:sz w:val="32"/>
          <w:szCs w:val="32"/>
        </w:rPr>
      </w:pPr>
    </w:p>
    <w:p w14:paraId="4D15B7A8" w14:textId="77777777" w:rsidR="00DE6F78" w:rsidRPr="00712CAA" w:rsidRDefault="00DE6F78" w:rsidP="00DE6F78">
      <w:pPr>
        <w:pStyle w:val="Numberedheading1"/>
        <w:numPr>
          <w:ilvl w:val="0"/>
          <w:numId w:val="1"/>
        </w:numPr>
      </w:pPr>
      <w:r w:rsidRPr="00712CAA">
        <w:t>Quality standard title</w:t>
      </w:r>
    </w:p>
    <w:p w14:paraId="553395E0" w14:textId="35F15A2C" w:rsidR="00DE6F78" w:rsidRDefault="009F2FE3" w:rsidP="009F2FE3">
      <w:pPr>
        <w:pStyle w:val="Numberedheading1"/>
        <w:numPr>
          <w:ilvl w:val="0"/>
          <w:numId w:val="0"/>
        </w:numPr>
      </w:pPr>
      <w:r w:rsidRPr="009F2FE3">
        <w:rPr>
          <w:rFonts w:cs="Times New Roman"/>
          <w:b w:val="0"/>
          <w:bCs w:val="0"/>
          <w:kern w:val="0"/>
          <w:sz w:val="24"/>
        </w:rPr>
        <w:t>Venous thromboembolism in adults (update)</w:t>
      </w:r>
      <w:r>
        <w:t xml:space="preserve"> </w:t>
      </w:r>
    </w:p>
    <w:p w14:paraId="37099728" w14:textId="4C3B832C" w:rsidR="00DE6F78" w:rsidRPr="00612F68" w:rsidRDefault="00DE6F78" w:rsidP="00DE6F78">
      <w:pPr>
        <w:pStyle w:val="NICEnormal"/>
      </w:pPr>
      <w:r w:rsidRPr="00F97C52">
        <w:t xml:space="preserve">Date of </w:t>
      </w:r>
      <w:r w:rsidR="00CE1BFA">
        <w:t>q</w:t>
      </w:r>
      <w:r w:rsidRPr="00F97C52">
        <w:t xml:space="preserve">uality </w:t>
      </w:r>
      <w:r w:rsidR="00CE1BFA">
        <w:t>standards a</w:t>
      </w:r>
      <w:r w:rsidRPr="00F97C52">
        <w:t xml:space="preserve">dvisory </w:t>
      </w:r>
      <w:r w:rsidR="00CE1BFA">
        <w:t>c</w:t>
      </w:r>
      <w:r w:rsidRPr="00612F68">
        <w:t>ommittee post</w:t>
      </w:r>
      <w:r>
        <w:t>-</w:t>
      </w:r>
      <w:r w:rsidRPr="00612F68">
        <w:t xml:space="preserve">consultation meeting: </w:t>
      </w:r>
      <w:r>
        <w:br/>
      </w:r>
      <w:r w:rsidR="00812E31">
        <w:t>28 April 2021.</w:t>
      </w:r>
    </w:p>
    <w:p w14:paraId="05F898C6" w14:textId="77777777" w:rsidR="00DE6F78" w:rsidRPr="00712CAA" w:rsidRDefault="00DE6F78" w:rsidP="00DE6F78">
      <w:pPr>
        <w:pStyle w:val="Numberedheading1"/>
        <w:numPr>
          <w:ilvl w:val="0"/>
          <w:numId w:val="1"/>
        </w:numPr>
      </w:pPr>
      <w:r w:rsidRPr="00712CAA">
        <w:t>Introduction</w:t>
      </w:r>
    </w:p>
    <w:p w14:paraId="2D09A319" w14:textId="6DDD4905" w:rsidR="00DE6F78" w:rsidRDefault="00DE6F78" w:rsidP="00DE6F78">
      <w:pPr>
        <w:pStyle w:val="NICEnormal"/>
      </w:pPr>
      <w:r w:rsidRPr="00712CAA">
        <w:t xml:space="preserve">The draft quality standard for </w:t>
      </w:r>
      <w:r w:rsidR="009F2FE3" w:rsidRPr="009F2FE3">
        <w:t>Venous thromboembolism in adults</w:t>
      </w:r>
      <w:r w:rsidR="009F2FE3">
        <w:t xml:space="preserve"> </w:t>
      </w:r>
      <w:r w:rsidRPr="00712CAA">
        <w:t xml:space="preserve">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9F2FE3">
        <w:t xml:space="preserve">20 November </w:t>
      </w:r>
      <w:r w:rsidRPr="00914EA4">
        <w:t xml:space="preserve">and </w:t>
      </w:r>
      <w:r w:rsidR="009F2FE3">
        <w:t>18 December 202</w:t>
      </w:r>
      <w:r w:rsidR="009731F0">
        <w:t>0</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65C2AE47" w14:textId="3BF259C2" w:rsidR="00DE6F78" w:rsidRPr="00C359D3" w:rsidRDefault="00DE6F78" w:rsidP="00DE6F78">
      <w:pPr>
        <w:pStyle w:val="NICEnormal"/>
        <w:rPr>
          <w:rFonts w:cs="Arial"/>
        </w:rPr>
      </w:pPr>
      <w:r>
        <w:t xml:space="preserve">Comments were received from </w:t>
      </w:r>
      <w:r w:rsidR="00096246">
        <w:t>2</w:t>
      </w:r>
      <w:r w:rsidR="003D0EF7">
        <w:t>2</w:t>
      </w:r>
      <w:r>
        <w:t xml:space="preserve"> 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78A4BC78"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62DF5043" w14:textId="74C5AF3E" w:rsidR="00DE6F78" w:rsidRPr="00487D08" w:rsidRDefault="00DE6F78" w:rsidP="00DE6F78">
      <w:pPr>
        <w:pStyle w:val="NICEnormal"/>
      </w:pPr>
      <w:r>
        <w:lastRenderedPageBreak/>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EB11E0">
        <w:t>ces</w:t>
      </w:r>
      <w:r w:rsidRPr="00487D08">
        <w:t xml:space="preserve"> </w:t>
      </w:r>
      <w:r w:rsidR="005813C7">
        <w:t xml:space="preserve">1 </w:t>
      </w:r>
      <w:r w:rsidR="008D0A2D">
        <w:t>to</w:t>
      </w:r>
      <w:r w:rsidR="00061639">
        <w:t xml:space="preserve"> </w:t>
      </w:r>
      <w:r w:rsidR="008D0A2D">
        <w:t>4</w:t>
      </w:r>
      <w:r w:rsidR="005813C7">
        <w:t>.</w:t>
      </w:r>
    </w:p>
    <w:p w14:paraId="2C17002B" w14:textId="77777777" w:rsidR="00DE6F78" w:rsidRDefault="00DE6F78" w:rsidP="00DE6F78">
      <w:pPr>
        <w:pStyle w:val="Numberedheading1"/>
        <w:numPr>
          <w:ilvl w:val="0"/>
          <w:numId w:val="1"/>
        </w:numPr>
      </w:pPr>
      <w:r>
        <w:t>Questions for consultation</w:t>
      </w:r>
    </w:p>
    <w:p w14:paraId="096E45B2" w14:textId="77777777" w:rsidR="00DE6F78" w:rsidRPr="00BD14E4" w:rsidRDefault="00DE6F78" w:rsidP="00DE6F78">
      <w:pPr>
        <w:pStyle w:val="NICEnormal"/>
      </w:pPr>
      <w:r w:rsidRPr="00BD14E4">
        <w:t xml:space="preserve">Stakeholders were invited to respond to the following general questions: </w:t>
      </w:r>
    </w:p>
    <w:p w14:paraId="6674697F"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1B0010F2"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6C96C54A"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6F1B9C9E" w14:textId="77777777" w:rsidR="00DE6F78" w:rsidRPr="00BD14E4" w:rsidRDefault="00DE6F78" w:rsidP="00DE6F78">
      <w:pPr>
        <w:pStyle w:val="NICEnormal"/>
      </w:pPr>
      <w:r w:rsidRPr="00BD14E4">
        <w:t>Stakeholders were also invited to respond to the following statement</w:t>
      </w:r>
      <w:r w:rsidR="007F073D">
        <w:t>-</w:t>
      </w:r>
      <w:r w:rsidRPr="00BD14E4">
        <w:t>specific questions:</w:t>
      </w:r>
    </w:p>
    <w:p w14:paraId="1154599B" w14:textId="6CD11B8A" w:rsidR="00DE6F78" w:rsidRPr="00E325CA" w:rsidRDefault="00A07F72" w:rsidP="00DE6F78">
      <w:pPr>
        <w:pStyle w:val="NICEnormal"/>
      </w:pPr>
      <w:r>
        <w:t>4</w:t>
      </w:r>
      <w:r w:rsidR="00DE6F78" w:rsidRPr="00BD14E4">
        <w:t>.</w:t>
      </w:r>
      <w:r w:rsidR="00DE6F78">
        <w:t xml:space="preserve"> </w:t>
      </w:r>
      <w:r w:rsidR="00DE6F78" w:rsidRPr="00BD14E4">
        <w:t xml:space="preserve">For draft quality </w:t>
      </w:r>
      <w:r w:rsidR="00DE6F78" w:rsidRPr="00E325CA">
        <w:t xml:space="preserve">statement </w:t>
      </w:r>
      <w:r w:rsidR="00096246">
        <w:t>3</w:t>
      </w:r>
      <w:r w:rsidR="00DE6F78" w:rsidRPr="00E325CA">
        <w:t xml:space="preserve">: </w:t>
      </w:r>
      <w:r w:rsidR="00096246" w:rsidRPr="00096246">
        <w:t>Are requests for proximal leg vein ultrasound scans usually made in a timely manner, or are delays experienced?</w:t>
      </w:r>
      <w:r w:rsidR="00096246" w:rsidRPr="00E325CA">
        <w:t xml:space="preserve"> </w:t>
      </w:r>
    </w:p>
    <w:p w14:paraId="1307B5A7" w14:textId="696FEA2C" w:rsidR="004F0733" w:rsidRPr="004C4AEA" w:rsidRDefault="00096246" w:rsidP="004F0733">
      <w:pPr>
        <w:pStyle w:val="NICEnormal"/>
      </w:pPr>
      <w:r>
        <w:t>5</w:t>
      </w:r>
      <w:r w:rsidR="004F0733" w:rsidRPr="000A5FAD">
        <w:t xml:space="preserve">. </w:t>
      </w:r>
      <w:r w:rsidR="004F0733" w:rsidRPr="00AC5A95">
        <w:t>Do you have an example from practice of implementing the NICE guideline that underpins this quality standard? If so, please provide details on the comments form</w:t>
      </w:r>
      <w:r w:rsidR="004F0733">
        <w:t>.</w:t>
      </w:r>
    </w:p>
    <w:p w14:paraId="29D07B5F" w14:textId="77777777" w:rsidR="00DE6F78" w:rsidRDefault="00DE6F78" w:rsidP="00DE6F78">
      <w:pPr>
        <w:pStyle w:val="Numberedheading1"/>
        <w:numPr>
          <w:ilvl w:val="0"/>
          <w:numId w:val="1"/>
        </w:numPr>
      </w:pPr>
      <w:r>
        <w:lastRenderedPageBreak/>
        <w:t>General comments</w:t>
      </w:r>
    </w:p>
    <w:p w14:paraId="3E19ABBA"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79DDCB98" w14:textId="2871EE11" w:rsidR="00DE6F78" w:rsidRDefault="00463F59" w:rsidP="00DE6F78">
      <w:pPr>
        <w:pStyle w:val="Bulletleft1"/>
      </w:pPr>
      <w:r>
        <w:t>Comments on the age groups that the statements apply to</w:t>
      </w:r>
      <w:r w:rsidR="001A7CB0">
        <w:t>.</w:t>
      </w:r>
    </w:p>
    <w:p w14:paraId="38ADBDF8" w14:textId="35C6D546" w:rsidR="00463F59" w:rsidRDefault="00153A69" w:rsidP="00DE6F78">
      <w:pPr>
        <w:pStyle w:val="Bulletleft1"/>
      </w:pPr>
      <w:r>
        <w:t xml:space="preserve">Keep </w:t>
      </w:r>
      <w:r w:rsidR="003D0EF7">
        <w:t xml:space="preserve">the QS separate for </w:t>
      </w:r>
      <w:r w:rsidR="00463F59">
        <w:t xml:space="preserve">prevention and management </w:t>
      </w:r>
      <w:r w:rsidR="003D0EF7">
        <w:t>of VTE</w:t>
      </w:r>
      <w:r w:rsidR="001A7CB0">
        <w:t>.</w:t>
      </w:r>
    </w:p>
    <w:p w14:paraId="7E482135" w14:textId="27F0A2C4" w:rsidR="00663B46" w:rsidRDefault="003D0EF7" w:rsidP="00DE6F78">
      <w:pPr>
        <w:pStyle w:val="Bulletleft1"/>
      </w:pPr>
      <w:r>
        <w:t>Make it clearer whether the statements include day cases</w:t>
      </w:r>
      <w:r w:rsidR="001A7CB0">
        <w:t>.</w:t>
      </w:r>
    </w:p>
    <w:p w14:paraId="7895C5DF" w14:textId="55A105DB" w:rsidR="00153A69" w:rsidRDefault="00153A69" w:rsidP="00DE6F78">
      <w:pPr>
        <w:pStyle w:val="Bulletleft1"/>
      </w:pPr>
      <w:r>
        <w:t>Guidance on how to engage underrepresented groups would be helpful</w:t>
      </w:r>
      <w:r w:rsidR="001A7CB0">
        <w:t>.</w:t>
      </w:r>
    </w:p>
    <w:p w14:paraId="5DA49F12" w14:textId="7C812B9E" w:rsidR="00153A69" w:rsidRPr="00293375" w:rsidRDefault="00153A69" w:rsidP="008D176E">
      <w:pPr>
        <w:pStyle w:val="Bulletleft1last"/>
      </w:pPr>
      <w:r>
        <w:t>Add more detail on integrated working across teams to include a skills mix</w:t>
      </w:r>
      <w:r w:rsidR="008D176E">
        <w:t>.</w:t>
      </w:r>
    </w:p>
    <w:p w14:paraId="15763F00" w14:textId="77777777" w:rsidR="00674028" w:rsidRDefault="00674028" w:rsidP="00674028">
      <w:pPr>
        <w:pStyle w:val="Heading3"/>
      </w:pPr>
      <w:r w:rsidRPr="00F56503">
        <w:t xml:space="preserve">Consultation </w:t>
      </w:r>
      <w:r w:rsidRPr="00660F4E">
        <w:t>comments</w:t>
      </w:r>
      <w:r>
        <w:t xml:space="preserve"> on data collection</w:t>
      </w:r>
    </w:p>
    <w:p w14:paraId="745BABD4" w14:textId="1D6A756F" w:rsidR="00674028" w:rsidRDefault="000E3A57" w:rsidP="00674028">
      <w:pPr>
        <w:pStyle w:val="Bulletleft1"/>
      </w:pPr>
      <w:r>
        <w:t>Most centres have well established data collection processes</w:t>
      </w:r>
      <w:r w:rsidR="001A7CB0">
        <w:t>.</w:t>
      </w:r>
    </w:p>
    <w:p w14:paraId="26326B42" w14:textId="1827D2C2" w:rsidR="000E3A57" w:rsidRDefault="000E3A57" w:rsidP="00674028">
      <w:pPr>
        <w:pStyle w:val="Bulletleft1"/>
      </w:pPr>
      <w:r>
        <w:t>Problems may be caused by variation in data collection systems, such as manual data collection and data entry</w:t>
      </w:r>
      <w:r w:rsidR="001A7CB0">
        <w:t>.</w:t>
      </w:r>
    </w:p>
    <w:p w14:paraId="7BDBD322" w14:textId="02734BA1" w:rsidR="00674028" w:rsidRDefault="000E3A57" w:rsidP="008D176E">
      <w:pPr>
        <w:pStyle w:val="Bulletleft1last"/>
      </w:pPr>
      <w:r>
        <w:t>It is feasible for diagnostics but might not be a priority</w:t>
      </w:r>
      <w:r w:rsidR="008D176E">
        <w:t>.</w:t>
      </w:r>
    </w:p>
    <w:p w14:paraId="3B3FA794" w14:textId="77777777" w:rsidR="00B014B3" w:rsidRDefault="00B014B3" w:rsidP="00B014B3">
      <w:pPr>
        <w:pStyle w:val="Heading3"/>
      </w:pPr>
      <w:r w:rsidRPr="00F56503">
        <w:t xml:space="preserve">Consultation </w:t>
      </w:r>
      <w:r w:rsidRPr="00660F4E">
        <w:t>comments</w:t>
      </w:r>
      <w:r>
        <w:t xml:space="preserve"> on resource impact</w:t>
      </w:r>
    </w:p>
    <w:p w14:paraId="3EA3AFBA" w14:textId="27615FAF" w:rsidR="00860ECC" w:rsidRDefault="000E3A57" w:rsidP="00675D26">
      <w:pPr>
        <w:pStyle w:val="Bulletleft1last"/>
      </w:pPr>
      <w:r>
        <w:t>Statement 5 is expected to result in cost savings</w:t>
      </w:r>
      <w:r w:rsidR="00860ECC">
        <w:t>.</w:t>
      </w:r>
    </w:p>
    <w:p w14:paraId="4C43519B" w14:textId="77777777" w:rsidR="005813C7" w:rsidRDefault="005813C7">
      <w:pPr>
        <w:rPr>
          <w:rFonts w:ascii="Arial" w:hAnsi="Arial" w:cs="Arial"/>
          <w:b/>
          <w:bCs/>
          <w:kern w:val="32"/>
          <w:sz w:val="32"/>
        </w:rPr>
      </w:pPr>
      <w:r>
        <w:br w:type="page"/>
      </w:r>
    </w:p>
    <w:p w14:paraId="24FF1262" w14:textId="6235FD4D" w:rsidR="00DE6F78" w:rsidRPr="00712CAA" w:rsidRDefault="00DE6F78" w:rsidP="00DE6F78">
      <w:pPr>
        <w:pStyle w:val="Numberedheading1"/>
        <w:numPr>
          <w:ilvl w:val="0"/>
          <w:numId w:val="1"/>
        </w:numPr>
      </w:pPr>
      <w:r>
        <w:lastRenderedPageBreak/>
        <w:t>Summary of consultation feedback by draft statement</w:t>
      </w:r>
    </w:p>
    <w:p w14:paraId="6870EDC0" w14:textId="77777777" w:rsidR="00DE6F78" w:rsidRDefault="00DE6F78" w:rsidP="00DE6F78">
      <w:pPr>
        <w:pStyle w:val="Numberedheading2"/>
        <w:numPr>
          <w:ilvl w:val="1"/>
          <w:numId w:val="1"/>
        </w:numPr>
        <w:spacing w:after="120" w:line="240" w:lineRule="auto"/>
      </w:pPr>
      <w:r>
        <w:t>Draft statement 1</w:t>
      </w:r>
    </w:p>
    <w:p w14:paraId="4F5DC8C6" w14:textId="5C51DEDB" w:rsidR="00DE6F78" w:rsidRDefault="004615CF" w:rsidP="00DE6F78">
      <w:pPr>
        <w:pStyle w:val="NICEnormal"/>
      </w:pPr>
      <w:r>
        <w:t>People aged 16 and over</w:t>
      </w:r>
      <w:r w:rsidRPr="00EE1273">
        <w:t xml:space="preserve"> </w:t>
      </w:r>
      <w:r>
        <w:t>who are in hospital and assessed as needing</w:t>
      </w:r>
      <w:r w:rsidRPr="00EE1273">
        <w:t xml:space="preserve"> pharmacological VTE prophylaxis</w:t>
      </w:r>
      <w:r>
        <w:t xml:space="preserve"> start it</w:t>
      </w:r>
      <w:r w:rsidRPr="00EE1273">
        <w:t xml:space="preserve"> as soon as possible and within 14</w:t>
      </w:r>
      <w:r>
        <w:t> </w:t>
      </w:r>
      <w:r w:rsidRPr="00EE1273">
        <w:t xml:space="preserve">hours of </w:t>
      </w:r>
      <w:r>
        <w:t xml:space="preserve">hospital </w:t>
      </w:r>
      <w:r w:rsidRPr="00EE1273">
        <w:t>admission</w:t>
      </w:r>
      <w:r>
        <w:t xml:space="preserve">. </w:t>
      </w:r>
      <w:r w:rsidRPr="004D0AC0">
        <w:rPr>
          <w:b/>
        </w:rPr>
        <w:t>[20</w:t>
      </w:r>
      <w:r>
        <w:rPr>
          <w:b/>
        </w:rPr>
        <w:t>10</w:t>
      </w:r>
      <w:r w:rsidRPr="004D0AC0">
        <w:rPr>
          <w:b/>
        </w:rPr>
        <w:t>, updated 20</w:t>
      </w:r>
      <w:r>
        <w:rPr>
          <w:b/>
        </w:rPr>
        <w:t>21</w:t>
      </w:r>
      <w:r w:rsidRPr="004D0AC0">
        <w:rPr>
          <w:b/>
        </w:rPr>
        <w:t>]</w:t>
      </w:r>
      <w:r>
        <w:t xml:space="preserve"> </w:t>
      </w:r>
    </w:p>
    <w:p w14:paraId="5BEC2E97" w14:textId="77777777" w:rsidR="00DE6F78" w:rsidRDefault="00DE6F78" w:rsidP="00DE6F78">
      <w:pPr>
        <w:pStyle w:val="Heading3"/>
      </w:pPr>
      <w:r w:rsidRPr="00F56503">
        <w:t xml:space="preserve">Consultation </w:t>
      </w:r>
      <w:r w:rsidRPr="00660F4E">
        <w:t>comments</w:t>
      </w:r>
    </w:p>
    <w:p w14:paraId="0EC44ED2" w14:textId="77777777" w:rsidR="00DE6F78" w:rsidRPr="00660F4E" w:rsidRDefault="00DE6F78" w:rsidP="00DE6F78">
      <w:pPr>
        <w:pStyle w:val="NICEnormal"/>
      </w:pPr>
      <w:r>
        <w:t>Stakeholders made the following comments in relation to draft statement 1:</w:t>
      </w:r>
    </w:p>
    <w:p w14:paraId="25E9E05B" w14:textId="77777777" w:rsidR="004F0733" w:rsidRPr="008D176E" w:rsidRDefault="004F0733" w:rsidP="004F0733">
      <w:pPr>
        <w:pStyle w:val="Bulletleft1"/>
        <w:numPr>
          <w:ilvl w:val="0"/>
          <w:numId w:val="0"/>
        </w:numPr>
      </w:pPr>
      <w:r w:rsidRPr="008D176E">
        <w:t>Statement</w:t>
      </w:r>
    </w:p>
    <w:p w14:paraId="68C19DDE" w14:textId="4ACD0F21" w:rsidR="00704948" w:rsidRDefault="00704948" w:rsidP="004F0733">
      <w:pPr>
        <w:pStyle w:val="Bulletleft1"/>
      </w:pPr>
      <w:r>
        <w:t>Change “start it” to prescribe or administer</w:t>
      </w:r>
      <w:r w:rsidR="001A7CB0">
        <w:t>.</w:t>
      </w:r>
    </w:p>
    <w:p w14:paraId="147C519E" w14:textId="37CA36BC" w:rsidR="001152FF" w:rsidRDefault="001152FF" w:rsidP="004F0733">
      <w:pPr>
        <w:pStyle w:val="Bulletleft1"/>
      </w:pPr>
      <w:r>
        <w:t>Clarify that patients have been “risk assessed” as needing proph</w:t>
      </w:r>
      <w:r w:rsidR="008E2226">
        <w:t>y</w:t>
      </w:r>
      <w:r>
        <w:t>laxis</w:t>
      </w:r>
      <w:r w:rsidR="001A7CB0">
        <w:t>.</w:t>
      </w:r>
    </w:p>
    <w:p w14:paraId="4FF80C21" w14:textId="63A2AAA7" w:rsidR="00704948" w:rsidRDefault="00704948" w:rsidP="004F0733">
      <w:pPr>
        <w:pStyle w:val="Bulletleft1"/>
      </w:pPr>
      <w:r>
        <w:t xml:space="preserve">14 hours is too long </w:t>
      </w:r>
      <w:r w:rsidR="001152FF">
        <w:t xml:space="preserve">a delay </w:t>
      </w:r>
      <w:r>
        <w:t>for at-risk patients. A timeframe of 4 to 6 hours from admission was suggested</w:t>
      </w:r>
      <w:r w:rsidR="001A7CB0">
        <w:t>.</w:t>
      </w:r>
    </w:p>
    <w:p w14:paraId="3B28106A" w14:textId="7279B922" w:rsidR="001152FF" w:rsidRDefault="001152FF" w:rsidP="004F0733">
      <w:pPr>
        <w:pStyle w:val="Bulletleft1"/>
      </w:pPr>
      <w:r>
        <w:t xml:space="preserve">One stakeholder </w:t>
      </w:r>
      <w:r w:rsidR="00E2496D">
        <w:t xml:space="preserve">felt that a 14 hour timeframe </w:t>
      </w:r>
      <w:r w:rsidR="008E2226">
        <w:t>will mean adjusting the timing of doses, which could lead to mistakes and possible bleeding</w:t>
      </w:r>
      <w:r w:rsidR="001A7CB0">
        <w:t>.</w:t>
      </w:r>
    </w:p>
    <w:p w14:paraId="55611F9C" w14:textId="77777777" w:rsidR="008E2226" w:rsidRDefault="008E2226" w:rsidP="008E2226">
      <w:pPr>
        <w:pStyle w:val="Bulletleft1"/>
      </w:pPr>
      <w:r>
        <w:t>Suggested additions to make were:</w:t>
      </w:r>
    </w:p>
    <w:p w14:paraId="56D1CA5C" w14:textId="77777777" w:rsidR="008E2226" w:rsidRDefault="001152FF" w:rsidP="008E2226">
      <w:pPr>
        <w:pStyle w:val="Bulletleft2"/>
      </w:pPr>
      <w:r>
        <w:t>appropriate duration</w:t>
      </w:r>
      <w:r w:rsidR="00E2496D">
        <w:t xml:space="preserve"> and dosing</w:t>
      </w:r>
    </w:p>
    <w:p w14:paraId="0D816895" w14:textId="10B26601" w:rsidR="001152FF" w:rsidRPr="008D176E" w:rsidRDefault="001152FF" w:rsidP="0037659B">
      <w:pPr>
        <w:pStyle w:val="Bulletleft2"/>
      </w:pPr>
      <w:r>
        <w:t>avoiding missed doses</w:t>
      </w:r>
      <w:r w:rsidR="00E2496D">
        <w:t>.</w:t>
      </w:r>
    </w:p>
    <w:p w14:paraId="1D4DC728" w14:textId="77777777" w:rsidR="008E2226" w:rsidRDefault="008E2226" w:rsidP="004F0733">
      <w:pPr>
        <w:pStyle w:val="Bulletleft1"/>
        <w:numPr>
          <w:ilvl w:val="0"/>
          <w:numId w:val="0"/>
        </w:numPr>
      </w:pPr>
    </w:p>
    <w:p w14:paraId="6F26A272" w14:textId="0AC0B0DD" w:rsidR="004F0733" w:rsidRPr="008D176E" w:rsidRDefault="004F0733" w:rsidP="004F0733">
      <w:pPr>
        <w:pStyle w:val="Bulletleft1"/>
        <w:numPr>
          <w:ilvl w:val="0"/>
          <w:numId w:val="0"/>
        </w:numPr>
      </w:pPr>
      <w:r w:rsidRPr="008D176E">
        <w:t>Measures</w:t>
      </w:r>
    </w:p>
    <w:p w14:paraId="3832D23F" w14:textId="42C03FD8" w:rsidR="004F0733" w:rsidRDefault="008D176E" w:rsidP="004F0733">
      <w:pPr>
        <w:pStyle w:val="Bulletleft1"/>
      </w:pPr>
      <w:r>
        <w:t xml:space="preserve">Data can be collected </w:t>
      </w:r>
      <w:r w:rsidR="00860ECC">
        <w:t xml:space="preserve">locally </w:t>
      </w:r>
      <w:r>
        <w:t>by an audit and through electronic hospital prescribing</w:t>
      </w:r>
      <w:r w:rsidR="00704948">
        <w:t xml:space="preserve"> </w:t>
      </w:r>
      <w:r w:rsidR="008A7869">
        <w:t>having</w:t>
      </w:r>
      <w:r w:rsidR="00704948">
        <w:t xml:space="preserve"> time stamping</w:t>
      </w:r>
      <w:r w:rsidR="001A7CB0">
        <w:t>.</w:t>
      </w:r>
    </w:p>
    <w:p w14:paraId="1DAC0324" w14:textId="645E09EC" w:rsidR="001152FF" w:rsidRDefault="0071060B" w:rsidP="00B467AE">
      <w:pPr>
        <w:pStyle w:val="Bulletleft1"/>
      </w:pPr>
      <w:r>
        <w:t>Two</w:t>
      </w:r>
      <w:r w:rsidR="001152FF">
        <w:t xml:space="preserve"> stakeholder</w:t>
      </w:r>
      <w:r w:rsidR="00E2496D">
        <w:t>s</w:t>
      </w:r>
      <w:r w:rsidR="001152FF">
        <w:t xml:space="preserve"> thought it would be challenging to measure the timeframe</w:t>
      </w:r>
      <w:r w:rsidR="001A7CB0">
        <w:t>.</w:t>
      </w:r>
    </w:p>
    <w:p w14:paraId="0AA8F22D" w14:textId="06AF9561" w:rsidR="003D0EF7" w:rsidRDefault="003D0EF7" w:rsidP="003D0EF7">
      <w:pPr>
        <w:pStyle w:val="Bulletleft1"/>
      </w:pPr>
      <w:r>
        <w:t>Pharmacological prophylaxis is often given to all patients at the same time each day. Safety measures will be needed to prevent drug administration errors if patients receive it at different times</w:t>
      </w:r>
      <w:r w:rsidR="001A7CB0">
        <w:t>.</w:t>
      </w:r>
    </w:p>
    <w:p w14:paraId="27EA8B93" w14:textId="6E6AAB57" w:rsidR="008E2226" w:rsidRPr="008D176E" w:rsidRDefault="00B467AE" w:rsidP="00E2496D">
      <w:pPr>
        <w:pStyle w:val="Bulletleft1last"/>
      </w:pPr>
      <w:r>
        <w:t>There might be a reduction in DVT incidence that would give a cost reduction.</w:t>
      </w:r>
    </w:p>
    <w:p w14:paraId="3DE3C929" w14:textId="77777777" w:rsidR="00A406A6" w:rsidRDefault="00A406A6">
      <w:pPr>
        <w:rPr>
          <w:rFonts w:ascii="Arial" w:hAnsi="Arial"/>
        </w:rPr>
      </w:pPr>
      <w:r>
        <w:br w:type="page"/>
      </w:r>
    </w:p>
    <w:p w14:paraId="0304F419" w14:textId="3C204AD6" w:rsidR="004F0733" w:rsidRPr="001152FF" w:rsidRDefault="004F0733" w:rsidP="004F0733">
      <w:pPr>
        <w:pStyle w:val="Bulletleft1"/>
        <w:numPr>
          <w:ilvl w:val="0"/>
          <w:numId w:val="0"/>
        </w:numPr>
      </w:pPr>
      <w:r w:rsidRPr="001152FF">
        <w:lastRenderedPageBreak/>
        <w:t>Audience descriptors</w:t>
      </w:r>
    </w:p>
    <w:p w14:paraId="62299A08" w14:textId="19025A45" w:rsidR="001152FF" w:rsidRDefault="00E2496D" w:rsidP="008A7869">
      <w:pPr>
        <w:pStyle w:val="Bulletleft1"/>
      </w:pPr>
      <w:r>
        <w:t xml:space="preserve">Change </w:t>
      </w:r>
      <w:r w:rsidR="0071060B">
        <w:t>the healthcare professional</w:t>
      </w:r>
      <w:r w:rsidR="00352259">
        <w:t xml:space="preserve">s </w:t>
      </w:r>
      <w:r w:rsidR="0071060B">
        <w:t>to say</w:t>
      </w:r>
      <w:r w:rsidR="001152FF" w:rsidRPr="001152FF">
        <w:t xml:space="preserve"> non-medical prescribers</w:t>
      </w:r>
      <w:r>
        <w:t xml:space="preserve"> and doctors</w:t>
      </w:r>
      <w:r w:rsidR="001A7CB0">
        <w:t>.</w:t>
      </w:r>
    </w:p>
    <w:p w14:paraId="5EBB0468" w14:textId="42EDDE2C" w:rsidR="008A7869" w:rsidRPr="001152FF" w:rsidRDefault="008A7869" w:rsidP="004F0733">
      <w:pPr>
        <w:pStyle w:val="Bulletleft1last"/>
      </w:pPr>
      <w:r>
        <w:t>Include assessment on admission and reassessment.</w:t>
      </w:r>
    </w:p>
    <w:p w14:paraId="71EA3652" w14:textId="77777777" w:rsidR="004F0733" w:rsidRPr="00704948" w:rsidRDefault="004F0733" w:rsidP="004F0733">
      <w:pPr>
        <w:pStyle w:val="Bulletleft1"/>
        <w:numPr>
          <w:ilvl w:val="0"/>
          <w:numId w:val="0"/>
        </w:numPr>
      </w:pPr>
      <w:r w:rsidRPr="00704948">
        <w:t>Definitions</w:t>
      </w:r>
    </w:p>
    <w:p w14:paraId="589F670D" w14:textId="0A4DCD1B" w:rsidR="00704948" w:rsidRDefault="00704948" w:rsidP="004F0733">
      <w:pPr>
        <w:pStyle w:val="Bulletleft1"/>
      </w:pPr>
      <w:r>
        <w:t>All patient groups should be included and not just medical, surgical and trauma patients</w:t>
      </w:r>
      <w:r w:rsidR="001A7CB0">
        <w:t>.</w:t>
      </w:r>
    </w:p>
    <w:p w14:paraId="6E947868" w14:textId="65C23596" w:rsidR="003F6A21" w:rsidRDefault="00266A52" w:rsidP="003F6A21">
      <w:pPr>
        <w:pStyle w:val="Bulletleft1"/>
      </w:pPr>
      <w:r>
        <w:t xml:space="preserve">Clarify whether </w:t>
      </w:r>
      <w:r w:rsidR="003F6A21">
        <w:t>the statement include</w:t>
      </w:r>
      <w:r>
        <w:t>s</w:t>
      </w:r>
      <w:r w:rsidR="003F6A21">
        <w:t xml:space="preserve"> day cases</w:t>
      </w:r>
      <w:r w:rsidR="001A7CB0">
        <w:t>.</w:t>
      </w:r>
    </w:p>
    <w:p w14:paraId="4132EC0A" w14:textId="668E9ED8" w:rsidR="004F0733" w:rsidRDefault="001152FF" w:rsidP="004F0733">
      <w:pPr>
        <w:pStyle w:val="Bulletleft1"/>
      </w:pPr>
      <w:r>
        <w:t>Define “hospital admission” to identify applicable patient populations</w:t>
      </w:r>
      <w:r w:rsidR="001A7CB0">
        <w:t>.</w:t>
      </w:r>
    </w:p>
    <w:p w14:paraId="5CE7A5A8" w14:textId="445AAB91" w:rsidR="001152FF" w:rsidRPr="00704948" w:rsidRDefault="001152FF" w:rsidP="00E2496D">
      <w:pPr>
        <w:pStyle w:val="Bulletleft1last"/>
      </w:pPr>
      <w:r>
        <w:t>Define “hospital associated thrombosis”</w:t>
      </w:r>
      <w:r w:rsidR="0071060B">
        <w:t>.</w:t>
      </w:r>
    </w:p>
    <w:p w14:paraId="6B726F45" w14:textId="77777777" w:rsidR="004F0733" w:rsidRPr="00E2496D" w:rsidRDefault="004F0733" w:rsidP="004F0733">
      <w:pPr>
        <w:pStyle w:val="Bulletleft1"/>
        <w:numPr>
          <w:ilvl w:val="0"/>
          <w:numId w:val="0"/>
        </w:numPr>
        <w:rPr>
          <w:rFonts w:cs="Arial"/>
        </w:rPr>
      </w:pPr>
      <w:r w:rsidRPr="00E2496D">
        <w:rPr>
          <w:rFonts w:cs="Arial"/>
        </w:rPr>
        <w:t>Equality and diversity considerations</w:t>
      </w:r>
    </w:p>
    <w:p w14:paraId="31AE6D3C" w14:textId="0870BF21" w:rsidR="00266A52" w:rsidRPr="008E2226" w:rsidRDefault="00266A52" w:rsidP="008E2226">
      <w:pPr>
        <w:pStyle w:val="Bulletleft1"/>
      </w:pPr>
      <w:r>
        <w:t>Add text on heparins being of animal origin</w:t>
      </w:r>
      <w:r w:rsidR="001A7CB0">
        <w:t>.</w:t>
      </w:r>
    </w:p>
    <w:p w14:paraId="549E127F" w14:textId="7CC9A86D" w:rsidR="00E2496D" w:rsidRPr="00E2496D" w:rsidRDefault="00A97FCE" w:rsidP="00E2496D">
      <w:pPr>
        <w:pStyle w:val="Bulletleft1last"/>
      </w:pPr>
      <w:r>
        <w:t>I</w:t>
      </w:r>
      <w:r w:rsidR="00E2496D" w:rsidRPr="00E2496D">
        <w:t xml:space="preserve">nformation should be given in a culturally appropriate way. </w:t>
      </w:r>
    </w:p>
    <w:p w14:paraId="4050A015" w14:textId="77777777" w:rsidR="004615CF" w:rsidRDefault="004615CF" w:rsidP="004615CF">
      <w:pPr>
        <w:pStyle w:val="Heading3"/>
      </w:pPr>
      <w:r>
        <w:t>Issues for consideration</w:t>
      </w:r>
    </w:p>
    <w:p w14:paraId="701A2D8D" w14:textId="5F4F5149" w:rsidR="004615CF" w:rsidRPr="00213F04" w:rsidRDefault="00213F04" w:rsidP="004615CF">
      <w:pPr>
        <w:pStyle w:val="Bulletleft1"/>
      </w:pPr>
      <w:r w:rsidRPr="00213F04">
        <w:t>D</w:t>
      </w:r>
      <w:r w:rsidR="0037659B" w:rsidRPr="00213F04">
        <w:t xml:space="preserve">oes the </w:t>
      </w:r>
      <w:r w:rsidR="00307899">
        <w:t>rationale</w:t>
      </w:r>
      <w:r w:rsidR="00307899" w:rsidRPr="00213F04">
        <w:t xml:space="preserve"> </w:t>
      </w:r>
      <w:r w:rsidR="0037659B" w:rsidRPr="00213F04">
        <w:t>wording need to be amended to clarify that 14 hours is the</w:t>
      </w:r>
      <w:r w:rsidRPr="00213F04">
        <w:t xml:space="preserve"> upper time limit?</w:t>
      </w:r>
    </w:p>
    <w:p w14:paraId="71965C91" w14:textId="77777777" w:rsidR="00266A52" w:rsidRPr="0037659B" w:rsidRDefault="00266A52" w:rsidP="00266A52">
      <w:pPr>
        <w:pStyle w:val="Bulletleft1"/>
      </w:pPr>
      <w:r>
        <w:t xml:space="preserve">Do we need to add detail on duration and dosing of </w:t>
      </w:r>
      <w:r w:rsidRPr="00EE1273">
        <w:t>pharmacological VTE prophylaxis</w:t>
      </w:r>
      <w:r>
        <w:t>?</w:t>
      </w:r>
    </w:p>
    <w:p w14:paraId="375277F4" w14:textId="3935B33A" w:rsidR="004615CF" w:rsidRDefault="003D0EF7" w:rsidP="004615CF">
      <w:pPr>
        <w:pStyle w:val="Bulletleft1"/>
      </w:pPr>
      <w:r>
        <w:t>Add</w:t>
      </w:r>
      <w:r w:rsidR="00A97FCE">
        <w:t xml:space="preserve"> the</w:t>
      </w:r>
      <w:r>
        <w:t xml:space="preserve"> definition of </w:t>
      </w:r>
      <w:r w:rsidR="00A97FCE">
        <w:t xml:space="preserve">hospital </w:t>
      </w:r>
      <w:r>
        <w:t>admi</w:t>
      </w:r>
      <w:r w:rsidR="00A97FCE">
        <w:t>ssion</w:t>
      </w:r>
      <w:r>
        <w:t xml:space="preserve"> from the guideline</w:t>
      </w:r>
      <w:r w:rsidR="00E9263F">
        <w:t>.</w:t>
      </w:r>
    </w:p>
    <w:p w14:paraId="1CF8B14B" w14:textId="77777777" w:rsidR="004615CF" w:rsidRPr="002F64F9" w:rsidRDefault="004615CF" w:rsidP="004615CF">
      <w:pPr>
        <w:pStyle w:val="Bulletleft1last"/>
        <w:numPr>
          <w:ilvl w:val="0"/>
          <w:numId w:val="0"/>
        </w:numPr>
        <w:rPr>
          <w:highlight w:val="cyan"/>
        </w:rPr>
      </w:pPr>
    </w:p>
    <w:p w14:paraId="6A0FE292" w14:textId="77777777" w:rsidR="00AC2051" w:rsidRDefault="00AC2051">
      <w:pPr>
        <w:rPr>
          <w:rFonts w:ascii="Arial" w:hAnsi="Arial" w:cs="Arial"/>
          <w:b/>
          <w:bCs/>
          <w:i/>
          <w:iCs/>
          <w:sz w:val="28"/>
          <w:szCs w:val="28"/>
        </w:rPr>
      </w:pPr>
      <w:r>
        <w:br w:type="page"/>
      </w:r>
    </w:p>
    <w:p w14:paraId="3342CD14" w14:textId="335F4CBE" w:rsidR="00DE6F78" w:rsidRDefault="00DE6F78" w:rsidP="00DE6F78">
      <w:pPr>
        <w:pStyle w:val="Numberedheading2"/>
        <w:numPr>
          <w:ilvl w:val="1"/>
          <w:numId w:val="1"/>
        </w:numPr>
        <w:spacing w:after="120" w:line="240" w:lineRule="auto"/>
      </w:pPr>
      <w:r>
        <w:lastRenderedPageBreak/>
        <w:t>Draft statement 2</w:t>
      </w:r>
    </w:p>
    <w:p w14:paraId="24C25747" w14:textId="359DD722" w:rsidR="00DE6F78" w:rsidRDefault="004615CF" w:rsidP="00DE6F78">
      <w:pPr>
        <w:pStyle w:val="NICEnormal"/>
      </w:pPr>
      <w:r w:rsidRPr="0081438E">
        <w:t xml:space="preserve">People aged 16 and over </w:t>
      </w:r>
      <w:r>
        <w:t>who are in</w:t>
      </w:r>
      <w:r w:rsidRPr="0081438E">
        <w:t xml:space="preserve"> hospital </w:t>
      </w:r>
      <w:r>
        <w:t>and</w:t>
      </w:r>
      <w:r w:rsidRPr="0081438E">
        <w:t xml:space="preserve"> assessed as needing anti-embolism stockings are supported to wear them correctly and have their use monitored.</w:t>
      </w:r>
      <w:r w:rsidRPr="0081438E">
        <w:rPr>
          <w:rFonts w:ascii="Times New Roman" w:hAnsi="Times New Roman"/>
          <w:b/>
        </w:rPr>
        <w:t xml:space="preserve"> </w:t>
      </w:r>
      <w:r w:rsidRPr="004D0AC0">
        <w:rPr>
          <w:b/>
        </w:rPr>
        <w:t>[20</w:t>
      </w:r>
      <w:r>
        <w:rPr>
          <w:b/>
        </w:rPr>
        <w:t>10</w:t>
      </w:r>
      <w:r w:rsidRPr="004D0AC0">
        <w:rPr>
          <w:b/>
        </w:rPr>
        <w:t>, updated 20</w:t>
      </w:r>
      <w:r>
        <w:rPr>
          <w:b/>
        </w:rPr>
        <w:t>21</w:t>
      </w:r>
      <w:r w:rsidRPr="004D0AC0">
        <w:rPr>
          <w:b/>
        </w:rPr>
        <w:t>]</w:t>
      </w:r>
      <w:r>
        <w:t xml:space="preserve"> </w:t>
      </w:r>
    </w:p>
    <w:p w14:paraId="4E9AFE8E" w14:textId="77777777" w:rsidR="00DE6F78" w:rsidRDefault="00DE6F78" w:rsidP="00DE6F78">
      <w:pPr>
        <w:pStyle w:val="Heading3"/>
      </w:pPr>
      <w:r>
        <w:t>Consultation comments</w:t>
      </w:r>
    </w:p>
    <w:p w14:paraId="2B247D88"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461BD691" w14:textId="77777777" w:rsidR="00B467AE" w:rsidRPr="008D176E" w:rsidRDefault="00B467AE" w:rsidP="00B467AE">
      <w:pPr>
        <w:pStyle w:val="Bulletleft1"/>
        <w:numPr>
          <w:ilvl w:val="0"/>
          <w:numId w:val="0"/>
        </w:numPr>
      </w:pPr>
      <w:r w:rsidRPr="008D176E">
        <w:t>Statement</w:t>
      </w:r>
    </w:p>
    <w:p w14:paraId="29BF882C" w14:textId="686115B9" w:rsidR="009A39DD" w:rsidRDefault="009A39DD" w:rsidP="009A39DD">
      <w:pPr>
        <w:pStyle w:val="Bulletleft1"/>
      </w:pPr>
      <w:r>
        <w:t xml:space="preserve">As the </w:t>
      </w:r>
      <w:r w:rsidR="00BE46B5" w:rsidRPr="00BE46B5">
        <w:t>Graduated compression stockings as adjuvant to pharmaco-thromboprophylaxis in elective surgical patients</w:t>
      </w:r>
      <w:r w:rsidR="00BE46B5">
        <w:t xml:space="preserve"> (</w:t>
      </w:r>
      <w:r>
        <w:t>GAPS study</w:t>
      </w:r>
      <w:r w:rsidR="00BE46B5">
        <w:t xml:space="preserve">) trial </w:t>
      </w:r>
      <w:r w:rsidR="004465A8">
        <w:t xml:space="preserve">has raised uncertainty over the </w:t>
      </w:r>
      <w:r>
        <w:t>use of stockings</w:t>
      </w:r>
      <w:r w:rsidR="004465A8">
        <w:t>,</w:t>
      </w:r>
      <w:r>
        <w:t xml:space="preserve"> </w:t>
      </w:r>
      <w:r w:rsidR="004465A8">
        <w:t>stakeholders suggested</w:t>
      </w:r>
      <w:r>
        <w:t xml:space="preserve"> the statement </w:t>
      </w:r>
      <w:r w:rsidR="004465A8">
        <w:t xml:space="preserve">is </w:t>
      </w:r>
      <w:r>
        <w:t>less important</w:t>
      </w:r>
      <w:r w:rsidR="004465A8">
        <w:t xml:space="preserve"> </w:t>
      </w:r>
      <w:r w:rsidR="0010223C">
        <w:t>and some suggested removing it</w:t>
      </w:r>
      <w:r w:rsidR="001A7CB0">
        <w:t>.</w:t>
      </w:r>
    </w:p>
    <w:p w14:paraId="25415DE7" w14:textId="6F8B5802" w:rsidR="009A39DD" w:rsidRDefault="00B467AE" w:rsidP="009A39DD">
      <w:pPr>
        <w:pStyle w:val="Bulletleft1"/>
      </w:pPr>
      <w:r w:rsidRPr="00B467AE">
        <w:t xml:space="preserve">Include </w:t>
      </w:r>
      <w:r w:rsidR="0010223C">
        <w:t xml:space="preserve">all types of mechanical thromboprophylaxis, including </w:t>
      </w:r>
      <w:r w:rsidR="0010223C" w:rsidRPr="00B467AE">
        <w:t>intermittent pneumatic compression device</w:t>
      </w:r>
      <w:r w:rsidR="00FB6BB5">
        <w:t>s and foot pumps</w:t>
      </w:r>
      <w:r w:rsidR="001A7CB0">
        <w:t>.</w:t>
      </w:r>
    </w:p>
    <w:p w14:paraId="1113F51C" w14:textId="25471574" w:rsidR="00FB6BB5" w:rsidRDefault="00FB6BB5" w:rsidP="00F46881">
      <w:pPr>
        <w:pStyle w:val="Bulletleft1last"/>
      </w:pPr>
      <w:r>
        <w:t>A statement on whether mechanical prophylaxis was clinically indicated with no contraindications present before offering it would have more impact</w:t>
      </w:r>
      <w:r w:rsidR="00F46881">
        <w:t>.</w:t>
      </w:r>
    </w:p>
    <w:p w14:paraId="5373192F" w14:textId="77777777" w:rsidR="00B467AE" w:rsidRPr="008D176E" w:rsidRDefault="00B467AE" w:rsidP="00B467AE">
      <w:pPr>
        <w:pStyle w:val="Bulletleft1"/>
        <w:numPr>
          <w:ilvl w:val="0"/>
          <w:numId w:val="0"/>
        </w:numPr>
      </w:pPr>
      <w:r w:rsidRPr="008D176E">
        <w:t>Measures</w:t>
      </w:r>
    </w:p>
    <w:p w14:paraId="019A0A2D" w14:textId="4FBC43F4" w:rsidR="00B467AE" w:rsidRDefault="00B467AE" w:rsidP="00B467AE">
      <w:pPr>
        <w:pStyle w:val="Bulletleft1"/>
      </w:pPr>
      <w:r>
        <w:t>Data can be collected locally by an audit</w:t>
      </w:r>
      <w:r w:rsidR="001A7CB0">
        <w:t>.</w:t>
      </w:r>
    </w:p>
    <w:p w14:paraId="461CEFE5" w14:textId="0487D1F8" w:rsidR="00B467AE" w:rsidRDefault="00B467AE" w:rsidP="00B467AE">
      <w:pPr>
        <w:pStyle w:val="Bulletleft1"/>
      </w:pPr>
      <w:r w:rsidRPr="00B467AE">
        <w:t>Data on staff training for compression hosiery should also be collected</w:t>
      </w:r>
      <w:r w:rsidR="001A7CB0">
        <w:t>.</w:t>
      </w:r>
    </w:p>
    <w:p w14:paraId="12CCFBA2" w14:textId="698EC0E7" w:rsidR="00B467AE" w:rsidRDefault="00B467AE" w:rsidP="00B467AE">
      <w:pPr>
        <w:pStyle w:val="Bulletleft1"/>
      </w:pPr>
      <w:r>
        <w:t>Collecting data on people being shown how to use stockings correctly could be challenging</w:t>
      </w:r>
      <w:r w:rsidR="001A7CB0">
        <w:t>.</w:t>
      </w:r>
    </w:p>
    <w:p w14:paraId="1B4B4DF5" w14:textId="248B4565" w:rsidR="006E1AC2" w:rsidRDefault="006E1AC2" w:rsidP="006E1AC2">
      <w:pPr>
        <w:pStyle w:val="Bulletleft1"/>
      </w:pPr>
      <w:r>
        <w:t>Clarify how patient satisfaction should be measured</w:t>
      </w:r>
      <w:r w:rsidR="001A7CB0">
        <w:t>.</w:t>
      </w:r>
    </w:p>
    <w:p w14:paraId="21BB70A7" w14:textId="2EDD82A6" w:rsidR="00B467AE" w:rsidRDefault="00B467AE" w:rsidP="00AC2051">
      <w:pPr>
        <w:pStyle w:val="Bulletleft1last"/>
      </w:pPr>
      <w:r>
        <w:t>There might be a reduction in DVT incidence that would give a cost reduction.</w:t>
      </w:r>
    </w:p>
    <w:p w14:paraId="21A5985E" w14:textId="25FB94FA" w:rsidR="00B467AE" w:rsidRPr="001152FF" w:rsidRDefault="00B467AE" w:rsidP="00B467AE">
      <w:pPr>
        <w:pStyle w:val="Bulletleft1"/>
        <w:numPr>
          <w:ilvl w:val="0"/>
          <w:numId w:val="0"/>
        </w:numPr>
      </w:pPr>
      <w:r w:rsidRPr="001152FF">
        <w:t>Audience descriptors</w:t>
      </w:r>
    </w:p>
    <w:p w14:paraId="68D30D29" w14:textId="49B5B983" w:rsidR="00B467AE" w:rsidRPr="001152FF" w:rsidRDefault="00B467AE" w:rsidP="00B467AE">
      <w:pPr>
        <w:pStyle w:val="Bulletleft1last"/>
      </w:pPr>
      <w:r>
        <w:t>Service providers should also ensure that staff are trained in applying stockings</w:t>
      </w:r>
      <w:r w:rsidR="0071060B">
        <w:t>.</w:t>
      </w:r>
    </w:p>
    <w:p w14:paraId="5A74CD54" w14:textId="77777777" w:rsidR="00B467AE" w:rsidRPr="00704948" w:rsidRDefault="00B467AE" w:rsidP="00B467AE">
      <w:pPr>
        <w:pStyle w:val="Bulletleft1"/>
        <w:numPr>
          <w:ilvl w:val="0"/>
          <w:numId w:val="0"/>
        </w:numPr>
      </w:pPr>
      <w:r w:rsidRPr="00704948">
        <w:t>Definitions</w:t>
      </w:r>
    </w:p>
    <w:p w14:paraId="4DF602AE" w14:textId="0DF2079D" w:rsidR="00B467AE" w:rsidRDefault="0071060B" w:rsidP="00B467AE">
      <w:pPr>
        <w:pStyle w:val="Bulletleft1"/>
      </w:pPr>
      <w:r>
        <w:t>Additional g</w:t>
      </w:r>
      <w:r w:rsidR="00B467AE">
        <w:t>roups that should be included in the definition of “</w:t>
      </w:r>
      <w:r w:rsidR="00B467AE" w:rsidRPr="00B467AE">
        <w:t>Assessed as needing anti-embolism stockings</w:t>
      </w:r>
      <w:r w:rsidR="00B467AE">
        <w:t>” were</w:t>
      </w:r>
      <w:r w:rsidR="009A39DD">
        <w:t xml:space="preserve"> suggested, including pregnancy and postpartum patients</w:t>
      </w:r>
      <w:r w:rsidR="001A7CB0">
        <w:t>.</w:t>
      </w:r>
    </w:p>
    <w:p w14:paraId="43A7121B" w14:textId="191AD64C" w:rsidR="009A39DD" w:rsidRDefault="009A39DD" w:rsidP="00B467AE">
      <w:pPr>
        <w:pStyle w:val="Bulletleft1"/>
      </w:pPr>
      <w:r>
        <w:lastRenderedPageBreak/>
        <w:t xml:space="preserve">Skin condition should be inspected </w:t>
      </w:r>
      <w:r w:rsidR="00FB6BB5">
        <w:t xml:space="preserve">daily </w:t>
      </w:r>
      <w:r>
        <w:t>and stockings removed once a day and not worn continuously</w:t>
      </w:r>
      <w:r w:rsidR="001A7CB0">
        <w:t>.</w:t>
      </w:r>
    </w:p>
    <w:p w14:paraId="21AAD964" w14:textId="359BE74B" w:rsidR="009A39DD" w:rsidRDefault="009A39DD" w:rsidP="00B467AE">
      <w:pPr>
        <w:pStyle w:val="Bulletleft1"/>
      </w:pPr>
      <w:r>
        <w:t>The stockings should</w:t>
      </w:r>
      <w:r w:rsidR="006E1AC2">
        <w:t xml:space="preserve"> be measured to ensure they provide support</w:t>
      </w:r>
      <w:r w:rsidR="001A7CB0">
        <w:t>.</w:t>
      </w:r>
    </w:p>
    <w:p w14:paraId="31A5862C" w14:textId="6F2BADB4" w:rsidR="006E1AC2" w:rsidRDefault="006E1AC2" w:rsidP="00AC2051">
      <w:pPr>
        <w:pStyle w:val="Bulletleft1last"/>
      </w:pPr>
      <w:r>
        <w:t>Include education, training and support and problem solving for when people are reluctant to wear the</w:t>
      </w:r>
      <w:r w:rsidR="00352259">
        <w:t xml:space="preserve"> stockings</w:t>
      </w:r>
      <w:r>
        <w:t xml:space="preserve"> in the definition of “support to wear them correctly”</w:t>
      </w:r>
      <w:r w:rsidR="0071060B">
        <w:t>.</w:t>
      </w:r>
    </w:p>
    <w:p w14:paraId="3F3AF706" w14:textId="77777777" w:rsidR="006E1AC2" w:rsidRPr="00E2496D" w:rsidRDefault="006E1AC2" w:rsidP="006E1AC2">
      <w:pPr>
        <w:pStyle w:val="Bulletleft1"/>
        <w:numPr>
          <w:ilvl w:val="0"/>
          <w:numId w:val="0"/>
        </w:numPr>
        <w:rPr>
          <w:rFonts w:cs="Arial"/>
        </w:rPr>
      </w:pPr>
      <w:r w:rsidRPr="00E2496D">
        <w:rPr>
          <w:rFonts w:cs="Arial"/>
        </w:rPr>
        <w:t>Equality and diversity considerations</w:t>
      </w:r>
    </w:p>
    <w:p w14:paraId="54237E8A" w14:textId="67E33EC2" w:rsidR="006E1AC2" w:rsidRPr="008E2226" w:rsidRDefault="006E1AC2" w:rsidP="00AC2051">
      <w:pPr>
        <w:pStyle w:val="Bulletleft1last"/>
      </w:pPr>
      <w:r>
        <w:t>Include considerations for people who lack the mental capacity to make decisions</w:t>
      </w:r>
      <w:r w:rsidR="0071060B">
        <w:t>.</w:t>
      </w:r>
    </w:p>
    <w:p w14:paraId="50658E6B" w14:textId="77777777" w:rsidR="004615CF" w:rsidRDefault="004615CF" w:rsidP="004615CF">
      <w:pPr>
        <w:pStyle w:val="Heading3"/>
      </w:pPr>
      <w:r>
        <w:t>Issues for consideration</w:t>
      </w:r>
    </w:p>
    <w:p w14:paraId="631584EC" w14:textId="2466938C" w:rsidR="004615CF" w:rsidRDefault="004615CF" w:rsidP="004615CF">
      <w:pPr>
        <w:pStyle w:val="Bulletleft1"/>
      </w:pPr>
      <w:r w:rsidRPr="0071060B">
        <w:t>Progress this statement to the final quality standard?</w:t>
      </w:r>
    </w:p>
    <w:p w14:paraId="0E372393" w14:textId="2E397EFF" w:rsidR="00213F04" w:rsidRPr="0071060B" w:rsidRDefault="00213F04" w:rsidP="004615CF">
      <w:pPr>
        <w:pStyle w:val="Bulletleft1"/>
      </w:pPr>
      <w:r>
        <w:t>Expand the statement to include all types of mechanical prophylaxis?</w:t>
      </w:r>
    </w:p>
    <w:p w14:paraId="306C938E" w14:textId="457C4A6F" w:rsidR="004615CF" w:rsidRPr="0071060B" w:rsidRDefault="00B8539D" w:rsidP="004615CF">
      <w:pPr>
        <w:pStyle w:val="Bulletleft1"/>
      </w:pPr>
      <w:r>
        <w:t>A</w:t>
      </w:r>
      <w:r w:rsidR="0071060B" w:rsidRPr="0071060B">
        <w:t>dd more detail to the definition</w:t>
      </w:r>
      <w:r w:rsidR="00FB6BB5">
        <w:t>s</w:t>
      </w:r>
      <w:r w:rsidR="00BE46B5">
        <w:t xml:space="preserve"> of the population and support</w:t>
      </w:r>
      <w:r>
        <w:t>.</w:t>
      </w:r>
    </w:p>
    <w:p w14:paraId="481D9EBB" w14:textId="77777777" w:rsidR="00AC2051" w:rsidRDefault="00AC2051">
      <w:pPr>
        <w:rPr>
          <w:rFonts w:ascii="Arial" w:hAnsi="Arial" w:cs="Arial"/>
          <w:b/>
          <w:bCs/>
          <w:i/>
          <w:iCs/>
          <w:sz w:val="28"/>
          <w:szCs w:val="28"/>
        </w:rPr>
      </w:pPr>
      <w:r>
        <w:br w:type="page"/>
      </w:r>
    </w:p>
    <w:p w14:paraId="4F74A3D7" w14:textId="52815EC5" w:rsidR="004615CF" w:rsidRDefault="004615CF" w:rsidP="004615CF">
      <w:pPr>
        <w:pStyle w:val="Numberedheading2"/>
        <w:numPr>
          <w:ilvl w:val="1"/>
          <w:numId w:val="1"/>
        </w:numPr>
        <w:spacing w:after="120" w:line="240" w:lineRule="auto"/>
      </w:pPr>
      <w:r>
        <w:lastRenderedPageBreak/>
        <w:t>Draft statement 3</w:t>
      </w:r>
    </w:p>
    <w:p w14:paraId="48BE469F" w14:textId="07CFDEBD" w:rsidR="004615CF" w:rsidRDefault="004615CF" w:rsidP="004615CF">
      <w:pPr>
        <w:pStyle w:val="NICEnormal"/>
      </w:pPr>
      <w:r>
        <w:t xml:space="preserve">People aged 18 and over </w:t>
      </w:r>
      <w:r w:rsidRPr="0094653F">
        <w:t xml:space="preserve">with a </w:t>
      </w:r>
      <w:r>
        <w:t>deep vein thrombosis (DVT) Wells score of 2 points or more</w:t>
      </w:r>
      <w:r w:rsidRPr="0094653F" w:rsidDel="00C44CDB">
        <w:t xml:space="preserve"> </w:t>
      </w:r>
      <w:r>
        <w:t>have</w:t>
      </w:r>
      <w:r w:rsidRPr="0094653F">
        <w:t xml:space="preserve"> a proximal leg vein ultrasound scan within 4</w:t>
      </w:r>
      <w:r>
        <w:t> </w:t>
      </w:r>
      <w:r w:rsidRPr="0094653F">
        <w:t>hours</w:t>
      </w:r>
      <w:r>
        <w:t xml:space="preserve"> of it being requested. </w:t>
      </w:r>
      <w:r w:rsidRPr="0094653F">
        <w:rPr>
          <w:b/>
        </w:rPr>
        <w:t>[2013, updated 2021]</w:t>
      </w:r>
      <w:r>
        <w:t xml:space="preserve"> </w:t>
      </w:r>
    </w:p>
    <w:p w14:paraId="46A82D0F" w14:textId="77777777" w:rsidR="004615CF" w:rsidRDefault="004615CF" w:rsidP="004615CF">
      <w:pPr>
        <w:pStyle w:val="Heading3"/>
      </w:pPr>
      <w:r>
        <w:t>Consultation comments</w:t>
      </w:r>
    </w:p>
    <w:p w14:paraId="3CD5767C" w14:textId="5E90616C" w:rsidR="004615CF" w:rsidRPr="002B40C4" w:rsidRDefault="004615CF" w:rsidP="004615CF">
      <w:pPr>
        <w:pStyle w:val="NICEnormal"/>
      </w:pPr>
      <w:r w:rsidRPr="002B40C4">
        <w:t xml:space="preserve">Stakeholders made the following comments </w:t>
      </w:r>
      <w:r>
        <w:t xml:space="preserve">in relation to draft statement </w:t>
      </w:r>
      <w:r w:rsidR="00EE2567">
        <w:t>3</w:t>
      </w:r>
      <w:r w:rsidRPr="002B40C4">
        <w:t>:</w:t>
      </w:r>
    </w:p>
    <w:p w14:paraId="1F5343FA" w14:textId="77777777" w:rsidR="00EE2567" w:rsidRPr="008D176E" w:rsidRDefault="00EE2567" w:rsidP="00EE2567">
      <w:pPr>
        <w:pStyle w:val="Bulletleft1"/>
        <w:numPr>
          <w:ilvl w:val="0"/>
          <w:numId w:val="0"/>
        </w:numPr>
      </w:pPr>
      <w:r w:rsidRPr="008D176E">
        <w:t>Statement</w:t>
      </w:r>
    </w:p>
    <w:p w14:paraId="7A49F44E" w14:textId="16103C28" w:rsidR="00EE2567" w:rsidRDefault="000C6369" w:rsidP="00EE2567">
      <w:pPr>
        <w:pStyle w:val="Bulletleft1"/>
      </w:pPr>
      <w:r w:rsidRPr="000C6369">
        <w:t>Limiting the ultrasound to the proximal leg vein will miss patients with ileo-femoral DVT, which ha</w:t>
      </w:r>
      <w:r w:rsidR="009731F0">
        <w:t>s</w:t>
      </w:r>
      <w:r w:rsidRPr="000C6369">
        <w:t xml:space="preserve"> the poorest outcomes</w:t>
      </w:r>
      <w:r>
        <w:t xml:space="preserve">. Extend the statement to confluence of the </w:t>
      </w:r>
      <w:r w:rsidR="00352259">
        <w:t>inferior vena cava</w:t>
      </w:r>
      <w:r w:rsidR="001A7CB0">
        <w:t>.</w:t>
      </w:r>
    </w:p>
    <w:p w14:paraId="09C4A98E" w14:textId="0FC09C95" w:rsidR="00352259" w:rsidRDefault="00352259" w:rsidP="00352259">
      <w:pPr>
        <w:pStyle w:val="Bulletleft1"/>
      </w:pPr>
      <w:r>
        <w:t>Delays in pulmonary embolism (PE) management are more frequent and life threatening: change the statement to cover time to imaging for PE or interim anticoagulation within one hour of clinical suspicion for people with suspected PE</w:t>
      </w:r>
      <w:r w:rsidR="001A7CB0">
        <w:t>.</w:t>
      </w:r>
    </w:p>
    <w:p w14:paraId="3225531D" w14:textId="6B43B64D" w:rsidR="000C6369" w:rsidRDefault="000C6369" w:rsidP="00EE2567">
      <w:pPr>
        <w:pStyle w:val="Bulletleft1"/>
      </w:pPr>
      <w:r>
        <w:t>Delivering a scan within 4 hours is un</w:t>
      </w:r>
      <w:r w:rsidR="00486EC1">
        <w:t>achievable</w:t>
      </w:r>
      <w:r>
        <w:t xml:space="preserve"> and providing a 24/7 ultrasound service would have a significant and unjustifiable cost</w:t>
      </w:r>
      <w:r w:rsidR="001A7CB0">
        <w:t>.</w:t>
      </w:r>
    </w:p>
    <w:p w14:paraId="4B29D45F" w14:textId="1FB58E54" w:rsidR="00352259" w:rsidRDefault="00352259" w:rsidP="00352259">
      <w:pPr>
        <w:pStyle w:val="Bulletleft1"/>
      </w:pPr>
      <w:r>
        <w:t>Extend the timeframe to 24 hours as this is a reasonable expectation and would limit heparin treatment to a single dose before diagnosis</w:t>
      </w:r>
      <w:r w:rsidR="001A7CB0">
        <w:t>.</w:t>
      </w:r>
    </w:p>
    <w:p w14:paraId="249EBEA3" w14:textId="1321E4CA" w:rsidR="00D43CEE" w:rsidRDefault="00D43CEE" w:rsidP="00D43CEE">
      <w:pPr>
        <w:pStyle w:val="Bulletleft1"/>
      </w:pPr>
      <w:r>
        <w:t>Offering i</w:t>
      </w:r>
      <w:r w:rsidRPr="00FE07BC">
        <w:t xml:space="preserve">nterim anticoagulation therapy if </w:t>
      </w:r>
      <w:r>
        <w:t xml:space="preserve">the wait will be </w:t>
      </w:r>
      <w:r w:rsidRPr="00FE07BC">
        <w:t>more than 4 hours for a proximal leg vein ultrasound</w:t>
      </w:r>
      <w:r>
        <w:t xml:space="preserve"> is more achievable and appropriate</w:t>
      </w:r>
      <w:r w:rsidR="001A7CB0">
        <w:t>.</w:t>
      </w:r>
    </w:p>
    <w:p w14:paraId="307E66DB" w14:textId="1652DCAC" w:rsidR="00A502E7" w:rsidRDefault="00A502E7" w:rsidP="00A502E7">
      <w:pPr>
        <w:pStyle w:val="Bulletleft1"/>
      </w:pPr>
      <w:r>
        <w:t>Booking a scan and prescribing appropriate treatment should be the priority</w:t>
      </w:r>
      <w:r w:rsidR="001A7CB0">
        <w:t>.</w:t>
      </w:r>
    </w:p>
    <w:p w14:paraId="0C1E51C5" w14:textId="03E86A4F" w:rsidR="00FC7BA5" w:rsidRDefault="00FC7BA5" w:rsidP="00EE2567">
      <w:pPr>
        <w:pStyle w:val="Bulletleft1"/>
      </w:pPr>
      <w:r>
        <w:t>Multiple factors affect the time between assessment and scan, including travel time, patient transport, time of day and specialist capacity</w:t>
      </w:r>
      <w:r w:rsidR="001A7CB0">
        <w:t>.</w:t>
      </w:r>
    </w:p>
    <w:p w14:paraId="2DF2CED4" w14:textId="0643188B" w:rsidR="00FE07BC" w:rsidRDefault="000C6369" w:rsidP="00EE2567">
      <w:pPr>
        <w:pStyle w:val="Bulletleft1"/>
      </w:pPr>
      <w:r>
        <w:t>Most acute units use ambulatory care pathways to provide a booked appointment for a scan to patients to improve patient experience</w:t>
      </w:r>
      <w:r w:rsidR="001E7CB4">
        <w:t>. This statement could push investigations back into secondary care, which will not improve experience</w:t>
      </w:r>
      <w:r w:rsidR="001A7CB0">
        <w:t>.</w:t>
      </w:r>
    </w:p>
    <w:p w14:paraId="680AE50A" w14:textId="571136AE" w:rsidR="00486EC1" w:rsidRDefault="002362C1" w:rsidP="00EE2567">
      <w:pPr>
        <w:pStyle w:val="Bulletleft1"/>
      </w:pPr>
      <w:r>
        <w:t>Include</w:t>
      </w:r>
      <w:r w:rsidR="00FE07BC" w:rsidRPr="00FE07BC">
        <w:t xml:space="preserve"> review of anticoagulation following imaging diagnosis</w:t>
      </w:r>
      <w:r w:rsidR="001A7CB0">
        <w:t>.</w:t>
      </w:r>
    </w:p>
    <w:p w14:paraId="6214E5A3" w14:textId="4A6B952A" w:rsidR="00FC7BA5" w:rsidRDefault="00FE07BC" w:rsidP="00FC7BA5">
      <w:pPr>
        <w:pStyle w:val="Bulletleft1"/>
      </w:pPr>
      <w:r w:rsidRPr="00AC2051">
        <w:t>The statement does not specify the timescale for treatment following a positive scan result</w:t>
      </w:r>
      <w:r w:rsidR="001A7CB0">
        <w:t>.</w:t>
      </w:r>
    </w:p>
    <w:p w14:paraId="3450EAFA" w14:textId="4DCF1D19" w:rsidR="00EE2567" w:rsidRPr="00AC2051" w:rsidRDefault="00FC7BA5" w:rsidP="00AC2051">
      <w:pPr>
        <w:pStyle w:val="Bulletleft1last"/>
      </w:pPr>
      <w:r>
        <w:t>Clarify whether d-dimer testing should be near-patient testing or blood tests</w:t>
      </w:r>
      <w:r w:rsidR="00AC2051" w:rsidRPr="00AC2051">
        <w:t>.</w:t>
      </w:r>
    </w:p>
    <w:p w14:paraId="3DE6CF27" w14:textId="77777777" w:rsidR="00A502E7" w:rsidRDefault="00A502E7" w:rsidP="00EE2567">
      <w:pPr>
        <w:pStyle w:val="Bulletleft1"/>
        <w:numPr>
          <w:ilvl w:val="0"/>
          <w:numId w:val="0"/>
        </w:numPr>
      </w:pPr>
    </w:p>
    <w:p w14:paraId="50094C7A" w14:textId="7C3CA730" w:rsidR="00EE2567" w:rsidRPr="008D176E" w:rsidRDefault="00EE2567" w:rsidP="00EE2567">
      <w:pPr>
        <w:pStyle w:val="Bulletleft1"/>
        <w:numPr>
          <w:ilvl w:val="0"/>
          <w:numId w:val="0"/>
        </w:numPr>
      </w:pPr>
      <w:r w:rsidRPr="008D176E">
        <w:lastRenderedPageBreak/>
        <w:t>Measures</w:t>
      </w:r>
    </w:p>
    <w:p w14:paraId="0FC7B758" w14:textId="1C4651F0" w:rsidR="00EE2567" w:rsidRDefault="00EE2567" w:rsidP="00EE2567">
      <w:pPr>
        <w:pStyle w:val="Bulletleft1"/>
      </w:pPr>
      <w:r>
        <w:t>Data can be collected locally by an audit</w:t>
      </w:r>
      <w:r w:rsidR="001A7CB0">
        <w:t>.</w:t>
      </w:r>
    </w:p>
    <w:p w14:paraId="63294734" w14:textId="3C5EBA10" w:rsidR="007C2475" w:rsidRDefault="007C2475" w:rsidP="00AC2051">
      <w:pPr>
        <w:pStyle w:val="Bulletleft1last"/>
      </w:pPr>
      <w:r>
        <w:t>Data will be difficult to collect on achieving the 4 hour timeframe due to relying on accurate coding of the Wells score and recording time of assessment</w:t>
      </w:r>
      <w:r w:rsidR="00AC2051">
        <w:t>.</w:t>
      </w:r>
    </w:p>
    <w:p w14:paraId="4D30A481" w14:textId="77777777" w:rsidR="00EE2567" w:rsidRPr="001152FF" w:rsidRDefault="00EE2567" w:rsidP="00EE2567">
      <w:pPr>
        <w:pStyle w:val="Bulletleft1"/>
        <w:numPr>
          <w:ilvl w:val="0"/>
          <w:numId w:val="0"/>
        </w:numPr>
      </w:pPr>
      <w:r w:rsidRPr="001152FF">
        <w:t>Audience descriptors</w:t>
      </w:r>
    </w:p>
    <w:p w14:paraId="5E23CA6B" w14:textId="1B96849A" w:rsidR="00EE2567" w:rsidRDefault="00EE2567" w:rsidP="001E7CB4">
      <w:pPr>
        <w:pStyle w:val="Bulletleft1"/>
      </w:pPr>
      <w:r>
        <w:t xml:space="preserve">Service providers would need to ensure that </w:t>
      </w:r>
      <w:r w:rsidRPr="00EE2567">
        <w:t>pathways are in place for scans to be done within 4 hours</w:t>
      </w:r>
      <w:r w:rsidR="009731F0">
        <w:t>,</w:t>
      </w:r>
      <w:r w:rsidRPr="00EE2567">
        <w:t xml:space="preserve"> and if this is not possible, within 24 hours</w:t>
      </w:r>
      <w:r w:rsidR="001A7CB0">
        <w:t>.</w:t>
      </w:r>
    </w:p>
    <w:p w14:paraId="7301C9B3" w14:textId="43DE663A" w:rsidR="00101D27" w:rsidRDefault="00101D27" w:rsidP="001E7CB4">
      <w:pPr>
        <w:pStyle w:val="Bulletleft1"/>
      </w:pPr>
      <w:r>
        <w:t>Pathways need to include guidance on interim anticoagulation</w:t>
      </w:r>
      <w:r w:rsidR="001A7CB0">
        <w:t>.</w:t>
      </w:r>
    </w:p>
    <w:p w14:paraId="17A424B8" w14:textId="4604A220" w:rsidR="00F95773" w:rsidRDefault="00F95773" w:rsidP="00F95773">
      <w:pPr>
        <w:pStyle w:val="Bulletleft1"/>
      </w:pPr>
      <w:r>
        <w:t>Investment in education and training would be needed to achieve the statement as there is a national shortage of staff</w:t>
      </w:r>
      <w:r w:rsidR="001A7CB0">
        <w:t>.</w:t>
      </w:r>
    </w:p>
    <w:p w14:paraId="21EF2D1E" w14:textId="3ACC8469" w:rsidR="00FE07BC" w:rsidRDefault="007C2475" w:rsidP="001E7CB4">
      <w:pPr>
        <w:pStyle w:val="Bulletleft1"/>
      </w:pPr>
      <w:r>
        <w:t>I</w:t>
      </w:r>
      <w:r w:rsidR="00FE07BC" w:rsidRPr="00FE07BC">
        <w:t>ndicate prioritisation of imaging and radiology services</w:t>
      </w:r>
      <w:r w:rsidR="00FC7BA5">
        <w:t xml:space="preserve">, </w:t>
      </w:r>
      <w:r w:rsidR="00FE07BC" w:rsidRPr="00FE07BC">
        <w:t>equipment</w:t>
      </w:r>
      <w:r w:rsidR="00FC7BA5">
        <w:t xml:space="preserve"> and </w:t>
      </w:r>
      <w:r w:rsidR="00FE07BC" w:rsidRPr="00FE07BC">
        <w:t>personnel to support th</w:t>
      </w:r>
      <w:r w:rsidR="00FC7BA5">
        <w:t>e</w:t>
      </w:r>
      <w:r w:rsidR="00FE07BC" w:rsidRPr="00FE07BC">
        <w:t xml:space="preserve"> implementation of this statement</w:t>
      </w:r>
      <w:r w:rsidR="001A7CB0">
        <w:t>.</w:t>
      </w:r>
    </w:p>
    <w:p w14:paraId="0579E58A" w14:textId="5300815E" w:rsidR="00FC7BA5" w:rsidRDefault="00DF6226" w:rsidP="001E7CB4">
      <w:pPr>
        <w:pStyle w:val="Bulletleft1"/>
      </w:pPr>
      <w:r>
        <w:t>There is no detail on who performs the scan</w:t>
      </w:r>
      <w:r w:rsidR="001A7CB0">
        <w:t>.</w:t>
      </w:r>
    </w:p>
    <w:p w14:paraId="6EC691A4" w14:textId="03F0995A" w:rsidR="007C2475" w:rsidRPr="001152FF" w:rsidRDefault="007C2475" w:rsidP="00EE2567">
      <w:pPr>
        <w:pStyle w:val="Bulletleft1last"/>
      </w:pPr>
      <w:r>
        <w:t>Using “doctor” in the patient audience descriptor may be misleading as this w</w:t>
      </w:r>
      <w:r w:rsidR="000530DB">
        <w:t>i</w:t>
      </w:r>
      <w:r>
        <w:t>ll be an advanced practice role</w:t>
      </w:r>
      <w:r w:rsidR="00AC2051">
        <w:t>.</w:t>
      </w:r>
    </w:p>
    <w:p w14:paraId="21A095E1" w14:textId="702BAED2" w:rsidR="004615CF" w:rsidRDefault="004615CF" w:rsidP="004615CF">
      <w:pPr>
        <w:pStyle w:val="Heading3"/>
      </w:pPr>
      <w:r w:rsidRPr="00F56503">
        <w:t xml:space="preserve">Consultation </w:t>
      </w:r>
      <w:r>
        <w:t>question 4</w:t>
      </w:r>
    </w:p>
    <w:p w14:paraId="28A2AE62" w14:textId="4C5288DD" w:rsidR="004615CF" w:rsidRPr="00660F4E" w:rsidRDefault="004615CF" w:rsidP="004615CF">
      <w:pPr>
        <w:pStyle w:val="NICEnormal"/>
      </w:pPr>
      <w:r>
        <w:t>Stakeholders made the following comments in relation to consultation question 4:</w:t>
      </w:r>
    </w:p>
    <w:p w14:paraId="5C6EDD33" w14:textId="556FC917" w:rsidR="004615CF" w:rsidRDefault="00EE2567" w:rsidP="004615CF">
      <w:pPr>
        <w:pStyle w:val="Bulletleft1"/>
      </w:pPr>
      <w:r>
        <w:t xml:space="preserve">Delays </w:t>
      </w:r>
      <w:r w:rsidR="004F62A4">
        <w:t xml:space="preserve">from requesting the scan </w:t>
      </w:r>
      <w:r>
        <w:t>are uncommon</w:t>
      </w:r>
      <w:r w:rsidR="001A7CB0">
        <w:t>.</w:t>
      </w:r>
    </w:p>
    <w:p w14:paraId="31C2253E" w14:textId="3C825E4F" w:rsidR="002362C1" w:rsidRDefault="002362C1" w:rsidP="004615CF">
      <w:pPr>
        <w:pStyle w:val="Bulletleft1"/>
      </w:pPr>
      <w:r>
        <w:t>Delays can result from a lack of clinical information, such as Wells score, and staff having to chase this up to prioritise scans</w:t>
      </w:r>
      <w:r w:rsidR="001A7CB0">
        <w:t>.</w:t>
      </w:r>
    </w:p>
    <w:p w14:paraId="75DA3F62" w14:textId="7068C634" w:rsidR="000C6369" w:rsidRDefault="004F62A4" w:rsidP="004615CF">
      <w:pPr>
        <w:pStyle w:val="Bulletleft1"/>
      </w:pPr>
      <w:r>
        <w:t>D</w:t>
      </w:r>
      <w:r w:rsidR="000C6369">
        <w:t xml:space="preserve">elays </w:t>
      </w:r>
      <w:r>
        <w:t xml:space="preserve">are </w:t>
      </w:r>
      <w:r w:rsidR="000C6369">
        <w:t>in performing the scan, such as over the weekend</w:t>
      </w:r>
      <w:r w:rsidR="00486EC1">
        <w:t xml:space="preserve"> and out of office hours</w:t>
      </w:r>
      <w:r w:rsidR="001A7CB0">
        <w:t>.</w:t>
      </w:r>
    </w:p>
    <w:p w14:paraId="085250AC" w14:textId="77777777" w:rsidR="004615CF" w:rsidRDefault="004615CF" w:rsidP="004615CF">
      <w:pPr>
        <w:pStyle w:val="Heading3"/>
      </w:pPr>
      <w:r>
        <w:t>Issues for consideration</w:t>
      </w:r>
    </w:p>
    <w:p w14:paraId="58ED9BB8" w14:textId="6E8C94C4" w:rsidR="004615CF" w:rsidRDefault="0071060B" w:rsidP="004615CF">
      <w:pPr>
        <w:pStyle w:val="Bulletleft1"/>
      </w:pPr>
      <w:r w:rsidRPr="0071060B">
        <w:t>Change the timeframe to 24 hours?</w:t>
      </w:r>
    </w:p>
    <w:p w14:paraId="22340F7A" w14:textId="157A9A3D" w:rsidR="004F62A4" w:rsidRPr="0071060B" w:rsidRDefault="004F62A4" w:rsidP="004615CF">
      <w:pPr>
        <w:pStyle w:val="Bulletleft1"/>
      </w:pPr>
      <w:r>
        <w:t>Change the statement to focus on what to do if the scan will take longer than 4 hours?</w:t>
      </w:r>
    </w:p>
    <w:p w14:paraId="056914DB" w14:textId="549867CD" w:rsidR="004615CF" w:rsidRPr="00011934" w:rsidRDefault="000530DB" w:rsidP="000530DB">
      <w:pPr>
        <w:pStyle w:val="Bulletleft1"/>
      </w:pPr>
      <w:r w:rsidRPr="000530DB">
        <w:t>Change the focus to people with suspected PE?</w:t>
      </w:r>
    </w:p>
    <w:p w14:paraId="4C7FBF13" w14:textId="77777777" w:rsidR="00AC2051" w:rsidRDefault="00AC2051">
      <w:pPr>
        <w:rPr>
          <w:rFonts w:ascii="Arial" w:hAnsi="Arial" w:cs="Arial"/>
          <w:b/>
          <w:bCs/>
          <w:i/>
          <w:iCs/>
          <w:sz w:val="28"/>
          <w:szCs w:val="28"/>
        </w:rPr>
      </w:pPr>
      <w:r>
        <w:br w:type="page"/>
      </w:r>
    </w:p>
    <w:p w14:paraId="3D8FBE46" w14:textId="1914C2BE" w:rsidR="004615CF" w:rsidRDefault="004615CF" w:rsidP="004615CF">
      <w:pPr>
        <w:pStyle w:val="Numberedheading2"/>
        <w:numPr>
          <w:ilvl w:val="1"/>
          <w:numId w:val="1"/>
        </w:numPr>
        <w:spacing w:after="120" w:line="240" w:lineRule="auto"/>
      </w:pPr>
      <w:r>
        <w:lastRenderedPageBreak/>
        <w:t>Draft statement 4</w:t>
      </w:r>
    </w:p>
    <w:p w14:paraId="4E835A45" w14:textId="00055C54" w:rsidR="004615CF" w:rsidRDefault="004615CF" w:rsidP="004615CF">
      <w:pPr>
        <w:pStyle w:val="NICEnormal"/>
      </w:pPr>
      <w:r>
        <w:t>People aged 18 and over</w:t>
      </w:r>
      <w:r w:rsidRPr="001F388F">
        <w:t xml:space="preserve"> taking anticoagulation treatment </w:t>
      </w:r>
      <w:r>
        <w:t xml:space="preserve">after a VTE </w:t>
      </w:r>
      <w:r w:rsidRPr="001F388F">
        <w:t>have a review</w:t>
      </w:r>
      <w:r>
        <w:t xml:space="preserve"> after 3 months and then at least once a year if they continue to take it long-term</w:t>
      </w:r>
      <w:r w:rsidRPr="001F388F">
        <w:t xml:space="preserve">. </w:t>
      </w:r>
      <w:bookmarkStart w:id="1" w:name="_Hlk55319115"/>
      <w:r w:rsidRPr="0094653F">
        <w:rPr>
          <w:b/>
        </w:rPr>
        <w:t>[2013, updated 2021]</w:t>
      </w:r>
      <w:bookmarkEnd w:id="1"/>
      <w:r>
        <w:t xml:space="preserve"> </w:t>
      </w:r>
    </w:p>
    <w:p w14:paraId="202AF6EA" w14:textId="77777777" w:rsidR="004615CF" w:rsidRDefault="004615CF" w:rsidP="004615CF">
      <w:pPr>
        <w:pStyle w:val="Heading3"/>
      </w:pPr>
      <w:r>
        <w:t>Consultation comments</w:t>
      </w:r>
    </w:p>
    <w:p w14:paraId="2B4F2D6D" w14:textId="571FC528" w:rsidR="004615CF" w:rsidRPr="002B40C4" w:rsidRDefault="004615CF" w:rsidP="004615CF">
      <w:pPr>
        <w:pStyle w:val="NICEnormal"/>
      </w:pPr>
      <w:r w:rsidRPr="002B40C4">
        <w:t xml:space="preserve">Stakeholders made the following comments </w:t>
      </w:r>
      <w:r>
        <w:t xml:space="preserve">in relation to draft statement </w:t>
      </w:r>
      <w:r w:rsidR="001E7CB4">
        <w:t>4</w:t>
      </w:r>
      <w:r w:rsidRPr="002B40C4">
        <w:t>:</w:t>
      </w:r>
    </w:p>
    <w:p w14:paraId="04063E9D" w14:textId="77777777" w:rsidR="00AC2051" w:rsidRDefault="001E7CB4" w:rsidP="000530DB">
      <w:pPr>
        <w:pStyle w:val="Bulletleft1"/>
        <w:numPr>
          <w:ilvl w:val="0"/>
          <w:numId w:val="0"/>
        </w:numPr>
        <w:ind w:left="284" w:hanging="284"/>
      </w:pPr>
      <w:r w:rsidRPr="008D176E">
        <w:t>Statement</w:t>
      </w:r>
    </w:p>
    <w:p w14:paraId="154948F8" w14:textId="7E8899FF" w:rsidR="001E7CB4" w:rsidRDefault="001E7CB4" w:rsidP="00AC2051">
      <w:pPr>
        <w:pStyle w:val="Bulletleft1"/>
      </w:pPr>
      <w:r>
        <w:t>The statement could offer potential cost saving through increased efficiency from streamlining the review</w:t>
      </w:r>
      <w:r w:rsidR="001A7CB0">
        <w:t>.</w:t>
      </w:r>
    </w:p>
    <w:p w14:paraId="21FFB9C6" w14:textId="5988B50F" w:rsidR="001E7CB4" w:rsidRDefault="001E7CB4" w:rsidP="001E7CB4">
      <w:pPr>
        <w:pStyle w:val="Bulletleft1"/>
      </w:pPr>
      <w:r>
        <w:t>The review should be “at” 3 months rather than “after”</w:t>
      </w:r>
      <w:r w:rsidR="001A7CB0">
        <w:t>.</w:t>
      </w:r>
    </w:p>
    <w:p w14:paraId="10C2796A" w14:textId="6C96F02A" w:rsidR="001E7CB4" w:rsidRDefault="001E7CB4" w:rsidP="001E7CB4">
      <w:pPr>
        <w:pStyle w:val="Bulletleft1"/>
      </w:pPr>
      <w:r>
        <w:t>There should also be a review at 6 months</w:t>
      </w:r>
      <w:r w:rsidR="001A7CB0">
        <w:t>.</w:t>
      </w:r>
    </w:p>
    <w:p w14:paraId="56AEA2A4" w14:textId="758874CA" w:rsidR="004F62A4" w:rsidRDefault="004F62A4" w:rsidP="004F62A4">
      <w:pPr>
        <w:pStyle w:val="Bulletleft1"/>
      </w:pPr>
      <w:r>
        <w:t>Include people with active cancer and extend the period for review to 3 to 6 months</w:t>
      </w:r>
      <w:r w:rsidR="001A7CB0">
        <w:t>.</w:t>
      </w:r>
    </w:p>
    <w:p w14:paraId="0734F0FB" w14:textId="0EF55B34" w:rsidR="001E7CB4" w:rsidRDefault="001E7CB4" w:rsidP="001E7CB4">
      <w:pPr>
        <w:pStyle w:val="Bulletleft1"/>
      </w:pPr>
      <w:r>
        <w:t>T</w:t>
      </w:r>
      <w:r w:rsidRPr="001E7CB4">
        <w:t>he sta</w:t>
      </w:r>
      <w:r>
        <w:t>tement</w:t>
      </w:r>
      <w:r w:rsidRPr="001E7CB4">
        <w:t xml:space="preserve"> could be limited to those where a clear treatment decision has not been made at the point of VTE diagnosis</w:t>
      </w:r>
      <w:r>
        <w:t xml:space="preserve"> to avoid </w:t>
      </w:r>
      <w:r w:rsidR="00820072">
        <w:t>unnecessary reviews for people with a clear anticoagulation strategy (long-term or short-term)</w:t>
      </w:r>
      <w:r w:rsidR="001A7CB0">
        <w:t>.</w:t>
      </w:r>
    </w:p>
    <w:p w14:paraId="246C08B7" w14:textId="75B88A11" w:rsidR="00820072" w:rsidRDefault="00820072" w:rsidP="001E7CB4">
      <w:pPr>
        <w:pStyle w:val="Bulletleft1"/>
      </w:pPr>
      <w:r>
        <w:t>It will be difficult to identify patients who require a review at 3 months when their care has transferred to primary care</w:t>
      </w:r>
      <w:r w:rsidR="001A7CB0">
        <w:t>.</w:t>
      </w:r>
    </w:p>
    <w:p w14:paraId="49252148" w14:textId="6EC9BF78" w:rsidR="00170587" w:rsidRDefault="00820072" w:rsidP="004F62A4">
      <w:pPr>
        <w:pStyle w:val="Bulletleft1last"/>
      </w:pPr>
      <w:r>
        <w:t>Annual review will require considerable resources</w:t>
      </w:r>
      <w:r w:rsidR="00170587">
        <w:t>. Many centres do not have capacity and it would fall on primary care</w:t>
      </w:r>
      <w:r w:rsidR="00213F04">
        <w:t>.</w:t>
      </w:r>
    </w:p>
    <w:p w14:paraId="0CA027E7" w14:textId="78DB6F49" w:rsidR="001E7CB4" w:rsidRPr="008D176E" w:rsidRDefault="001E7CB4" w:rsidP="001E7CB4">
      <w:pPr>
        <w:pStyle w:val="Bulletleft1"/>
        <w:numPr>
          <w:ilvl w:val="0"/>
          <w:numId w:val="0"/>
        </w:numPr>
      </w:pPr>
      <w:r w:rsidRPr="008D176E">
        <w:t>Measures</w:t>
      </w:r>
    </w:p>
    <w:p w14:paraId="77277652" w14:textId="4395A683" w:rsidR="001E7CB4" w:rsidRDefault="001E7CB4" w:rsidP="001E7CB4">
      <w:pPr>
        <w:pStyle w:val="Bulletleft1"/>
      </w:pPr>
      <w:r>
        <w:t>Data can be collected locally by an audit</w:t>
      </w:r>
      <w:r w:rsidR="001A7CB0">
        <w:t>.</w:t>
      </w:r>
    </w:p>
    <w:p w14:paraId="2BB3B686" w14:textId="5F21BEA3" w:rsidR="00170587" w:rsidRDefault="00170587" w:rsidP="00170587">
      <w:pPr>
        <w:pStyle w:val="Bulletleft1"/>
      </w:pPr>
      <w:r>
        <w:t>Clear coding of “review of VTE” will be needed to measure numbers of reviews, or else manual audit of notes will be needed</w:t>
      </w:r>
      <w:r w:rsidR="001A7CB0">
        <w:t>.</w:t>
      </w:r>
    </w:p>
    <w:p w14:paraId="286DF12C" w14:textId="2C9B6542" w:rsidR="00170587" w:rsidRDefault="00170587" w:rsidP="00170587">
      <w:pPr>
        <w:pStyle w:val="Bulletleft1"/>
      </w:pPr>
      <w:r>
        <w:t>Systems for recall of patients for review varies between practices, so decisions about local data collection will need to consider this</w:t>
      </w:r>
      <w:r w:rsidR="001A7CB0">
        <w:t>.</w:t>
      </w:r>
    </w:p>
    <w:p w14:paraId="36386D29" w14:textId="608859FC" w:rsidR="001E7CB4" w:rsidRDefault="001E7CB4" w:rsidP="001E7CB4">
      <w:pPr>
        <w:pStyle w:val="Bulletleft1"/>
      </w:pPr>
      <w:r w:rsidRPr="001E7CB4">
        <w:t xml:space="preserve">Pathways would need to be put into place </w:t>
      </w:r>
      <w:r>
        <w:t>that</w:t>
      </w:r>
      <w:r w:rsidRPr="001E7CB4">
        <w:t xml:space="preserve"> indicate which clinical team </w:t>
      </w:r>
      <w:r w:rsidR="00A45DCD">
        <w:t>is</w:t>
      </w:r>
      <w:r w:rsidRPr="001E7CB4">
        <w:t xml:space="preserve"> responsible for </w:t>
      </w:r>
      <w:r w:rsidR="00A45DCD">
        <w:t xml:space="preserve">arranging </w:t>
      </w:r>
      <w:r w:rsidRPr="001E7CB4">
        <w:t>the review</w:t>
      </w:r>
      <w:r w:rsidR="001A7CB0">
        <w:t>.</w:t>
      </w:r>
    </w:p>
    <w:p w14:paraId="7BEE4F59" w14:textId="69F0FD8C" w:rsidR="00170587" w:rsidRDefault="00170587" w:rsidP="00170587">
      <w:pPr>
        <w:pStyle w:val="Bulletleft1"/>
      </w:pPr>
      <w:r>
        <w:t>Consideration will b</w:t>
      </w:r>
      <w:r w:rsidR="000530DB">
        <w:t>e</w:t>
      </w:r>
      <w:r>
        <w:t xml:space="preserve"> needed of how to measure this for people not engaged with healthcare systems, such as those not registered with a GP</w:t>
      </w:r>
      <w:r w:rsidR="001A7CB0">
        <w:t>.</w:t>
      </w:r>
    </w:p>
    <w:p w14:paraId="1E8534BF" w14:textId="5EC45FEA" w:rsidR="001E7CB4" w:rsidRDefault="001E7CB4" w:rsidP="00AC2051">
      <w:pPr>
        <w:pStyle w:val="Bulletleft1last"/>
      </w:pPr>
      <w:r>
        <w:lastRenderedPageBreak/>
        <w:t>Outcomes should include clinical outcomes and adverse events management, such as bleeding risks</w:t>
      </w:r>
      <w:r w:rsidR="00AC2051">
        <w:t>.</w:t>
      </w:r>
    </w:p>
    <w:p w14:paraId="4A780C32" w14:textId="71B56697" w:rsidR="00820072" w:rsidRDefault="00820072" w:rsidP="00820072">
      <w:pPr>
        <w:pStyle w:val="Bulletleft1"/>
        <w:numPr>
          <w:ilvl w:val="0"/>
          <w:numId w:val="0"/>
        </w:numPr>
        <w:ind w:left="284" w:hanging="284"/>
      </w:pPr>
      <w:r>
        <w:t>Audience descriptor</w:t>
      </w:r>
      <w:r w:rsidR="00AC2051">
        <w:t>s</w:t>
      </w:r>
    </w:p>
    <w:p w14:paraId="3F1853D1" w14:textId="49FC9D8A" w:rsidR="00820072" w:rsidRDefault="000530DB" w:rsidP="00820072">
      <w:pPr>
        <w:pStyle w:val="Bulletleft1"/>
      </w:pPr>
      <w:r>
        <w:t>Queries about w</w:t>
      </w:r>
      <w:r w:rsidR="00820072">
        <w:t xml:space="preserve">ho should do </w:t>
      </w:r>
      <w:r>
        <w:t>each</w:t>
      </w:r>
      <w:r w:rsidR="00820072">
        <w:t xml:space="preserve"> review</w:t>
      </w:r>
      <w:r>
        <w:t>:</w:t>
      </w:r>
      <w:r w:rsidR="00820072">
        <w:t xml:space="preserve"> a GP, a specialist or an anticoagulation service</w:t>
      </w:r>
      <w:r w:rsidR="004F62A4">
        <w:t>.</w:t>
      </w:r>
      <w:r>
        <w:t xml:space="preserve"> VTE specialists were suggested for the 3 month review and GPs for the annual review.</w:t>
      </w:r>
    </w:p>
    <w:p w14:paraId="42AC2198" w14:textId="5D3BDE5E" w:rsidR="00820072" w:rsidRDefault="00820072" w:rsidP="00820072">
      <w:pPr>
        <w:pStyle w:val="Bulletleft1"/>
      </w:pPr>
      <w:r>
        <w:t>The review might be impractical in secondary care</w:t>
      </w:r>
      <w:r w:rsidR="001A7CB0">
        <w:t>.</w:t>
      </w:r>
    </w:p>
    <w:p w14:paraId="1589D25B" w14:textId="5CCE9550" w:rsidR="00F94FA8" w:rsidRDefault="00F94FA8" w:rsidP="00820072">
      <w:pPr>
        <w:pStyle w:val="Bulletleft1"/>
      </w:pPr>
      <w:r>
        <w:t>Specialists should advise GPs and patients about whether short or long-term treatment is needed</w:t>
      </w:r>
      <w:r w:rsidR="001A7CB0">
        <w:t>.</w:t>
      </w:r>
    </w:p>
    <w:p w14:paraId="63C74548" w14:textId="7C42FDBE" w:rsidR="000530DB" w:rsidRDefault="000530DB" w:rsidP="000530DB">
      <w:pPr>
        <w:pStyle w:val="Bulletleft1"/>
      </w:pPr>
      <w:r>
        <w:t>Patients should be told about the review and who will do it when medication is initiated or on the discharge summary</w:t>
      </w:r>
      <w:r w:rsidR="001A7CB0">
        <w:t>.</w:t>
      </w:r>
    </w:p>
    <w:p w14:paraId="6EB9C04F" w14:textId="7B98B0D7" w:rsidR="000530DB" w:rsidRDefault="000530DB" w:rsidP="000530DB">
      <w:pPr>
        <w:pStyle w:val="Bulletleft1last"/>
      </w:pPr>
      <w:r>
        <w:t>Patients need to be aware of the need to monitor d</w:t>
      </w:r>
      <w:r w:rsidRPr="001E7CB4">
        <w:t xml:space="preserve">irect </w:t>
      </w:r>
      <w:r>
        <w:t>o</w:t>
      </w:r>
      <w:r w:rsidRPr="001E7CB4">
        <w:t xml:space="preserve">ral </w:t>
      </w:r>
      <w:r>
        <w:t>a</w:t>
      </w:r>
      <w:r w:rsidRPr="001E7CB4">
        <w:t>nticoagulants</w:t>
      </w:r>
      <w:r>
        <w:t>.</w:t>
      </w:r>
    </w:p>
    <w:p w14:paraId="2BC512F4" w14:textId="51897A4B" w:rsidR="007274DE" w:rsidRDefault="007274DE" w:rsidP="007274DE">
      <w:pPr>
        <w:pStyle w:val="Bulletleft1"/>
        <w:numPr>
          <w:ilvl w:val="0"/>
          <w:numId w:val="0"/>
        </w:numPr>
        <w:ind w:left="284" w:hanging="284"/>
      </w:pPr>
      <w:r w:rsidRPr="007274DE">
        <w:t>Definitions</w:t>
      </w:r>
    </w:p>
    <w:p w14:paraId="22256424" w14:textId="05C448D1" w:rsidR="007274DE" w:rsidRDefault="007274DE" w:rsidP="007274DE">
      <w:pPr>
        <w:pStyle w:val="Bulletleft1last"/>
      </w:pPr>
      <w:r>
        <w:t>Identify the progress the person feels they have made and their wishes in the reviews.</w:t>
      </w:r>
    </w:p>
    <w:p w14:paraId="572D98A7" w14:textId="77777777" w:rsidR="00AC2051" w:rsidRPr="00E2496D" w:rsidRDefault="00AC2051" w:rsidP="00AC2051">
      <w:pPr>
        <w:pStyle w:val="Bulletleft1"/>
        <w:numPr>
          <w:ilvl w:val="0"/>
          <w:numId w:val="0"/>
        </w:numPr>
        <w:ind w:left="284" w:hanging="284"/>
      </w:pPr>
      <w:r w:rsidRPr="00E2496D">
        <w:t>Equality and diversity considerations</w:t>
      </w:r>
    </w:p>
    <w:p w14:paraId="7A8EE756" w14:textId="310D6081" w:rsidR="00170587" w:rsidRDefault="00170587" w:rsidP="00170587">
      <w:pPr>
        <w:pStyle w:val="Bulletleft1"/>
      </w:pPr>
      <w:r>
        <w:t>Remove the text about heparins being of animal origin and move it to statement 1</w:t>
      </w:r>
      <w:r w:rsidR="001A7CB0">
        <w:t>.</w:t>
      </w:r>
    </w:p>
    <w:p w14:paraId="5171AE4E" w14:textId="693BFFB7" w:rsidR="007274DE" w:rsidRDefault="007274DE" w:rsidP="00170587">
      <w:pPr>
        <w:pStyle w:val="Bulletleft1"/>
      </w:pPr>
      <w:r>
        <w:t>Consider those who need support to access ongoing services, such as people receiving care, people with cognitive impairment or who do not speak English as a first language</w:t>
      </w:r>
      <w:r w:rsidR="001A7CB0">
        <w:t>.</w:t>
      </w:r>
    </w:p>
    <w:p w14:paraId="574DC860" w14:textId="18D4C9D7" w:rsidR="00170587" w:rsidRDefault="00170587" w:rsidP="00AC2051">
      <w:pPr>
        <w:pStyle w:val="Bulletleft1last"/>
      </w:pPr>
      <w:r>
        <w:t>Include the role of families and carers in the discussion about alternatives to heparin</w:t>
      </w:r>
      <w:r w:rsidR="00AC2051">
        <w:t>.</w:t>
      </w:r>
    </w:p>
    <w:p w14:paraId="396B4CFD" w14:textId="77777777" w:rsidR="004615CF" w:rsidRDefault="004615CF" w:rsidP="004615CF">
      <w:pPr>
        <w:pStyle w:val="Heading3"/>
      </w:pPr>
      <w:r>
        <w:t>Issues for consideration</w:t>
      </w:r>
    </w:p>
    <w:p w14:paraId="64754692" w14:textId="4CC35FB2" w:rsidR="004615CF" w:rsidRDefault="000530DB" w:rsidP="004615CF">
      <w:pPr>
        <w:pStyle w:val="Bulletleft1"/>
      </w:pPr>
      <w:r w:rsidRPr="000530DB">
        <w:t>Include people with active cancer in the statement</w:t>
      </w:r>
      <w:r w:rsidR="004615CF" w:rsidRPr="000530DB">
        <w:t>?</w:t>
      </w:r>
    </w:p>
    <w:p w14:paraId="7E3B084D" w14:textId="2E88873C" w:rsidR="00213F04" w:rsidRDefault="00213F04" w:rsidP="004615CF">
      <w:pPr>
        <w:pStyle w:val="Bulletleft1"/>
      </w:pPr>
      <w:r>
        <w:t xml:space="preserve">Change the statement wording to clarify that the 3 month review is </w:t>
      </w:r>
      <w:r w:rsidR="009731F0">
        <w:t>“</w:t>
      </w:r>
      <w:r>
        <w:t>at</w:t>
      </w:r>
      <w:r w:rsidR="009731F0">
        <w:t>”</w:t>
      </w:r>
      <w:r>
        <w:t xml:space="preserve"> 3 months?</w:t>
      </w:r>
    </w:p>
    <w:p w14:paraId="3545E4DC" w14:textId="2002294E" w:rsidR="00AC2051" w:rsidRPr="00975E2D" w:rsidRDefault="00266A52" w:rsidP="00975E2D">
      <w:pPr>
        <w:pStyle w:val="Bulletleft1"/>
      </w:pPr>
      <w:r>
        <w:t xml:space="preserve">Add </w:t>
      </w:r>
      <w:r w:rsidR="00975E2D">
        <w:t>more detail and clarity on who does each review</w:t>
      </w:r>
      <w:r>
        <w:t xml:space="preserve"> and where the reviews are carried out.</w:t>
      </w:r>
      <w:r w:rsidR="00AC2051">
        <w:br w:type="page"/>
      </w:r>
    </w:p>
    <w:p w14:paraId="498C1A24" w14:textId="364FFA66" w:rsidR="004615CF" w:rsidRDefault="004615CF" w:rsidP="004615CF">
      <w:pPr>
        <w:pStyle w:val="Numberedheading2"/>
        <w:numPr>
          <w:ilvl w:val="1"/>
          <w:numId w:val="1"/>
        </w:numPr>
        <w:spacing w:after="120" w:line="240" w:lineRule="auto"/>
      </w:pPr>
      <w:r>
        <w:lastRenderedPageBreak/>
        <w:t>Draft statement 5</w:t>
      </w:r>
    </w:p>
    <w:p w14:paraId="1ED3BCE8" w14:textId="387EC87A" w:rsidR="004615CF" w:rsidRDefault="004615CF" w:rsidP="004615CF">
      <w:pPr>
        <w:pStyle w:val="NICEnormal"/>
      </w:pPr>
      <w:r>
        <w:t xml:space="preserve">People aged 18 and over </w:t>
      </w:r>
      <w:r w:rsidRPr="00FA26F7">
        <w:t xml:space="preserve">having outpatient treatment for suspected or confirmed low-risk </w:t>
      </w:r>
      <w:r>
        <w:t>pulmonary embolism (PE)</w:t>
      </w:r>
      <w:r w:rsidRPr="00FA26F7">
        <w:t xml:space="preserve"> have </w:t>
      </w:r>
      <w:r>
        <w:t xml:space="preserve">an agreed plan for monitoring and follow-up. </w:t>
      </w:r>
      <w:r w:rsidRPr="00FA26F7">
        <w:rPr>
          <w:b/>
        </w:rPr>
        <w:t>[new 2021]</w:t>
      </w:r>
      <w:r>
        <w:t xml:space="preserve"> </w:t>
      </w:r>
    </w:p>
    <w:p w14:paraId="3C02E45A" w14:textId="77777777" w:rsidR="004615CF" w:rsidRDefault="004615CF" w:rsidP="004615CF">
      <w:pPr>
        <w:pStyle w:val="Heading3"/>
      </w:pPr>
      <w:r>
        <w:t>Consultation comments</w:t>
      </w:r>
    </w:p>
    <w:p w14:paraId="55FF22E4" w14:textId="38F61146" w:rsidR="004615CF" w:rsidRPr="002B40C4" w:rsidRDefault="004615CF" w:rsidP="004615CF">
      <w:pPr>
        <w:pStyle w:val="NICEnormal"/>
      </w:pPr>
      <w:r w:rsidRPr="002B40C4">
        <w:t xml:space="preserve">Stakeholders made the following comments </w:t>
      </w:r>
      <w:r>
        <w:t xml:space="preserve">in relation to draft statement </w:t>
      </w:r>
      <w:r w:rsidR="009731F0">
        <w:t>5</w:t>
      </w:r>
      <w:r w:rsidRPr="002B40C4">
        <w:t>:</w:t>
      </w:r>
    </w:p>
    <w:p w14:paraId="6937C39D" w14:textId="17DB7434" w:rsidR="00AE3A05" w:rsidRPr="00AC2051" w:rsidRDefault="00AE3A05" w:rsidP="00AC2051">
      <w:pPr>
        <w:pStyle w:val="Bulletleft1"/>
        <w:numPr>
          <w:ilvl w:val="0"/>
          <w:numId w:val="0"/>
        </w:numPr>
        <w:ind w:left="284" w:hanging="284"/>
      </w:pPr>
      <w:r>
        <w:t>Statement</w:t>
      </w:r>
    </w:p>
    <w:p w14:paraId="724F9D7B" w14:textId="3DCDFAEE" w:rsidR="0028629C" w:rsidRDefault="0028629C" w:rsidP="00AE3A05">
      <w:pPr>
        <w:pStyle w:val="Bulletleft1"/>
      </w:pPr>
      <w:r>
        <w:t>People with low-risk PE are less likely to need follow-up, so this does not reflect a key area</w:t>
      </w:r>
      <w:r w:rsidR="00817840">
        <w:t xml:space="preserve"> for development</w:t>
      </w:r>
      <w:r w:rsidR="001A7CB0">
        <w:t>.</w:t>
      </w:r>
    </w:p>
    <w:p w14:paraId="5C0B4300" w14:textId="53017D86" w:rsidR="00262891" w:rsidRDefault="00262891" w:rsidP="00AE3A05">
      <w:pPr>
        <w:pStyle w:val="Bulletleft1"/>
      </w:pPr>
      <w:r w:rsidRPr="00AE3A05">
        <w:t>There should also be a monitoring and follow-up plan for patients who are intermediate and high risk of dying due to PE</w:t>
      </w:r>
      <w:r w:rsidR="001A7CB0">
        <w:t>.</w:t>
      </w:r>
    </w:p>
    <w:p w14:paraId="741187EA" w14:textId="76F6258B" w:rsidR="00A874AC" w:rsidRDefault="00A874AC" w:rsidP="00AE3A05">
      <w:pPr>
        <w:pStyle w:val="Bulletleft1"/>
      </w:pPr>
      <w:r>
        <w:t>The statement is unclear. Does it cover the period after diagnosis until a patient is seen in an anticoagulation clinic? Or long-term follow-up at 3 months, or the immediate care of the patient?</w:t>
      </w:r>
    </w:p>
    <w:p w14:paraId="6F118C33" w14:textId="738E963B" w:rsidR="00AE3A05" w:rsidRDefault="004F62A4" w:rsidP="00262891">
      <w:pPr>
        <w:pStyle w:val="Bulletleft1last"/>
      </w:pPr>
      <w:r>
        <w:t>The statement will be difficult to measure. Change it to measure provision of information on how and when to seek further medical attention</w:t>
      </w:r>
      <w:r w:rsidR="00262891">
        <w:t>.</w:t>
      </w:r>
    </w:p>
    <w:p w14:paraId="682FF7C6" w14:textId="77777777" w:rsidR="00166A47" w:rsidRDefault="00166A47" w:rsidP="00AC2051">
      <w:pPr>
        <w:pStyle w:val="Bulletleft1"/>
        <w:numPr>
          <w:ilvl w:val="0"/>
          <w:numId w:val="0"/>
        </w:numPr>
        <w:ind w:left="284" w:hanging="284"/>
      </w:pPr>
      <w:r w:rsidRPr="00166A47">
        <w:t>Rationale</w:t>
      </w:r>
    </w:p>
    <w:p w14:paraId="110FE025" w14:textId="1A9F3138" w:rsidR="00166A47" w:rsidRPr="00166A47" w:rsidRDefault="00166A47" w:rsidP="00166A47">
      <w:pPr>
        <w:pStyle w:val="Bulletleft1last"/>
      </w:pPr>
      <w:r w:rsidRPr="00166A47">
        <w:t>Is the statement about measuring against hospital care or about supporting the best possible evidence-based care?</w:t>
      </w:r>
    </w:p>
    <w:p w14:paraId="03E86E7E" w14:textId="20810657" w:rsidR="00AE3A05" w:rsidRDefault="00AE3A05" w:rsidP="00AC2051">
      <w:pPr>
        <w:pStyle w:val="Bulletleft1"/>
        <w:numPr>
          <w:ilvl w:val="0"/>
          <w:numId w:val="0"/>
        </w:numPr>
        <w:ind w:left="284" w:hanging="284"/>
      </w:pPr>
      <w:r>
        <w:t>Measures</w:t>
      </w:r>
    </w:p>
    <w:p w14:paraId="5CE3E4E5" w14:textId="64661DE3" w:rsidR="00166A47" w:rsidRDefault="00166A47" w:rsidP="00AE3A05">
      <w:pPr>
        <w:pStyle w:val="Bulletleft1"/>
      </w:pPr>
      <w:r>
        <w:t>Should the structure measure be measuring availability or provision of information</w:t>
      </w:r>
      <w:r w:rsidR="009731F0">
        <w:t>?</w:t>
      </w:r>
    </w:p>
    <w:p w14:paraId="521BDDA2" w14:textId="171E79DB" w:rsidR="00166A47" w:rsidRDefault="00166A47" w:rsidP="00AE3A05">
      <w:pPr>
        <w:pStyle w:val="Bulletleft1"/>
      </w:pPr>
      <w:r>
        <w:t>Pathways need to be evidence-based and relevant</w:t>
      </w:r>
      <w:r w:rsidR="001A7CB0">
        <w:t>.</w:t>
      </w:r>
    </w:p>
    <w:p w14:paraId="5AC0F7A9" w14:textId="07357C5C" w:rsidR="001B05F0" w:rsidRDefault="001B05F0" w:rsidP="00AE3A05">
      <w:pPr>
        <w:pStyle w:val="Bulletleft1"/>
      </w:pPr>
      <w:r>
        <w:t>Follow-up data will be hard to collect as it requires an audit</w:t>
      </w:r>
      <w:r w:rsidR="001A7CB0">
        <w:t>.</w:t>
      </w:r>
    </w:p>
    <w:p w14:paraId="66A249F3" w14:textId="29F098EF" w:rsidR="00AE3A05" w:rsidRDefault="00AE3A05" w:rsidP="00AE3A05">
      <w:pPr>
        <w:pStyle w:val="Bulletleft1"/>
      </w:pPr>
      <w:r>
        <w:t xml:space="preserve">An audit </w:t>
      </w:r>
      <w:r w:rsidR="00142A1F">
        <w:t>to measure whether the agreed plan worked and achieved what was intended would be beneficial</w:t>
      </w:r>
      <w:r w:rsidR="001A7CB0">
        <w:t>.</w:t>
      </w:r>
    </w:p>
    <w:p w14:paraId="520ADC6C" w14:textId="3C9586C6" w:rsidR="00166A47" w:rsidRDefault="00166A47" w:rsidP="00AE3A05">
      <w:pPr>
        <w:pStyle w:val="Bulletleft1"/>
      </w:pPr>
      <w:r>
        <w:t>Consideration is required of how to measure this for patient groups not fully engaged with healthcare systems</w:t>
      </w:r>
      <w:r w:rsidR="001A7CB0">
        <w:t>.</w:t>
      </w:r>
    </w:p>
    <w:p w14:paraId="5F5395CE" w14:textId="29385C10" w:rsidR="00AE3A05" w:rsidRDefault="00AE3A05" w:rsidP="00AE3A05">
      <w:pPr>
        <w:pStyle w:val="Bulletleft1"/>
      </w:pPr>
      <w:r>
        <w:t>The outcome measure should specify that admissions are related to PE management</w:t>
      </w:r>
      <w:r w:rsidR="001A7CB0">
        <w:t>.</w:t>
      </w:r>
    </w:p>
    <w:p w14:paraId="10DCFE6A" w14:textId="6B37A420" w:rsidR="00AE3A05" w:rsidRDefault="00AE3A05" w:rsidP="00AC2051">
      <w:pPr>
        <w:pStyle w:val="Bulletleft1last"/>
      </w:pPr>
      <w:r>
        <w:lastRenderedPageBreak/>
        <w:t xml:space="preserve">Patients might be admitted via </w:t>
      </w:r>
      <w:r w:rsidRPr="00AE3A05">
        <w:t>ambulatory care pathways</w:t>
      </w:r>
      <w:r>
        <w:t>, so the outcome measure is confusing</w:t>
      </w:r>
      <w:r w:rsidR="00AC2051">
        <w:t>.</w:t>
      </w:r>
    </w:p>
    <w:p w14:paraId="374FB9C9" w14:textId="607A1300" w:rsidR="001B05F0" w:rsidRDefault="001B05F0" w:rsidP="00AE3A05">
      <w:pPr>
        <w:pStyle w:val="Bulletleft1"/>
        <w:numPr>
          <w:ilvl w:val="0"/>
          <w:numId w:val="0"/>
        </w:numPr>
        <w:ind w:left="284" w:hanging="284"/>
      </w:pPr>
      <w:r>
        <w:t>Audience descriptors</w:t>
      </w:r>
    </w:p>
    <w:p w14:paraId="4637C5EF" w14:textId="7D2ADAEB" w:rsidR="001B05F0" w:rsidRDefault="001B05F0" w:rsidP="00886F8E">
      <w:pPr>
        <w:pStyle w:val="Bulletleft1"/>
      </w:pPr>
      <w:r>
        <w:t>Who is responsible for clinical review, the prescriber, the anticoagulant clinic or the acute medicine team?</w:t>
      </w:r>
    </w:p>
    <w:p w14:paraId="701D5C15" w14:textId="7230A37B" w:rsidR="00886F8E" w:rsidRDefault="00886F8E" w:rsidP="00886F8E">
      <w:pPr>
        <w:pStyle w:val="Bulletleft1last"/>
      </w:pPr>
      <w:r>
        <w:t xml:space="preserve">Delivering this locally will require </w:t>
      </w:r>
      <w:r w:rsidRPr="00AE3A05">
        <w:t>greater investment in staff, clinic space and radiological imaging support</w:t>
      </w:r>
      <w:r w:rsidR="001A7CB0">
        <w:t>.</w:t>
      </w:r>
    </w:p>
    <w:p w14:paraId="22CB982D" w14:textId="0F3C79D7" w:rsidR="00AE3A05" w:rsidRDefault="00AE3A05" w:rsidP="00AC2051">
      <w:pPr>
        <w:pStyle w:val="Bulletleft1"/>
        <w:numPr>
          <w:ilvl w:val="0"/>
          <w:numId w:val="0"/>
        </w:numPr>
        <w:ind w:left="284" w:hanging="284"/>
      </w:pPr>
      <w:r>
        <w:t>Definitions</w:t>
      </w:r>
    </w:p>
    <w:p w14:paraId="1F91C10E" w14:textId="7599AF67" w:rsidR="00AE3A05" w:rsidRDefault="00AE3A05" w:rsidP="00AC2051">
      <w:pPr>
        <w:pStyle w:val="Bulletleft1last"/>
      </w:pPr>
      <w:r>
        <w:t xml:space="preserve">There is no definition of the characteristics of the </w:t>
      </w:r>
      <w:r w:rsidR="00AC2051">
        <w:t>“</w:t>
      </w:r>
      <w:r>
        <w:t>suspected</w:t>
      </w:r>
      <w:r w:rsidR="00AC2051">
        <w:t>”</w:t>
      </w:r>
      <w:r>
        <w:t xml:space="preserve"> group</w:t>
      </w:r>
      <w:r w:rsidR="00AC2051">
        <w:t>.</w:t>
      </w:r>
    </w:p>
    <w:p w14:paraId="7313E286" w14:textId="77777777" w:rsidR="00AC2051" w:rsidRPr="00E2496D" w:rsidRDefault="00AC2051" w:rsidP="00AC2051">
      <w:pPr>
        <w:pStyle w:val="Bulletleft1"/>
        <w:numPr>
          <w:ilvl w:val="0"/>
          <w:numId w:val="0"/>
        </w:numPr>
        <w:ind w:left="284" w:hanging="284"/>
      </w:pPr>
      <w:r w:rsidRPr="00E2496D">
        <w:t>Equality and diversity considerations</w:t>
      </w:r>
    </w:p>
    <w:p w14:paraId="32150B39" w14:textId="70FD4C97" w:rsidR="00975E2D" w:rsidRDefault="001B05F0" w:rsidP="00975E2D">
      <w:pPr>
        <w:pStyle w:val="Bulletleft1"/>
      </w:pPr>
      <w:r>
        <w:t>Consider groups who may need additional support</w:t>
      </w:r>
      <w:r w:rsidR="00EA7049">
        <w:t>.</w:t>
      </w:r>
    </w:p>
    <w:p w14:paraId="07A73C1F" w14:textId="2574A5E3" w:rsidR="001B05F0" w:rsidRPr="00011934" w:rsidRDefault="00975E2D" w:rsidP="00AC2051">
      <w:pPr>
        <w:pStyle w:val="Bulletleft1last"/>
      </w:pPr>
      <w:r>
        <w:t>W</w:t>
      </w:r>
      <w:r w:rsidR="00166A47">
        <w:t>ritten information might not always be the most helpful way to provide information to different groups</w:t>
      </w:r>
      <w:r w:rsidR="00A874AC">
        <w:t>, it should be tailored to the person</w:t>
      </w:r>
      <w:r w:rsidR="00AC2051">
        <w:t>.</w:t>
      </w:r>
    </w:p>
    <w:p w14:paraId="51827F5C" w14:textId="77777777" w:rsidR="004615CF" w:rsidRDefault="004615CF" w:rsidP="004615CF">
      <w:pPr>
        <w:pStyle w:val="Heading3"/>
      </w:pPr>
      <w:r>
        <w:t>Issues for consideration</w:t>
      </w:r>
    </w:p>
    <w:p w14:paraId="182D48A8" w14:textId="4EFCA570" w:rsidR="00213F04" w:rsidRDefault="008A4299" w:rsidP="004615CF">
      <w:pPr>
        <w:pStyle w:val="Bulletleft1"/>
      </w:pPr>
      <w:r w:rsidRPr="00DF553E">
        <w:t xml:space="preserve">Change the </w:t>
      </w:r>
      <w:r w:rsidR="00886F8E">
        <w:t xml:space="preserve">rationale </w:t>
      </w:r>
      <w:r w:rsidRPr="00DF553E">
        <w:t xml:space="preserve">to </w:t>
      </w:r>
      <w:r w:rsidR="00886F8E">
        <w:t xml:space="preserve">make the </w:t>
      </w:r>
      <w:r w:rsidRPr="00DF553E">
        <w:t>focus on provi</w:t>
      </w:r>
      <w:r w:rsidR="00886F8E">
        <w:t>ding</w:t>
      </w:r>
      <w:r w:rsidRPr="00DF553E">
        <w:t xml:space="preserve"> patient information</w:t>
      </w:r>
      <w:r w:rsidR="00886F8E">
        <w:t xml:space="preserve"> clearer</w:t>
      </w:r>
      <w:r w:rsidR="001A7CB0">
        <w:t>.</w:t>
      </w:r>
    </w:p>
    <w:p w14:paraId="467C65CB" w14:textId="4D6387FD" w:rsidR="00042973" w:rsidRPr="00DF553E" w:rsidRDefault="00042973" w:rsidP="004615CF">
      <w:pPr>
        <w:pStyle w:val="Bulletleft1"/>
      </w:pPr>
      <w:r>
        <w:t>Change process measure to measure proportion of people given the information defined</w:t>
      </w:r>
      <w:r w:rsidR="001A7CB0">
        <w:t>.</w:t>
      </w:r>
    </w:p>
    <w:p w14:paraId="21069F4F" w14:textId="77777777" w:rsidR="00DF553E" w:rsidRDefault="00213F04" w:rsidP="00DF553E">
      <w:pPr>
        <w:pStyle w:val="Bulletleft1"/>
      </w:pPr>
      <w:r w:rsidRPr="00DF553E">
        <w:t>Does the population need to be defined?</w:t>
      </w:r>
    </w:p>
    <w:p w14:paraId="1E220E9B" w14:textId="44202A61" w:rsidR="009D72B5" w:rsidRPr="00DF553E" w:rsidRDefault="00DF553E" w:rsidP="00DF553E">
      <w:pPr>
        <w:pStyle w:val="Bulletleft1"/>
      </w:pPr>
      <w:r w:rsidRPr="00DF553E">
        <w:t>Should the statement include people with higher risk of PE?</w:t>
      </w:r>
      <w:r w:rsidR="009D72B5" w:rsidRPr="00DF553E">
        <w:rPr>
          <w:highlight w:val="cyan"/>
        </w:rPr>
        <w:br w:type="page"/>
      </w:r>
    </w:p>
    <w:p w14:paraId="4677D48C" w14:textId="77777777" w:rsidR="00DE6F78" w:rsidRDefault="00DE6F78" w:rsidP="00DE6F78">
      <w:pPr>
        <w:pStyle w:val="Numberedheading1"/>
        <w:numPr>
          <w:ilvl w:val="0"/>
          <w:numId w:val="1"/>
        </w:numPr>
      </w:pPr>
      <w:r w:rsidRPr="00914EA4">
        <w:lastRenderedPageBreak/>
        <w:t>Suggestions</w:t>
      </w:r>
      <w:r>
        <w:t xml:space="preserve"> for additional statements</w:t>
      </w:r>
    </w:p>
    <w:p w14:paraId="7E21C79C"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25A0142A" w14:textId="47835D03" w:rsidR="00463F59" w:rsidRDefault="00AC2051" w:rsidP="00DE6F78">
      <w:pPr>
        <w:pStyle w:val="Bulletleft1"/>
      </w:pPr>
      <w:r>
        <w:t>VTE r</w:t>
      </w:r>
      <w:r w:rsidR="00463F59">
        <w:t>isk assessment</w:t>
      </w:r>
      <w:r w:rsidR="00153A69">
        <w:t xml:space="preserve"> </w:t>
      </w:r>
      <w:r w:rsidR="00A874AC">
        <w:t xml:space="preserve">on admission </w:t>
      </w:r>
      <w:r w:rsidR="00153A69">
        <w:t>and reassessment</w:t>
      </w:r>
    </w:p>
    <w:p w14:paraId="15941ACD" w14:textId="1BDE6ECF" w:rsidR="003870E5" w:rsidRDefault="003870E5" w:rsidP="00A406A6">
      <w:pPr>
        <w:pStyle w:val="NICEnormal"/>
        <w:spacing w:before="240"/>
      </w:pPr>
      <w:r>
        <w:t>Risk assessment on admission was discussed at the quality standards advisory committee meeting in September and not prioritised</w:t>
      </w:r>
      <w:r w:rsidR="000D30EB">
        <w:t>.</w:t>
      </w:r>
      <w:r>
        <w:t xml:space="preserve"> </w:t>
      </w:r>
      <w:r w:rsidR="000D30EB">
        <w:t>T</w:t>
      </w:r>
      <w:r>
        <w:rPr>
          <w:rFonts w:cs="Arial"/>
        </w:rPr>
        <w:t xml:space="preserve">he committee agreed that the national VTE risk assessments metric is being achieved. The committee felt that the area for quality improvement was thromboprophylaxis prescribing following risk assessment. </w:t>
      </w:r>
    </w:p>
    <w:p w14:paraId="70F3BA2F" w14:textId="7FEE85C6" w:rsidR="00DE6F78" w:rsidRDefault="00463F59" w:rsidP="00DE6F78">
      <w:pPr>
        <w:pStyle w:val="Bulletleft1"/>
      </w:pPr>
      <w:r>
        <w:t>Patient information</w:t>
      </w:r>
      <w:r w:rsidR="00DE6F78" w:rsidRPr="00DE6F78">
        <w:t xml:space="preserve"> </w:t>
      </w:r>
    </w:p>
    <w:p w14:paraId="7C8EECF2" w14:textId="3D80AA3B" w:rsidR="001475A5" w:rsidRDefault="001475A5" w:rsidP="00A406A6">
      <w:pPr>
        <w:pStyle w:val="NICEnormal"/>
        <w:spacing w:before="240"/>
      </w:pPr>
      <w:r>
        <w:t>Stakeholders suggested that written and verbal information be given to patients on VTE assessment, prevention, management and recovery</w:t>
      </w:r>
      <w:r w:rsidR="007F6A94">
        <w:t>,</w:t>
      </w:r>
      <w:r>
        <w:t xml:space="preserve"> and where to find further support and information. Signs of VTE and what to do if they are experienced was also raised. </w:t>
      </w:r>
      <w:r w:rsidR="007F6A94">
        <w:t>Giving patients information is covered under statements 1, 4 and 5 in the quality standard. Information and support was also discussed at the September meeting, and the committee agreed to prioritise a statement on having a monitoring plan and contact details for a healthcare professional (statement 5).</w:t>
      </w:r>
    </w:p>
    <w:p w14:paraId="0A4306F3" w14:textId="0C0F645E" w:rsidR="00AC2051" w:rsidRDefault="00AC2051" w:rsidP="00DE6F78">
      <w:pPr>
        <w:pStyle w:val="Bulletleft1"/>
      </w:pPr>
      <w:r>
        <w:t>Psychological support for patients following a VTE</w:t>
      </w:r>
    </w:p>
    <w:p w14:paraId="458A0FD6" w14:textId="761E00B6" w:rsidR="007F6A94" w:rsidRDefault="000A3866" w:rsidP="00A406A6">
      <w:pPr>
        <w:pStyle w:val="NICEnormal"/>
        <w:spacing w:before="240"/>
      </w:pPr>
      <w:r>
        <w:t xml:space="preserve">Psychological support was raised at the September meeting in relation to </w:t>
      </w:r>
      <w:r w:rsidRPr="000A3866">
        <w:t>psychological support about VTE risk post COVID-19</w:t>
      </w:r>
      <w:r>
        <w:t xml:space="preserve">, and also under equality considerations. The committee </w:t>
      </w:r>
      <w:r w:rsidR="005B1FCC">
        <w:t>did not prioritise this as an area to include in the quality standard.</w:t>
      </w:r>
    </w:p>
    <w:p w14:paraId="762FC4DC" w14:textId="5A2F6381" w:rsidR="00153A69" w:rsidRPr="00DE6F78" w:rsidRDefault="00153A69" w:rsidP="00DE6F78">
      <w:pPr>
        <w:pStyle w:val="Bulletleft1"/>
      </w:pPr>
      <w:r>
        <w:t>O</w:t>
      </w:r>
      <w:r w:rsidRPr="00153A69">
        <w:t>ffering cancer investigations for unprovoked VTEs</w:t>
      </w:r>
    </w:p>
    <w:bookmarkEnd w:id="0"/>
    <w:p w14:paraId="72244F56" w14:textId="6A466012" w:rsidR="00AC2051" w:rsidRPr="00A406A6" w:rsidRDefault="00AD5B04" w:rsidP="00A406A6">
      <w:pPr>
        <w:pStyle w:val="NICEnormal"/>
        <w:spacing w:before="240"/>
      </w:pPr>
      <w:r w:rsidRPr="00A406A6">
        <w:t>Cancer investigations were covered under a discussion of further investigations and tests at the September meeting. The committee did not prioritise this area for inclusion in the quality standard.</w:t>
      </w:r>
    </w:p>
    <w:p w14:paraId="28447D74" w14:textId="768B1A3F" w:rsidR="00B63ECB" w:rsidRPr="005860F4" w:rsidRDefault="00B63ECB" w:rsidP="00B63ECB">
      <w:r w:rsidRPr="00EA3805">
        <w:rPr>
          <w:rStyle w:val="NICEnormalChar"/>
        </w:rPr>
        <w:t xml:space="preserve">© </w:t>
      </w:r>
      <w:r w:rsidRPr="00721452">
        <w:rPr>
          <w:rStyle w:val="NICEnormalChar"/>
        </w:rPr>
        <w:t xml:space="preserve">NICE </w:t>
      </w:r>
      <w:r w:rsidR="00721452" w:rsidRPr="00721452">
        <w:rPr>
          <w:rStyle w:val="NICEnormalChar"/>
        </w:rPr>
        <w:t>2021</w:t>
      </w:r>
      <w:r w:rsidRPr="00EA3805">
        <w:rPr>
          <w:rStyle w:val="NICEnormalChar"/>
        </w:rPr>
        <w:t xml:space="preserve"> All rights reserved</w:t>
      </w:r>
      <w:r w:rsidRPr="00EA3805">
        <w:rPr>
          <w:rStyle w:val="NICEnormalChar"/>
          <w:rFonts w:cs="Arial"/>
        </w:rPr>
        <w:t xml:space="preserve">. </w:t>
      </w:r>
      <w:r w:rsidR="00DD5706" w:rsidRPr="00C35831">
        <w:rPr>
          <w:rStyle w:val="NICEnormalChar"/>
          <w:rFonts w:cs="Arial"/>
        </w:rPr>
        <w:t xml:space="preserve">Subject to </w:t>
      </w:r>
      <w:hyperlink r:id="rId8" w:anchor="notice-of-rights" w:history="1">
        <w:r w:rsidR="00DD5706">
          <w:rPr>
            <w:rStyle w:val="Hyperlink"/>
            <w:rFonts w:ascii="Arial" w:hAnsi="Arial" w:cs="Arial"/>
          </w:rPr>
          <w:t>Notice of rights</w:t>
        </w:r>
      </w:hyperlink>
      <w:r w:rsidRPr="00EA3805">
        <w:rPr>
          <w:rStyle w:val="NICEnormalChar"/>
        </w:rPr>
        <w:t>.</w:t>
      </w:r>
    </w:p>
    <w:p w14:paraId="668D8BCD" w14:textId="77777777" w:rsidR="00B63ECB" w:rsidRPr="0001392D" w:rsidRDefault="00B63ECB" w:rsidP="00DE6F78">
      <w:pPr>
        <w:pStyle w:val="Paragraph"/>
        <w:sectPr w:rsidR="00B63ECB" w:rsidRPr="0001392D" w:rsidSect="0037542E">
          <w:headerReference w:type="default" r:id="rId9"/>
          <w:footerReference w:type="default" r:id="rId10"/>
          <w:footerReference w:type="first" r:id="rId11"/>
          <w:pgSz w:w="11906" w:h="16838"/>
          <w:pgMar w:top="1440" w:right="1440" w:bottom="1440" w:left="1440" w:header="708" w:footer="708" w:gutter="0"/>
          <w:cols w:space="708"/>
          <w:titlePg/>
          <w:docGrid w:linePitch="360"/>
        </w:sectPr>
      </w:pPr>
    </w:p>
    <w:p w14:paraId="5F392E4F" w14:textId="77777777" w:rsidR="00DE6F78" w:rsidRPr="00660F4E" w:rsidRDefault="00DE6F78" w:rsidP="00DE6F78">
      <w:pPr>
        <w:pStyle w:val="Heading1"/>
      </w:pPr>
      <w:bookmarkStart w:id="2" w:name="_Toc357694781"/>
      <w:r w:rsidRPr="00FC11EC">
        <w:lastRenderedPageBreak/>
        <w:t xml:space="preserve">Appendix </w:t>
      </w:r>
      <w:r>
        <w:t xml:space="preserve">1: </w:t>
      </w:r>
      <w:bookmarkEnd w:id="2"/>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p w14:paraId="6A8D485F" w14:textId="77777777" w:rsidR="00AE5436" w:rsidRPr="00CE1BFA" w:rsidRDefault="00AE5436" w:rsidP="00CE1BFA">
      <w:pPr>
        <w:pStyle w:val="TableText1"/>
        <w:rPr>
          <w:highlight w:val="cyan"/>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1417"/>
        <w:gridCol w:w="10632"/>
      </w:tblGrid>
      <w:tr w:rsidR="00DE6F78" w:rsidRPr="003A53A0" w14:paraId="00C98B80" w14:textId="77777777" w:rsidTr="00F60DF7">
        <w:trPr>
          <w:tblHeader/>
        </w:trPr>
        <w:tc>
          <w:tcPr>
            <w:tcW w:w="675" w:type="dxa"/>
            <w:shd w:val="clear" w:color="auto" w:fill="E6E6E6"/>
            <w:vAlign w:val="center"/>
          </w:tcPr>
          <w:p w14:paraId="491E50A2" w14:textId="77777777" w:rsidR="00DE6F78" w:rsidRPr="003A53A0" w:rsidRDefault="00DE6F78" w:rsidP="00F60DF7">
            <w:pPr>
              <w:pStyle w:val="TableText1"/>
              <w:rPr>
                <w:rFonts w:cs="Arial"/>
                <w:b/>
              </w:rPr>
            </w:pPr>
            <w:r w:rsidRPr="003A53A0">
              <w:rPr>
                <w:rFonts w:cs="Arial"/>
                <w:b/>
              </w:rPr>
              <w:t>ID</w:t>
            </w:r>
          </w:p>
        </w:tc>
        <w:tc>
          <w:tcPr>
            <w:tcW w:w="2552" w:type="dxa"/>
            <w:shd w:val="clear" w:color="auto" w:fill="E6E6E6"/>
            <w:vAlign w:val="center"/>
          </w:tcPr>
          <w:p w14:paraId="2B0834D0" w14:textId="77777777" w:rsidR="00DE6F78" w:rsidRPr="003A53A0" w:rsidRDefault="00DE6F78" w:rsidP="003A53A0">
            <w:pPr>
              <w:pStyle w:val="TableText1"/>
              <w:rPr>
                <w:rFonts w:cs="Arial"/>
                <w:b/>
              </w:rPr>
            </w:pPr>
            <w:r w:rsidRPr="003A53A0">
              <w:rPr>
                <w:rFonts w:cs="Arial"/>
                <w:b/>
              </w:rPr>
              <w:t>Stakeholder</w:t>
            </w:r>
          </w:p>
        </w:tc>
        <w:tc>
          <w:tcPr>
            <w:tcW w:w="1417" w:type="dxa"/>
            <w:shd w:val="clear" w:color="auto" w:fill="E6E6E6"/>
            <w:vAlign w:val="center"/>
          </w:tcPr>
          <w:p w14:paraId="74DEE0DB" w14:textId="78A332A6" w:rsidR="00DE6F78" w:rsidRPr="003A53A0" w:rsidRDefault="001C3CB6" w:rsidP="003A53A0">
            <w:pPr>
              <w:pStyle w:val="TableText1"/>
              <w:rPr>
                <w:rFonts w:cs="Arial"/>
                <w:b/>
              </w:rPr>
            </w:pPr>
            <w:r w:rsidRPr="003A53A0">
              <w:rPr>
                <w:rFonts w:cs="Arial"/>
                <w:b/>
              </w:rPr>
              <w:t>Section</w:t>
            </w:r>
          </w:p>
        </w:tc>
        <w:tc>
          <w:tcPr>
            <w:tcW w:w="10632" w:type="dxa"/>
            <w:shd w:val="clear" w:color="auto" w:fill="E6E6E6"/>
          </w:tcPr>
          <w:p w14:paraId="36A8B236" w14:textId="160CFE86" w:rsidR="00DE6F78" w:rsidRPr="003A53A0" w:rsidRDefault="00DE6F78" w:rsidP="0037542E">
            <w:pPr>
              <w:pStyle w:val="TableText1"/>
              <w:rPr>
                <w:rFonts w:cs="Arial"/>
                <w:b/>
              </w:rPr>
            </w:pPr>
            <w:r w:rsidRPr="003A53A0">
              <w:rPr>
                <w:rFonts w:cs="Arial"/>
                <w:b/>
              </w:rPr>
              <w:t>Comments</w:t>
            </w:r>
            <w:r w:rsidR="005C7BC0" w:rsidRPr="003A53A0">
              <w:rPr>
                <w:rStyle w:val="FootnoteReference"/>
                <w:rFonts w:cs="Arial"/>
                <w:b/>
              </w:rPr>
              <w:footnoteReference w:id="1"/>
            </w:r>
          </w:p>
        </w:tc>
      </w:tr>
      <w:tr w:rsidR="003A53A0" w:rsidRPr="003A53A0" w14:paraId="1B08EB58" w14:textId="77777777" w:rsidTr="00F60DF7">
        <w:tc>
          <w:tcPr>
            <w:tcW w:w="675" w:type="dxa"/>
            <w:vAlign w:val="center"/>
          </w:tcPr>
          <w:p w14:paraId="4EF964B9" w14:textId="77777777" w:rsidR="003A53A0" w:rsidRPr="003A53A0" w:rsidRDefault="003A53A0" w:rsidP="00F60DF7">
            <w:pPr>
              <w:pStyle w:val="TableText1"/>
              <w:rPr>
                <w:rFonts w:cs="Arial"/>
                <w:szCs w:val="20"/>
              </w:rPr>
            </w:pPr>
            <w:r w:rsidRPr="003A53A0">
              <w:rPr>
                <w:rFonts w:cs="Arial"/>
                <w:szCs w:val="20"/>
              </w:rPr>
              <w:t>1</w:t>
            </w:r>
          </w:p>
        </w:tc>
        <w:tc>
          <w:tcPr>
            <w:tcW w:w="2552" w:type="dxa"/>
            <w:vAlign w:val="center"/>
          </w:tcPr>
          <w:p w14:paraId="3A80FD29" w14:textId="25C9FCAF" w:rsidR="003A53A0" w:rsidRPr="003A53A0" w:rsidRDefault="003A53A0" w:rsidP="003A53A0">
            <w:pPr>
              <w:pStyle w:val="TableText1"/>
              <w:rPr>
                <w:rFonts w:cs="Arial"/>
                <w:szCs w:val="20"/>
              </w:rPr>
            </w:pPr>
            <w:r w:rsidRPr="003A53A0">
              <w:rPr>
                <w:rFonts w:cs="Arial"/>
                <w:szCs w:val="20"/>
              </w:rPr>
              <w:t>ALK Positive UK</w:t>
            </w:r>
          </w:p>
        </w:tc>
        <w:tc>
          <w:tcPr>
            <w:tcW w:w="1417" w:type="dxa"/>
            <w:vAlign w:val="center"/>
          </w:tcPr>
          <w:p w14:paraId="017CE6D7" w14:textId="50EF9825" w:rsidR="003A53A0" w:rsidRPr="003A53A0" w:rsidRDefault="003A53A0" w:rsidP="003A53A0">
            <w:pPr>
              <w:pStyle w:val="TableText1"/>
              <w:rPr>
                <w:rFonts w:cs="Arial"/>
                <w:bCs/>
                <w:szCs w:val="20"/>
              </w:rPr>
            </w:pPr>
            <w:r w:rsidRPr="003A53A0">
              <w:rPr>
                <w:rFonts w:cs="Arial"/>
                <w:bCs/>
                <w:szCs w:val="20"/>
              </w:rPr>
              <w:t>General</w:t>
            </w:r>
          </w:p>
        </w:tc>
        <w:tc>
          <w:tcPr>
            <w:tcW w:w="10632" w:type="dxa"/>
          </w:tcPr>
          <w:p w14:paraId="1DF354CC" w14:textId="12ACA3BA" w:rsidR="003A53A0" w:rsidRPr="003A53A0" w:rsidRDefault="003A53A0" w:rsidP="003A53A0">
            <w:pPr>
              <w:pStyle w:val="TableText1"/>
              <w:rPr>
                <w:rFonts w:cs="Arial"/>
                <w:szCs w:val="20"/>
              </w:rPr>
            </w:pPr>
            <w:r w:rsidRPr="003A53A0">
              <w:rPr>
                <w:rFonts w:cs="Arial"/>
                <w:szCs w:val="20"/>
              </w:rPr>
              <w:t>Many thanks for the opportunity to comment on this QS. ALK Positive U.K. had nothing to add.</w:t>
            </w:r>
          </w:p>
        </w:tc>
      </w:tr>
      <w:tr w:rsidR="003A53A0" w:rsidRPr="003A53A0" w14:paraId="234E455B" w14:textId="77777777" w:rsidTr="00F60DF7">
        <w:tc>
          <w:tcPr>
            <w:tcW w:w="675" w:type="dxa"/>
            <w:vAlign w:val="center"/>
          </w:tcPr>
          <w:p w14:paraId="403946E7" w14:textId="77777777" w:rsidR="003A53A0" w:rsidRPr="003A53A0" w:rsidRDefault="003A53A0" w:rsidP="00F60DF7">
            <w:pPr>
              <w:pStyle w:val="TableText1"/>
              <w:rPr>
                <w:rFonts w:cs="Arial"/>
                <w:szCs w:val="20"/>
              </w:rPr>
            </w:pPr>
            <w:r w:rsidRPr="003A53A0">
              <w:rPr>
                <w:rFonts w:cs="Arial"/>
                <w:szCs w:val="20"/>
              </w:rPr>
              <w:t>2</w:t>
            </w:r>
          </w:p>
        </w:tc>
        <w:tc>
          <w:tcPr>
            <w:tcW w:w="2552" w:type="dxa"/>
            <w:vAlign w:val="center"/>
          </w:tcPr>
          <w:p w14:paraId="7061E963" w14:textId="0411D9B6" w:rsidR="003A53A0" w:rsidRPr="003A53A0" w:rsidRDefault="003A53A0" w:rsidP="003A53A0">
            <w:pPr>
              <w:pStyle w:val="TableText1"/>
              <w:rPr>
                <w:rFonts w:cs="Arial"/>
                <w:szCs w:val="20"/>
                <w:highlight w:val="lightGray"/>
              </w:rPr>
            </w:pPr>
            <w:r w:rsidRPr="003A53A0">
              <w:rPr>
                <w:rFonts w:cs="Arial"/>
                <w:szCs w:val="20"/>
              </w:rPr>
              <w:t>British Association of Day Surgery</w:t>
            </w:r>
          </w:p>
        </w:tc>
        <w:tc>
          <w:tcPr>
            <w:tcW w:w="1417" w:type="dxa"/>
            <w:vAlign w:val="center"/>
          </w:tcPr>
          <w:p w14:paraId="77437ED6" w14:textId="3BD9C501" w:rsidR="003A53A0" w:rsidRPr="003A53A0" w:rsidRDefault="003A53A0" w:rsidP="003A53A0">
            <w:pPr>
              <w:pStyle w:val="TableText1"/>
              <w:rPr>
                <w:rFonts w:cs="Arial"/>
                <w:bCs/>
                <w:szCs w:val="20"/>
                <w:highlight w:val="lightGray"/>
              </w:rPr>
            </w:pPr>
            <w:r w:rsidRPr="003A53A0">
              <w:rPr>
                <w:rFonts w:cs="Arial"/>
                <w:bCs/>
                <w:szCs w:val="20"/>
              </w:rPr>
              <w:t>General</w:t>
            </w:r>
          </w:p>
        </w:tc>
        <w:tc>
          <w:tcPr>
            <w:tcW w:w="10632" w:type="dxa"/>
          </w:tcPr>
          <w:p w14:paraId="2C677F72" w14:textId="77777777" w:rsidR="003A53A0" w:rsidRPr="003A53A0" w:rsidRDefault="003A53A0" w:rsidP="003A53A0">
            <w:pPr>
              <w:rPr>
                <w:rFonts w:ascii="Arial" w:hAnsi="Arial" w:cs="Arial"/>
                <w:sz w:val="20"/>
                <w:szCs w:val="20"/>
                <w:lang w:eastAsia="en-GB"/>
              </w:rPr>
            </w:pPr>
            <w:r w:rsidRPr="003A53A0">
              <w:rPr>
                <w:rFonts w:ascii="Arial" w:hAnsi="Arial" w:cs="Arial"/>
                <w:sz w:val="20"/>
                <w:szCs w:val="20"/>
              </w:rPr>
              <w:t>In the 2010 guidance it states :</w:t>
            </w:r>
          </w:p>
          <w:p w14:paraId="19910837" w14:textId="77777777" w:rsidR="003A53A0" w:rsidRPr="003A53A0" w:rsidRDefault="003A53A0" w:rsidP="003A53A0">
            <w:pPr>
              <w:rPr>
                <w:rFonts w:ascii="Arial" w:hAnsi="Arial" w:cs="Arial"/>
                <w:sz w:val="20"/>
                <w:szCs w:val="20"/>
              </w:rPr>
            </w:pPr>
          </w:p>
          <w:p w14:paraId="6BF4EA9D" w14:textId="77777777" w:rsidR="003A53A0" w:rsidRPr="003A53A0" w:rsidRDefault="003A53A0" w:rsidP="003A53A0">
            <w:pPr>
              <w:rPr>
                <w:rFonts w:ascii="Arial" w:hAnsi="Arial" w:cs="Arial"/>
                <w:sz w:val="20"/>
                <w:szCs w:val="20"/>
              </w:rPr>
            </w:pPr>
            <w:r w:rsidRPr="003A53A0">
              <w:rPr>
                <w:rFonts w:ascii="Arial" w:hAnsi="Arial" w:cs="Arial"/>
                <w:sz w:val="20"/>
                <w:szCs w:val="20"/>
              </w:rPr>
              <w:t>This quality standard covers the reduction in risk of venous thromboembolism (VTE) in adults admitted as hospital inpatients or formally admitted to a hospital bed for day-case procedures. </w:t>
            </w:r>
          </w:p>
          <w:p w14:paraId="2DD97190" w14:textId="77777777" w:rsidR="003A53A0" w:rsidRPr="003A53A0" w:rsidRDefault="003A53A0" w:rsidP="003A53A0">
            <w:pPr>
              <w:rPr>
                <w:rFonts w:ascii="Arial" w:hAnsi="Arial" w:cs="Arial"/>
                <w:sz w:val="20"/>
                <w:szCs w:val="20"/>
              </w:rPr>
            </w:pPr>
          </w:p>
          <w:p w14:paraId="09E663C7" w14:textId="77777777" w:rsidR="003A53A0" w:rsidRPr="003A53A0" w:rsidRDefault="003A53A0" w:rsidP="003A53A0">
            <w:pPr>
              <w:rPr>
                <w:rFonts w:ascii="Arial" w:hAnsi="Arial" w:cs="Arial"/>
                <w:sz w:val="20"/>
                <w:szCs w:val="20"/>
              </w:rPr>
            </w:pPr>
            <w:r w:rsidRPr="003A53A0">
              <w:rPr>
                <w:rFonts w:ascii="Arial" w:hAnsi="Arial" w:cs="Arial"/>
                <w:sz w:val="20"/>
                <w:szCs w:val="20"/>
              </w:rPr>
              <w:t>The draft document says </w:t>
            </w:r>
          </w:p>
          <w:p w14:paraId="668E8130" w14:textId="77777777" w:rsidR="003A53A0" w:rsidRPr="003A53A0" w:rsidRDefault="003A53A0" w:rsidP="003A53A0">
            <w:pPr>
              <w:rPr>
                <w:rFonts w:ascii="Arial" w:hAnsi="Arial" w:cs="Arial"/>
                <w:sz w:val="20"/>
                <w:szCs w:val="20"/>
              </w:rPr>
            </w:pPr>
          </w:p>
          <w:p w14:paraId="03FEFB9D" w14:textId="77777777" w:rsidR="003A53A0" w:rsidRPr="003A53A0" w:rsidRDefault="003A53A0" w:rsidP="003A53A0">
            <w:pPr>
              <w:rPr>
                <w:rFonts w:ascii="Arial" w:hAnsi="Arial" w:cs="Arial"/>
                <w:sz w:val="20"/>
                <w:szCs w:val="20"/>
              </w:rPr>
            </w:pPr>
            <w:r w:rsidRPr="003A53A0">
              <w:rPr>
                <w:rFonts w:ascii="Arial" w:hAnsi="Arial" w:cs="Arial"/>
                <w:b/>
                <w:bCs/>
                <w:sz w:val="20"/>
                <w:szCs w:val="20"/>
              </w:rPr>
              <w:t>This quality standard covers</w:t>
            </w:r>
            <w:r w:rsidRPr="003A53A0">
              <w:rPr>
                <w:rFonts w:ascii="Arial" w:hAnsi="Arial" w:cs="Arial"/>
                <w:sz w:val="20"/>
                <w:szCs w:val="20"/>
              </w:rPr>
              <w:t xml:space="preserve"> reducing the risk of venous thromboembolism (VTE) in people aged 16 and over who are in hospital. </w:t>
            </w:r>
          </w:p>
          <w:p w14:paraId="68075C19" w14:textId="77777777" w:rsidR="003A53A0" w:rsidRPr="003A53A0" w:rsidRDefault="003A53A0" w:rsidP="003A53A0">
            <w:pPr>
              <w:rPr>
                <w:rFonts w:ascii="Arial" w:hAnsi="Arial" w:cs="Arial"/>
                <w:sz w:val="20"/>
                <w:szCs w:val="20"/>
              </w:rPr>
            </w:pPr>
          </w:p>
          <w:p w14:paraId="7D650F68" w14:textId="77777777" w:rsidR="003A53A0" w:rsidRPr="003A53A0" w:rsidRDefault="003A53A0" w:rsidP="003A53A0">
            <w:pPr>
              <w:rPr>
                <w:rFonts w:ascii="Arial" w:hAnsi="Arial" w:cs="Arial"/>
                <w:sz w:val="20"/>
                <w:szCs w:val="20"/>
              </w:rPr>
            </w:pPr>
            <w:r w:rsidRPr="003A53A0">
              <w:rPr>
                <w:rFonts w:ascii="Arial" w:hAnsi="Arial" w:cs="Arial"/>
                <w:sz w:val="20"/>
                <w:szCs w:val="20"/>
              </w:rPr>
              <w:t>Does it no longer cover day cases? I think clarity is needed. I would like to point out that most day cases do not have a “hospital bed”. Most are done on an appropriate trolley via day surgery unit (DSU). The DSU is usually separate to the main hospital wards and therefore your current description is likely to exclude day cases. If that is your intention that is fine. However, as I mention below more  major surgery is being done as a day case and procedures that should have VTE prophylaxis eg Hip replacement.</w:t>
            </w:r>
          </w:p>
          <w:p w14:paraId="290D114D" w14:textId="77777777" w:rsidR="003A53A0" w:rsidRPr="003A53A0" w:rsidRDefault="003A53A0" w:rsidP="003A53A0">
            <w:pPr>
              <w:rPr>
                <w:rFonts w:ascii="Arial" w:hAnsi="Arial" w:cs="Arial"/>
                <w:sz w:val="20"/>
                <w:szCs w:val="20"/>
              </w:rPr>
            </w:pPr>
          </w:p>
          <w:p w14:paraId="755D8F03" w14:textId="77777777" w:rsidR="003A53A0" w:rsidRPr="003A53A0" w:rsidRDefault="003A53A0" w:rsidP="003A53A0">
            <w:pPr>
              <w:rPr>
                <w:rFonts w:ascii="Arial" w:hAnsi="Arial" w:cs="Arial"/>
                <w:sz w:val="20"/>
                <w:szCs w:val="20"/>
                <w:lang w:eastAsia="en-GB"/>
              </w:rPr>
            </w:pPr>
            <w:r w:rsidRPr="003A53A0">
              <w:rPr>
                <w:rFonts w:ascii="Arial" w:hAnsi="Arial" w:cs="Arial"/>
                <w:sz w:val="20"/>
                <w:szCs w:val="20"/>
              </w:rPr>
              <w:t>I do not think it is appropriate for BADS to comment on statements 3,4 or 5</w:t>
            </w:r>
          </w:p>
          <w:p w14:paraId="7365CBF4" w14:textId="77777777" w:rsidR="003A53A0" w:rsidRPr="003A53A0" w:rsidRDefault="003A53A0" w:rsidP="003A53A0">
            <w:pPr>
              <w:pStyle w:val="TableText1"/>
              <w:rPr>
                <w:rFonts w:cs="Arial"/>
                <w:szCs w:val="20"/>
              </w:rPr>
            </w:pPr>
          </w:p>
        </w:tc>
      </w:tr>
      <w:tr w:rsidR="003A53A0" w:rsidRPr="003A53A0" w14:paraId="1B02C071" w14:textId="77777777" w:rsidTr="00F60DF7">
        <w:tc>
          <w:tcPr>
            <w:tcW w:w="675" w:type="dxa"/>
            <w:vAlign w:val="center"/>
          </w:tcPr>
          <w:p w14:paraId="0CC77553" w14:textId="77777777" w:rsidR="003A53A0" w:rsidRPr="003A53A0" w:rsidRDefault="003A53A0" w:rsidP="00F60DF7">
            <w:pPr>
              <w:pStyle w:val="TableText1"/>
              <w:rPr>
                <w:rFonts w:cs="Arial"/>
                <w:szCs w:val="20"/>
              </w:rPr>
            </w:pPr>
            <w:r w:rsidRPr="003A53A0">
              <w:rPr>
                <w:rFonts w:cs="Arial"/>
                <w:szCs w:val="20"/>
              </w:rPr>
              <w:t>3</w:t>
            </w:r>
          </w:p>
        </w:tc>
        <w:tc>
          <w:tcPr>
            <w:tcW w:w="2552" w:type="dxa"/>
            <w:vAlign w:val="center"/>
          </w:tcPr>
          <w:p w14:paraId="5AECACA5" w14:textId="21445057" w:rsidR="003A53A0" w:rsidRPr="003A53A0" w:rsidRDefault="003A53A0" w:rsidP="003A53A0">
            <w:pPr>
              <w:pStyle w:val="TableText1"/>
              <w:rPr>
                <w:rFonts w:cs="Arial"/>
                <w:szCs w:val="20"/>
                <w:highlight w:val="lightGray"/>
              </w:rPr>
            </w:pPr>
            <w:r w:rsidRPr="003A53A0">
              <w:rPr>
                <w:rFonts w:cs="Arial"/>
                <w:szCs w:val="20"/>
              </w:rPr>
              <w:t>British Orthopaedic Association</w:t>
            </w:r>
          </w:p>
        </w:tc>
        <w:tc>
          <w:tcPr>
            <w:tcW w:w="1417" w:type="dxa"/>
            <w:vAlign w:val="center"/>
          </w:tcPr>
          <w:p w14:paraId="44A81853" w14:textId="29227F63" w:rsidR="003A53A0" w:rsidRPr="003A53A0" w:rsidRDefault="003A53A0" w:rsidP="003A53A0">
            <w:pPr>
              <w:pStyle w:val="TableText1"/>
              <w:rPr>
                <w:rFonts w:cs="Arial"/>
                <w:bCs/>
                <w:szCs w:val="20"/>
                <w:highlight w:val="lightGray"/>
              </w:rPr>
            </w:pPr>
            <w:r w:rsidRPr="003A53A0">
              <w:rPr>
                <w:rFonts w:cs="Arial"/>
                <w:bCs/>
                <w:szCs w:val="20"/>
              </w:rPr>
              <w:t xml:space="preserve">General </w:t>
            </w:r>
            <w:r>
              <w:rPr>
                <w:rFonts w:cs="Arial"/>
                <w:bCs/>
                <w:szCs w:val="20"/>
              </w:rPr>
              <w:t>(on briefing paper)</w:t>
            </w:r>
          </w:p>
        </w:tc>
        <w:tc>
          <w:tcPr>
            <w:tcW w:w="10632" w:type="dxa"/>
          </w:tcPr>
          <w:p w14:paraId="0671CA8B" w14:textId="77777777" w:rsidR="003A53A0" w:rsidRPr="003A53A0" w:rsidRDefault="003A53A0" w:rsidP="003A53A0">
            <w:pPr>
              <w:numPr>
                <w:ilvl w:val="0"/>
                <w:numId w:val="37"/>
              </w:numPr>
              <w:spacing w:before="240" w:after="240" w:line="276" w:lineRule="auto"/>
              <w:ind w:left="0" w:firstLine="0"/>
              <w:rPr>
                <w:rFonts w:ascii="Arial" w:hAnsi="Arial" w:cs="Arial"/>
                <w:sz w:val="20"/>
                <w:szCs w:val="20"/>
              </w:rPr>
            </w:pPr>
            <w:r w:rsidRPr="003A53A0">
              <w:rPr>
                <w:rFonts w:ascii="Arial" w:hAnsi="Arial" w:cs="Arial"/>
                <w:sz w:val="20"/>
                <w:szCs w:val="20"/>
              </w:rPr>
              <w:t>Orthopaedic surgery</w:t>
            </w:r>
          </w:p>
          <w:p w14:paraId="5673DB6F" w14:textId="77777777" w:rsidR="003A53A0" w:rsidRPr="003A53A0" w:rsidRDefault="003A53A0" w:rsidP="003A53A0">
            <w:pPr>
              <w:numPr>
                <w:ilvl w:val="0"/>
                <w:numId w:val="37"/>
              </w:numPr>
              <w:spacing w:before="240" w:after="240" w:line="276" w:lineRule="auto"/>
              <w:ind w:left="0" w:firstLine="0"/>
              <w:rPr>
                <w:rFonts w:ascii="Arial" w:hAnsi="Arial" w:cs="Arial"/>
                <w:sz w:val="20"/>
                <w:szCs w:val="20"/>
              </w:rPr>
            </w:pPr>
            <w:r w:rsidRPr="003A53A0">
              <w:rPr>
                <w:rFonts w:ascii="Arial" w:hAnsi="Arial" w:cs="Arial"/>
                <w:sz w:val="20"/>
                <w:szCs w:val="20"/>
              </w:rPr>
              <w:t>Stakeholders highlighted how risk assessment VTE prophylaxis is not considered or prescribed at the initial emergency department presentation and patients return home. There is then a delay in the risk assessment and appropriate prophylaxis until the orthopaedic teams review the patients in clinic. Stakeholders therefore supported the clinical and cost effectiveness of thromboprophylaxis for people with lower limb immobilisation.</w:t>
            </w:r>
          </w:p>
          <w:p w14:paraId="35B62038" w14:textId="77777777" w:rsidR="003A53A0" w:rsidRPr="003A53A0" w:rsidRDefault="003A53A0" w:rsidP="003A53A0">
            <w:pPr>
              <w:numPr>
                <w:ilvl w:val="0"/>
                <w:numId w:val="37"/>
              </w:numPr>
              <w:spacing w:before="240" w:after="240" w:line="276" w:lineRule="auto"/>
              <w:ind w:left="0" w:firstLine="0"/>
              <w:rPr>
                <w:rFonts w:ascii="Arial" w:hAnsi="Arial" w:cs="Arial"/>
                <w:sz w:val="20"/>
                <w:szCs w:val="20"/>
              </w:rPr>
            </w:pPr>
            <w:r w:rsidRPr="003A53A0">
              <w:rPr>
                <w:rFonts w:ascii="Arial" w:hAnsi="Arial" w:cs="Arial"/>
                <w:sz w:val="20"/>
                <w:szCs w:val="20"/>
              </w:rPr>
              <w:lastRenderedPageBreak/>
              <w:t>This statement is in direct contravention of the 2018 NICE Guideline recommendations. We would support risk assessment for VTE and bleeding in this setting, and then appropriate consideration of prescription of prophyalxis, but not the routine administration of medical anticoagulants in a vulnerable group of patients who are already bleeding from their fractures and associated soft tissue injuries. This would be likely to significantly increase the risk of complications and, potentially delay surgery, if required. We believe that the stakeholder comment may have been incorrectly reported or is an inaccurate statement of the existing guidance and the language modified to correctly reflect the guidance. We suggest:</w:t>
            </w:r>
          </w:p>
          <w:p w14:paraId="26FED797" w14:textId="77777777" w:rsidR="003A53A0" w:rsidRPr="003A53A0" w:rsidRDefault="003A53A0" w:rsidP="003A53A0">
            <w:pPr>
              <w:rPr>
                <w:rFonts w:ascii="Arial" w:hAnsi="Arial" w:cs="Arial"/>
                <w:sz w:val="20"/>
                <w:szCs w:val="20"/>
              </w:rPr>
            </w:pPr>
            <w:r w:rsidRPr="003A53A0">
              <w:rPr>
                <w:rFonts w:ascii="Arial" w:hAnsi="Arial" w:cs="Arial"/>
                <w:sz w:val="20"/>
                <w:szCs w:val="20"/>
              </w:rPr>
              <w:t>“Stakeholders therefore supported the risk assessment of these patients in the ED, and where appropriate the consideration of prescription of thromboprophylaxis for people with lower limb immobilisation.”</w:t>
            </w:r>
          </w:p>
          <w:p w14:paraId="7FB9EE95" w14:textId="77777777" w:rsidR="003A53A0" w:rsidRPr="003A53A0" w:rsidRDefault="003A53A0" w:rsidP="003A53A0">
            <w:pPr>
              <w:pStyle w:val="TableText1"/>
              <w:rPr>
                <w:rFonts w:cs="Arial"/>
                <w:szCs w:val="20"/>
              </w:rPr>
            </w:pPr>
          </w:p>
        </w:tc>
      </w:tr>
      <w:tr w:rsidR="003A53A0" w:rsidRPr="003A53A0" w14:paraId="3834096A" w14:textId="77777777" w:rsidTr="00F60DF7">
        <w:tc>
          <w:tcPr>
            <w:tcW w:w="675" w:type="dxa"/>
            <w:vAlign w:val="center"/>
          </w:tcPr>
          <w:p w14:paraId="539D81B2" w14:textId="77777777" w:rsidR="003A53A0" w:rsidRPr="003A53A0" w:rsidRDefault="003A53A0" w:rsidP="00F60DF7">
            <w:pPr>
              <w:pStyle w:val="TableText1"/>
              <w:rPr>
                <w:rFonts w:cs="Arial"/>
                <w:szCs w:val="20"/>
              </w:rPr>
            </w:pPr>
            <w:r w:rsidRPr="003A53A0">
              <w:rPr>
                <w:rFonts w:cs="Arial"/>
                <w:szCs w:val="20"/>
              </w:rPr>
              <w:lastRenderedPageBreak/>
              <w:t>4</w:t>
            </w:r>
          </w:p>
        </w:tc>
        <w:tc>
          <w:tcPr>
            <w:tcW w:w="2552" w:type="dxa"/>
            <w:vAlign w:val="center"/>
          </w:tcPr>
          <w:p w14:paraId="5C8570EA" w14:textId="19A18E21" w:rsidR="003A53A0" w:rsidRPr="003A53A0" w:rsidRDefault="003A53A0" w:rsidP="003A53A0">
            <w:pPr>
              <w:pStyle w:val="TableText1"/>
              <w:rPr>
                <w:rFonts w:cs="Arial"/>
                <w:szCs w:val="20"/>
                <w:highlight w:val="lightGray"/>
              </w:rPr>
            </w:pPr>
            <w:r w:rsidRPr="003A53A0">
              <w:rPr>
                <w:rFonts w:cs="Arial"/>
                <w:szCs w:val="20"/>
              </w:rPr>
              <w:t>British Thoracic Society</w:t>
            </w:r>
          </w:p>
        </w:tc>
        <w:tc>
          <w:tcPr>
            <w:tcW w:w="1417" w:type="dxa"/>
            <w:vAlign w:val="center"/>
          </w:tcPr>
          <w:p w14:paraId="0649A664" w14:textId="65D64C65" w:rsidR="003A53A0" w:rsidRPr="003A53A0" w:rsidRDefault="003A53A0" w:rsidP="003A53A0">
            <w:pPr>
              <w:pStyle w:val="TableText1"/>
              <w:rPr>
                <w:rFonts w:cs="Arial"/>
                <w:bCs/>
                <w:szCs w:val="20"/>
                <w:highlight w:val="lightGray"/>
              </w:rPr>
            </w:pPr>
            <w:r w:rsidRPr="003A53A0">
              <w:rPr>
                <w:rFonts w:cs="Arial"/>
                <w:bCs/>
                <w:szCs w:val="20"/>
              </w:rPr>
              <w:t>General</w:t>
            </w:r>
          </w:p>
        </w:tc>
        <w:tc>
          <w:tcPr>
            <w:tcW w:w="10632" w:type="dxa"/>
          </w:tcPr>
          <w:p w14:paraId="5280F496" w14:textId="693DB8AC" w:rsidR="003A53A0" w:rsidRPr="003A53A0" w:rsidRDefault="003A53A0" w:rsidP="003A53A0">
            <w:pPr>
              <w:pStyle w:val="TableText1"/>
              <w:rPr>
                <w:rFonts w:cs="Arial"/>
                <w:szCs w:val="20"/>
              </w:rPr>
            </w:pPr>
            <w:r w:rsidRPr="003A53A0">
              <w:rPr>
                <w:rFonts w:cs="Arial"/>
                <w:szCs w:val="20"/>
              </w:rPr>
              <w:t xml:space="preserve">Thank you for inviting comments from the British Thoracic Society on this updated quality standard.  </w:t>
            </w:r>
          </w:p>
        </w:tc>
      </w:tr>
      <w:tr w:rsidR="003A53A0" w:rsidRPr="003A53A0" w14:paraId="69B0DE5D" w14:textId="77777777" w:rsidTr="00F60DF7">
        <w:tc>
          <w:tcPr>
            <w:tcW w:w="675" w:type="dxa"/>
            <w:vAlign w:val="center"/>
          </w:tcPr>
          <w:p w14:paraId="3F5A0911" w14:textId="77777777" w:rsidR="003A53A0" w:rsidRPr="003A53A0" w:rsidRDefault="003A53A0" w:rsidP="00F60DF7">
            <w:pPr>
              <w:pStyle w:val="TableText1"/>
              <w:rPr>
                <w:rFonts w:cs="Arial"/>
                <w:szCs w:val="20"/>
              </w:rPr>
            </w:pPr>
            <w:r w:rsidRPr="003A53A0">
              <w:rPr>
                <w:rFonts w:cs="Arial"/>
                <w:szCs w:val="20"/>
              </w:rPr>
              <w:t>5</w:t>
            </w:r>
          </w:p>
        </w:tc>
        <w:tc>
          <w:tcPr>
            <w:tcW w:w="2552" w:type="dxa"/>
            <w:vAlign w:val="center"/>
          </w:tcPr>
          <w:p w14:paraId="7C1A97AE" w14:textId="7FE29398" w:rsidR="003A53A0" w:rsidRPr="003A53A0" w:rsidRDefault="003A53A0" w:rsidP="003A53A0">
            <w:pPr>
              <w:pStyle w:val="TableText1"/>
              <w:rPr>
                <w:rFonts w:cs="Arial"/>
                <w:szCs w:val="20"/>
                <w:highlight w:val="lightGray"/>
              </w:rPr>
            </w:pPr>
            <w:r w:rsidRPr="003A53A0">
              <w:rPr>
                <w:rFonts w:cs="Arial"/>
                <w:szCs w:val="20"/>
              </w:rPr>
              <w:t>Chelsea and Westminster Hospital NHS Foundation Trust</w:t>
            </w:r>
          </w:p>
        </w:tc>
        <w:tc>
          <w:tcPr>
            <w:tcW w:w="1417" w:type="dxa"/>
            <w:vAlign w:val="center"/>
          </w:tcPr>
          <w:p w14:paraId="2339EB7E" w14:textId="32452AC0" w:rsidR="003A53A0" w:rsidRPr="003A53A0" w:rsidRDefault="003A53A0" w:rsidP="003A53A0">
            <w:pPr>
              <w:pStyle w:val="TableText1"/>
              <w:rPr>
                <w:rFonts w:cs="Arial"/>
                <w:bCs/>
                <w:szCs w:val="20"/>
                <w:highlight w:val="lightGray"/>
              </w:rPr>
            </w:pPr>
            <w:r w:rsidRPr="003A53A0">
              <w:rPr>
                <w:rFonts w:cs="Arial"/>
                <w:bCs/>
                <w:szCs w:val="20"/>
              </w:rPr>
              <w:t>General</w:t>
            </w:r>
          </w:p>
        </w:tc>
        <w:tc>
          <w:tcPr>
            <w:tcW w:w="10632" w:type="dxa"/>
          </w:tcPr>
          <w:p w14:paraId="000C0F3A" w14:textId="2285DD65" w:rsidR="003A53A0" w:rsidRPr="003A53A0" w:rsidRDefault="003A53A0" w:rsidP="003A53A0">
            <w:pPr>
              <w:pStyle w:val="TableText1"/>
              <w:rPr>
                <w:rFonts w:cs="Arial"/>
                <w:szCs w:val="20"/>
              </w:rPr>
            </w:pPr>
            <w:r w:rsidRPr="003A53A0">
              <w:rPr>
                <w:rFonts w:cs="Arial"/>
                <w:szCs w:val="20"/>
              </w:rPr>
              <w:t>All standards should apply for patients aged 16 years and over</w:t>
            </w:r>
          </w:p>
        </w:tc>
      </w:tr>
      <w:tr w:rsidR="003A53A0" w:rsidRPr="003A53A0" w14:paraId="36211F01" w14:textId="77777777" w:rsidTr="00F60DF7">
        <w:tc>
          <w:tcPr>
            <w:tcW w:w="675" w:type="dxa"/>
            <w:vAlign w:val="center"/>
          </w:tcPr>
          <w:p w14:paraId="414F7BC4" w14:textId="7A7F9403" w:rsidR="003A53A0" w:rsidRPr="003A53A0" w:rsidRDefault="00F60DF7" w:rsidP="00F60DF7">
            <w:pPr>
              <w:pStyle w:val="TableText1"/>
              <w:rPr>
                <w:rFonts w:cs="Arial"/>
                <w:szCs w:val="20"/>
              </w:rPr>
            </w:pPr>
            <w:r>
              <w:rPr>
                <w:rFonts w:cs="Arial"/>
                <w:szCs w:val="20"/>
              </w:rPr>
              <w:t>6</w:t>
            </w:r>
          </w:p>
        </w:tc>
        <w:tc>
          <w:tcPr>
            <w:tcW w:w="2552" w:type="dxa"/>
            <w:vAlign w:val="center"/>
          </w:tcPr>
          <w:p w14:paraId="214BD77C" w14:textId="048B36C6" w:rsidR="003A53A0" w:rsidRPr="003A53A0" w:rsidRDefault="003A53A0" w:rsidP="003A53A0">
            <w:pPr>
              <w:pStyle w:val="TableText1"/>
              <w:rPr>
                <w:rFonts w:cs="Arial"/>
                <w:szCs w:val="20"/>
              </w:rPr>
            </w:pPr>
            <w:r w:rsidRPr="003A53A0">
              <w:rPr>
                <w:rFonts w:cs="Arial"/>
                <w:szCs w:val="20"/>
              </w:rPr>
              <w:t>King’s College Hospital NHS Foundation Trust</w:t>
            </w:r>
          </w:p>
        </w:tc>
        <w:tc>
          <w:tcPr>
            <w:tcW w:w="1417" w:type="dxa"/>
            <w:vAlign w:val="center"/>
          </w:tcPr>
          <w:p w14:paraId="75967C3F" w14:textId="6BC0FD8E" w:rsidR="003A53A0" w:rsidRPr="003A53A0" w:rsidRDefault="003A53A0" w:rsidP="003A53A0">
            <w:pPr>
              <w:pStyle w:val="TableText1"/>
              <w:rPr>
                <w:rFonts w:cs="Arial"/>
                <w:bCs/>
                <w:szCs w:val="20"/>
              </w:rPr>
            </w:pPr>
            <w:r w:rsidRPr="003A53A0">
              <w:rPr>
                <w:rFonts w:cs="Arial"/>
                <w:bCs/>
                <w:szCs w:val="20"/>
              </w:rPr>
              <w:t>General</w:t>
            </w:r>
          </w:p>
        </w:tc>
        <w:tc>
          <w:tcPr>
            <w:tcW w:w="10632" w:type="dxa"/>
          </w:tcPr>
          <w:p w14:paraId="65CC1031" w14:textId="77777777" w:rsidR="003A53A0" w:rsidRPr="003A53A0" w:rsidRDefault="003A53A0" w:rsidP="003A53A0">
            <w:pPr>
              <w:rPr>
                <w:rFonts w:ascii="Arial" w:hAnsi="Arial" w:cs="Arial"/>
                <w:sz w:val="20"/>
                <w:szCs w:val="20"/>
              </w:rPr>
            </w:pPr>
            <w:r w:rsidRPr="003A53A0">
              <w:rPr>
                <w:rFonts w:ascii="Arial" w:hAnsi="Arial" w:cs="Arial"/>
                <w:sz w:val="20"/>
                <w:szCs w:val="20"/>
              </w:rPr>
              <w:t>Combining VTE prevention and management has restricted the scope and it would be preferable for these to remain independent, particularly as they evaluate completely different areas of practice.</w:t>
            </w:r>
          </w:p>
          <w:p w14:paraId="60961F4F" w14:textId="77777777" w:rsidR="003A53A0" w:rsidRPr="003A53A0" w:rsidRDefault="003A53A0" w:rsidP="003A53A0">
            <w:pPr>
              <w:rPr>
                <w:rFonts w:ascii="Arial" w:hAnsi="Arial" w:cs="Arial"/>
                <w:sz w:val="20"/>
                <w:szCs w:val="20"/>
              </w:rPr>
            </w:pPr>
            <w:r w:rsidRPr="003A53A0">
              <w:rPr>
                <w:rFonts w:ascii="Arial" w:hAnsi="Arial" w:cs="Arial"/>
                <w:sz w:val="20"/>
                <w:szCs w:val="20"/>
              </w:rPr>
              <w:t xml:space="preserve">VTE risk assessment remains a significant issue, the last report published on NHS Digital for Q3 2018/19 demonstrated that &gt;20% of NHS hospitals were falling short of the 95% risk assessment target. As NHS Digital has put this data collection on hold indefinitely, there is a need for a further incentive for hospitals to continue to aim to achieve this target, which retaining the previous QS1 would provide. </w:t>
            </w:r>
          </w:p>
          <w:p w14:paraId="292972AD" w14:textId="7A3C0F09" w:rsidR="003A53A0" w:rsidRPr="003A53A0" w:rsidRDefault="003A53A0" w:rsidP="003A53A0">
            <w:pPr>
              <w:pStyle w:val="TableText1"/>
              <w:rPr>
                <w:rFonts w:cs="Arial"/>
                <w:szCs w:val="20"/>
              </w:rPr>
            </w:pPr>
            <w:r w:rsidRPr="003A53A0">
              <w:rPr>
                <w:rFonts w:cs="Arial"/>
                <w:szCs w:val="20"/>
              </w:rPr>
              <w:t>Whilst the national report from the GIRFT Thrombosis survey evaluating VTE prevention practice has not yet been released, it is evident from site comparison that there are ongoing issues with provision of patient information. Furthermore, missed doses associated with patient refusal were prevalent highlighting a need for provision of information re VTE prevention. Therefore provision of patient information on admission and discharge should remain in the QS as it is not measured elsewhere.</w:t>
            </w:r>
          </w:p>
        </w:tc>
      </w:tr>
      <w:tr w:rsidR="003A53A0" w:rsidRPr="003A53A0" w14:paraId="49788828" w14:textId="77777777" w:rsidTr="00F60DF7">
        <w:tc>
          <w:tcPr>
            <w:tcW w:w="675" w:type="dxa"/>
            <w:vAlign w:val="center"/>
          </w:tcPr>
          <w:p w14:paraId="782FE9EA" w14:textId="0B5E31D3" w:rsidR="003A53A0" w:rsidRPr="003A53A0" w:rsidRDefault="00F60DF7" w:rsidP="00F60DF7">
            <w:pPr>
              <w:pStyle w:val="TableText1"/>
              <w:rPr>
                <w:rFonts w:cs="Arial"/>
                <w:szCs w:val="20"/>
              </w:rPr>
            </w:pPr>
            <w:r>
              <w:rPr>
                <w:rFonts w:cs="Arial"/>
                <w:szCs w:val="20"/>
              </w:rPr>
              <w:t>7</w:t>
            </w:r>
          </w:p>
        </w:tc>
        <w:tc>
          <w:tcPr>
            <w:tcW w:w="2552" w:type="dxa"/>
            <w:vAlign w:val="center"/>
          </w:tcPr>
          <w:p w14:paraId="612DABB8" w14:textId="6D19B757"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30219979" w14:textId="0E9B742D" w:rsidR="003A53A0" w:rsidRPr="003A53A0" w:rsidRDefault="003A53A0" w:rsidP="003A53A0">
            <w:pPr>
              <w:pStyle w:val="TableText1"/>
              <w:rPr>
                <w:rFonts w:cs="Arial"/>
                <w:bCs/>
                <w:szCs w:val="20"/>
              </w:rPr>
            </w:pPr>
            <w:r w:rsidRPr="003A53A0">
              <w:rPr>
                <w:rFonts w:cs="Arial"/>
                <w:bCs/>
                <w:szCs w:val="20"/>
              </w:rPr>
              <w:t>General</w:t>
            </w:r>
          </w:p>
        </w:tc>
        <w:tc>
          <w:tcPr>
            <w:tcW w:w="10632" w:type="dxa"/>
            <w:vAlign w:val="center"/>
          </w:tcPr>
          <w:p w14:paraId="14097274" w14:textId="3160CB45" w:rsidR="003A53A0" w:rsidRPr="003A53A0" w:rsidRDefault="003A53A0" w:rsidP="0032423B">
            <w:pPr>
              <w:pStyle w:val="Paragraphnonumbers"/>
              <w:rPr>
                <w:rFonts w:cs="Arial"/>
                <w:szCs w:val="20"/>
              </w:rPr>
            </w:pPr>
            <w:r w:rsidRPr="003A53A0">
              <w:rPr>
                <w:rFonts w:cs="Arial"/>
                <w:sz w:val="20"/>
                <w:szCs w:val="20"/>
              </w:rPr>
              <w:t xml:space="preserve">Commissioner role also includes the oversight of quality of service provision including where things do not happen as expected so suggest this needs reflecting in the guidance as not merely about making sure things are commissioned. </w:t>
            </w:r>
          </w:p>
        </w:tc>
      </w:tr>
      <w:tr w:rsidR="003A53A0" w:rsidRPr="003A53A0" w14:paraId="2B013BEA" w14:textId="77777777" w:rsidTr="00F60DF7">
        <w:tc>
          <w:tcPr>
            <w:tcW w:w="675" w:type="dxa"/>
            <w:vAlign w:val="center"/>
          </w:tcPr>
          <w:p w14:paraId="6EF43A1C" w14:textId="37AA3382" w:rsidR="003A53A0" w:rsidRPr="003A53A0" w:rsidRDefault="00F60DF7" w:rsidP="00F60DF7">
            <w:pPr>
              <w:pStyle w:val="TableText1"/>
              <w:rPr>
                <w:rFonts w:cs="Arial"/>
                <w:szCs w:val="20"/>
              </w:rPr>
            </w:pPr>
            <w:r>
              <w:rPr>
                <w:rFonts w:cs="Arial"/>
                <w:szCs w:val="20"/>
              </w:rPr>
              <w:t>8</w:t>
            </w:r>
          </w:p>
        </w:tc>
        <w:tc>
          <w:tcPr>
            <w:tcW w:w="2552" w:type="dxa"/>
            <w:vAlign w:val="center"/>
          </w:tcPr>
          <w:p w14:paraId="2A663B03" w14:textId="1F60B28C"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2EF298DD" w14:textId="5BAE6885" w:rsidR="003A53A0" w:rsidRPr="003A53A0" w:rsidRDefault="003A53A0" w:rsidP="003A53A0">
            <w:pPr>
              <w:pStyle w:val="TableText1"/>
              <w:rPr>
                <w:rFonts w:cs="Arial"/>
                <w:bCs/>
                <w:szCs w:val="20"/>
              </w:rPr>
            </w:pPr>
            <w:r w:rsidRPr="003A53A0">
              <w:rPr>
                <w:rFonts w:cs="Arial"/>
                <w:bCs/>
                <w:szCs w:val="20"/>
              </w:rPr>
              <w:t xml:space="preserve">General </w:t>
            </w:r>
          </w:p>
        </w:tc>
        <w:tc>
          <w:tcPr>
            <w:tcW w:w="10632" w:type="dxa"/>
            <w:vAlign w:val="center"/>
          </w:tcPr>
          <w:p w14:paraId="2BDF27A9" w14:textId="6962E6E9" w:rsidR="003A53A0" w:rsidRPr="003A53A0" w:rsidRDefault="003A53A0" w:rsidP="003A53A0">
            <w:pPr>
              <w:pStyle w:val="TableText1"/>
              <w:rPr>
                <w:rFonts w:cs="Arial"/>
                <w:szCs w:val="20"/>
              </w:rPr>
            </w:pPr>
            <w:r w:rsidRPr="003A53A0">
              <w:rPr>
                <w:rFonts w:cs="Arial"/>
                <w:szCs w:val="20"/>
              </w:rPr>
              <w:t xml:space="preserve">Would be helpful to have further detail in this guidance about engaging traditionally under represented groups and communities to ensure they are not marginalised because of processes or systems which may only see them infrequently. </w:t>
            </w:r>
          </w:p>
        </w:tc>
      </w:tr>
      <w:tr w:rsidR="003A53A0" w:rsidRPr="003A53A0" w14:paraId="614F7629" w14:textId="77777777" w:rsidTr="00F60DF7">
        <w:tc>
          <w:tcPr>
            <w:tcW w:w="675" w:type="dxa"/>
            <w:vAlign w:val="center"/>
          </w:tcPr>
          <w:p w14:paraId="23A75C4B" w14:textId="1786E37C" w:rsidR="003A53A0" w:rsidRPr="003A53A0" w:rsidRDefault="00F60DF7" w:rsidP="00F60DF7">
            <w:pPr>
              <w:pStyle w:val="TableText1"/>
              <w:rPr>
                <w:rFonts w:cs="Arial"/>
                <w:szCs w:val="20"/>
              </w:rPr>
            </w:pPr>
            <w:r>
              <w:rPr>
                <w:rFonts w:cs="Arial"/>
                <w:szCs w:val="20"/>
              </w:rPr>
              <w:t>9</w:t>
            </w:r>
          </w:p>
        </w:tc>
        <w:tc>
          <w:tcPr>
            <w:tcW w:w="2552" w:type="dxa"/>
            <w:vAlign w:val="center"/>
          </w:tcPr>
          <w:p w14:paraId="668C8149" w14:textId="2A82BEC8"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3748B7C5" w14:textId="74DDD113" w:rsidR="003A53A0" w:rsidRPr="003A53A0" w:rsidRDefault="003A53A0" w:rsidP="003A53A0">
            <w:pPr>
              <w:pStyle w:val="TableText1"/>
              <w:rPr>
                <w:rFonts w:cs="Arial"/>
                <w:bCs/>
                <w:szCs w:val="20"/>
              </w:rPr>
            </w:pPr>
            <w:r w:rsidRPr="003A53A0">
              <w:rPr>
                <w:rFonts w:cs="Arial"/>
                <w:bCs/>
                <w:szCs w:val="20"/>
              </w:rPr>
              <w:t xml:space="preserve">General </w:t>
            </w:r>
          </w:p>
        </w:tc>
        <w:tc>
          <w:tcPr>
            <w:tcW w:w="10632" w:type="dxa"/>
            <w:vAlign w:val="center"/>
          </w:tcPr>
          <w:p w14:paraId="7BBEC9C5" w14:textId="1241787A" w:rsidR="003A53A0" w:rsidRPr="003A53A0" w:rsidRDefault="003A53A0" w:rsidP="003A53A0">
            <w:pPr>
              <w:pStyle w:val="TableText1"/>
              <w:rPr>
                <w:rFonts w:cs="Arial"/>
                <w:szCs w:val="20"/>
              </w:rPr>
            </w:pPr>
            <w:r w:rsidRPr="003A53A0">
              <w:rPr>
                <w:rFonts w:cs="Arial"/>
                <w:szCs w:val="20"/>
              </w:rPr>
              <w:t>Sheffield Children’s Hospital have a particularly good example of Thromboprophylaxis Guidelines for Perioperative and Intensive Care Period which is suggested for consideration as part of development of this guidance.</w:t>
            </w:r>
          </w:p>
        </w:tc>
      </w:tr>
      <w:tr w:rsidR="003A53A0" w:rsidRPr="003A53A0" w14:paraId="2555CDFE" w14:textId="77777777" w:rsidTr="00F60DF7">
        <w:tc>
          <w:tcPr>
            <w:tcW w:w="675" w:type="dxa"/>
            <w:vAlign w:val="center"/>
          </w:tcPr>
          <w:p w14:paraId="3DCE024B" w14:textId="0A19D667" w:rsidR="003A53A0" w:rsidRPr="003A53A0" w:rsidRDefault="00F60DF7" w:rsidP="00F60DF7">
            <w:pPr>
              <w:pStyle w:val="TableText1"/>
              <w:rPr>
                <w:rFonts w:cs="Arial"/>
                <w:szCs w:val="20"/>
              </w:rPr>
            </w:pPr>
            <w:r>
              <w:rPr>
                <w:rFonts w:cs="Arial"/>
                <w:szCs w:val="20"/>
              </w:rPr>
              <w:lastRenderedPageBreak/>
              <w:t>10</w:t>
            </w:r>
          </w:p>
        </w:tc>
        <w:tc>
          <w:tcPr>
            <w:tcW w:w="2552" w:type="dxa"/>
            <w:vAlign w:val="center"/>
          </w:tcPr>
          <w:p w14:paraId="233ACFF7" w14:textId="3D5F587D"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2248EC9B" w14:textId="0DD289F5" w:rsidR="003A53A0" w:rsidRPr="003A53A0" w:rsidRDefault="003A53A0" w:rsidP="003A53A0">
            <w:pPr>
              <w:pStyle w:val="TableText1"/>
              <w:rPr>
                <w:rFonts w:cs="Arial"/>
                <w:bCs/>
                <w:szCs w:val="20"/>
              </w:rPr>
            </w:pPr>
            <w:r w:rsidRPr="003A53A0">
              <w:rPr>
                <w:rFonts w:cs="Arial"/>
                <w:bCs/>
                <w:szCs w:val="20"/>
              </w:rPr>
              <w:t>General</w:t>
            </w:r>
          </w:p>
        </w:tc>
        <w:tc>
          <w:tcPr>
            <w:tcW w:w="10632" w:type="dxa"/>
            <w:vAlign w:val="center"/>
          </w:tcPr>
          <w:p w14:paraId="62A9C0C9" w14:textId="0612D3FA" w:rsidR="003A53A0" w:rsidRPr="00F84641" w:rsidRDefault="003A53A0" w:rsidP="00F84641">
            <w:pPr>
              <w:pStyle w:val="Paragraphnonumbers"/>
              <w:rPr>
                <w:rFonts w:cs="Arial"/>
                <w:sz w:val="20"/>
                <w:szCs w:val="20"/>
              </w:rPr>
            </w:pPr>
            <w:r w:rsidRPr="003A53A0">
              <w:rPr>
                <w:rFonts w:cs="Arial"/>
                <w:sz w:val="20"/>
                <w:szCs w:val="20"/>
              </w:rPr>
              <w:t xml:space="preserve">Community nursing roles support people in their own homes as well as care setting with a range of long-term conditions which will be impacted by this guidance. Reference to how the systems and teams work in an integrated way to make the most of the skills available is suggested. </w:t>
            </w:r>
          </w:p>
        </w:tc>
      </w:tr>
      <w:tr w:rsidR="003A53A0" w:rsidRPr="003A53A0" w14:paraId="04C3CA82" w14:textId="77777777" w:rsidTr="00F60DF7">
        <w:tc>
          <w:tcPr>
            <w:tcW w:w="675" w:type="dxa"/>
            <w:vAlign w:val="center"/>
          </w:tcPr>
          <w:p w14:paraId="00299872" w14:textId="4ACC191B" w:rsidR="003A53A0" w:rsidRPr="003A53A0" w:rsidRDefault="00F60DF7" w:rsidP="00F60DF7">
            <w:pPr>
              <w:pStyle w:val="TableText1"/>
              <w:rPr>
                <w:rFonts w:cs="Arial"/>
                <w:szCs w:val="20"/>
              </w:rPr>
            </w:pPr>
            <w:r>
              <w:rPr>
                <w:rFonts w:cs="Arial"/>
                <w:szCs w:val="20"/>
              </w:rPr>
              <w:t>11</w:t>
            </w:r>
          </w:p>
        </w:tc>
        <w:tc>
          <w:tcPr>
            <w:tcW w:w="2552" w:type="dxa"/>
            <w:vAlign w:val="center"/>
          </w:tcPr>
          <w:p w14:paraId="56CA0DED" w14:textId="511380EF" w:rsidR="003A53A0" w:rsidRPr="003A53A0" w:rsidRDefault="003A53A0" w:rsidP="003A53A0">
            <w:pPr>
              <w:pStyle w:val="TableText1"/>
              <w:rPr>
                <w:rFonts w:cs="Arial"/>
                <w:szCs w:val="20"/>
              </w:rPr>
            </w:pPr>
            <w:r w:rsidRPr="003A53A0">
              <w:rPr>
                <w:rFonts w:cs="Arial"/>
                <w:szCs w:val="20"/>
              </w:rPr>
              <w:t xml:space="preserve">Royal College of Nursing </w:t>
            </w:r>
          </w:p>
        </w:tc>
        <w:tc>
          <w:tcPr>
            <w:tcW w:w="1417" w:type="dxa"/>
            <w:vAlign w:val="center"/>
          </w:tcPr>
          <w:p w14:paraId="20852600" w14:textId="744634ED" w:rsidR="003A53A0" w:rsidRPr="003A53A0" w:rsidRDefault="003A53A0" w:rsidP="003A53A0">
            <w:pPr>
              <w:pStyle w:val="TableText1"/>
              <w:rPr>
                <w:rFonts w:cs="Arial"/>
                <w:bCs/>
                <w:szCs w:val="20"/>
              </w:rPr>
            </w:pPr>
            <w:r w:rsidRPr="003A53A0">
              <w:rPr>
                <w:rFonts w:cs="Arial"/>
                <w:bCs/>
                <w:szCs w:val="20"/>
              </w:rPr>
              <w:t>General</w:t>
            </w:r>
          </w:p>
        </w:tc>
        <w:tc>
          <w:tcPr>
            <w:tcW w:w="10632" w:type="dxa"/>
            <w:vAlign w:val="center"/>
          </w:tcPr>
          <w:p w14:paraId="2F0F9B41" w14:textId="44695BB6" w:rsidR="003A53A0" w:rsidRPr="003A53A0" w:rsidRDefault="003A53A0" w:rsidP="003A53A0">
            <w:pPr>
              <w:pStyle w:val="TableText1"/>
              <w:rPr>
                <w:rFonts w:cs="Arial"/>
                <w:szCs w:val="20"/>
              </w:rPr>
            </w:pPr>
            <w:r w:rsidRPr="003A53A0">
              <w:rPr>
                <w:rFonts w:cs="Arial"/>
                <w:szCs w:val="20"/>
              </w:rPr>
              <w:t>Thank you for the opportunity to contribute to this quality standard. We do not have any comments to add on this occasion.</w:t>
            </w:r>
          </w:p>
        </w:tc>
      </w:tr>
      <w:tr w:rsidR="003A53A0" w:rsidRPr="003A53A0" w14:paraId="2585AEF6" w14:textId="77777777" w:rsidTr="00F60DF7">
        <w:tc>
          <w:tcPr>
            <w:tcW w:w="675" w:type="dxa"/>
            <w:vAlign w:val="center"/>
          </w:tcPr>
          <w:p w14:paraId="0CB4A9C7" w14:textId="04A7A533" w:rsidR="003A53A0" w:rsidRPr="003A53A0" w:rsidRDefault="00F60DF7" w:rsidP="00F60DF7">
            <w:pPr>
              <w:pStyle w:val="TableText1"/>
              <w:rPr>
                <w:rFonts w:cs="Arial"/>
                <w:szCs w:val="20"/>
              </w:rPr>
            </w:pPr>
            <w:r>
              <w:rPr>
                <w:rFonts w:cs="Arial"/>
                <w:szCs w:val="20"/>
              </w:rPr>
              <w:t>12</w:t>
            </w:r>
          </w:p>
        </w:tc>
        <w:tc>
          <w:tcPr>
            <w:tcW w:w="2552" w:type="dxa"/>
            <w:vAlign w:val="center"/>
          </w:tcPr>
          <w:p w14:paraId="09E1F8A2" w14:textId="18F03973" w:rsidR="003A53A0" w:rsidRPr="003A53A0" w:rsidRDefault="003A53A0" w:rsidP="003A53A0">
            <w:pPr>
              <w:pStyle w:val="TableText1"/>
              <w:rPr>
                <w:rFonts w:cs="Arial"/>
                <w:szCs w:val="20"/>
              </w:rPr>
            </w:pPr>
            <w:r w:rsidRPr="003A53A0">
              <w:rPr>
                <w:rFonts w:cs="Arial"/>
                <w:iCs/>
                <w:szCs w:val="20"/>
              </w:rPr>
              <w:t>Royal College of Paediatrics and Child Health</w:t>
            </w:r>
          </w:p>
        </w:tc>
        <w:tc>
          <w:tcPr>
            <w:tcW w:w="1417" w:type="dxa"/>
            <w:vAlign w:val="center"/>
          </w:tcPr>
          <w:p w14:paraId="3D0C2150" w14:textId="52D8AC92" w:rsidR="003A53A0" w:rsidRPr="003A53A0" w:rsidRDefault="003A53A0" w:rsidP="003A53A0">
            <w:pPr>
              <w:pStyle w:val="TableText1"/>
              <w:rPr>
                <w:rFonts w:cs="Arial"/>
                <w:bCs/>
                <w:szCs w:val="20"/>
              </w:rPr>
            </w:pPr>
            <w:r w:rsidRPr="003A53A0">
              <w:rPr>
                <w:rFonts w:cs="Arial"/>
                <w:bCs/>
                <w:szCs w:val="20"/>
              </w:rPr>
              <w:t>General</w:t>
            </w:r>
          </w:p>
        </w:tc>
        <w:tc>
          <w:tcPr>
            <w:tcW w:w="10632" w:type="dxa"/>
            <w:vAlign w:val="center"/>
          </w:tcPr>
          <w:p w14:paraId="1566D853" w14:textId="5D6134EE" w:rsidR="003A53A0" w:rsidRPr="003A53A0" w:rsidRDefault="003A53A0" w:rsidP="003A53A0">
            <w:pPr>
              <w:pStyle w:val="TableText1"/>
              <w:rPr>
                <w:rFonts w:cs="Arial"/>
                <w:szCs w:val="20"/>
              </w:rPr>
            </w:pPr>
            <w:r w:rsidRPr="003A53A0">
              <w:rPr>
                <w:rFonts w:cs="Arial"/>
                <w:szCs w:val="20"/>
              </w:rPr>
              <w:t>Thank you for inviting the Royal College of Paediatrics and Child Health to comment on the Venous thromboembolic diseases quality standard. We have not received any responses for this consultation.</w:t>
            </w:r>
          </w:p>
        </w:tc>
      </w:tr>
      <w:tr w:rsidR="003A53A0" w:rsidRPr="003A53A0" w14:paraId="5574398F" w14:textId="77777777" w:rsidTr="00F60DF7">
        <w:tc>
          <w:tcPr>
            <w:tcW w:w="675" w:type="dxa"/>
            <w:vAlign w:val="center"/>
          </w:tcPr>
          <w:p w14:paraId="5A20FD93" w14:textId="005F611B" w:rsidR="003A53A0" w:rsidRPr="003A53A0" w:rsidRDefault="00F60DF7" w:rsidP="00F60DF7">
            <w:pPr>
              <w:pStyle w:val="TableText1"/>
              <w:rPr>
                <w:rFonts w:cs="Arial"/>
                <w:szCs w:val="20"/>
              </w:rPr>
            </w:pPr>
            <w:r>
              <w:rPr>
                <w:rFonts w:cs="Arial"/>
                <w:szCs w:val="20"/>
              </w:rPr>
              <w:t>13</w:t>
            </w:r>
          </w:p>
        </w:tc>
        <w:tc>
          <w:tcPr>
            <w:tcW w:w="2552" w:type="dxa"/>
            <w:vAlign w:val="center"/>
          </w:tcPr>
          <w:p w14:paraId="3EACCE37" w14:textId="75386AC5" w:rsidR="003A53A0" w:rsidRPr="003A53A0" w:rsidRDefault="003A53A0" w:rsidP="003A53A0">
            <w:pPr>
              <w:pStyle w:val="TableText1"/>
              <w:rPr>
                <w:rFonts w:cs="Arial"/>
                <w:szCs w:val="20"/>
              </w:rPr>
            </w:pPr>
            <w:r w:rsidRPr="003A53A0">
              <w:rPr>
                <w:rFonts w:cs="Arial"/>
                <w:szCs w:val="20"/>
              </w:rPr>
              <w:t xml:space="preserve">Royal College of Physicians </w:t>
            </w:r>
          </w:p>
        </w:tc>
        <w:tc>
          <w:tcPr>
            <w:tcW w:w="1417" w:type="dxa"/>
            <w:vAlign w:val="center"/>
          </w:tcPr>
          <w:p w14:paraId="066FD758" w14:textId="1064FF61" w:rsidR="003A53A0" w:rsidRPr="003A53A0" w:rsidRDefault="003A53A0" w:rsidP="003A53A0">
            <w:pPr>
              <w:pStyle w:val="TableText1"/>
              <w:rPr>
                <w:rFonts w:cs="Arial"/>
                <w:bCs/>
                <w:szCs w:val="20"/>
              </w:rPr>
            </w:pPr>
            <w:r w:rsidRPr="003A53A0">
              <w:rPr>
                <w:rFonts w:cs="Arial"/>
                <w:bCs/>
                <w:szCs w:val="20"/>
              </w:rPr>
              <w:t>General</w:t>
            </w:r>
          </w:p>
        </w:tc>
        <w:tc>
          <w:tcPr>
            <w:tcW w:w="10632" w:type="dxa"/>
            <w:vAlign w:val="center"/>
          </w:tcPr>
          <w:p w14:paraId="0BA509C3" w14:textId="0DA5F0CD" w:rsidR="003A53A0" w:rsidRPr="003A53A0" w:rsidRDefault="003A53A0" w:rsidP="003A53A0">
            <w:pPr>
              <w:pStyle w:val="TableText1"/>
              <w:rPr>
                <w:rFonts w:cs="Arial"/>
                <w:szCs w:val="20"/>
              </w:rPr>
            </w:pPr>
            <w:r w:rsidRPr="003A53A0">
              <w:rPr>
                <w:rFonts w:cs="Arial"/>
                <w:szCs w:val="20"/>
              </w:rPr>
              <w:t>We would like to endorse the response submitted by the British Thoracic Society (BTS).</w:t>
            </w:r>
          </w:p>
        </w:tc>
      </w:tr>
      <w:tr w:rsidR="003A53A0" w:rsidRPr="003A53A0" w14:paraId="56364E91" w14:textId="77777777" w:rsidTr="00F60DF7">
        <w:tc>
          <w:tcPr>
            <w:tcW w:w="675" w:type="dxa"/>
            <w:vAlign w:val="center"/>
          </w:tcPr>
          <w:p w14:paraId="4B661F1D" w14:textId="7FCB1C6A" w:rsidR="003A53A0" w:rsidRPr="003A53A0" w:rsidRDefault="00F60DF7" w:rsidP="00F60DF7">
            <w:pPr>
              <w:pStyle w:val="TableText1"/>
              <w:rPr>
                <w:rFonts w:cs="Arial"/>
                <w:szCs w:val="20"/>
              </w:rPr>
            </w:pPr>
            <w:r>
              <w:rPr>
                <w:rFonts w:cs="Arial"/>
                <w:szCs w:val="20"/>
              </w:rPr>
              <w:t>14</w:t>
            </w:r>
          </w:p>
        </w:tc>
        <w:tc>
          <w:tcPr>
            <w:tcW w:w="2552" w:type="dxa"/>
            <w:vAlign w:val="center"/>
          </w:tcPr>
          <w:p w14:paraId="27C47274" w14:textId="3213A3AB" w:rsidR="003A53A0" w:rsidRPr="003A53A0" w:rsidRDefault="003A53A0" w:rsidP="003A53A0">
            <w:pPr>
              <w:pStyle w:val="TableText1"/>
              <w:rPr>
                <w:rFonts w:cs="Arial"/>
                <w:szCs w:val="20"/>
              </w:rPr>
            </w:pPr>
            <w:r w:rsidRPr="003A53A0">
              <w:rPr>
                <w:rFonts w:cs="Arial"/>
                <w:szCs w:val="20"/>
              </w:rPr>
              <w:t>UK Clinical Pharmacy Association (UKCPA) Haemostasis &amp; Thrombosis Committee</w:t>
            </w:r>
          </w:p>
        </w:tc>
        <w:tc>
          <w:tcPr>
            <w:tcW w:w="1417" w:type="dxa"/>
            <w:vAlign w:val="center"/>
          </w:tcPr>
          <w:p w14:paraId="36679A97" w14:textId="367A9DA1" w:rsidR="003A53A0" w:rsidRPr="003A53A0" w:rsidRDefault="003A53A0" w:rsidP="003A53A0">
            <w:pPr>
              <w:pStyle w:val="TableText1"/>
              <w:rPr>
                <w:rFonts w:cs="Arial"/>
                <w:bCs/>
                <w:szCs w:val="20"/>
              </w:rPr>
            </w:pPr>
            <w:r w:rsidRPr="003A53A0">
              <w:rPr>
                <w:rFonts w:cs="Arial"/>
                <w:bCs/>
                <w:szCs w:val="20"/>
              </w:rPr>
              <w:t>General</w:t>
            </w:r>
          </w:p>
        </w:tc>
        <w:tc>
          <w:tcPr>
            <w:tcW w:w="10632" w:type="dxa"/>
            <w:vAlign w:val="center"/>
          </w:tcPr>
          <w:p w14:paraId="3FA27383" w14:textId="18FE0068" w:rsidR="003A53A0" w:rsidRPr="003A53A0" w:rsidRDefault="003A53A0" w:rsidP="003A53A0">
            <w:pPr>
              <w:pStyle w:val="TableText1"/>
              <w:rPr>
                <w:rFonts w:cs="Arial"/>
                <w:szCs w:val="20"/>
              </w:rPr>
            </w:pPr>
            <w:r w:rsidRPr="003A53A0">
              <w:rPr>
                <w:rFonts w:cs="Arial"/>
                <w:szCs w:val="20"/>
              </w:rPr>
              <w:t>NICE quality standards for VTE prevention and treatment/management should continue to remain separate</w:t>
            </w:r>
          </w:p>
        </w:tc>
      </w:tr>
      <w:tr w:rsidR="003A53A0" w:rsidRPr="003A53A0" w14:paraId="5A9B9650" w14:textId="77777777" w:rsidTr="00F60DF7">
        <w:tc>
          <w:tcPr>
            <w:tcW w:w="675" w:type="dxa"/>
            <w:vAlign w:val="center"/>
          </w:tcPr>
          <w:p w14:paraId="2688F963" w14:textId="6D5FA1F7" w:rsidR="003A53A0" w:rsidRPr="003A53A0" w:rsidRDefault="00F60DF7" w:rsidP="00F60DF7">
            <w:pPr>
              <w:pStyle w:val="TableText1"/>
              <w:rPr>
                <w:rFonts w:cs="Arial"/>
                <w:szCs w:val="20"/>
              </w:rPr>
            </w:pPr>
            <w:r>
              <w:rPr>
                <w:rFonts w:cs="Arial"/>
                <w:szCs w:val="20"/>
              </w:rPr>
              <w:t>15</w:t>
            </w:r>
          </w:p>
        </w:tc>
        <w:tc>
          <w:tcPr>
            <w:tcW w:w="2552" w:type="dxa"/>
            <w:vAlign w:val="center"/>
          </w:tcPr>
          <w:p w14:paraId="6FD40854" w14:textId="6362643B" w:rsidR="003A53A0" w:rsidRPr="003A53A0" w:rsidRDefault="003A53A0" w:rsidP="003A53A0">
            <w:pPr>
              <w:pStyle w:val="TableText1"/>
              <w:rPr>
                <w:rFonts w:cs="Arial"/>
                <w:szCs w:val="20"/>
              </w:rPr>
            </w:pPr>
            <w:r w:rsidRPr="003A53A0">
              <w:rPr>
                <w:rFonts w:cs="Arial"/>
                <w:szCs w:val="20"/>
              </w:rPr>
              <w:t>UK Clinical Pharmacy Association (UKCPA) Haemostasis &amp; Thrombosis Committee</w:t>
            </w:r>
          </w:p>
        </w:tc>
        <w:tc>
          <w:tcPr>
            <w:tcW w:w="1417" w:type="dxa"/>
            <w:vAlign w:val="center"/>
          </w:tcPr>
          <w:p w14:paraId="345075A7" w14:textId="50AC0C17" w:rsidR="003A53A0" w:rsidRPr="003A53A0" w:rsidRDefault="003A53A0" w:rsidP="003A53A0">
            <w:pPr>
              <w:pStyle w:val="TableText1"/>
              <w:rPr>
                <w:rFonts w:cs="Arial"/>
                <w:bCs/>
                <w:szCs w:val="20"/>
              </w:rPr>
            </w:pPr>
            <w:r w:rsidRPr="003A53A0">
              <w:rPr>
                <w:rFonts w:cs="Arial"/>
                <w:bCs/>
                <w:szCs w:val="20"/>
              </w:rPr>
              <w:t>General</w:t>
            </w:r>
          </w:p>
        </w:tc>
        <w:tc>
          <w:tcPr>
            <w:tcW w:w="10632" w:type="dxa"/>
            <w:vAlign w:val="center"/>
          </w:tcPr>
          <w:p w14:paraId="0DBE5A51" w14:textId="7358B454" w:rsidR="003A53A0" w:rsidRPr="003A53A0" w:rsidRDefault="003A53A0" w:rsidP="003A53A0">
            <w:pPr>
              <w:pStyle w:val="TableText1"/>
              <w:rPr>
                <w:rFonts w:cs="Arial"/>
                <w:szCs w:val="20"/>
              </w:rPr>
            </w:pPr>
            <w:r w:rsidRPr="003A53A0">
              <w:rPr>
                <w:rFonts w:cs="Arial"/>
                <w:szCs w:val="20"/>
              </w:rPr>
              <w:t>All standards should apply for patients aged 16 years and over (as per NICE NG89)</w:t>
            </w:r>
          </w:p>
        </w:tc>
      </w:tr>
      <w:tr w:rsidR="003A53A0" w:rsidRPr="003A53A0" w14:paraId="240E18F4" w14:textId="77777777" w:rsidTr="00F60DF7">
        <w:tc>
          <w:tcPr>
            <w:tcW w:w="675" w:type="dxa"/>
            <w:vAlign w:val="center"/>
          </w:tcPr>
          <w:p w14:paraId="2D0E6C83" w14:textId="7DA6F1D9" w:rsidR="003A53A0" w:rsidRPr="003A53A0" w:rsidRDefault="00F60DF7" w:rsidP="00F60DF7">
            <w:pPr>
              <w:pStyle w:val="TableText1"/>
              <w:rPr>
                <w:rFonts w:cs="Arial"/>
                <w:szCs w:val="20"/>
              </w:rPr>
            </w:pPr>
            <w:r>
              <w:rPr>
                <w:rFonts w:cs="Arial"/>
                <w:szCs w:val="20"/>
              </w:rPr>
              <w:t>16</w:t>
            </w:r>
          </w:p>
        </w:tc>
        <w:tc>
          <w:tcPr>
            <w:tcW w:w="2552" w:type="dxa"/>
            <w:vAlign w:val="center"/>
          </w:tcPr>
          <w:p w14:paraId="1D6596FD" w14:textId="2D0B02E3" w:rsidR="003A53A0" w:rsidRPr="003A53A0" w:rsidRDefault="003A53A0" w:rsidP="003A53A0">
            <w:pPr>
              <w:pStyle w:val="TableText1"/>
              <w:rPr>
                <w:rFonts w:cs="Arial"/>
                <w:szCs w:val="20"/>
              </w:rPr>
            </w:pPr>
            <w:r w:rsidRPr="003A53A0">
              <w:rPr>
                <w:rFonts w:cs="Arial"/>
                <w:szCs w:val="20"/>
              </w:rPr>
              <w:t>Society and College of Radiographers</w:t>
            </w:r>
          </w:p>
        </w:tc>
        <w:tc>
          <w:tcPr>
            <w:tcW w:w="1417" w:type="dxa"/>
            <w:vAlign w:val="center"/>
          </w:tcPr>
          <w:p w14:paraId="5D5E20A1" w14:textId="1A7A886C" w:rsidR="003A53A0" w:rsidRPr="003A53A0" w:rsidRDefault="003A53A0" w:rsidP="003A53A0">
            <w:pPr>
              <w:pStyle w:val="TableText1"/>
              <w:rPr>
                <w:rFonts w:cs="Arial"/>
                <w:bCs/>
                <w:szCs w:val="20"/>
              </w:rPr>
            </w:pPr>
            <w:r w:rsidRPr="003A53A0">
              <w:rPr>
                <w:rFonts w:cs="Arial"/>
                <w:bCs/>
                <w:szCs w:val="20"/>
              </w:rPr>
              <w:t>Question 1</w:t>
            </w:r>
          </w:p>
        </w:tc>
        <w:tc>
          <w:tcPr>
            <w:tcW w:w="10632" w:type="dxa"/>
            <w:vAlign w:val="center"/>
          </w:tcPr>
          <w:p w14:paraId="69D0556C" w14:textId="77777777" w:rsidR="003A53A0" w:rsidRPr="003A53A0" w:rsidRDefault="003A53A0" w:rsidP="003A53A0">
            <w:pPr>
              <w:rPr>
                <w:rFonts w:ascii="Arial" w:hAnsi="Arial" w:cs="Arial"/>
                <w:sz w:val="20"/>
                <w:szCs w:val="20"/>
              </w:rPr>
            </w:pPr>
            <w:r w:rsidRPr="003A53A0">
              <w:rPr>
                <w:rFonts w:ascii="Arial" w:hAnsi="Arial" w:cs="Arial"/>
                <w:sz w:val="20"/>
                <w:szCs w:val="20"/>
              </w:rPr>
              <w:t>Yes, seems to for the diagnostic side.</w:t>
            </w:r>
          </w:p>
          <w:p w14:paraId="7F16AD95" w14:textId="77777777" w:rsidR="003A53A0" w:rsidRPr="003A53A0" w:rsidRDefault="003A53A0" w:rsidP="003A53A0">
            <w:pPr>
              <w:pStyle w:val="TableText1"/>
              <w:rPr>
                <w:rFonts w:cs="Arial"/>
                <w:szCs w:val="20"/>
              </w:rPr>
            </w:pPr>
          </w:p>
        </w:tc>
      </w:tr>
      <w:tr w:rsidR="003A53A0" w:rsidRPr="003A53A0" w14:paraId="1C6168DF" w14:textId="77777777" w:rsidTr="00F60DF7">
        <w:tc>
          <w:tcPr>
            <w:tcW w:w="675" w:type="dxa"/>
            <w:vAlign w:val="center"/>
          </w:tcPr>
          <w:p w14:paraId="3A3C9269" w14:textId="70CEF230" w:rsidR="003A53A0" w:rsidRPr="003A53A0" w:rsidRDefault="00F60DF7" w:rsidP="00F60DF7">
            <w:pPr>
              <w:pStyle w:val="TableText1"/>
              <w:rPr>
                <w:rFonts w:cs="Arial"/>
                <w:szCs w:val="20"/>
              </w:rPr>
            </w:pPr>
            <w:r>
              <w:rPr>
                <w:rFonts w:cs="Arial"/>
                <w:szCs w:val="20"/>
              </w:rPr>
              <w:t>17</w:t>
            </w:r>
          </w:p>
        </w:tc>
        <w:tc>
          <w:tcPr>
            <w:tcW w:w="2552" w:type="dxa"/>
            <w:vAlign w:val="center"/>
          </w:tcPr>
          <w:p w14:paraId="40C99917" w14:textId="786A074B" w:rsidR="003A53A0" w:rsidRPr="003A53A0" w:rsidRDefault="003A53A0" w:rsidP="003A53A0">
            <w:pPr>
              <w:pStyle w:val="TableText1"/>
              <w:rPr>
                <w:rFonts w:cs="Arial"/>
                <w:szCs w:val="20"/>
              </w:rPr>
            </w:pPr>
            <w:r w:rsidRPr="003A53A0">
              <w:rPr>
                <w:rFonts w:cs="Arial"/>
                <w:bCs/>
                <w:iCs/>
                <w:szCs w:val="20"/>
              </w:rPr>
              <w:t>VTE National Network for Nursing and Midwifery</w:t>
            </w:r>
          </w:p>
        </w:tc>
        <w:tc>
          <w:tcPr>
            <w:tcW w:w="1417" w:type="dxa"/>
            <w:vAlign w:val="center"/>
          </w:tcPr>
          <w:p w14:paraId="1102E41F" w14:textId="16A6BA24" w:rsidR="003A53A0" w:rsidRPr="003A53A0" w:rsidRDefault="003A53A0" w:rsidP="003A53A0">
            <w:pPr>
              <w:pStyle w:val="TableText1"/>
              <w:rPr>
                <w:rFonts w:cs="Arial"/>
                <w:bCs/>
                <w:szCs w:val="20"/>
              </w:rPr>
            </w:pPr>
            <w:r w:rsidRPr="003A53A0">
              <w:rPr>
                <w:rFonts w:cs="Arial"/>
                <w:bCs/>
                <w:szCs w:val="20"/>
              </w:rPr>
              <w:t>Question 1</w:t>
            </w:r>
          </w:p>
        </w:tc>
        <w:tc>
          <w:tcPr>
            <w:tcW w:w="10632" w:type="dxa"/>
            <w:vAlign w:val="center"/>
          </w:tcPr>
          <w:p w14:paraId="36F627CB" w14:textId="153FAE27" w:rsidR="003A53A0" w:rsidRPr="003A53A0" w:rsidRDefault="003A53A0" w:rsidP="003A53A0">
            <w:pPr>
              <w:pStyle w:val="TableText1"/>
              <w:rPr>
                <w:rFonts w:cs="Arial"/>
                <w:szCs w:val="20"/>
              </w:rPr>
            </w:pPr>
            <w:r w:rsidRPr="003A53A0">
              <w:rPr>
                <w:rFonts w:cs="Arial"/>
                <w:szCs w:val="20"/>
              </w:rPr>
              <w:t xml:space="preserve">No, prevention and treatment QS should remain separate, they lose impact by merging them and appear disjointed.  Several important safety and quality standards have been omitted. </w:t>
            </w:r>
          </w:p>
        </w:tc>
      </w:tr>
      <w:tr w:rsidR="003A53A0" w:rsidRPr="003A53A0" w14:paraId="2411ECB5" w14:textId="77777777" w:rsidTr="00F60DF7">
        <w:tc>
          <w:tcPr>
            <w:tcW w:w="675" w:type="dxa"/>
            <w:vAlign w:val="center"/>
          </w:tcPr>
          <w:p w14:paraId="78F0DA06" w14:textId="5726F415" w:rsidR="003A53A0" w:rsidRPr="003A53A0" w:rsidRDefault="00F60DF7" w:rsidP="00F60DF7">
            <w:pPr>
              <w:pStyle w:val="TableText1"/>
              <w:rPr>
                <w:rFonts w:cs="Arial"/>
                <w:szCs w:val="20"/>
              </w:rPr>
            </w:pPr>
            <w:r>
              <w:rPr>
                <w:rFonts w:cs="Arial"/>
                <w:szCs w:val="20"/>
              </w:rPr>
              <w:t>18</w:t>
            </w:r>
          </w:p>
        </w:tc>
        <w:tc>
          <w:tcPr>
            <w:tcW w:w="2552" w:type="dxa"/>
            <w:vAlign w:val="center"/>
          </w:tcPr>
          <w:p w14:paraId="4AE90DD1" w14:textId="4708D50D" w:rsidR="003A53A0" w:rsidRPr="003A53A0" w:rsidRDefault="003A53A0" w:rsidP="003A53A0">
            <w:pPr>
              <w:pStyle w:val="TableText1"/>
              <w:rPr>
                <w:rFonts w:cs="Arial"/>
                <w:szCs w:val="20"/>
              </w:rPr>
            </w:pPr>
            <w:r w:rsidRPr="003A53A0">
              <w:rPr>
                <w:rFonts w:cs="Arial"/>
                <w:iCs/>
                <w:szCs w:val="20"/>
              </w:rPr>
              <w:t>NHS England and NHS Improvement</w:t>
            </w:r>
          </w:p>
        </w:tc>
        <w:tc>
          <w:tcPr>
            <w:tcW w:w="1417" w:type="dxa"/>
            <w:vAlign w:val="center"/>
          </w:tcPr>
          <w:p w14:paraId="69C3EBA8" w14:textId="38E2271E" w:rsidR="003A53A0" w:rsidRPr="003A53A0" w:rsidRDefault="003A53A0" w:rsidP="003A53A0">
            <w:pPr>
              <w:pStyle w:val="TableText1"/>
              <w:rPr>
                <w:rFonts w:cs="Arial"/>
                <w:bCs/>
                <w:szCs w:val="20"/>
              </w:rPr>
            </w:pPr>
            <w:r w:rsidRPr="003A53A0">
              <w:rPr>
                <w:rFonts w:cs="Arial"/>
                <w:bCs/>
                <w:szCs w:val="20"/>
              </w:rPr>
              <w:t>Question 2</w:t>
            </w:r>
          </w:p>
        </w:tc>
        <w:tc>
          <w:tcPr>
            <w:tcW w:w="10632" w:type="dxa"/>
            <w:vAlign w:val="center"/>
          </w:tcPr>
          <w:p w14:paraId="1C3478FB" w14:textId="40FB92CD" w:rsidR="003A53A0" w:rsidRPr="003A53A0" w:rsidRDefault="003A53A0" w:rsidP="003A53A0">
            <w:pPr>
              <w:pStyle w:val="TableText1"/>
              <w:rPr>
                <w:rFonts w:cs="Arial"/>
                <w:szCs w:val="20"/>
              </w:rPr>
            </w:pPr>
            <w:r w:rsidRPr="003A53A0">
              <w:rPr>
                <w:rFonts w:cs="Arial"/>
                <w:szCs w:val="20"/>
              </w:rPr>
              <w:t xml:space="preserve">Variation across systems to collect data as identified may cause problems and where reliance is upon manual data collection and data entry parallel process even more so - this may need considering in relation to numerators set. </w:t>
            </w:r>
          </w:p>
        </w:tc>
      </w:tr>
      <w:tr w:rsidR="003A53A0" w:rsidRPr="003A53A0" w14:paraId="2859DA75" w14:textId="77777777" w:rsidTr="00F60DF7">
        <w:tc>
          <w:tcPr>
            <w:tcW w:w="675" w:type="dxa"/>
            <w:vAlign w:val="center"/>
          </w:tcPr>
          <w:p w14:paraId="1618C4F7" w14:textId="0F5BF7E9" w:rsidR="003A53A0" w:rsidRPr="003A53A0" w:rsidRDefault="00F60DF7" w:rsidP="00F60DF7">
            <w:pPr>
              <w:pStyle w:val="TableText1"/>
              <w:rPr>
                <w:rFonts w:cs="Arial"/>
                <w:szCs w:val="20"/>
              </w:rPr>
            </w:pPr>
            <w:r>
              <w:rPr>
                <w:rFonts w:cs="Arial"/>
                <w:szCs w:val="20"/>
              </w:rPr>
              <w:t>19</w:t>
            </w:r>
          </w:p>
        </w:tc>
        <w:tc>
          <w:tcPr>
            <w:tcW w:w="2552" w:type="dxa"/>
            <w:vAlign w:val="center"/>
          </w:tcPr>
          <w:p w14:paraId="4F48F698" w14:textId="3DD61057" w:rsidR="003A53A0" w:rsidRPr="003A53A0" w:rsidRDefault="003A53A0" w:rsidP="003A53A0">
            <w:pPr>
              <w:pStyle w:val="TableText1"/>
              <w:rPr>
                <w:rFonts w:cs="Arial"/>
                <w:szCs w:val="20"/>
              </w:rPr>
            </w:pPr>
            <w:r w:rsidRPr="003A53A0">
              <w:rPr>
                <w:rFonts w:cs="Arial"/>
                <w:iCs/>
                <w:szCs w:val="20"/>
              </w:rPr>
              <w:t>NHS England and NHS Improvement</w:t>
            </w:r>
          </w:p>
        </w:tc>
        <w:tc>
          <w:tcPr>
            <w:tcW w:w="1417" w:type="dxa"/>
            <w:vAlign w:val="center"/>
          </w:tcPr>
          <w:p w14:paraId="3D290E45" w14:textId="583DADF9" w:rsidR="003A53A0" w:rsidRPr="003A53A0" w:rsidRDefault="003A53A0" w:rsidP="003A53A0">
            <w:pPr>
              <w:pStyle w:val="TableText1"/>
              <w:rPr>
                <w:rFonts w:cs="Arial"/>
                <w:bCs/>
                <w:szCs w:val="20"/>
              </w:rPr>
            </w:pPr>
            <w:r w:rsidRPr="003A53A0">
              <w:rPr>
                <w:rFonts w:cs="Arial"/>
                <w:bCs/>
                <w:szCs w:val="20"/>
              </w:rPr>
              <w:t>Question 2</w:t>
            </w:r>
          </w:p>
        </w:tc>
        <w:tc>
          <w:tcPr>
            <w:tcW w:w="10632" w:type="dxa"/>
            <w:vAlign w:val="center"/>
          </w:tcPr>
          <w:p w14:paraId="51481787" w14:textId="3BCF8EF0" w:rsidR="003A53A0" w:rsidRPr="003A53A0" w:rsidRDefault="003A53A0" w:rsidP="003A53A0">
            <w:pPr>
              <w:pStyle w:val="NICEnormal"/>
              <w:rPr>
                <w:rFonts w:cs="Arial"/>
                <w:sz w:val="20"/>
                <w:szCs w:val="20"/>
              </w:rPr>
            </w:pPr>
            <w:r w:rsidRPr="003A53A0">
              <w:rPr>
                <w:rFonts w:cs="Arial"/>
                <w:sz w:val="20"/>
                <w:szCs w:val="20"/>
              </w:rP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6B1539DE" w14:textId="0E3B8ED4" w:rsidR="003A53A0" w:rsidRPr="003A53A0" w:rsidRDefault="003A53A0" w:rsidP="003A53A0">
            <w:pPr>
              <w:pStyle w:val="TableText1"/>
              <w:rPr>
                <w:rFonts w:cs="Arial"/>
                <w:szCs w:val="20"/>
              </w:rPr>
            </w:pPr>
            <w:r w:rsidRPr="003A53A0">
              <w:rPr>
                <w:rFonts w:cs="Arial"/>
                <w:szCs w:val="20"/>
              </w:rPr>
              <w:t xml:space="preserve">Links directly to question 2 above. Would suggest consideration as to the range of acute, community and mental health trusts and existing IT systems and local set up of such systems to maximise or develop systems to support data collection secondary to good care practice. </w:t>
            </w:r>
          </w:p>
        </w:tc>
      </w:tr>
      <w:tr w:rsidR="003A53A0" w:rsidRPr="003A53A0" w14:paraId="0F017972" w14:textId="77777777" w:rsidTr="00F60DF7">
        <w:tc>
          <w:tcPr>
            <w:tcW w:w="675" w:type="dxa"/>
            <w:vAlign w:val="center"/>
          </w:tcPr>
          <w:p w14:paraId="0776BE0A" w14:textId="4B33A27E" w:rsidR="003A53A0" w:rsidRPr="003A53A0" w:rsidRDefault="00F60DF7" w:rsidP="00F60DF7">
            <w:pPr>
              <w:pStyle w:val="TableText1"/>
              <w:rPr>
                <w:rFonts w:cs="Arial"/>
                <w:szCs w:val="20"/>
              </w:rPr>
            </w:pPr>
            <w:r>
              <w:rPr>
                <w:rFonts w:cs="Arial"/>
                <w:szCs w:val="20"/>
              </w:rPr>
              <w:lastRenderedPageBreak/>
              <w:t>20</w:t>
            </w:r>
          </w:p>
        </w:tc>
        <w:tc>
          <w:tcPr>
            <w:tcW w:w="2552" w:type="dxa"/>
            <w:vAlign w:val="center"/>
          </w:tcPr>
          <w:p w14:paraId="71653F2D" w14:textId="11C5EE07" w:rsidR="003A53A0" w:rsidRPr="003A53A0" w:rsidRDefault="003A53A0" w:rsidP="003A53A0">
            <w:pPr>
              <w:pStyle w:val="TableText1"/>
              <w:rPr>
                <w:rFonts w:cs="Arial"/>
                <w:szCs w:val="20"/>
              </w:rPr>
            </w:pPr>
            <w:r w:rsidRPr="003A53A0">
              <w:rPr>
                <w:rFonts w:cs="Arial"/>
                <w:iCs/>
                <w:szCs w:val="20"/>
              </w:rPr>
              <w:t>Society and College of Radiographers</w:t>
            </w:r>
          </w:p>
        </w:tc>
        <w:tc>
          <w:tcPr>
            <w:tcW w:w="1417" w:type="dxa"/>
            <w:vAlign w:val="center"/>
          </w:tcPr>
          <w:p w14:paraId="54358E5E" w14:textId="714942D4" w:rsidR="003A53A0" w:rsidRPr="003A53A0" w:rsidRDefault="003A53A0" w:rsidP="003A53A0">
            <w:pPr>
              <w:pStyle w:val="TableText1"/>
              <w:rPr>
                <w:rFonts w:cs="Arial"/>
                <w:bCs/>
                <w:szCs w:val="20"/>
              </w:rPr>
            </w:pPr>
            <w:r w:rsidRPr="003A53A0">
              <w:rPr>
                <w:rFonts w:cs="Arial"/>
                <w:bCs/>
                <w:szCs w:val="20"/>
              </w:rPr>
              <w:t>Question 2</w:t>
            </w:r>
          </w:p>
        </w:tc>
        <w:tc>
          <w:tcPr>
            <w:tcW w:w="10632" w:type="dxa"/>
            <w:vAlign w:val="center"/>
          </w:tcPr>
          <w:p w14:paraId="25A39114" w14:textId="59A220C2" w:rsidR="003A53A0" w:rsidRPr="003A53A0" w:rsidRDefault="003A53A0" w:rsidP="0032423B">
            <w:pPr>
              <w:pStyle w:val="NICEnormal"/>
              <w:rPr>
                <w:rFonts w:cs="Arial"/>
                <w:szCs w:val="20"/>
              </w:rPr>
            </w:pPr>
            <w:r w:rsidRPr="003A53A0">
              <w:rPr>
                <w:rFonts w:cs="Arial"/>
                <w:sz w:val="20"/>
                <w:szCs w:val="20"/>
              </w:rPr>
              <w:t>With regards to diagnostics this would be feasible but may not be deemed a priority.</w:t>
            </w:r>
          </w:p>
        </w:tc>
      </w:tr>
      <w:tr w:rsidR="003A53A0" w:rsidRPr="003A53A0" w14:paraId="4A99ABA2" w14:textId="77777777" w:rsidTr="00F60DF7">
        <w:tc>
          <w:tcPr>
            <w:tcW w:w="675" w:type="dxa"/>
            <w:vAlign w:val="center"/>
          </w:tcPr>
          <w:p w14:paraId="0952045E" w14:textId="34691002" w:rsidR="003A53A0" w:rsidRPr="003A53A0" w:rsidRDefault="00F60DF7" w:rsidP="00F60DF7">
            <w:pPr>
              <w:pStyle w:val="TableText1"/>
              <w:rPr>
                <w:rFonts w:cs="Arial"/>
                <w:szCs w:val="20"/>
              </w:rPr>
            </w:pPr>
            <w:r>
              <w:rPr>
                <w:rFonts w:cs="Arial"/>
                <w:szCs w:val="20"/>
              </w:rPr>
              <w:t>21</w:t>
            </w:r>
          </w:p>
        </w:tc>
        <w:tc>
          <w:tcPr>
            <w:tcW w:w="2552" w:type="dxa"/>
            <w:vAlign w:val="center"/>
          </w:tcPr>
          <w:p w14:paraId="2A7E304A" w14:textId="64F5632D" w:rsidR="003A53A0" w:rsidRPr="003A53A0" w:rsidRDefault="003A53A0" w:rsidP="003A53A0">
            <w:pPr>
              <w:pStyle w:val="TableText1"/>
              <w:rPr>
                <w:rFonts w:cs="Arial"/>
                <w:szCs w:val="20"/>
              </w:rPr>
            </w:pPr>
            <w:r w:rsidRPr="003A53A0">
              <w:rPr>
                <w:rFonts w:cs="Arial"/>
                <w:bCs/>
                <w:iCs/>
                <w:szCs w:val="20"/>
              </w:rPr>
              <w:t>VTE National Network for Nursing and Midwifery</w:t>
            </w:r>
          </w:p>
        </w:tc>
        <w:tc>
          <w:tcPr>
            <w:tcW w:w="1417" w:type="dxa"/>
            <w:vAlign w:val="center"/>
          </w:tcPr>
          <w:p w14:paraId="460F4BD1" w14:textId="34EAA43E" w:rsidR="003A53A0" w:rsidRPr="003A53A0" w:rsidRDefault="003A53A0" w:rsidP="003A53A0">
            <w:pPr>
              <w:pStyle w:val="TableText1"/>
              <w:rPr>
                <w:rFonts w:cs="Arial"/>
                <w:bCs/>
                <w:szCs w:val="20"/>
              </w:rPr>
            </w:pPr>
            <w:r w:rsidRPr="003A53A0">
              <w:rPr>
                <w:rFonts w:cs="Arial"/>
                <w:bCs/>
                <w:szCs w:val="20"/>
              </w:rPr>
              <w:t>Question 2</w:t>
            </w:r>
          </w:p>
        </w:tc>
        <w:tc>
          <w:tcPr>
            <w:tcW w:w="10632" w:type="dxa"/>
            <w:vAlign w:val="center"/>
          </w:tcPr>
          <w:p w14:paraId="53DC6EF6" w14:textId="10384455" w:rsidR="003A53A0" w:rsidRPr="003A53A0" w:rsidRDefault="003A53A0" w:rsidP="0032423B">
            <w:pPr>
              <w:pStyle w:val="NICEnormal"/>
              <w:rPr>
                <w:rFonts w:cs="Arial"/>
                <w:szCs w:val="20"/>
              </w:rPr>
            </w:pPr>
            <w:r w:rsidRPr="003A53A0">
              <w:rPr>
                <w:rFonts w:cs="Arial"/>
                <w:sz w:val="20"/>
                <w:szCs w:val="20"/>
              </w:rPr>
              <w:t>Most centres have well established data collection processes for VTE prevention, as evidenced by the VTE GIRFT survey.</w:t>
            </w:r>
          </w:p>
        </w:tc>
      </w:tr>
      <w:tr w:rsidR="003A53A0" w:rsidRPr="003A53A0" w14:paraId="63319A05" w14:textId="77777777" w:rsidTr="0032423B">
        <w:trPr>
          <w:trHeight w:val="1571"/>
        </w:trPr>
        <w:tc>
          <w:tcPr>
            <w:tcW w:w="675" w:type="dxa"/>
            <w:vAlign w:val="center"/>
          </w:tcPr>
          <w:p w14:paraId="2FAF4022" w14:textId="09764EE1" w:rsidR="003A53A0" w:rsidRPr="003A53A0" w:rsidRDefault="00F60DF7" w:rsidP="00F60DF7">
            <w:pPr>
              <w:pStyle w:val="TableText1"/>
              <w:rPr>
                <w:rFonts w:cs="Arial"/>
                <w:szCs w:val="20"/>
              </w:rPr>
            </w:pPr>
            <w:r>
              <w:rPr>
                <w:rFonts w:cs="Arial"/>
                <w:szCs w:val="20"/>
              </w:rPr>
              <w:t>22</w:t>
            </w:r>
          </w:p>
        </w:tc>
        <w:tc>
          <w:tcPr>
            <w:tcW w:w="2552" w:type="dxa"/>
            <w:vAlign w:val="center"/>
          </w:tcPr>
          <w:p w14:paraId="713C18DD" w14:textId="5DCFA4D6" w:rsidR="003A53A0" w:rsidRPr="003A53A0" w:rsidRDefault="003A53A0" w:rsidP="003A53A0">
            <w:pPr>
              <w:pStyle w:val="TableText1"/>
              <w:rPr>
                <w:rFonts w:cs="Arial"/>
                <w:szCs w:val="20"/>
              </w:rPr>
            </w:pPr>
            <w:r w:rsidRPr="003A53A0">
              <w:rPr>
                <w:rFonts w:cs="Arial"/>
                <w:bCs/>
                <w:iCs/>
                <w:szCs w:val="20"/>
              </w:rPr>
              <w:t>Society and College of Radiographers</w:t>
            </w:r>
          </w:p>
        </w:tc>
        <w:tc>
          <w:tcPr>
            <w:tcW w:w="1417" w:type="dxa"/>
            <w:vAlign w:val="center"/>
          </w:tcPr>
          <w:p w14:paraId="2992BF30" w14:textId="01F39085" w:rsidR="003A53A0" w:rsidRPr="003A53A0" w:rsidRDefault="003A53A0" w:rsidP="003A53A0">
            <w:pPr>
              <w:pStyle w:val="TableText1"/>
              <w:rPr>
                <w:rFonts w:cs="Arial"/>
                <w:bCs/>
                <w:szCs w:val="20"/>
              </w:rPr>
            </w:pPr>
            <w:r w:rsidRPr="003A53A0">
              <w:rPr>
                <w:rFonts w:cs="Arial"/>
                <w:bCs/>
                <w:szCs w:val="20"/>
              </w:rPr>
              <w:t>Question 4</w:t>
            </w:r>
          </w:p>
        </w:tc>
        <w:tc>
          <w:tcPr>
            <w:tcW w:w="10632" w:type="dxa"/>
            <w:vAlign w:val="center"/>
          </w:tcPr>
          <w:p w14:paraId="77FBEB92" w14:textId="77777777" w:rsidR="003A53A0" w:rsidRPr="003A53A0" w:rsidRDefault="003A53A0" w:rsidP="003A53A0">
            <w:pPr>
              <w:pStyle w:val="NICEnormal"/>
              <w:rPr>
                <w:rFonts w:cs="Arial"/>
                <w:sz w:val="20"/>
                <w:szCs w:val="20"/>
              </w:rPr>
            </w:pPr>
            <w:r w:rsidRPr="003A53A0">
              <w:rPr>
                <w:rFonts w:cs="Arial"/>
                <w:sz w:val="20"/>
                <w:szCs w:val="20"/>
              </w:rPr>
              <w:t>Members of the SCoR advisory group involved in this work suggest that requests are usually in a timely manner within their service.</w:t>
            </w:r>
          </w:p>
          <w:p w14:paraId="7DBD534D" w14:textId="312F242C" w:rsidR="003A53A0" w:rsidRPr="003A53A0" w:rsidRDefault="003A53A0" w:rsidP="0032423B">
            <w:pPr>
              <w:pStyle w:val="NICEnormal"/>
              <w:rPr>
                <w:rFonts w:cs="Arial"/>
                <w:szCs w:val="20"/>
              </w:rPr>
            </w:pPr>
            <w:r w:rsidRPr="003A53A0">
              <w:rPr>
                <w:rFonts w:cs="Arial"/>
                <w:sz w:val="20"/>
                <w:szCs w:val="20"/>
              </w:rPr>
              <w:t>An issue highlighted was the lack of clinical information (often do not state Wells or have D-dimers) which can cause delays, whilst chase this up in order to prioritise scans.</w:t>
            </w:r>
          </w:p>
        </w:tc>
      </w:tr>
      <w:tr w:rsidR="003A53A0" w:rsidRPr="003A53A0" w14:paraId="359AC087" w14:textId="77777777" w:rsidTr="00F60DF7">
        <w:tc>
          <w:tcPr>
            <w:tcW w:w="675" w:type="dxa"/>
            <w:vAlign w:val="center"/>
          </w:tcPr>
          <w:p w14:paraId="00EEA523" w14:textId="54DA5D56" w:rsidR="003A53A0" w:rsidRPr="003A53A0" w:rsidRDefault="00F60DF7" w:rsidP="00F60DF7">
            <w:pPr>
              <w:pStyle w:val="TableText1"/>
              <w:rPr>
                <w:rFonts w:cs="Arial"/>
                <w:szCs w:val="20"/>
              </w:rPr>
            </w:pPr>
            <w:r>
              <w:rPr>
                <w:rFonts w:cs="Arial"/>
                <w:szCs w:val="20"/>
              </w:rPr>
              <w:t>23</w:t>
            </w:r>
          </w:p>
        </w:tc>
        <w:tc>
          <w:tcPr>
            <w:tcW w:w="2552" w:type="dxa"/>
            <w:vAlign w:val="center"/>
          </w:tcPr>
          <w:p w14:paraId="5E41D1BB" w14:textId="43050408" w:rsidR="003A53A0" w:rsidRPr="003A53A0" w:rsidRDefault="003A53A0" w:rsidP="003A53A0">
            <w:pPr>
              <w:pStyle w:val="TableText1"/>
              <w:rPr>
                <w:rFonts w:cs="Arial"/>
                <w:szCs w:val="20"/>
              </w:rPr>
            </w:pPr>
            <w:r w:rsidRPr="003A53A0">
              <w:rPr>
                <w:rFonts w:cs="Arial"/>
                <w:bCs/>
                <w:iCs/>
                <w:szCs w:val="20"/>
              </w:rPr>
              <w:t>VTE National Network for Nursing and Midwifery</w:t>
            </w:r>
          </w:p>
        </w:tc>
        <w:tc>
          <w:tcPr>
            <w:tcW w:w="1417" w:type="dxa"/>
            <w:vAlign w:val="center"/>
          </w:tcPr>
          <w:p w14:paraId="1E17DE9C" w14:textId="32788B3D" w:rsidR="003A53A0" w:rsidRPr="003A53A0" w:rsidRDefault="003A53A0" w:rsidP="003A53A0">
            <w:pPr>
              <w:pStyle w:val="TableText1"/>
              <w:rPr>
                <w:rFonts w:cs="Arial"/>
                <w:bCs/>
                <w:szCs w:val="20"/>
              </w:rPr>
            </w:pPr>
            <w:r w:rsidRPr="003A53A0">
              <w:rPr>
                <w:rFonts w:cs="Arial"/>
                <w:bCs/>
                <w:szCs w:val="20"/>
              </w:rPr>
              <w:t>Question 4</w:t>
            </w:r>
          </w:p>
        </w:tc>
        <w:tc>
          <w:tcPr>
            <w:tcW w:w="10632" w:type="dxa"/>
          </w:tcPr>
          <w:p w14:paraId="55825EF4" w14:textId="77777777" w:rsidR="003A53A0" w:rsidRPr="003A53A0" w:rsidRDefault="003A53A0" w:rsidP="003A53A0">
            <w:pPr>
              <w:pStyle w:val="NICEnormal"/>
              <w:rPr>
                <w:rFonts w:cs="Arial"/>
                <w:sz w:val="20"/>
                <w:szCs w:val="20"/>
              </w:rPr>
            </w:pPr>
            <w:r w:rsidRPr="003A53A0">
              <w:rPr>
                <w:rFonts w:cs="Arial"/>
                <w:sz w:val="20"/>
                <w:szCs w:val="20"/>
              </w:rPr>
              <w:t>Delays uncommon in our experience.</w:t>
            </w:r>
          </w:p>
          <w:p w14:paraId="14C3C64A" w14:textId="77777777" w:rsidR="003A53A0" w:rsidRPr="003A53A0" w:rsidRDefault="003A53A0" w:rsidP="003A53A0">
            <w:pPr>
              <w:pStyle w:val="TableText1"/>
              <w:rPr>
                <w:rFonts w:cs="Arial"/>
                <w:szCs w:val="20"/>
              </w:rPr>
            </w:pPr>
          </w:p>
        </w:tc>
      </w:tr>
      <w:tr w:rsidR="003A53A0" w:rsidRPr="003A53A0" w14:paraId="78865A63" w14:textId="77777777" w:rsidTr="00F60DF7">
        <w:tc>
          <w:tcPr>
            <w:tcW w:w="675" w:type="dxa"/>
            <w:vAlign w:val="center"/>
          </w:tcPr>
          <w:p w14:paraId="788FEDAF" w14:textId="7DB08F84" w:rsidR="003A53A0" w:rsidRPr="003A53A0" w:rsidRDefault="00F60DF7" w:rsidP="00F60DF7">
            <w:pPr>
              <w:pStyle w:val="TableText1"/>
              <w:rPr>
                <w:rFonts w:cs="Arial"/>
                <w:szCs w:val="20"/>
              </w:rPr>
            </w:pPr>
            <w:r>
              <w:rPr>
                <w:rFonts w:cs="Arial"/>
                <w:szCs w:val="20"/>
              </w:rPr>
              <w:t>24</w:t>
            </w:r>
          </w:p>
        </w:tc>
        <w:tc>
          <w:tcPr>
            <w:tcW w:w="2552" w:type="dxa"/>
            <w:vAlign w:val="center"/>
          </w:tcPr>
          <w:p w14:paraId="449E5027" w14:textId="05818E89" w:rsidR="003A53A0" w:rsidRPr="003A53A0" w:rsidRDefault="003A53A0" w:rsidP="003A53A0">
            <w:pPr>
              <w:pStyle w:val="TableText1"/>
              <w:rPr>
                <w:rFonts w:cs="Arial"/>
                <w:szCs w:val="20"/>
              </w:rPr>
            </w:pPr>
            <w:r w:rsidRPr="003A53A0">
              <w:rPr>
                <w:rFonts w:cs="Arial"/>
                <w:bCs/>
                <w:szCs w:val="20"/>
              </w:rPr>
              <w:t>All-Party Parliamentary Group on Vascular and Venous Disease</w:t>
            </w:r>
          </w:p>
        </w:tc>
        <w:tc>
          <w:tcPr>
            <w:tcW w:w="1417" w:type="dxa"/>
            <w:vAlign w:val="center"/>
          </w:tcPr>
          <w:p w14:paraId="0875D27F" w14:textId="5645D3B8" w:rsidR="003A53A0" w:rsidRPr="003A53A0" w:rsidRDefault="003A53A0" w:rsidP="003A53A0">
            <w:pPr>
              <w:pStyle w:val="TableText1"/>
              <w:rPr>
                <w:rFonts w:cs="Arial"/>
                <w:bCs/>
                <w:szCs w:val="20"/>
              </w:rPr>
            </w:pPr>
            <w:r w:rsidRPr="003A53A0">
              <w:rPr>
                <w:rFonts w:cs="Arial"/>
                <w:bCs/>
                <w:szCs w:val="20"/>
              </w:rPr>
              <w:t>Statement 1 (measure)</w:t>
            </w:r>
          </w:p>
        </w:tc>
        <w:tc>
          <w:tcPr>
            <w:tcW w:w="10632" w:type="dxa"/>
          </w:tcPr>
          <w:p w14:paraId="4FD80B4A" w14:textId="77777777" w:rsidR="003A53A0" w:rsidRPr="003A53A0" w:rsidRDefault="003A53A0" w:rsidP="003A53A0">
            <w:pPr>
              <w:pStyle w:val="CommentText"/>
              <w:rPr>
                <w:rFonts w:ascii="Arial" w:hAnsi="Arial" w:cs="Arial"/>
              </w:rPr>
            </w:pPr>
            <w:r w:rsidRPr="003A53A0">
              <w:rPr>
                <w:rFonts w:ascii="Arial" w:hAnsi="Arial" w:cs="Arial"/>
              </w:rPr>
              <w:t>-This draft quality standard does support a key area for quality improvement.</w:t>
            </w:r>
          </w:p>
          <w:p w14:paraId="2E3600BB" w14:textId="77777777" w:rsidR="003A53A0" w:rsidRPr="003A53A0" w:rsidRDefault="003A53A0" w:rsidP="003A53A0">
            <w:pPr>
              <w:pStyle w:val="CommentText"/>
              <w:rPr>
                <w:rFonts w:ascii="Arial" w:hAnsi="Arial" w:cs="Arial"/>
              </w:rPr>
            </w:pPr>
          </w:p>
          <w:p w14:paraId="68C6E085" w14:textId="77777777" w:rsidR="003A53A0" w:rsidRPr="003A53A0" w:rsidRDefault="003A53A0" w:rsidP="003A53A0">
            <w:pPr>
              <w:pStyle w:val="CommentText"/>
              <w:rPr>
                <w:rFonts w:ascii="Arial" w:hAnsi="Arial" w:cs="Arial"/>
              </w:rPr>
            </w:pPr>
            <w:r w:rsidRPr="003A53A0">
              <w:rPr>
                <w:rFonts w:ascii="Arial" w:hAnsi="Arial" w:cs="Arial"/>
              </w:rPr>
              <w:t xml:space="preserve">-This data could be collected locally by an audit process involving VTE prevention team, pharmacy staff and the local audit team. </w:t>
            </w:r>
          </w:p>
          <w:p w14:paraId="30A03F4F" w14:textId="77777777" w:rsidR="003A53A0" w:rsidRPr="003A53A0" w:rsidRDefault="003A53A0" w:rsidP="003A53A0">
            <w:pPr>
              <w:pStyle w:val="CommentText"/>
              <w:rPr>
                <w:rFonts w:ascii="Arial" w:hAnsi="Arial" w:cs="Arial"/>
              </w:rPr>
            </w:pPr>
          </w:p>
          <w:p w14:paraId="0EA9903F" w14:textId="77777777" w:rsidR="003A53A0" w:rsidRPr="003A53A0" w:rsidRDefault="003A53A0" w:rsidP="003A53A0">
            <w:pPr>
              <w:pStyle w:val="CommentText"/>
              <w:rPr>
                <w:rFonts w:ascii="Arial" w:hAnsi="Arial" w:cs="Arial"/>
              </w:rPr>
            </w:pPr>
            <w:r w:rsidRPr="003A53A0">
              <w:rPr>
                <w:rFonts w:ascii="Arial" w:hAnsi="Arial" w:cs="Arial"/>
              </w:rPr>
              <w:t>-Local services would be able to deliver the aim of administering pharmacological prophylaxis within the recommended 14hours. However it is important to recognise that most NHS organisations administer pharmacological prophylaxis simultaneously to all patients on the ward at 18:00. Having a number of patients on a ward receiving pharmacological prophylaxis at differing times may introduce the possibility of drug administration errors. Service providers and healthcare professionals would have to implement safety nets to eliminate potential sources  of error.</w:t>
            </w:r>
          </w:p>
          <w:p w14:paraId="1A0F6C7F" w14:textId="77777777" w:rsidR="003A53A0" w:rsidRPr="003A53A0" w:rsidRDefault="003A53A0" w:rsidP="003A53A0">
            <w:pPr>
              <w:pStyle w:val="CommentText"/>
              <w:rPr>
                <w:rFonts w:ascii="Arial" w:hAnsi="Arial" w:cs="Arial"/>
              </w:rPr>
            </w:pPr>
          </w:p>
          <w:p w14:paraId="5CC21309" w14:textId="77777777" w:rsidR="003A53A0" w:rsidRPr="003A53A0" w:rsidRDefault="003A53A0" w:rsidP="003A53A0">
            <w:pPr>
              <w:pStyle w:val="CommentText"/>
              <w:rPr>
                <w:rFonts w:ascii="Arial" w:hAnsi="Arial" w:cs="Arial"/>
              </w:rPr>
            </w:pPr>
            <w:r w:rsidRPr="003A53A0">
              <w:rPr>
                <w:rFonts w:ascii="Arial" w:hAnsi="Arial" w:cs="Arial"/>
              </w:rPr>
              <w:t>-There are unlikely to be significant direct cost saving, however indirectly there may be a reduction in DVT incidence. This may yield a significant cost reduction.</w:t>
            </w:r>
          </w:p>
          <w:p w14:paraId="1C612460" w14:textId="77777777" w:rsidR="003A53A0" w:rsidRPr="003A53A0" w:rsidRDefault="003A53A0" w:rsidP="003A53A0">
            <w:pPr>
              <w:pStyle w:val="CommentText"/>
              <w:rPr>
                <w:rFonts w:ascii="Arial" w:hAnsi="Arial" w:cs="Arial"/>
              </w:rPr>
            </w:pPr>
          </w:p>
          <w:p w14:paraId="55BD4420" w14:textId="77777777" w:rsidR="003A53A0" w:rsidRPr="003A53A0" w:rsidRDefault="003A53A0" w:rsidP="003A53A0">
            <w:pPr>
              <w:pStyle w:val="CommentText"/>
              <w:rPr>
                <w:rFonts w:ascii="Arial" w:hAnsi="Arial" w:cs="Arial"/>
                <w:color w:val="FF0000"/>
              </w:rPr>
            </w:pPr>
            <w:r w:rsidRPr="003A53A0">
              <w:rPr>
                <w:rFonts w:ascii="Arial" w:hAnsi="Arial" w:cs="Arial"/>
              </w:rPr>
              <w:t xml:space="preserve">-Did the committee take into the consideration the recent update on thromboprophylaxis, by Professor Beverly Hunt “COVID-19 and Thrombotic or Thromboembolic Disease: Implications for Prevention, Antithrombotic Therapy, and Follow-Up: JACC State-of-the-Art Review” </w:t>
            </w:r>
            <w:hyperlink r:id="rId12" w:history="1">
              <w:r w:rsidRPr="003A53A0">
                <w:rPr>
                  <w:rStyle w:val="Hyperlink"/>
                  <w:rFonts w:ascii="Arial" w:hAnsi="Arial" w:cs="Arial"/>
                </w:rPr>
                <w:t>https://pubmed.ncbi.nlm.nih.gov/32311448/</w:t>
              </w:r>
            </w:hyperlink>
            <w:r w:rsidRPr="003A53A0">
              <w:rPr>
                <w:rFonts w:ascii="Arial" w:hAnsi="Arial" w:cs="Arial"/>
              </w:rPr>
              <w:t>?</w:t>
            </w:r>
          </w:p>
          <w:p w14:paraId="2B18FBF3" w14:textId="77777777" w:rsidR="003A53A0" w:rsidRPr="003A53A0" w:rsidRDefault="003A53A0" w:rsidP="003A53A0">
            <w:pPr>
              <w:pStyle w:val="TableText1"/>
              <w:rPr>
                <w:rFonts w:cs="Arial"/>
                <w:szCs w:val="20"/>
              </w:rPr>
            </w:pPr>
          </w:p>
        </w:tc>
      </w:tr>
      <w:tr w:rsidR="003A53A0" w:rsidRPr="003A53A0" w14:paraId="36F050A7" w14:textId="77777777" w:rsidTr="00F60DF7">
        <w:tc>
          <w:tcPr>
            <w:tcW w:w="675" w:type="dxa"/>
            <w:vAlign w:val="center"/>
          </w:tcPr>
          <w:p w14:paraId="5546823F" w14:textId="0AD98225" w:rsidR="003A53A0" w:rsidRPr="003A53A0" w:rsidRDefault="00F60DF7" w:rsidP="00F60DF7">
            <w:pPr>
              <w:pStyle w:val="TableText1"/>
              <w:rPr>
                <w:rFonts w:cs="Arial"/>
                <w:szCs w:val="20"/>
              </w:rPr>
            </w:pPr>
            <w:r>
              <w:rPr>
                <w:rFonts w:cs="Arial"/>
                <w:szCs w:val="20"/>
              </w:rPr>
              <w:lastRenderedPageBreak/>
              <w:t>25</w:t>
            </w:r>
          </w:p>
        </w:tc>
        <w:tc>
          <w:tcPr>
            <w:tcW w:w="2552" w:type="dxa"/>
            <w:vAlign w:val="center"/>
          </w:tcPr>
          <w:p w14:paraId="0CFF9583" w14:textId="58EB63E1" w:rsidR="003A53A0" w:rsidRPr="003A53A0" w:rsidRDefault="003A53A0" w:rsidP="003A53A0">
            <w:pPr>
              <w:pStyle w:val="TableText1"/>
              <w:rPr>
                <w:rFonts w:cs="Arial"/>
                <w:szCs w:val="20"/>
              </w:rPr>
            </w:pPr>
            <w:r w:rsidRPr="003A53A0">
              <w:rPr>
                <w:rFonts w:cs="Arial"/>
                <w:szCs w:val="20"/>
              </w:rPr>
              <w:t>Anticoagulation UK</w:t>
            </w:r>
          </w:p>
        </w:tc>
        <w:tc>
          <w:tcPr>
            <w:tcW w:w="1417" w:type="dxa"/>
            <w:vAlign w:val="center"/>
          </w:tcPr>
          <w:p w14:paraId="44178846" w14:textId="596389ED" w:rsidR="003A53A0" w:rsidRPr="003A53A0" w:rsidRDefault="003A53A0" w:rsidP="003A53A0">
            <w:pPr>
              <w:pStyle w:val="TableText1"/>
              <w:rPr>
                <w:rFonts w:cs="Arial"/>
                <w:bCs/>
                <w:szCs w:val="20"/>
              </w:rPr>
            </w:pPr>
            <w:r w:rsidRPr="003A53A0">
              <w:rPr>
                <w:rFonts w:cs="Arial"/>
                <w:bCs/>
                <w:szCs w:val="20"/>
              </w:rPr>
              <w:t>Statement 1</w:t>
            </w:r>
          </w:p>
        </w:tc>
        <w:tc>
          <w:tcPr>
            <w:tcW w:w="10632" w:type="dxa"/>
            <w:vAlign w:val="center"/>
          </w:tcPr>
          <w:p w14:paraId="55D3BC6C" w14:textId="391EF932" w:rsidR="003A53A0" w:rsidRPr="003A53A0" w:rsidRDefault="003A53A0" w:rsidP="003A53A0">
            <w:pPr>
              <w:pStyle w:val="TableText1"/>
              <w:rPr>
                <w:rFonts w:cs="Arial"/>
                <w:szCs w:val="20"/>
              </w:rPr>
            </w:pPr>
            <w:r w:rsidRPr="003A53A0">
              <w:rPr>
                <w:rFonts w:cs="Arial"/>
                <w:szCs w:val="20"/>
              </w:rPr>
              <w:t>There is a recommendation of up to a 14 hour window from admission to deliver pharmacological prophylaxis(PP) to a patient who has undergone a VTE risk assessment. We can find no information or reference point as to where this timeline has been evidenced.  We understand that many patients will be offered PP in a timely manner however, if 14 hours becomes the standard benchmark in secondary care settings, this may negate the optimal priority and benefits of prophylaxis for an at -risk patient. When the VTE risk assessment is undertaken post admission, it’s key that a component of this process should be to advise the patient of their risk and offer prophylaxis at the earliest possible opportunity and advising when this will commence. We would suggest a timeframe of 4 – 6 hours from admission. This will provide continuity of care and reassurance to the patient.</w:t>
            </w:r>
          </w:p>
        </w:tc>
      </w:tr>
      <w:tr w:rsidR="003A53A0" w:rsidRPr="003A53A0" w14:paraId="2EAD401E" w14:textId="77777777" w:rsidTr="00F60DF7">
        <w:tc>
          <w:tcPr>
            <w:tcW w:w="675" w:type="dxa"/>
            <w:vAlign w:val="center"/>
          </w:tcPr>
          <w:p w14:paraId="3C52F334" w14:textId="3F35907D" w:rsidR="003A53A0" w:rsidRPr="003A53A0" w:rsidRDefault="00F60DF7" w:rsidP="00F60DF7">
            <w:pPr>
              <w:pStyle w:val="TableText1"/>
              <w:rPr>
                <w:rFonts w:cs="Arial"/>
                <w:szCs w:val="20"/>
              </w:rPr>
            </w:pPr>
            <w:r>
              <w:rPr>
                <w:rFonts w:cs="Arial"/>
                <w:szCs w:val="20"/>
              </w:rPr>
              <w:t>26</w:t>
            </w:r>
          </w:p>
        </w:tc>
        <w:tc>
          <w:tcPr>
            <w:tcW w:w="2552" w:type="dxa"/>
            <w:vAlign w:val="center"/>
          </w:tcPr>
          <w:p w14:paraId="5548F83E" w14:textId="0C2F7F1D" w:rsidR="003A53A0" w:rsidRPr="003A53A0" w:rsidRDefault="003A53A0" w:rsidP="003A53A0">
            <w:pPr>
              <w:pStyle w:val="TableText1"/>
              <w:rPr>
                <w:rFonts w:cs="Arial"/>
                <w:szCs w:val="20"/>
              </w:rPr>
            </w:pPr>
            <w:r w:rsidRPr="003A53A0">
              <w:rPr>
                <w:rFonts w:cs="Arial"/>
                <w:szCs w:val="20"/>
              </w:rPr>
              <w:t>British Association of Day Surgery</w:t>
            </w:r>
          </w:p>
        </w:tc>
        <w:tc>
          <w:tcPr>
            <w:tcW w:w="1417" w:type="dxa"/>
            <w:vAlign w:val="center"/>
          </w:tcPr>
          <w:p w14:paraId="6B684101" w14:textId="152C2A25" w:rsidR="003A53A0" w:rsidRPr="003A53A0" w:rsidRDefault="003A53A0" w:rsidP="003A53A0">
            <w:pPr>
              <w:pStyle w:val="TableText1"/>
              <w:rPr>
                <w:rFonts w:cs="Arial"/>
                <w:bCs/>
                <w:szCs w:val="20"/>
              </w:rPr>
            </w:pPr>
            <w:r w:rsidRPr="003A53A0">
              <w:rPr>
                <w:rFonts w:cs="Arial"/>
                <w:bCs/>
                <w:szCs w:val="20"/>
              </w:rPr>
              <w:t>Statement 1</w:t>
            </w:r>
          </w:p>
        </w:tc>
        <w:tc>
          <w:tcPr>
            <w:tcW w:w="10632" w:type="dxa"/>
          </w:tcPr>
          <w:p w14:paraId="5A59802B" w14:textId="77777777" w:rsidR="003A53A0" w:rsidRPr="003A53A0" w:rsidRDefault="003A53A0" w:rsidP="003A53A0">
            <w:pPr>
              <w:pStyle w:val="Paragraphnonumbers"/>
              <w:rPr>
                <w:rFonts w:cs="Arial"/>
                <w:sz w:val="20"/>
                <w:szCs w:val="20"/>
              </w:rPr>
            </w:pPr>
            <w:r w:rsidRPr="003A53A0">
              <w:rPr>
                <w:rFonts w:cs="Arial"/>
                <w:sz w:val="20"/>
                <w:szCs w:val="20"/>
              </w:rPr>
              <w:t>Statement 1 People aged 16 and over who are in hospital and assessed as needing pharmacological VTE prophylaxis start it as soon as possible and within 14 hours of hospital admission. [2010, updated 2021]</w:t>
            </w:r>
          </w:p>
          <w:p w14:paraId="1992C571" w14:textId="3696CA56" w:rsidR="003A53A0" w:rsidRPr="003A53A0" w:rsidRDefault="003A53A0" w:rsidP="003A53A0">
            <w:pPr>
              <w:pStyle w:val="TableText1"/>
              <w:rPr>
                <w:rFonts w:cs="Arial"/>
                <w:szCs w:val="20"/>
              </w:rPr>
            </w:pPr>
            <w:r w:rsidRPr="003A53A0">
              <w:rPr>
                <w:rFonts w:cs="Arial"/>
                <w:szCs w:val="20"/>
              </w:rPr>
              <w:t>I would raise the same query re - Does it cover day cases?</w:t>
            </w:r>
          </w:p>
        </w:tc>
      </w:tr>
      <w:tr w:rsidR="003A53A0" w:rsidRPr="003A53A0" w14:paraId="1569B545" w14:textId="77777777" w:rsidTr="00F60DF7">
        <w:tc>
          <w:tcPr>
            <w:tcW w:w="675" w:type="dxa"/>
            <w:vAlign w:val="center"/>
          </w:tcPr>
          <w:p w14:paraId="47817DFD" w14:textId="436A4A25" w:rsidR="003A53A0" w:rsidRPr="003A53A0" w:rsidRDefault="00F60DF7" w:rsidP="00F60DF7">
            <w:pPr>
              <w:pStyle w:val="TableText1"/>
              <w:rPr>
                <w:rFonts w:cs="Arial"/>
                <w:szCs w:val="20"/>
              </w:rPr>
            </w:pPr>
            <w:r>
              <w:rPr>
                <w:rFonts w:cs="Arial"/>
                <w:szCs w:val="20"/>
              </w:rPr>
              <w:t>27</w:t>
            </w:r>
          </w:p>
        </w:tc>
        <w:tc>
          <w:tcPr>
            <w:tcW w:w="2552" w:type="dxa"/>
            <w:vAlign w:val="center"/>
          </w:tcPr>
          <w:p w14:paraId="4DCB2A80" w14:textId="51DD217A" w:rsidR="003A53A0" w:rsidRPr="003A53A0" w:rsidRDefault="003A53A0" w:rsidP="003A53A0">
            <w:pPr>
              <w:pStyle w:val="TableText1"/>
              <w:rPr>
                <w:rFonts w:cs="Arial"/>
                <w:szCs w:val="20"/>
              </w:rPr>
            </w:pPr>
            <w:r w:rsidRPr="003A53A0">
              <w:rPr>
                <w:rFonts w:cs="Arial"/>
                <w:szCs w:val="20"/>
              </w:rPr>
              <w:t>British Geriatrics Society</w:t>
            </w:r>
          </w:p>
        </w:tc>
        <w:tc>
          <w:tcPr>
            <w:tcW w:w="1417" w:type="dxa"/>
            <w:vAlign w:val="center"/>
          </w:tcPr>
          <w:p w14:paraId="062A574E" w14:textId="2B5A362A" w:rsidR="003A53A0" w:rsidRPr="003A53A0" w:rsidRDefault="003A53A0" w:rsidP="003A53A0">
            <w:pPr>
              <w:pStyle w:val="TableText1"/>
              <w:rPr>
                <w:rFonts w:cs="Arial"/>
                <w:bCs/>
                <w:szCs w:val="20"/>
              </w:rPr>
            </w:pPr>
            <w:r w:rsidRPr="003A53A0">
              <w:rPr>
                <w:rFonts w:cs="Arial"/>
                <w:bCs/>
                <w:szCs w:val="20"/>
              </w:rPr>
              <w:t>Statement 1</w:t>
            </w:r>
          </w:p>
        </w:tc>
        <w:tc>
          <w:tcPr>
            <w:tcW w:w="10632" w:type="dxa"/>
            <w:vAlign w:val="center"/>
          </w:tcPr>
          <w:p w14:paraId="216406E8" w14:textId="3EDCB1DD" w:rsidR="003A53A0" w:rsidRPr="003A53A0" w:rsidRDefault="003A53A0" w:rsidP="003A53A0">
            <w:pPr>
              <w:pStyle w:val="TableText1"/>
              <w:rPr>
                <w:rFonts w:cs="Arial"/>
                <w:szCs w:val="20"/>
              </w:rPr>
            </w:pPr>
            <w:r w:rsidRPr="003A53A0">
              <w:rPr>
                <w:rFonts w:cs="Arial"/>
                <w:szCs w:val="20"/>
              </w:rPr>
              <w:t>This would appear a sensible and clinically achievable standard, which should be increasingly easy to audit as electronic hospital prescribing becomes widespread (through prescription and dispensing having electronic timestamping).</w:t>
            </w:r>
          </w:p>
        </w:tc>
      </w:tr>
      <w:tr w:rsidR="003A53A0" w:rsidRPr="003A53A0" w14:paraId="3C70FB3D" w14:textId="77777777" w:rsidTr="00F60DF7">
        <w:tc>
          <w:tcPr>
            <w:tcW w:w="675" w:type="dxa"/>
            <w:vAlign w:val="center"/>
          </w:tcPr>
          <w:p w14:paraId="135BDA62" w14:textId="482DEE96" w:rsidR="003A53A0" w:rsidRPr="003A53A0" w:rsidRDefault="00F60DF7" w:rsidP="00F60DF7">
            <w:pPr>
              <w:pStyle w:val="TableText1"/>
              <w:rPr>
                <w:rFonts w:cs="Arial"/>
                <w:szCs w:val="20"/>
              </w:rPr>
            </w:pPr>
            <w:r>
              <w:rPr>
                <w:rFonts w:cs="Arial"/>
                <w:szCs w:val="20"/>
              </w:rPr>
              <w:t>28</w:t>
            </w:r>
          </w:p>
        </w:tc>
        <w:tc>
          <w:tcPr>
            <w:tcW w:w="2552" w:type="dxa"/>
            <w:vAlign w:val="center"/>
          </w:tcPr>
          <w:p w14:paraId="45D58B90" w14:textId="33A04580" w:rsidR="003A53A0" w:rsidRPr="003A53A0" w:rsidRDefault="003A53A0" w:rsidP="003A53A0">
            <w:pPr>
              <w:pStyle w:val="TableText1"/>
              <w:rPr>
                <w:rFonts w:cs="Arial"/>
                <w:szCs w:val="20"/>
              </w:rPr>
            </w:pPr>
            <w:r w:rsidRPr="003A53A0">
              <w:rPr>
                <w:rFonts w:cs="Arial"/>
                <w:szCs w:val="20"/>
              </w:rPr>
              <w:t>British Orthopaedic Association</w:t>
            </w:r>
          </w:p>
        </w:tc>
        <w:tc>
          <w:tcPr>
            <w:tcW w:w="1417" w:type="dxa"/>
            <w:vAlign w:val="center"/>
          </w:tcPr>
          <w:p w14:paraId="2C57E25D" w14:textId="6FCF3732" w:rsidR="003A53A0" w:rsidRPr="003A53A0" w:rsidRDefault="007D6569" w:rsidP="003A53A0">
            <w:pPr>
              <w:pStyle w:val="TableText1"/>
              <w:rPr>
                <w:rFonts w:cs="Arial"/>
                <w:bCs/>
                <w:szCs w:val="20"/>
              </w:rPr>
            </w:pPr>
            <w:r>
              <w:rPr>
                <w:rFonts w:cs="Arial"/>
                <w:bCs/>
                <w:szCs w:val="20"/>
              </w:rPr>
              <w:t>Statement 1</w:t>
            </w:r>
          </w:p>
        </w:tc>
        <w:tc>
          <w:tcPr>
            <w:tcW w:w="10632" w:type="dxa"/>
            <w:vAlign w:val="center"/>
          </w:tcPr>
          <w:p w14:paraId="4293D577" w14:textId="26970DA7" w:rsidR="003A53A0" w:rsidRPr="003A53A0" w:rsidRDefault="003A53A0" w:rsidP="003A53A0">
            <w:pPr>
              <w:pStyle w:val="TableText1"/>
              <w:rPr>
                <w:rFonts w:cs="Arial"/>
                <w:szCs w:val="20"/>
              </w:rPr>
            </w:pPr>
            <w:r w:rsidRPr="003A53A0">
              <w:rPr>
                <w:rFonts w:cs="Arial"/>
                <w:szCs w:val="20"/>
              </w:rPr>
              <w:t>Statement 1 – no additional comments</w:t>
            </w:r>
          </w:p>
        </w:tc>
      </w:tr>
      <w:tr w:rsidR="003A53A0" w:rsidRPr="003A53A0" w14:paraId="390465AE" w14:textId="77777777" w:rsidTr="00F60DF7">
        <w:tc>
          <w:tcPr>
            <w:tcW w:w="675" w:type="dxa"/>
            <w:vAlign w:val="center"/>
          </w:tcPr>
          <w:p w14:paraId="5563382A" w14:textId="5EAB13D7" w:rsidR="003A53A0" w:rsidRPr="003A53A0" w:rsidRDefault="00F60DF7" w:rsidP="00F60DF7">
            <w:pPr>
              <w:pStyle w:val="TableText1"/>
              <w:rPr>
                <w:rFonts w:cs="Arial"/>
                <w:szCs w:val="20"/>
              </w:rPr>
            </w:pPr>
            <w:r>
              <w:rPr>
                <w:rFonts w:cs="Arial"/>
                <w:szCs w:val="20"/>
              </w:rPr>
              <w:t>29</w:t>
            </w:r>
          </w:p>
        </w:tc>
        <w:tc>
          <w:tcPr>
            <w:tcW w:w="2552" w:type="dxa"/>
            <w:vAlign w:val="center"/>
          </w:tcPr>
          <w:p w14:paraId="5A6E7767" w14:textId="0BF38475" w:rsidR="003A53A0" w:rsidRPr="003A53A0" w:rsidRDefault="003A53A0" w:rsidP="003A53A0">
            <w:pPr>
              <w:pStyle w:val="TableText1"/>
              <w:rPr>
                <w:rFonts w:cs="Arial"/>
                <w:szCs w:val="20"/>
              </w:rPr>
            </w:pPr>
            <w:r w:rsidRPr="003A53A0">
              <w:rPr>
                <w:rFonts w:cs="Arial"/>
                <w:szCs w:val="20"/>
              </w:rPr>
              <w:t>Chelsea and Westminster Hospital NHS Foundation Trust</w:t>
            </w:r>
          </w:p>
        </w:tc>
        <w:tc>
          <w:tcPr>
            <w:tcW w:w="1417" w:type="dxa"/>
            <w:vAlign w:val="center"/>
          </w:tcPr>
          <w:p w14:paraId="5AE78395" w14:textId="182D263E" w:rsidR="003A53A0" w:rsidRPr="003A53A0" w:rsidRDefault="003A53A0" w:rsidP="003A53A0">
            <w:pPr>
              <w:pStyle w:val="TableText1"/>
              <w:rPr>
                <w:rFonts w:cs="Arial"/>
                <w:bCs/>
                <w:szCs w:val="20"/>
              </w:rPr>
            </w:pPr>
            <w:r w:rsidRPr="003A53A0">
              <w:rPr>
                <w:rFonts w:cs="Arial"/>
                <w:bCs/>
                <w:szCs w:val="20"/>
              </w:rPr>
              <w:t>Statement 1 (audience descriptor)</w:t>
            </w:r>
          </w:p>
        </w:tc>
        <w:tc>
          <w:tcPr>
            <w:tcW w:w="10632" w:type="dxa"/>
            <w:vAlign w:val="center"/>
          </w:tcPr>
          <w:p w14:paraId="7EAFCACF" w14:textId="1720D2AC" w:rsidR="003A53A0" w:rsidRPr="003A53A0" w:rsidRDefault="003A53A0" w:rsidP="003A53A0">
            <w:pPr>
              <w:pStyle w:val="TableText1"/>
              <w:rPr>
                <w:rFonts w:cs="Arial"/>
                <w:szCs w:val="20"/>
              </w:rPr>
            </w:pPr>
            <w:r w:rsidRPr="003A53A0">
              <w:rPr>
                <w:rFonts w:cs="Arial"/>
                <w:szCs w:val="20"/>
              </w:rPr>
              <w:t>Should include assessment on admission and reassessment</w:t>
            </w:r>
          </w:p>
        </w:tc>
      </w:tr>
      <w:tr w:rsidR="003A53A0" w:rsidRPr="003A53A0" w14:paraId="2CBE244B" w14:textId="77777777" w:rsidTr="00F60DF7">
        <w:tc>
          <w:tcPr>
            <w:tcW w:w="675" w:type="dxa"/>
            <w:vAlign w:val="center"/>
          </w:tcPr>
          <w:p w14:paraId="78BD8F10" w14:textId="7A3E2445" w:rsidR="003A53A0" w:rsidRPr="003A53A0" w:rsidRDefault="00F60DF7" w:rsidP="00F60DF7">
            <w:pPr>
              <w:pStyle w:val="TableText1"/>
              <w:rPr>
                <w:rFonts w:cs="Arial"/>
                <w:szCs w:val="20"/>
              </w:rPr>
            </w:pPr>
            <w:r>
              <w:rPr>
                <w:rFonts w:cs="Arial"/>
                <w:szCs w:val="20"/>
              </w:rPr>
              <w:t>30</w:t>
            </w:r>
          </w:p>
        </w:tc>
        <w:tc>
          <w:tcPr>
            <w:tcW w:w="2552" w:type="dxa"/>
            <w:vAlign w:val="center"/>
          </w:tcPr>
          <w:p w14:paraId="1B264443" w14:textId="613EC229" w:rsidR="003A53A0" w:rsidRPr="003A53A0" w:rsidRDefault="003A53A0" w:rsidP="003A53A0">
            <w:pPr>
              <w:pStyle w:val="TableText1"/>
              <w:rPr>
                <w:rFonts w:cs="Arial"/>
                <w:szCs w:val="20"/>
              </w:rPr>
            </w:pPr>
            <w:r w:rsidRPr="003A53A0">
              <w:rPr>
                <w:rFonts w:cs="Arial"/>
                <w:szCs w:val="20"/>
              </w:rPr>
              <w:t>Chelsea and Westminster Hospital NHS Foundation Trust</w:t>
            </w:r>
          </w:p>
        </w:tc>
        <w:tc>
          <w:tcPr>
            <w:tcW w:w="1417" w:type="dxa"/>
            <w:vAlign w:val="center"/>
          </w:tcPr>
          <w:p w14:paraId="2615841A" w14:textId="3FAB8925" w:rsidR="003A53A0" w:rsidRPr="003A53A0" w:rsidRDefault="003A53A0" w:rsidP="003A53A0">
            <w:pPr>
              <w:pStyle w:val="TableText1"/>
              <w:rPr>
                <w:rFonts w:cs="Arial"/>
                <w:bCs/>
                <w:szCs w:val="20"/>
              </w:rPr>
            </w:pPr>
            <w:r w:rsidRPr="003A53A0">
              <w:rPr>
                <w:rFonts w:cs="Arial"/>
                <w:bCs/>
                <w:szCs w:val="20"/>
              </w:rPr>
              <w:t>Statement 1</w:t>
            </w:r>
          </w:p>
        </w:tc>
        <w:tc>
          <w:tcPr>
            <w:tcW w:w="10632" w:type="dxa"/>
            <w:vAlign w:val="center"/>
          </w:tcPr>
          <w:p w14:paraId="2279910B" w14:textId="32B919A6" w:rsidR="003A53A0" w:rsidRPr="003A53A0" w:rsidRDefault="003A53A0" w:rsidP="003A53A0">
            <w:pPr>
              <w:pStyle w:val="TableText1"/>
              <w:rPr>
                <w:rFonts w:cs="Arial"/>
                <w:szCs w:val="20"/>
              </w:rPr>
            </w:pPr>
            <w:r w:rsidRPr="003A53A0">
              <w:rPr>
                <w:rFonts w:cs="Arial"/>
                <w:szCs w:val="20"/>
              </w:rPr>
              <w:t>Challenging to include and measure ‘within 14 hours of hospital admission’</w:t>
            </w:r>
          </w:p>
        </w:tc>
      </w:tr>
      <w:tr w:rsidR="003A53A0" w:rsidRPr="003A53A0" w14:paraId="39F1FCF2" w14:textId="77777777" w:rsidTr="00F60DF7">
        <w:tc>
          <w:tcPr>
            <w:tcW w:w="675" w:type="dxa"/>
            <w:vAlign w:val="center"/>
          </w:tcPr>
          <w:p w14:paraId="57D4B2EA" w14:textId="224FB701" w:rsidR="003A53A0" w:rsidRPr="003A53A0" w:rsidRDefault="00F60DF7" w:rsidP="00F60DF7">
            <w:pPr>
              <w:pStyle w:val="TableText1"/>
              <w:rPr>
                <w:rFonts w:cs="Arial"/>
                <w:szCs w:val="20"/>
              </w:rPr>
            </w:pPr>
            <w:r>
              <w:rPr>
                <w:rFonts w:cs="Arial"/>
                <w:szCs w:val="20"/>
              </w:rPr>
              <w:t>31</w:t>
            </w:r>
          </w:p>
        </w:tc>
        <w:tc>
          <w:tcPr>
            <w:tcW w:w="2552" w:type="dxa"/>
            <w:vAlign w:val="center"/>
          </w:tcPr>
          <w:p w14:paraId="15E0B2D2" w14:textId="0219BA8B" w:rsidR="003A53A0" w:rsidRPr="003A53A0" w:rsidRDefault="003A53A0" w:rsidP="003A53A0">
            <w:pPr>
              <w:pStyle w:val="TableText1"/>
              <w:rPr>
                <w:rFonts w:cs="Arial"/>
                <w:szCs w:val="20"/>
              </w:rPr>
            </w:pPr>
            <w:r w:rsidRPr="003A53A0">
              <w:rPr>
                <w:rFonts w:cs="Arial"/>
                <w:szCs w:val="20"/>
              </w:rPr>
              <w:t>Chelsea and Westminster Hospital NHS Foundation Trust</w:t>
            </w:r>
          </w:p>
        </w:tc>
        <w:tc>
          <w:tcPr>
            <w:tcW w:w="1417" w:type="dxa"/>
            <w:vAlign w:val="center"/>
          </w:tcPr>
          <w:p w14:paraId="6838E6C5" w14:textId="301613AE" w:rsidR="003A53A0" w:rsidRPr="003A53A0" w:rsidRDefault="003A53A0" w:rsidP="003A53A0">
            <w:pPr>
              <w:pStyle w:val="TableText1"/>
              <w:rPr>
                <w:rFonts w:cs="Arial"/>
                <w:bCs/>
                <w:szCs w:val="20"/>
              </w:rPr>
            </w:pPr>
            <w:r w:rsidRPr="003A53A0">
              <w:rPr>
                <w:rFonts w:cs="Arial"/>
                <w:bCs/>
                <w:szCs w:val="20"/>
              </w:rPr>
              <w:t>Statement 1</w:t>
            </w:r>
          </w:p>
        </w:tc>
        <w:tc>
          <w:tcPr>
            <w:tcW w:w="10632" w:type="dxa"/>
            <w:vAlign w:val="center"/>
          </w:tcPr>
          <w:p w14:paraId="69FA1484" w14:textId="59FDC1FE" w:rsidR="003A53A0" w:rsidRPr="003A53A0" w:rsidRDefault="003A53A0" w:rsidP="003A53A0">
            <w:pPr>
              <w:pStyle w:val="TableText1"/>
              <w:rPr>
                <w:rFonts w:cs="Arial"/>
                <w:szCs w:val="20"/>
              </w:rPr>
            </w:pPr>
            <w:r w:rsidRPr="003A53A0">
              <w:rPr>
                <w:rFonts w:cs="Arial"/>
                <w:szCs w:val="20"/>
              </w:rPr>
              <w:t>Review wording of ‘start it’ and clarify as prescribe or administer within 14 hours of admission</w:t>
            </w:r>
          </w:p>
        </w:tc>
      </w:tr>
      <w:tr w:rsidR="003A53A0" w:rsidRPr="003A53A0" w14:paraId="457A67E6" w14:textId="77777777" w:rsidTr="00F60DF7">
        <w:tc>
          <w:tcPr>
            <w:tcW w:w="675" w:type="dxa"/>
            <w:vAlign w:val="center"/>
          </w:tcPr>
          <w:p w14:paraId="1381A676" w14:textId="2BED6033" w:rsidR="003A53A0" w:rsidRPr="003A53A0" w:rsidRDefault="00F60DF7" w:rsidP="00F60DF7">
            <w:pPr>
              <w:pStyle w:val="TableText1"/>
              <w:rPr>
                <w:rFonts w:cs="Arial"/>
                <w:szCs w:val="20"/>
              </w:rPr>
            </w:pPr>
            <w:r>
              <w:rPr>
                <w:rFonts w:cs="Arial"/>
                <w:szCs w:val="20"/>
              </w:rPr>
              <w:t>32</w:t>
            </w:r>
          </w:p>
        </w:tc>
        <w:tc>
          <w:tcPr>
            <w:tcW w:w="2552" w:type="dxa"/>
            <w:vAlign w:val="center"/>
          </w:tcPr>
          <w:p w14:paraId="6FDBA879" w14:textId="77081E90" w:rsidR="003A53A0" w:rsidRPr="003A53A0" w:rsidRDefault="003A53A0" w:rsidP="003A53A0">
            <w:pPr>
              <w:pStyle w:val="TableText1"/>
              <w:rPr>
                <w:rFonts w:cs="Arial"/>
                <w:szCs w:val="20"/>
              </w:rPr>
            </w:pPr>
            <w:r w:rsidRPr="003A53A0">
              <w:rPr>
                <w:rFonts w:cs="Arial"/>
                <w:szCs w:val="20"/>
              </w:rPr>
              <w:t>Chelsea and Westminster Hospital NHS Foundation Trust</w:t>
            </w:r>
          </w:p>
        </w:tc>
        <w:tc>
          <w:tcPr>
            <w:tcW w:w="1417" w:type="dxa"/>
            <w:vAlign w:val="center"/>
          </w:tcPr>
          <w:p w14:paraId="58DB1F38" w14:textId="0D896CBB" w:rsidR="003A53A0" w:rsidRPr="003A53A0" w:rsidRDefault="003A53A0" w:rsidP="003A53A0">
            <w:pPr>
              <w:pStyle w:val="TableText1"/>
              <w:rPr>
                <w:rFonts w:cs="Arial"/>
                <w:bCs/>
                <w:szCs w:val="20"/>
              </w:rPr>
            </w:pPr>
            <w:r w:rsidRPr="003A53A0">
              <w:rPr>
                <w:rFonts w:cs="Arial"/>
                <w:bCs/>
                <w:szCs w:val="20"/>
              </w:rPr>
              <w:t>Statement 1</w:t>
            </w:r>
          </w:p>
        </w:tc>
        <w:tc>
          <w:tcPr>
            <w:tcW w:w="10632" w:type="dxa"/>
            <w:vAlign w:val="center"/>
          </w:tcPr>
          <w:p w14:paraId="6C1D037E" w14:textId="77777777" w:rsidR="003A53A0" w:rsidRPr="003A53A0" w:rsidRDefault="003A53A0" w:rsidP="003A53A0">
            <w:pPr>
              <w:rPr>
                <w:rFonts w:ascii="Arial" w:hAnsi="Arial" w:cs="Arial"/>
                <w:sz w:val="20"/>
                <w:szCs w:val="20"/>
              </w:rPr>
            </w:pPr>
            <w:r w:rsidRPr="003A53A0">
              <w:rPr>
                <w:rFonts w:ascii="Arial" w:hAnsi="Arial" w:cs="Arial"/>
                <w:sz w:val="20"/>
                <w:szCs w:val="20"/>
              </w:rPr>
              <w:t>All patients groups aged 16 years and over should be included (and not just medical, surgical and trauma patients – NICE NG89 does not only include these patient groups); thus quality standards should reflect all patient groups in NICE NG89</w:t>
            </w:r>
          </w:p>
          <w:p w14:paraId="69498B85" w14:textId="77777777" w:rsidR="003A53A0" w:rsidRPr="003A53A0" w:rsidRDefault="003A53A0" w:rsidP="003A53A0">
            <w:pPr>
              <w:pStyle w:val="TableText1"/>
              <w:rPr>
                <w:rFonts w:cs="Arial"/>
                <w:szCs w:val="20"/>
              </w:rPr>
            </w:pPr>
          </w:p>
        </w:tc>
      </w:tr>
      <w:tr w:rsidR="003A53A0" w:rsidRPr="003A53A0" w14:paraId="17916B27" w14:textId="77777777" w:rsidTr="00F60DF7">
        <w:tc>
          <w:tcPr>
            <w:tcW w:w="675" w:type="dxa"/>
            <w:vAlign w:val="center"/>
          </w:tcPr>
          <w:p w14:paraId="03F0C2B1" w14:textId="57D4C117" w:rsidR="003A53A0" w:rsidRPr="003A53A0" w:rsidRDefault="00F60DF7" w:rsidP="00F60DF7">
            <w:pPr>
              <w:pStyle w:val="TableText1"/>
              <w:rPr>
                <w:rFonts w:cs="Arial"/>
                <w:szCs w:val="20"/>
              </w:rPr>
            </w:pPr>
            <w:r>
              <w:rPr>
                <w:rFonts w:cs="Arial"/>
                <w:szCs w:val="20"/>
              </w:rPr>
              <w:t>33</w:t>
            </w:r>
          </w:p>
        </w:tc>
        <w:tc>
          <w:tcPr>
            <w:tcW w:w="2552" w:type="dxa"/>
            <w:vAlign w:val="center"/>
          </w:tcPr>
          <w:p w14:paraId="4669B580" w14:textId="301BF681" w:rsidR="003A53A0" w:rsidRPr="003A53A0" w:rsidRDefault="003A53A0" w:rsidP="003A53A0">
            <w:pPr>
              <w:pStyle w:val="TableText1"/>
              <w:rPr>
                <w:rFonts w:cs="Arial"/>
                <w:szCs w:val="20"/>
              </w:rPr>
            </w:pPr>
            <w:r w:rsidRPr="003A53A0">
              <w:rPr>
                <w:rFonts w:cs="Arial"/>
                <w:szCs w:val="20"/>
              </w:rPr>
              <w:t>Chelsea and Westminster Hospital NHS Foundation Trust</w:t>
            </w:r>
          </w:p>
        </w:tc>
        <w:tc>
          <w:tcPr>
            <w:tcW w:w="1417" w:type="dxa"/>
            <w:vAlign w:val="center"/>
          </w:tcPr>
          <w:p w14:paraId="6064C7FD" w14:textId="3BCC84E9" w:rsidR="003A53A0" w:rsidRPr="003A53A0" w:rsidRDefault="003A53A0" w:rsidP="003A53A0">
            <w:pPr>
              <w:pStyle w:val="TableText1"/>
              <w:rPr>
                <w:rFonts w:cs="Arial"/>
                <w:bCs/>
                <w:szCs w:val="20"/>
              </w:rPr>
            </w:pPr>
            <w:r w:rsidRPr="003A53A0">
              <w:rPr>
                <w:rFonts w:cs="Arial"/>
                <w:bCs/>
                <w:szCs w:val="20"/>
              </w:rPr>
              <w:t>Statement 1</w:t>
            </w:r>
          </w:p>
        </w:tc>
        <w:tc>
          <w:tcPr>
            <w:tcW w:w="10632" w:type="dxa"/>
            <w:vAlign w:val="center"/>
          </w:tcPr>
          <w:p w14:paraId="1559229C" w14:textId="3013B483" w:rsidR="003A53A0" w:rsidRPr="003A53A0" w:rsidRDefault="003A53A0" w:rsidP="003A53A0">
            <w:pPr>
              <w:pStyle w:val="TableText1"/>
              <w:rPr>
                <w:rFonts w:cs="Arial"/>
                <w:szCs w:val="20"/>
              </w:rPr>
            </w:pPr>
            <w:r w:rsidRPr="003A53A0">
              <w:rPr>
                <w:rFonts w:cs="Arial"/>
                <w:szCs w:val="20"/>
              </w:rPr>
              <w:t>Include patient education on thromboprophylaxis – users unlikely to read page 7 section on ‘equality and diversity considerations’ that patients need to be given verbal and written information on possible side effects of VTE prophylaxis</w:t>
            </w:r>
          </w:p>
        </w:tc>
      </w:tr>
      <w:tr w:rsidR="003A53A0" w:rsidRPr="003A53A0" w14:paraId="2FBC6201" w14:textId="77777777" w:rsidTr="00F60DF7">
        <w:tc>
          <w:tcPr>
            <w:tcW w:w="675" w:type="dxa"/>
            <w:vAlign w:val="center"/>
          </w:tcPr>
          <w:p w14:paraId="40C87EA6" w14:textId="62C7D539" w:rsidR="003A53A0" w:rsidRPr="003A53A0" w:rsidRDefault="00F60DF7" w:rsidP="00F60DF7">
            <w:pPr>
              <w:pStyle w:val="TableText1"/>
              <w:rPr>
                <w:rFonts w:cs="Arial"/>
                <w:szCs w:val="20"/>
              </w:rPr>
            </w:pPr>
            <w:r>
              <w:rPr>
                <w:rFonts w:cs="Arial"/>
                <w:szCs w:val="20"/>
              </w:rPr>
              <w:t>34</w:t>
            </w:r>
          </w:p>
        </w:tc>
        <w:tc>
          <w:tcPr>
            <w:tcW w:w="2552" w:type="dxa"/>
            <w:vAlign w:val="center"/>
          </w:tcPr>
          <w:p w14:paraId="66AF8B15" w14:textId="7F00E592" w:rsidR="003A53A0" w:rsidRPr="003A53A0" w:rsidRDefault="003A53A0" w:rsidP="003A53A0">
            <w:pPr>
              <w:pStyle w:val="TableText1"/>
              <w:rPr>
                <w:rFonts w:cs="Arial"/>
                <w:szCs w:val="20"/>
              </w:rPr>
            </w:pPr>
            <w:r w:rsidRPr="003A53A0">
              <w:rPr>
                <w:rFonts w:cs="Arial"/>
                <w:szCs w:val="20"/>
              </w:rPr>
              <w:t>Clinical Leaders of Thrombosis</w:t>
            </w:r>
          </w:p>
        </w:tc>
        <w:tc>
          <w:tcPr>
            <w:tcW w:w="1417" w:type="dxa"/>
            <w:vAlign w:val="center"/>
          </w:tcPr>
          <w:p w14:paraId="77778A3B" w14:textId="60740607" w:rsidR="003A53A0" w:rsidRPr="003A53A0" w:rsidRDefault="003A53A0" w:rsidP="003A53A0">
            <w:pPr>
              <w:pStyle w:val="TableText1"/>
              <w:rPr>
                <w:rFonts w:cs="Arial"/>
                <w:bCs/>
                <w:szCs w:val="20"/>
              </w:rPr>
            </w:pPr>
            <w:r w:rsidRPr="003A53A0">
              <w:rPr>
                <w:rFonts w:cs="Arial"/>
                <w:bCs/>
                <w:szCs w:val="20"/>
              </w:rPr>
              <w:t>Statement 1</w:t>
            </w:r>
          </w:p>
        </w:tc>
        <w:tc>
          <w:tcPr>
            <w:tcW w:w="10632" w:type="dxa"/>
            <w:vAlign w:val="center"/>
          </w:tcPr>
          <w:p w14:paraId="3FFEDEF6" w14:textId="5E181B46" w:rsidR="003A53A0" w:rsidRPr="003A53A0" w:rsidRDefault="003A53A0" w:rsidP="003A53A0">
            <w:pPr>
              <w:pStyle w:val="TableText1"/>
              <w:rPr>
                <w:rFonts w:cs="Arial"/>
                <w:szCs w:val="20"/>
              </w:rPr>
            </w:pPr>
            <w:r w:rsidRPr="003A53A0">
              <w:rPr>
                <w:rFonts w:cs="Arial"/>
                <w:szCs w:val="20"/>
              </w:rPr>
              <w:t>Good to have a timescale to start chemical prophylaxis as this is often given at the same time each day regardless of admitting time</w:t>
            </w:r>
          </w:p>
        </w:tc>
      </w:tr>
      <w:tr w:rsidR="003A53A0" w:rsidRPr="003A53A0" w14:paraId="4BC7E515" w14:textId="77777777" w:rsidTr="00F60DF7">
        <w:tc>
          <w:tcPr>
            <w:tcW w:w="675" w:type="dxa"/>
            <w:vAlign w:val="center"/>
          </w:tcPr>
          <w:p w14:paraId="690883A6" w14:textId="22AF68F8" w:rsidR="003A53A0" w:rsidRPr="003A53A0" w:rsidRDefault="00F60DF7" w:rsidP="00F60DF7">
            <w:pPr>
              <w:pStyle w:val="TableText1"/>
              <w:rPr>
                <w:rFonts w:cs="Arial"/>
                <w:szCs w:val="20"/>
              </w:rPr>
            </w:pPr>
            <w:r>
              <w:rPr>
                <w:rFonts w:cs="Arial"/>
                <w:szCs w:val="20"/>
              </w:rPr>
              <w:lastRenderedPageBreak/>
              <w:t>35</w:t>
            </w:r>
          </w:p>
        </w:tc>
        <w:tc>
          <w:tcPr>
            <w:tcW w:w="2552" w:type="dxa"/>
            <w:vAlign w:val="center"/>
          </w:tcPr>
          <w:p w14:paraId="06AF557E" w14:textId="5DDB3960" w:rsidR="003A53A0" w:rsidRPr="003A53A0" w:rsidRDefault="003A53A0" w:rsidP="003A53A0">
            <w:pPr>
              <w:pStyle w:val="TableText1"/>
              <w:rPr>
                <w:rFonts w:cs="Arial"/>
                <w:szCs w:val="20"/>
              </w:rPr>
            </w:pPr>
            <w:r w:rsidRPr="003A53A0">
              <w:rPr>
                <w:rFonts w:cs="Arial"/>
                <w:szCs w:val="20"/>
              </w:rPr>
              <w:t>King’s College Hospital NHS Foundation Trust</w:t>
            </w:r>
          </w:p>
        </w:tc>
        <w:tc>
          <w:tcPr>
            <w:tcW w:w="1417" w:type="dxa"/>
            <w:vAlign w:val="center"/>
          </w:tcPr>
          <w:p w14:paraId="0F6F829E" w14:textId="3E34F5C3" w:rsidR="003A53A0" w:rsidRPr="003A53A0" w:rsidRDefault="003A53A0" w:rsidP="003A53A0">
            <w:pPr>
              <w:pStyle w:val="TableText1"/>
              <w:rPr>
                <w:rFonts w:cs="Arial"/>
                <w:bCs/>
                <w:szCs w:val="20"/>
              </w:rPr>
            </w:pPr>
            <w:r w:rsidRPr="003A53A0">
              <w:rPr>
                <w:rFonts w:cs="Arial"/>
                <w:bCs/>
                <w:szCs w:val="20"/>
              </w:rPr>
              <w:t>Statement 1</w:t>
            </w:r>
          </w:p>
        </w:tc>
        <w:tc>
          <w:tcPr>
            <w:tcW w:w="10632" w:type="dxa"/>
            <w:vAlign w:val="center"/>
          </w:tcPr>
          <w:p w14:paraId="43F29195" w14:textId="10C5042C" w:rsidR="003A53A0" w:rsidRPr="003A53A0" w:rsidRDefault="003A53A0" w:rsidP="003A53A0">
            <w:pPr>
              <w:pStyle w:val="TableText1"/>
              <w:rPr>
                <w:rFonts w:cs="Arial"/>
                <w:szCs w:val="20"/>
              </w:rPr>
            </w:pPr>
            <w:r w:rsidRPr="003A53A0">
              <w:rPr>
                <w:rFonts w:cs="Arial"/>
                <w:szCs w:val="20"/>
              </w:rPr>
              <w:t>There is no current evidence that delivery of initial thromboprophylaxis within 14h of admission will reduce the incidence of HAT. We suggest therefore that other areas also be included, such as provision of appropriate duration (including post discharge where applicable), and avoiding missed doses without a clinical indication as these are also contributory factors.</w:t>
            </w:r>
          </w:p>
        </w:tc>
      </w:tr>
      <w:tr w:rsidR="003A53A0" w:rsidRPr="003A53A0" w14:paraId="44AD14F8" w14:textId="77777777" w:rsidTr="00F60DF7">
        <w:tc>
          <w:tcPr>
            <w:tcW w:w="675" w:type="dxa"/>
            <w:vAlign w:val="center"/>
          </w:tcPr>
          <w:p w14:paraId="4EAC3C4E" w14:textId="3BC74793" w:rsidR="003A53A0" w:rsidRPr="003A53A0" w:rsidRDefault="00F60DF7" w:rsidP="00F60DF7">
            <w:pPr>
              <w:pStyle w:val="TableText1"/>
              <w:rPr>
                <w:rFonts w:cs="Arial"/>
                <w:szCs w:val="20"/>
              </w:rPr>
            </w:pPr>
            <w:r>
              <w:rPr>
                <w:rFonts w:cs="Arial"/>
                <w:szCs w:val="20"/>
              </w:rPr>
              <w:t>36</w:t>
            </w:r>
          </w:p>
        </w:tc>
        <w:tc>
          <w:tcPr>
            <w:tcW w:w="2552" w:type="dxa"/>
            <w:vAlign w:val="center"/>
          </w:tcPr>
          <w:p w14:paraId="409268D5" w14:textId="713DC6A7" w:rsidR="003A53A0" w:rsidRPr="003A53A0" w:rsidRDefault="003A53A0" w:rsidP="003A53A0">
            <w:pPr>
              <w:pStyle w:val="TableText1"/>
              <w:rPr>
                <w:rFonts w:cs="Arial"/>
                <w:szCs w:val="20"/>
              </w:rPr>
            </w:pPr>
            <w:r w:rsidRPr="003A53A0">
              <w:rPr>
                <w:rFonts w:cs="Arial"/>
                <w:szCs w:val="20"/>
              </w:rPr>
              <w:t>King’s College Hospital NHS Foundation Trust</w:t>
            </w:r>
          </w:p>
        </w:tc>
        <w:tc>
          <w:tcPr>
            <w:tcW w:w="1417" w:type="dxa"/>
            <w:vAlign w:val="center"/>
          </w:tcPr>
          <w:p w14:paraId="4BCC8DD1" w14:textId="69FAD71F" w:rsidR="003A53A0" w:rsidRPr="003A53A0" w:rsidRDefault="003A53A0" w:rsidP="003A53A0">
            <w:pPr>
              <w:pStyle w:val="TableText1"/>
              <w:rPr>
                <w:rFonts w:cs="Arial"/>
                <w:bCs/>
                <w:szCs w:val="20"/>
              </w:rPr>
            </w:pPr>
            <w:r w:rsidRPr="003A53A0">
              <w:rPr>
                <w:rFonts w:cs="Arial"/>
                <w:bCs/>
                <w:szCs w:val="20"/>
              </w:rPr>
              <w:t>Statement 1</w:t>
            </w:r>
          </w:p>
        </w:tc>
        <w:tc>
          <w:tcPr>
            <w:tcW w:w="10632" w:type="dxa"/>
            <w:vAlign w:val="center"/>
          </w:tcPr>
          <w:p w14:paraId="01696DFC" w14:textId="571BB42D" w:rsidR="003A53A0" w:rsidRPr="003A53A0" w:rsidRDefault="003A53A0" w:rsidP="003A53A0">
            <w:pPr>
              <w:pStyle w:val="TableText1"/>
              <w:rPr>
                <w:rFonts w:cs="Arial"/>
                <w:szCs w:val="20"/>
              </w:rPr>
            </w:pPr>
            <w:r w:rsidRPr="003A53A0">
              <w:rPr>
                <w:rFonts w:cs="Arial"/>
                <w:szCs w:val="20"/>
              </w:rPr>
              <w:t>Local systems for monitoring: there should be existing local measures for auditing to demonstrate compliance with the previous QS. I note the GIRFT and AAPTG surveys are included as a means to monitor HAT. Both rely on local data collection and submission. Furthermore, the GIRFT Thrombosis survey was funded as a single survey and we await a decision from GIRFT as to whether a repeat survey can be funded. Most Trusts participating in the survey had a means for identifying HAT (albeit many either under-identified or did not submit full data), with many also investigating HAT.</w:t>
            </w:r>
          </w:p>
        </w:tc>
      </w:tr>
      <w:tr w:rsidR="003A53A0" w:rsidRPr="003A53A0" w14:paraId="16656169" w14:textId="77777777" w:rsidTr="00F60DF7">
        <w:tc>
          <w:tcPr>
            <w:tcW w:w="675" w:type="dxa"/>
            <w:vAlign w:val="center"/>
          </w:tcPr>
          <w:p w14:paraId="3F0A3F51" w14:textId="2C4035BD" w:rsidR="003A53A0" w:rsidRPr="003A53A0" w:rsidRDefault="00F60DF7" w:rsidP="00F60DF7">
            <w:pPr>
              <w:pStyle w:val="TableText1"/>
              <w:rPr>
                <w:rFonts w:cs="Arial"/>
                <w:szCs w:val="20"/>
              </w:rPr>
            </w:pPr>
            <w:r>
              <w:rPr>
                <w:rFonts w:cs="Arial"/>
                <w:szCs w:val="20"/>
              </w:rPr>
              <w:t>37</w:t>
            </w:r>
          </w:p>
        </w:tc>
        <w:tc>
          <w:tcPr>
            <w:tcW w:w="2552" w:type="dxa"/>
            <w:vAlign w:val="center"/>
          </w:tcPr>
          <w:p w14:paraId="072BE7D6" w14:textId="5CDBFC1C" w:rsidR="003A53A0" w:rsidRPr="003A53A0" w:rsidRDefault="003A53A0" w:rsidP="003A53A0">
            <w:pPr>
              <w:pStyle w:val="TableText1"/>
              <w:rPr>
                <w:rFonts w:cs="Arial"/>
                <w:szCs w:val="20"/>
              </w:rPr>
            </w:pPr>
            <w:r w:rsidRPr="003A53A0">
              <w:rPr>
                <w:rFonts w:cs="Arial"/>
                <w:szCs w:val="20"/>
              </w:rPr>
              <w:t>LEO Pharma</w:t>
            </w:r>
          </w:p>
        </w:tc>
        <w:tc>
          <w:tcPr>
            <w:tcW w:w="1417" w:type="dxa"/>
            <w:vAlign w:val="center"/>
          </w:tcPr>
          <w:p w14:paraId="3A69B550" w14:textId="7E63AF3C" w:rsidR="003A53A0" w:rsidRPr="003A53A0" w:rsidRDefault="003A53A0" w:rsidP="003A53A0">
            <w:pPr>
              <w:pStyle w:val="TableText1"/>
              <w:rPr>
                <w:rFonts w:cs="Arial"/>
                <w:bCs/>
                <w:szCs w:val="20"/>
              </w:rPr>
            </w:pPr>
            <w:r w:rsidRPr="003A53A0">
              <w:rPr>
                <w:rFonts w:cs="Arial"/>
                <w:bCs/>
                <w:szCs w:val="20"/>
              </w:rPr>
              <w:t>Statement 1</w:t>
            </w:r>
          </w:p>
        </w:tc>
        <w:tc>
          <w:tcPr>
            <w:tcW w:w="10632" w:type="dxa"/>
            <w:vAlign w:val="center"/>
          </w:tcPr>
          <w:p w14:paraId="514694AC" w14:textId="77777777" w:rsidR="003A53A0" w:rsidRPr="003A53A0" w:rsidRDefault="003A53A0" w:rsidP="003A53A0">
            <w:pPr>
              <w:rPr>
                <w:rFonts w:ascii="Arial" w:hAnsi="Arial" w:cs="Arial"/>
                <w:sz w:val="20"/>
                <w:szCs w:val="20"/>
              </w:rPr>
            </w:pPr>
            <w:r w:rsidRPr="003A53A0">
              <w:rPr>
                <w:rFonts w:ascii="Arial" w:hAnsi="Arial" w:cs="Arial"/>
                <w:sz w:val="20"/>
                <w:szCs w:val="20"/>
              </w:rPr>
              <w:t>This quality statement needs to make it clear that the patients will be ‘risk assessed’ as needing pharmacological VTE prophylaxis.The NICE guideline (NG89) states under risk assessment that all patients (medical patients, surgical patients, pregnant patients, critical care unit patients, acute psychiatric patients) need to be assessed to identify the risk of VTE and bleeding. This will confirm whether VTE prophylaxis is appropriate for the patient.</w:t>
            </w:r>
          </w:p>
          <w:p w14:paraId="1BC25856" w14:textId="77777777" w:rsidR="003A53A0" w:rsidRPr="003A53A0" w:rsidRDefault="003A53A0" w:rsidP="003A53A0">
            <w:pPr>
              <w:rPr>
                <w:rFonts w:ascii="Arial" w:hAnsi="Arial" w:cs="Arial"/>
                <w:sz w:val="20"/>
                <w:szCs w:val="20"/>
              </w:rPr>
            </w:pPr>
            <w:r w:rsidRPr="003A53A0">
              <w:rPr>
                <w:rFonts w:ascii="Arial" w:hAnsi="Arial" w:cs="Arial"/>
                <w:sz w:val="20"/>
                <w:szCs w:val="20"/>
              </w:rPr>
              <w:t>Reference:</w:t>
            </w:r>
          </w:p>
          <w:p w14:paraId="045D9D3A" w14:textId="09C3AA85" w:rsidR="003A53A0" w:rsidRPr="003A53A0" w:rsidRDefault="0071228A" w:rsidP="003A53A0">
            <w:pPr>
              <w:pStyle w:val="TableText1"/>
              <w:rPr>
                <w:rFonts w:cs="Arial"/>
                <w:szCs w:val="20"/>
              </w:rPr>
            </w:pPr>
            <w:hyperlink r:id="rId13" w:anchor="risk-assessment" w:history="1">
              <w:r w:rsidR="003A53A0" w:rsidRPr="003A53A0">
                <w:rPr>
                  <w:rStyle w:val="Hyperlink"/>
                  <w:rFonts w:cs="Arial"/>
                  <w:szCs w:val="20"/>
                </w:rPr>
                <w:t>https://www.nice.org.uk/guidance/ng89/chapter/Recommendations#risk-assessment</w:t>
              </w:r>
            </w:hyperlink>
          </w:p>
        </w:tc>
      </w:tr>
      <w:tr w:rsidR="003A53A0" w:rsidRPr="003A53A0" w14:paraId="462C9883" w14:textId="77777777" w:rsidTr="00F60DF7">
        <w:tc>
          <w:tcPr>
            <w:tcW w:w="675" w:type="dxa"/>
            <w:vAlign w:val="center"/>
          </w:tcPr>
          <w:p w14:paraId="4A56BA7B" w14:textId="2B6FDDED" w:rsidR="003A53A0" w:rsidRPr="003A53A0" w:rsidRDefault="00F60DF7" w:rsidP="00F60DF7">
            <w:pPr>
              <w:pStyle w:val="TableText1"/>
              <w:rPr>
                <w:rFonts w:cs="Arial"/>
                <w:szCs w:val="20"/>
              </w:rPr>
            </w:pPr>
            <w:r>
              <w:rPr>
                <w:rFonts w:cs="Arial"/>
                <w:szCs w:val="20"/>
              </w:rPr>
              <w:t>38</w:t>
            </w:r>
          </w:p>
        </w:tc>
        <w:tc>
          <w:tcPr>
            <w:tcW w:w="2552" w:type="dxa"/>
            <w:vAlign w:val="center"/>
          </w:tcPr>
          <w:p w14:paraId="7C3CE981" w14:textId="32716A89"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47D6FE7C" w14:textId="4410E8C7" w:rsidR="003A53A0" w:rsidRPr="003A53A0" w:rsidRDefault="003A53A0" w:rsidP="003A53A0">
            <w:pPr>
              <w:pStyle w:val="TableText1"/>
              <w:rPr>
                <w:rFonts w:cs="Arial"/>
                <w:bCs/>
                <w:szCs w:val="20"/>
              </w:rPr>
            </w:pPr>
            <w:r w:rsidRPr="003A53A0">
              <w:rPr>
                <w:rFonts w:cs="Arial"/>
                <w:bCs/>
                <w:szCs w:val="20"/>
              </w:rPr>
              <w:t>Statement 1 (o</w:t>
            </w:r>
            <w:r w:rsidRPr="003A53A0">
              <w:rPr>
                <w:rFonts w:cs="Arial"/>
                <w:bCs/>
                <w:iCs/>
                <w:szCs w:val="20"/>
              </w:rPr>
              <w:t>utcome)</w:t>
            </w:r>
          </w:p>
        </w:tc>
        <w:tc>
          <w:tcPr>
            <w:tcW w:w="10632" w:type="dxa"/>
            <w:vAlign w:val="center"/>
          </w:tcPr>
          <w:p w14:paraId="1DEDC85F" w14:textId="1DE31204" w:rsidR="003A53A0" w:rsidRPr="003A53A0" w:rsidRDefault="003A53A0" w:rsidP="003A53A0">
            <w:pPr>
              <w:pStyle w:val="TableText1"/>
              <w:rPr>
                <w:rFonts w:cs="Arial"/>
                <w:szCs w:val="20"/>
              </w:rPr>
            </w:pPr>
            <w:r w:rsidRPr="003A53A0">
              <w:rPr>
                <w:rFonts w:cs="Arial"/>
                <w:szCs w:val="20"/>
              </w:rPr>
              <w:t xml:space="preserve">In the section what the quality statement means for different audiences under Health Care professionals, you document that Healthcare professionals (such as pharmacists, advanced nurse practitioners and doctors) prescribe pharmacological VTE prophylaxis. You may want to think about changing this to non-medical prescribers (V300) and doctors. I say this from my own perspective as a non medical prescriber but not an advanced practitioner working in the community and it may be in the future physiotherapists or nurses who are not advanced nurse practitioners would be in a position to prescribe pharmacological VTE. </w:t>
            </w:r>
          </w:p>
        </w:tc>
      </w:tr>
      <w:tr w:rsidR="003A53A0" w:rsidRPr="003A53A0" w14:paraId="1A044A93" w14:textId="77777777" w:rsidTr="00F60DF7">
        <w:tc>
          <w:tcPr>
            <w:tcW w:w="675" w:type="dxa"/>
            <w:vAlign w:val="center"/>
          </w:tcPr>
          <w:p w14:paraId="37E3B5AD" w14:textId="3AF8F49B" w:rsidR="003A53A0" w:rsidRPr="003A53A0" w:rsidRDefault="00F60DF7" w:rsidP="00F60DF7">
            <w:pPr>
              <w:pStyle w:val="TableText1"/>
              <w:rPr>
                <w:rFonts w:cs="Arial"/>
                <w:szCs w:val="20"/>
              </w:rPr>
            </w:pPr>
            <w:r>
              <w:rPr>
                <w:rFonts w:cs="Arial"/>
                <w:szCs w:val="20"/>
              </w:rPr>
              <w:t>39</w:t>
            </w:r>
          </w:p>
        </w:tc>
        <w:tc>
          <w:tcPr>
            <w:tcW w:w="2552" w:type="dxa"/>
            <w:vAlign w:val="center"/>
          </w:tcPr>
          <w:p w14:paraId="35BD90C1" w14:textId="557FF8D0"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44670CF6" w14:textId="29792BA4" w:rsidR="003A53A0" w:rsidRPr="003A53A0" w:rsidRDefault="003A53A0" w:rsidP="003A53A0">
            <w:pPr>
              <w:pStyle w:val="TableText1"/>
              <w:rPr>
                <w:rFonts w:cs="Arial"/>
                <w:bCs/>
                <w:szCs w:val="20"/>
              </w:rPr>
            </w:pPr>
            <w:r w:rsidRPr="003A53A0">
              <w:rPr>
                <w:rFonts w:cs="Arial"/>
                <w:bCs/>
                <w:iCs/>
                <w:szCs w:val="20"/>
              </w:rPr>
              <w:t>Statement 1</w:t>
            </w:r>
          </w:p>
        </w:tc>
        <w:tc>
          <w:tcPr>
            <w:tcW w:w="10632" w:type="dxa"/>
            <w:vAlign w:val="center"/>
          </w:tcPr>
          <w:p w14:paraId="406912D5" w14:textId="2B36E35E" w:rsidR="003A53A0" w:rsidRPr="003A53A0" w:rsidRDefault="003A53A0" w:rsidP="003A53A0">
            <w:pPr>
              <w:pStyle w:val="TableText1"/>
              <w:rPr>
                <w:rFonts w:cs="Arial"/>
                <w:szCs w:val="20"/>
              </w:rPr>
            </w:pPr>
            <w:r w:rsidRPr="003A53A0">
              <w:rPr>
                <w:rFonts w:cs="Arial"/>
                <w:szCs w:val="20"/>
              </w:rPr>
              <w:t xml:space="preserve">Important to ensure that individuals are provided with information in a way that they are able to understand – clarifying this point is key. Also as well as highlighting to patients what possible side effects can occur with VTE prophylaxis using verbal and written information, this medicine-consultation should extend to include all necessary consultation points e.g. indication, and should be conducted in a culturally competent way. </w:t>
            </w:r>
          </w:p>
        </w:tc>
      </w:tr>
      <w:tr w:rsidR="003A53A0" w:rsidRPr="003A53A0" w14:paraId="24D7F764" w14:textId="77777777" w:rsidTr="00F60DF7">
        <w:tc>
          <w:tcPr>
            <w:tcW w:w="675" w:type="dxa"/>
            <w:vAlign w:val="center"/>
          </w:tcPr>
          <w:p w14:paraId="31ADB109" w14:textId="7600EFA6" w:rsidR="003A53A0" w:rsidRPr="003A53A0" w:rsidRDefault="00F60DF7" w:rsidP="00F60DF7">
            <w:pPr>
              <w:pStyle w:val="TableText1"/>
              <w:rPr>
                <w:rFonts w:cs="Arial"/>
                <w:szCs w:val="20"/>
              </w:rPr>
            </w:pPr>
            <w:r>
              <w:rPr>
                <w:rFonts w:cs="Arial"/>
                <w:szCs w:val="20"/>
              </w:rPr>
              <w:t>40</w:t>
            </w:r>
          </w:p>
        </w:tc>
        <w:tc>
          <w:tcPr>
            <w:tcW w:w="2552" w:type="dxa"/>
            <w:vAlign w:val="center"/>
          </w:tcPr>
          <w:p w14:paraId="6F6D729E" w14:textId="1BBD44F9" w:rsidR="003A53A0" w:rsidRPr="003A53A0" w:rsidRDefault="003A53A0" w:rsidP="003A53A0">
            <w:pPr>
              <w:pStyle w:val="TableText1"/>
              <w:rPr>
                <w:rFonts w:cs="Arial"/>
                <w:szCs w:val="20"/>
              </w:rPr>
            </w:pPr>
            <w:r w:rsidRPr="003A53A0">
              <w:rPr>
                <w:rFonts w:cs="Arial"/>
                <w:szCs w:val="20"/>
              </w:rPr>
              <w:t>Thrombosis UK</w:t>
            </w:r>
          </w:p>
        </w:tc>
        <w:tc>
          <w:tcPr>
            <w:tcW w:w="1417" w:type="dxa"/>
            <w:vAlign w:val="center"/>
          </w:tcPr>
          <w:p w14:paraId="54D31B1F" w14:textId="470BCD23" w:rsidR="003A53A0" w:rsidRPr="003A53A0" w:rsidRDefault="003A53A0" w:rsidP="003A53A0">
            <w:pPr>
              <w:pStyle w:val="TableText1"/>
              <w:rPr>
                <w:rFonts w:cs="Arial"/>
                <w:bCs/>
                <w:szCs w:val="20"/>
              </w:rPr>
            </w:pPr>
            <w:r w:rsidRPr="003A53A0">
              <w:rPr>
                <w:rFonts w:cs="Arial"/>
                <w:bCs/>
                <w:szCs w:val="20"/>
              </w:rPr>
              <w:t>Statement 1</w:t>
            </w:r>
          </w:p>
        </w:tc>
        <w:tc>
          <w:tcPr>
            <w:tcW w:w="10632" w:type="dxa"/>
            <w:vAlign w:val="center"/>
          </w:tcPr>
          <w:p w14:paraId="2AC998E6" w14:textId="77777777" w:rsidR="003A53A0" w:rsidRPr="003A53A0" w:rsidRDefault="003A53A0" w:rsidP="003A53A0">
            <w:pPr>
              <w:rPr>
                <w:rFonts w:ascii="Arial" w:hAnsi="Arial" w:cs="Arial"/>
                <w:sz w:val="20"/>
                <w:szCs w:val="20"/>
              </w:rPr>
            </w:pPr>
            <w:r w:rsidRPr="003A53A0">
              <w:rPr>
                <w:rFonts w:ascii="Arial" w:hAnsi="Arial" w:cs="Arial"/>
                <w:sz w:val="20"/>
                <w:szCs w:val="20"/>
              </w:rPr>
              <w:t xml:space="preserve">We are unable to find any evidence that supports Statement 1 in recommending up to a 14-hour delay in initiating pharmacological thromboprophylaxis in anyone aged 16 and over who is admitted to hospital and assessed as requiring VTE prophylaxis. </w:t>
            </w:r>
          </w:p>
          <w:p w14:paraId="41C45AB0" w14:textId="12FB7996" w:rsidR="003A53A0" w:rsidRPr="003A53A0" w:rsidRDefault="003A53A0" w:rsidP="003A53A0">
            <w:pPr>
              <w:pStyle w:val="TableText1"/>
              <w:rPr>
                <w:rFonts w:cs="Arial"/>
                <w:szCs w:val="20"/>
              </w:rPr>
            </w:pPr>
            <w:r w:rsidRPr="003A53A0">
              <w:rPr>
                <w:rFonts w:cs="Arial"/>
                <w:szCs w:val="20"/>
              </w:rPr>
              <w:t>We appreciate NICE has given this time as from admission, however as part of the admission process all patients (16 years+) are required to be VTE risk assessed and managed, and if a time is going to be given, then this should be much shorter, and certainly no longer than six hours from time of admission.</w:t>
            </w:r>
          </w:p>
        </w:tc>
      </w:tr>
      <w:tr w:rsidR="003A53A0" w:rsidRPr="003A53A0" w14:paraId="693FC868" w14:textId="77777777" w:rsidTr="00F60DF7">
        <w:tc>
          <w:tcPr>
            <w:tcW w:w="675" w:type="dxa"/>
            <w:vAlign w:val="center"/>
          </w:tcPr>
          <w:p w14:paraId="4C6E169F" w14:textId="3E3EC60D" w:rsidR="003A53A0" w:rsidRPr="003A53A0" w:rsidRDefault="00F60DF7" w:rsidP="00F60DF7">
            <w:pPr>
              <w:pStyle w:val="TableText1"/>
              <w:rPr>
                <w:rFonts w:cs="Arial"/>
                <w:szCs w:val="20"/>
              </w:rPr>
            </w:pPr>
            <w:r>
              <w:rPr>
                <w:rFonts w:cs="Arial"/>
                <w:szCs w:val="20"/>
              </w:rPr>
              <w:t>4</w:t>
            </w:r>
            <w:r w:rsidR="009731F0">
              <w:rPr>
                <w:rFonts w:cs="Arial"/>
                <w:szCs w:val="20"/>
              </w:rPr>
              <w:t>1</w:t>
            </w:r>
          </w:p>
        </w:tc>
        <w:tc>
          <w:tcPr>
            <w:tcW w:w="2552" w:type="dxa"/>
            <w:vAlign w:val="center"/>
          </w:tcPr>
          <w:p w14:paraId="3666A0D0" w14:textId="098D16EB" w:rsidR="003A53A0" w:rsidRPr="003A53A0" w:rsidRDefault="003A53A0" w:rsidP="003A53A0">
            <w:pPr>
              <w:pStyle w:val="TableText1"/>
              <w:rPr>
                <w:rFonts w:cs="Arial"/>
                <w:szCs w:val="20"/>
              </w:rPr>
            </w:pPr>
            <w:r w:rsidRPr="003A53A0">
              <w:rPr>
                <w:rFonts w:cs="Arial"/>
                <w:szCs w:val="20"/>
              </w:rPr>
              <w:t>UK Clinical Pharmacy Association (UKCPA) Haemostasis &amp; Thrombosis Committee</w:t>
            </w:r>
          </w:p>
        </w:tc>
        <w:tc>
          <w:tcPr>
            <w:tcW w:w="1417" w:type="dxa"/>
            <w:vAlign w:val="center"/>
          </w:tcPr>
          <w:p w14:paraId="1A34173E" w14:textId="04B4FD9B" w:rsidR="003A53A0" w:rsidRPr="003A53A0" w:rsidRDefault="003A53A0" w:rsidP="003A53A0">
            <w:pPr>
              <w:pStyle w:val="TableText1"/>
              <w:rPr>
                <w:rFonts w:cs="Arial"/>
                <w:bCs/>
                <w:szCs w:val="20"/>
              </w:rPr>
            </w:pPr>
            <w:r w:rsidRPr="003A53A0">
              <w:rPr>
                <w:rFonts w:cs="Arial"/>
                <w:bCs/>
                <w:iCs/>
                <w:szCs w:val="20"/>
              </w:rPr>
              <w:t>Statement 1</w:t>
            </w:r>
          </w:p>
        </w:tc>
        <w:tc>
          <w:tcPr>
            <w:tcW w:w="10632" w:type="dxa"/>
            <w:vAlign w:val="center"/>
          </w:tcPr>
          <w:p w14:paraId="2E71DAAF" w14:textId="77777777" w:rsidR="003A53A0" w:rsidRPr="003A53A0" w:rsidRDefault="003A53A0" w:rsidP="003A53A0">
            <w:pPr>
              <w:rPr>
                <w:rFonts w:ascii="Arial" w:hAnsi="Arial" w:cs="Arial"/>
                <w:sz w:val="20"/>
                <w:szCs w:val="20"/>
              </w:rPr>
            </w:pPr>
            <w:r w:rsidRPr="003A53A0">
              <w:rPr>
                <w:rFonts w:ascii="Arial" w:hAnsi="Arial" w:cs="Arial"/>
                <w:sz w:val="20"/>
                <w:szCs w:val="20"/>
              </w:rPr>
              <w:t>Challenging to include and measure ‘within 14 hours of hospital admission’</w:t>
            </w:r>
          </w:p>
          <w:p w14:paraId="5B6C6A88" w14:textId="77777777" w:rsidR="003A53A0" w:rsidRPr="003A53A0" w:rsidRDefault="003A53A0" w:rsidP="003A53A0">
            <w:pPr>
              <w:pStyle w:val="TableText1"/>
              <w:rPr>
                <w:rFonts w:cs="Arial"/>
                <w:szCs w:val="20"/>
              </w:rPr>
            </w:pPr>
          </w:p>
        </w:tc>
      </w:tr>
      <w:tr w:rsidR="003A53A0" w:rsidRPr="003A53A0" w14:paraId="5FAF5D63" w14:textId="77777777" w:rsidTr="00F60DF7">
        <w:tc>
          <w:tcPr>
            <w:tcW w:w="675" w:type="dxa"/>
            <w:vAlign w:val="center"/>
          </w:tcPr>
          <w:p w14:paraId="4EF8384A" w14:textId="133C383F" w:rsidR="003A53A0" w:rsidRPr="003A53A0" w:rsidRDefault="00F60DF7" w:rsidP="00F60DF7">
            <w:pPr>
              <w:pStyle w:val="TableText1"/>
              <w:rPr>
                <w:rFonts w:cs="Arial"/>
                <w:szCs w:val="20"/>
              </w:rPr>
            </w:pPr>
            <w:r>
              <w:rPr>
                <w:rFonts w:cs="Arial"/>
                <w:szCs w:val="20"/>
              </w:rPr>
              <w:lastRenderedPageBreak/>
              <w:t>4</w:t>
            </w:r>
            <w:r w:rsidR="009731F0">
              <w:rPr>
                <w:rFonts w:cs="Arial"/>
                <w:szCs w:val="20"/>
              </w:rPr>
              <w:t>2</w:t>
            </w:r>
          </w:p>
        </w:tc>
        <w:tc>
          <w:tcPr>
            <w:tcW w:w="2552" w:type="dxa"/>
            <w:vAlign w:val="center"/>
          </w:tcPr>
          <w:p w14:paraId="2394480D" w14:textId="60DF27F7" w:rsidR="003A53A0" w:rsidRPr="003A53A0" w:rsidRDefault="003A53A0" w:rsidP="003A53A0">
            <w:pPr>
              <w:pStyle w:val="TableText1"/>
              <w:rPr>
                <w:rFonts w:cs="Arial"/>
                <w:szCs w:val="20"/>
              </w:rPr>
            </w:pPr>
            <w:r w:rsidRPr="003A53A0">
              <w:rPr>
                <w:rFonts w:cs="Arial"/>
                <w:szCs w:val="20"/>
              </w:rPr>
              <w:t>UK Clinical Pharmacy Association (UKCPA) Haemostasis &amp; Thrombosis Committee</w:t>
            </w:r>
          </w:p>
        </w:tc>
        <w:tc>
          <w:tcPr>
            <w:tcW w:w="1417" w:type="dxa"/>
            <w:vAlign w:val="center"/>
          </w:tcPr>
          <w:p w14:paraId="0A9CD40C" w14:textId="6C0D1801" w:rsidR="003A53A0" w:rsidRPr="003A53A0" w:rsidRDefault="003A53A0" w:rsidP="003A53A0">
            <w:pPr>
              <w:pStyle w:val="TableText1"/>
              <w:rPr>
                <w:rFonts w:cs="Arial"/>
                <w:bCs/>
                <w:szCs w:val="20"/>
              </w:rPr>
            </w:pPr>
            <w:r w:rsidRPr="003A53A0">
              <w:rPr>
                <w:rFonts w:cs="Arial"/>
                <w:bCs/>
                <w:iCs/>
                <w:szCs w:val="20"/>
              </w:rPr>
              <w:t>Statement 1</w:t>
            </w:r>
          </w:p>
        </w:tc>
        <w:tc>
          <w:tcPr>
            <w:tcW w:w="10632" w:type="dxa"/>
            <w:vAlign w:val="center"/>
          </w:tcPr>
          <w:p w14:paraId="3D7F821D" w14:textId="4D5EC012" w:rsidR="003A53A0" w:rsidRPr="003A53A0" w:rsidRDefault="003A53A0" w:rsidP="003A53A0">
            <w:pPr>
              <w:pStyle w:val="TableText1"/>
              <w:rPr>
                <w:rFonts w:cs="Arial"/>
                <w:szCs w:val="20"/>
              </w:rPr>
            </w:pPr>
            <w:r w:rsidRPr="003A53A0">
              <w:rPr>
                <w:rFonts w:cs="Arial"/>
                <w:szCs w:val="20"/>
              </w:rPr>
              <w:t>Review wording of ‘start it’ and clarify as prescribe or administer within 14 hours of admission</w:t>
            </w:r>
          </w:p>
        </w:tc>
      </w:tr>
      <w:tr w:rsidR="003A53A0" w:rsidRPr="003A53A0" w14:paraId="3FB58498" w14:textId="77777777" w:rsidTr="00F60DF7">
        <w:tc>
          <w:tcPr>
            <w:tcW w:w="675" w:type="dxa"/>
            <w:vAlign w:val="center"/>
          </w:tcPr>
          <w:p w14:paraId="659E8A69" w14:textId="1448C003" w:rsidR="003A53A0" w:rsidRPr="003A53A0" w:rsidRDefault="00F60DF7" w:rsidP="00F60DF7">
            <w:pPr>
              <w:pStyle w:val="TableText1"/>
              <w:rPr>
                <w:rFonts w:cs="Arial"/>
                <w:szCs w:val="20"/>
              </w:rPr>
            </w:pPr>
            <w:r>
              <w:rPr>
                <w:rFonts w:cs="Arial"/>
                <w:szCs w:val="20"/>
              </w:rPr>
              <w:t>4</w:t>
            </w:r>
            <w:r w:rsidR="009731F0">
              <w:rPr>
                <w:rFonts w:cs="Arial"/>
                <w:szCs w:val="20"/>
              </w:rPr>
              <w:t>3</w:t>
            </w:r>
          </w:p>
        </w:tc>
        <w:tc>
          <w:tcPr>
            <w:tcW w:w="2552" w:type="dxa"/>
            <w:vAlign w:val="center"/>
          </w:tcPr>
          <w:p w14:paraId="0E30CA1F" w14:textId="46FB46FC" w:rsidR="003A53A0" w:rsidRPr="003A53A0" w:rsidRDefault="003A53A0" w:rsidP="003A53A0">
            <w:pPr>
              <w:pStyle w:val="TableText1"/>
              <w:rPr>
                <w:rFonts w:cs="Arial"/>
                <w:szCs w:val="20"/>
              </w:rPr>
            </w:pPr>
            <w:r w:rsidRPr="003A53A0">
              <w:rPr>
                <w:rFonts w:cs="Arial"/>
                <w:szCs w:val="20"/>
              </w:rPr>
              <w:t>UK Clinical Pharmacy Association (UKCPA) Haemostasis &amp; Thrombosis Committee</w:t>
            </w:r>
          </w:p>
        </w:tc>
        <w:tc>
          <w:tcPr>
            <w:tcW w:w="1417" w:type="dxa"/>
            <w:vAlign w:val="center"/>
          </w:tcPr>
          <w:p w14:paraId="00C6B0ED" w14:textId="30DF0039" w:rsidR="003A53A0" w:rsidRPr="003A53A0" w:rsidRDefault="003A53A0" w:rsidP="003A53A0">
            <w:pPr>
              <w:pStyle w:val="TableText1"/>
              <w:rPr>
                <w:rFonts w:cs="Arial"/>
                <w:bCs/>
                <w:szCs w:val="20"/>
              </w:rPr>
            </w:pPr>
            <w:r w:rsidRPr="003A53A0">
              <w:rPr>
                <w:rFonts w:cs="Arial"/>
                <w:bCs/>
                <w:iCs/>
                <w:szCs w:val="20"/>
              </w:rPr>
              <w:t>Statement 1</w:t>
            </w:r>
          </w:p>
        </w:tc>
        <w:tc>
          <w:tcPr>
            <w:tcW w:w="10632" w:type="dxa"/>
            <w:vAlign w:val="center"/>
          </w:tcPr>
          <w:p w14:paraId="617E2746" w14:textId="761859E7" w:rsidR="003A53A0" w:rsidRPr="003A53A0" w:rsidRDefault="003A53A0" w:rsidP="003A53A0">
            <w:pPr>
              <w:pStyle w:val="TableText1"/>
              <w:rPr>
                <w:rFonts w:cs="Arial"/>
                <w:szCs w:val="20"/>
              </w:rPr>
            </w:pPr>
            <w:r w:rsidRPr="003A53A0">
              <w:rPr>
                <w:rFonts w:cs="Arial"/>
                <w:szCs w:val="20"/>
              </w:rPr>
              <w:t>All patients groups aged 16 years and over should be included (and not just medical, surgical and trauma patients – NICE NG89 does not only include these patient groups); thus quality standards should reflect all patient groups in NICE NG89</w:t>
            </w:r>
          </w:p>
        </w:tc>
      </w:tr>
      <w:tr w:rsidR="003A53A0" w:rsidRPr="003A53A0" w14:paraId="6E790C70" w14:textId="77777777" w:rsidTr="00F60DF7">
        <w:tc>
          <w:tcPr>
            <w:tcW w:w="675" w:type="dxa"/>
            <w:vAlign w:val="center"/>
          </w:tcPr>
          <w:p w14:paraId="31AC8A32" w14:textId="445DE681" w:rsidR="003A53A0" w:rsidRPr="003A53A0" w:rsidRDefault="00F60DF7" w:rsidP="00F60DF7">
            <w:pPr>
              <w:pStyle w:val="TableText1"/>
              <w:rPr>
                <w:rFonts w:cs="Arial"/>
                <w:szCs w:val="20"/>
              </w:rPr>
            </w:pPr>
            <w:r>
              <w:rPr>
                <w:rFonts w:cs="Arial"/>
                <w:szCs w:val="20"/>
              </w:rPr>
              <w:t>4</w:t>
            </w:r>
            <w:r w:rsidR="009731F0">
              <w:rPr>
                <w:rFonts w:cs="Arial"/>
                <w:szCs w:val="20"/>
              </w:rPr>
              <w:t>4</w:t>
            </w:r>
          </w:p>
        </w:tc>
        <w:tc>
          <w:tcPr>
            <w:tcW w:w="2552" w:type="dxa"/>
            <w:vAlign w:val="center"/>
          </w:tcPr>
          <w:p w14:paraId="433E64E0" w14:textId="1F3DF2E6" w:rsidR="003A53A0" w:rsidRPr="003A53A0" w:rsidRDefault="003A53A0" w:rsidP="003A53A0">
            <w:pPr>
              <w:pStyle w:val="TableText1"/>
              <w:rPr>
                <w:rFonts w:cs="Arial"/>
                <w:szCs w:val="20"/>
              </w:rPr>
            </w:pPr>
            <w:r w:rsidRPr="003A53A0">
              <w:rPr>
                <w:rFonts w:cs="Arial"/>
                <w:szCs w:val="20"/>
              </w:rPr>
              <w:t>UK Clinical Pharmacy Association (UKCPA) Haemostasis &amp; Thrombosis Committee</w:t>
            </w:r>
          </w:p>
        </w:tc>
        <w:tc>
          <w:tcPr>
            <w:tcW w:w="1417" w:type="dxa"/>
            <w:vAlign w:val="center"/>
          </w:tcPr>
          <w:p w14:paraId="4BB0AE81" w14:textId="269C1E53" w:rsidR="003A53A0" w:rsidRPr="003A53A0" w:rsidRDefault="003A53A0" w:rsidP="003A53A0">
            <w:pPr>
              <w:pStyle w:val="TableText1"/>
              <w:rPr>
                <w:rFonts w:cs="Arial"/>
                <w:bCs/>
                <w:szCs w:val="20"/>
              </w:rPr>
            </w:pPr>
            <w:r w:rsidRPr="003A53A0">
              <w:rPr>
                <w:rFonts w:cs="Arial"/>
                <w:bCs/>
                <w:iCs/>
                <w:szCs w:val="20"/>
              </w:rPr>
              <w:t>Statement 1</w:t>
            </w:r>
          </w:p>
        </w:tc>
        <w:tc>
          <w:tcPr>
            <w:tcW w:w="10632" w:type="dxa"/>
            <w:vAlign w:val="center"/>
          </w:tcPr>
          <w:p w14:paraId="54236F7E" w14:textId="4E44158B" w:rsidR="003A53A0" w:rsidRPr="003A53A0" w:rsidRDefault="003A53A0" w:rsidP="003A53A0">
            <w:pPr>
              <w:pStyle w:val="TableText1"/>
              <w:rPr>
                <w:rFonts w:cs="Arial"/>
                <w:szCs w:val="20"/>
              </w:rPr>
            </w:pPr>
            <w:r w:rsidRPr="003A53A0">
              <w:rPr>
                <w:rFonts w:cs="Arial"/>
                <w:szCs w:val="20"/>
              </w:rPr>
              <w:t>Include patient education on thromboprophylaxis – users unlikely to read page 7 section on ‘equality and diversity considerations’ that patients need to be given verbal and written information on possible side effects of VTE prophylaxis</w:t>
            </w:r>
          </w:p>
        </w:tc>
      </w:tr>
      <w:tr w:rsidR="009731F0" w:rsidRPr="003A53A0" w14:paraId="23FC0DEF" w14:textId="77777777" w:rsidTr="009731F0">
        <w:tc>
          <w:tcPr>
            <w:tcW w:w="675" w:type="dxa"/>
            <w:tcBorders>
              <w:top w:val="single" w:sz="4" w:space="0" w:color="auto"/>
              <w:left w:val="single" w:sz="4" w:space="0" w:color="auto"/>
              <w:bottom w:val="single" w:sz="4" w:space="0" w:color="auto"/>
              <w:right w:val="single" w:sz="4" w:space="0" w:color="auto"/>
            </w:tcBorders>
            <w:vAlign w:val="center"/>
          </w:tcPr>
          <w:p w14:paraId="42F7DB9E" w14:textId="57B2915F" w:rsidR="009731F0" w:rsidRPr="003A53A0" w:rsidRDefault="009731F0" w:rsidP="0049737E">
            <w:pPr>
              <w:pStyle w:val="TableText1"/>
              <w:rPr>
                <w:rFonts w:cs="Arial"/>
                <w:szCs w:val="20"/>
              </w:rPr>
            </w:pPr>
            <w:r>
              <w:rPr>
                <w:rFonts w:cs="Arial"/>
                <w:szCs w:val="20"/>
              </w:rPr>
              <w:t>45</w:t>
            </w:r>
          </w:p>
        </w:tc>
        <w:tc>
          <w:tcPr>
            <w:tcW w:w="2552" w:type="dxa"/>
            <w:tcBorders>
              <w:top w:val="single" w:sz="4" w:space="0" w:color="auto"/>
              <w:left w:val="single" w:sz="4" w:space="0" w:color="auto"/>
              <w:bottom w:val="single" w:sz="4" w:space="0" w:color="auto"/>
              <w:right w:val="single" w:sz="4" w:space="0" w:color="auto"/>
            </w:tcBorders>
            <w:vAlign w:val="center"/>
          </w:tcPr>
          <w:p w14:paraId="39B11AF5" w14:textId="77777777" w:rsidR="009731F0" w:rsidRPr="003A53A0" w:rsidRDefault="009731F0" w:rsidP="0049737E">
            <w:pPr>
              <w:pStyle w:val="TableText1"/>
              <w:rPr>
                <w:rFonts w:cs="Arial"/>
                <w:szCs w:val="20"/>
              </w:rPr>
            </w:pPr>
            <w:r w:rsidRPr="003A53A0">
              <w:rPr>
                <w:rFonts w:cs="Arial"/>
                <w:szCs w:val="20"/>
              </w:rPr>
              <w:t>University Hospitals Birmingham NHS Foundation Trust Haematology Service</w:t>
            </w:r>
          </w:p>
        </w:tc>
        <w:tc>
          <w:tcPr>
            <w:tcW w:w="1417" w:type="dxa"/>
            <w:tcBorders>
              <w:top w:val="single" w:sz="4" w:space="0" w:color="auto"/>
              <w:left w:val="single" w:sz="4" w:space="0" w:color="auto"/>
              <w:bottom w:val="single" w:sz="4" w:space="0" w:color="auto"/>
              <w:right w:val="single" w:sz="4" w:space="0" w:color="auto"/>
            </w:tcBorders>
            <w:vAlign w:val="center"/>
          </w:tcPr>
          <w:p w14:paraId="5A640BAF" w14:textId="77777777" w:rsidR="009731F0" w:rsidRPr="009731F0" w:rsidRDefault="009731F0" w:rsidP="0049737E">
            <w:pPr>
              <w:pStyle w:val="TableText1"/>
              <w:rPr>
                <w:rFonts w:cs="Arial"/>
                <w:bCs/>
                <w:iCs/>
                <w:szCs w:val="20"/>
              </w:rPr>
            </w:pPr>
            <w:r w:rsidRPr="009731F0">
              <w:rPr>
                <w:rFonts w:cs="Arial"/>
                <w:bCs/>
                <w:iCs/>
                <w:szCs w:val="20"/>
              </w:rPr>
              <w:t>Statement 1</w:t>
            </w:r>
          </w:p>
        </w:tc>
        <w:tc>
          <w:tcPr>
            <w:tcW w:w="10632" w:type="dxa"/>
            <w:tcBorders>
              <w:top w:val="single" w:sz="4" w:space="0" w:color="auto"/>
              <w:left w:val="single" w:sz="4" w:space="0" w:color="auto"/>
              <w:bottom w:val="single" w:sz="4" w:space="0" w:color="auto"/>
              <w:right w:val="single" w:sz="4" w:space="0" w:color="auto"/>
            </w:tcBorders>
            <w:vAlign w:val="center"/>
          </w:tcPr>
          <w:p w14:paraId="4B211AE1" w14:textId="77777777" w:rsidR="009731F0" w:rsidRPr="003A53A0" w:rsidRDefault="009731F0" w:rsidP="009731F0">
            <w:pPr>
              <w:pStyle w:val="TableText1"/>
              <w:rPr>
                <w:rFonts w:cs="Arial"/>
                <w:szCs w:val="20"/>
              </w:rPr>
            </w:pPr>
            <w:r w:rsidRPr="003A53A0">
              <w:rPr>
                <w:rFonts w:cs="Arial"/>
                <w:szCs w:val="20"/>
              </w:rPr>
              <w:t xml:space="preserve">What is the evidence for 14 hours improving outcomes? For many patients, this will mean adjusting the timing of the first dose and then having a shorter gap before the second dose. This could lead to mistakes, confusion and possible bleeding. </w:t>
            </w:r>
          </w:p>
          <w:p w14:paraId="50110F91" w14:textId="77777777" w:rsidR="009731F0" w:rsidRPr="003A53A0" w:rsidRDefault="009731F0" w:rsidP="009731F0">
            <w:pPr>
              <w:pStyle w:val="TableText1"/>
              <w:rPr>
                <w:rFonts w:cs="Arial"/>
                <w:szCs w:val="20"/>
              </w:rPr>
            </w:pPr>
            <w:r w:rsidRPr="003A53A0">
              <w:rPr>
                <w:rFonts w:cs="Arial"/>
                <w:szCs w:val="20"/>
              </w:rPr>
              <w:t>NICE would need to demonstrate that 14 hours is superior to 24 hours to justify this QS.</w:t>
            </w:r>
          </w:p>
          <w:p w14:paraId="398F01BF" w14:textId="77777777" w:rsidR="009731F0" w:rsidRPr="003A53A0" w:rsidRDefault="009731F0" w:rsidP="009731F0">
            <w:pPr>
              <w:pStyle w:val="TableText1"/>
              <w:rPr>
                <w:rFonts w:cs="Arial"/>
                <w:szCs w:val="20"/>
              </w:rPr>
            </w:pPr>
            <w:r w:rsidRPr="003A53A0">
              <w:rPr>
                <w:rFonts w:cs="Arial"/>
                <w:szCs w:val="20"/>
              </w:rPr>
              <w:t>NICE would also need to provide clear definition of ‘hospital admission’ to identify patient populations where this QS would be applicable.</w:t>
            </w:r>
          </w:p>
          <w:p w14:paraId="3E42CE95" w14:textId="77777777" w:rsidR="009731F0" w:rsidRPr="003A53A0" w:rsidRDefault="009731F0" w:rsidP="0049737E">
            <w:pPr>
              <w:pStyle w:val="TableText1"/>
              <w:rPr>
                <w:rFonts w:cs="Arial"/>
                <w:szCs w:val="20"/>
              </w:rPr>
            </w:pPr>
            <w:r w:rsidRPr="003A53A0">
              <w:rPr>
                <w:rFonts w:cs="Arial"/>
                <w:szCs w:val="20"/>
              </w:rPr>
              <w:t>If we are to adapt this standard, NICE would also need to provide definition of ‘hospital associated thrombosis’.</w:t>
            </w:r>
          </w:p>
        </w:tc>
      </w:tr>
      <w:tr w:rsidR="003A53A0" w:rsidRPr="003A53A0" w14:paraId="25968445" w14:textId="77777777" w:rsidTr="00F60DF7">
        <w:tc>
          <w:tcPr>
            <w:tcW w:w="675" w:type="dxa"/>
            <w:vAlign w:val="center"/>
          </w:tcPr>
          <w:p w14:paraId="34DF1275" w14:textId="63143690" w:rsidR="003A53A0" w:rsidRPr="003A53A0" w:rsidRDefault="00F60DF7" w:rsidP="00F60DF7">
            <w:pPr>
              <w:pStyle w:val="TableText1"/>
              <w:rPr>
                <w:rFonts w:cs="Arial"/>
                <w:szCs w:val="20"/>
              </w:rPr>
            </w:pPr>
            <w:r>
              <w:rPr>
                <w:rFonts w:cs="Arial"/>
                <w:szCs w:val="20"/>
              </w:rPr>
              <w:t>46</w:t>
            </w:r>
          </w:p>
        </w:tc>
        <w:tc>
          <w:tcPr>
            <w:tcW w:w="2552" w:type="dxa"/>
            <w:vAlign w:val="center"/>
          </w:tcPr>
          <w:p w14:paraId="6CD3F063" w14:textId="24FB4299" w:rsidR="003A53A0" w:rsidRPr="003A53A0" w:rsidRDefault="003A53A0" w:rsidP="003A53A0">
            <w:pPr>
              <w:pStyle w:val="TableText1"/>
              <w:rPr>
                <w:rFonts w:cs="Arial"/>
                <w:szCs w:val="20"/>
              </w:rPr>
            </w:pPr>
            <w:r w:rsidRPr="003A53A0">
              <w:rPr>
                <w:rFonts w:cs="Arial"/>
                <w:bCs/>
                <w:iCs/>
                <w:szCs w:val="20"/>
              </w:rPr>
              <w:t>VTE National Network for Nursing and Midwifery</w:t>
            </w:r>
          </w:p>
        </w:tc>
        <w:tc>
          <w:tcPr>
            <w:tcW w:w="1417" w:type="dxa"/>
            <w:vAlign w:val="center"/>
          </w:tcPr>
          <w:p w14:paraId="5636BDE6" w14:textId="77777777" w:rsidR="003A53A0" w:rsidRPr="003A53A0" w:rsidRDefault="003A53A0" w:rsidP="003A53A0">
            <w:pPr>
              <w:pStyle w:val="NICEnormal"/>
              <w:rPr>
                <w:rFonts w:cs="Arial"/>
                <w:bCs/>
                <w:sz w:val="20"/>
                <w:szCs w:val="20"/>
              </w:rPr>
            </w:pPr>
            <w:r w:rsidRPr="003A53A0">
              <w:rPr>
                <w:rFonts w:cs="Arial"/>
                <w:bCs/>
                <w:sz w:val="20"/>
                <w:szCs w:val="20"/>
              </w:rPr>
              <w:t>Statement 1</w:t>
            </w:r>
          </w:p>
          <w:p w14:paraId="19B9F6A9" w14:textId="77777777" w:rsidR="003A53A0" w:rsidRPr="003A53A0" w:rsidRDefault="003A53A0" w:rsidP="003A53A0">
            <w:pPr>
              <w:pStyle w:val="TableText1"/>
              <w:rPr>
                <w:rFonts w:cs="Arial"/>
                <w:bCs/>
                <w:szCs w:val="20"/>
              </w:rPr>
            </w:pPr>
          </w:p>
        </w:tc>
        <w:tc>
          <w:tcPr>
            <w:tcW w:w="10632" w:type="dxa"/>
            <w:vAlign w:val="center"/>
          </w:tcPr>
          <w:p w14:paraId="0E386C11" w14:textId="0D2003FD" w:rsidR="003A53A0" w:rsidRPr="003A53A0" w:rsidRDefault="003A53A0" w:rsidP="003A53A0">
            <w:pPr>
              <w:pStyle w:val="TableText1"/>
              <w:rPr>
                <w:rFonts w:cs="Arial"/>
                <w:szCs w:val="20"/>
              </w:rPr>
            </w:pPr>
            <w:r w:rsidRPr="003A53A0">
              <w:rPr>
                <w:rFonts w:cs="Arial"/>
                <w:szCs w:val="20"/>
              </w:rPr>
              <w:t xml:space="preserve">Statement 1 should include the need for thromboprophylaxis to be appropriate as incorrect dosing for weight or renal impairment remains the cause of potentially preventable HATs. This should include appropriate duration and avoidance of dose omissions as several centres have identified those factors as contributing to potentially preventable HATs. </w:t>
            </w:r>
          </w:p>
        </w:tc>
      </w:tr>
      <w:tr w:rsidR="003A53A0" w:rsidRPr="003A53A0" w14:paraId="24ED2C51" w14:textId="77777777" w:rsidTr="00F60DF7">
        <w:tc>
          <w:tcPr>
            <w:tcW w:w="675" w:type="dxa"/>
            <w:vAlign w:val="center"/>
          </w:tcPr>
          <w:p w14:paraId="1A5D1878" w14:textId="170BFEA8" w:rsidR="003A53A0" w:rsidRPr="003A53A0" w:rsidRDefault="00F60DF7" w:rsidP="00F60DF7">
            <w:pPr>
              <w:pStyle w:val="TableText1"/>
              <w:rPr>
                <w:rFonts w:cs="Arial"/>
                <w:szCs w:val="20"/>
              </w:rPr>
            </w:pPr>
            <w:r>
              <w:rPr>
                <w:rFonts w:cs="Arial"/>
                <w:szCs w:val="20"/>
              </w:rPr>
              <w:t>47</w:t>
            </w:r>
          </w:p>
        </w:tc>
        <w:tc>
          <w:tcPr>
            <w:tcW w:w="2552" w:type="dxa"/>
            <w:vAlign w:val="center"/>
          </w:tcPr>
          <w:p w14:paraId="00807F6D" w14:textId="2045B5D0" w:rsidR="003A53A0" w:rsidRPr="003A53A0" w:rsidRDefault="003A53A0" w:rsidP="003A53A0">
            <w:pPr>
              <w:pStyle w:val="TableText1"/>
              <w:rPr>
                <w:rFonts w:cs="Arial"/>
                <w:szCs w:val="20"/>
              </w:rPr>
            </w:pPr>
            <w:r w:rsidRPr="003A53A0">
              <w:rPr>
                <w:rFonts w:cs="Arial"/>
                <w:szCs w:val="20"/>
              </w:rPr>
              <w:t>All-Party Parliamentary Group on Vascular and Venous Disease</w:t>
            </w:r>
          </w:p>
        </w:tc>
        <w:tc>
          <w:tcPr>
            <w:tcW w:w="1417" w:type="dxa"/>
            <w:vAlign w:val="center"/>
          </w:tcPr>
          <w:p w14:paraId="5CA5252E" w14:textId="2D5CA92E" w:rsidR="003A53A0" w:rsidRPr="003A53A0" w:rsidRDefault="003A53A0" w:rsidP="003A53A0">
            <w:pPr>
              <w:pStyle w:val="TableText1"/>
              <w:rPr>
                <w:rFonts w:cs="Arial"/>
                <w:bCs/>
                <w:szCs w:val="20"/>
              </w:rPr>
            </w:pPr>
            <w:r w:rsidRPr="003A53A0">
              <w:rPr>
                <w:rFonts w:cs="Arial"/>
                <w:bCs/>
                <w:iCs/>
                <w:szCs w:val="20"/>
              </w:rPr>
              <w:t>Statement 2</w:t>
            </w:r>
          </w:p>
        </w:tc>
        <w:tc>
          <w:tcPr>
            <w:tcW w:w="10632" w:type="dxa"/>
            <w:vAlign w:val="center"/>
          </w:tcPr>
          <w:p w14:paraId="56D32187" w14:textId="77777777" w:rsidR="003A53A0" w:rsidRPr="003A53A0" w:rsidRDefault="003A53A0" w:rsidP="003A53A0">
            <w:pPr>
              <w:rPr>
                <w:rFonts w:ascii="Arial" w:hAnsi="Arial" w:cs="Arial"/>
                <w:sz w:val="20"/>
                <w:szCs w:val="20"/>
              </w:rPr>
            </w:pPr>
            <w:r w:rsidRPr="003A53A0">
              <w:rPr>
                <w:rFonts w:ascii="Arial" w:hAnsi="Arial" w:cs="Arial"/>
                <w:sz w:val="20"/>
                <w:szCs w:val="20"/>
              </w:rPr>
              <w:t>This draft quality standard does support a key area for quality improvement.</w:t>
            </w:r>
          </w:p>
          <w:p w14:paraId="7CBA0D62" w14:textId="77777777" w:rsidR="003A53A0" w:rsidRPr="003A53A0" w:rsidRDefault="003A53A0" w:rsidP="003A53A0">
            <w:pPr>
              <w:rPr>
                <w:rFonts w:ascii="Arial" w:hAnsi="Arial" w:cs="Arial"/>
                <w:sz w:val="20"/>
                <w:szCs w:val="20"/>
              </w:rPr>
            </w:pPr>
            <w:r w:rsidRPr="003A53A0">
              <w:rPr>
                <w:rFonts w:ascii="Arial" w:hAnsi="Arial" w:cs="Arial"/>
                <w:sz w:val="20"/>
                <w:szCs w:val="20"/>
              </w:rPr>
              <w:t xml:space="preserve">-This data could be collected locally by an audit process involving VTE prevention team and the local audit team. </w:t>
            </w:r>
            <w:bookmarkStart w:id="3" w:name="_Hlk60842868"/>
            <w:r w:rsidRPr="003A53A0">
              <w:rPr>
                <w:rFonts w:ascii="Arial" w:hAnsi="Arial" w:cs="Arial"/>
                <w:sz w:val="20"/>
                <w:szCs w:val="20"/>
              </w:rPr>
              <w:t xml:space="preserve">Data on staff training for compression hosiery should also be collected </w:t>
            </w:r>
            <w:bookmarkEnd w:id="3"/>
            <w:r w:rsidRPr="003A53A0">
              <w:rPr>
                <w:rFonts w:ascii="Arial" w:hAnsi="Arial" w:cs="Arial"/>
                <w:sz w:val="20"/>
                <w:szCs w:val="20"/>
              </w:rPr>
              <w:t>at the same time.</w:t>
            </w:r>
          </w:p>
          <w:p w14:paraId="08A06489" w14:textId="77777777" w:rsidR="003A53A0" w:rsidRPr="003A53A0" w:rsidRDefault="003A53A0" w:rsidP="003A53A0">
            <w:pPr>
              <w:rPr>
                <w:rFonts w:ascii="Arial" w:hAnsi="Arial" w:cs="Arial"/>
                <w:sz w:val="20"/>
                <w:szCs w:val="20"/>
              </w:rPr>
            </w:pPr>
            <w:r w:rsidRPr="003A53A0">
              <w:rPr>
                <w:rFonts w:ascii="Arial" w:hAnsi="Arial" w:cs="Arial"/>
                <w:sz w:val="20"/>
                <w:szCs w:val="20"/>
              </w:rPr>
              <w:t>-It would be important to ensure that service providers are advised to ensure that staff involved in applying stockings have been adequately trained to do so. Teaching could be delivered via an online e-learning module.</w:t>
            </w:r>
          </w:p>
          <w:p w14:paraId="0C3DA008" w14:textId="77777777" w:rsidR="003A53A0" w:rsidRPr="003A53A0" w:rsidRDefault="003A53A0" w:rsidP="003A53A0">
            <w:pPr>
              <w:rPr>
                <w:rFonts w:ascii="Arial" w:hAnsi="Arial" w:cs="Arial"/>
                <w:sz w:val="20"/>
                <w:szCs w:val="20"/>
              </w:rPr>
            </w:pPr>
          </w:p>
          <w:p w14:paraId="33311897" w14:textId="77777777" w:rsidR="003A53A0" w:rsidRPr="003A53A0" w:rsidRDefault="003A53A0" w:rsidP="003A53A0">
            <w:pPr>
              <w:rPr>
                <w:rFonts w:ascii="Arial" w:hAnsi="Arial" w:cs="Arial"/>
                <w:sz w:val="20"/>
                <w:szCs w:val="20"/>
              </w:rPr>
            </w:pPr>
            <w:r w:rsidRPr="003A53A0">
              <w:rPr>
                <w:rFonts w:ascii="Arial" w:hAnsi="Arial" w:cs="Arial"/>
                <w:sz w:val="20"/>
                <w:szCs w:val="20"/>
              </w:rPr>
              <w:t>-There are unlikely to be significant direct cost saving, however indirectly the use of compression stockings would contribute to a reduction in DVT incidence. This may yield a significant cost reduction.</w:t>
            </w:r>
          </w:p>
          <w:p w14:paraId="46903279" w14:textId="77777777" w:rsidR="003A53A0" w:rsidRPr="003A53A0" w:rsidRDefault="003A53A0" w:rsidP="003A53A0">
            <w:pPr>
              <w:pStyle w:val="TableText1"/>
              <w:rPr>
                <w:rFonts w:cs="Arial"/>
                <w:szCs w:val="20"/>
              </w:rPr>
            </w:pPr>
          </w:p>
        </w:tc>
      </w:tr>
      <w:tr w:rsidR="003A53A0" w:rsidRPr="003A53A0" w14:paraId="4C127FB9" w14:textId="77777777" w:rsidTr="00F60DF7">
        <w:tc>
          <w:tcPr>
            <w:tcW w:w="675" w:type="dxa"/>
            <w:vAlign w:val="center"/>
          </w:tcPr>
          <w:p w14:paraId="39C9E988" w14:textId="0E99DDCE" w:rsidR="003A53A0" w:rsidRPr="003A53A0" w:rsidRDefault="00F60DF7" w:rsidP="00F60DF7">
            <w:pPr>
              <w:pStyle w:val="TableText1"/>
              <w:rPr>
                <w:rFonts w:cs="Arial"/>
                <w:szCs w:val="20"/>
              </w:rPr>
            </w:pPr>
            <w:r>
              <w:rPr>
                <w:rFonts w:cs="Arial"/>
                <w:szCs w:val="20"/>
              </w:rPr>
              <w:t>48</w:t>
            </w:r>
          </w:p>
        </w:tc>
        <w:tc>
          <w:tcPr>
            <w:tcW w:w="2552" w:type="dxa"/>
            <w:vAlign w:val="center"/>
          </w:tcPr>
          <w:p w14:paraId="1210D289" w14:textId="7D892FD8" w:rsidR="003A53A0" w:rsidRPr="003A53A0" w:rsidRDefault="003A53A0" w:rsidP="003A53A0">
            <w:pPr>
              <w:pStyle w:val="TableText1"/>
              <w:rPr>
                <w:rFonts w:cs="Arial"/>
                <w:szCs w:val="20"/>
              </w:rPr>
            </w:pPr>
            <w:r w:rsidRPr="003A53A0">
              <w:rPr>
                <w:rFonts w:cs="Arial"/>
                <w:szCs w:val="20"/>
              </w:rPr>
              <w:t>Anticoagulation UK</w:t>
            </w:r>
          </w:p>
        </w:tc>
        <w:tc>
          <w:tcPr>
            <w:tcW w:w="1417" w:type="dxa"/>
            <w:vAlign w:val="center"/>
          </w:tcPr>
          <w:p w14:paraId="2A699A3A" w14:textId="12FD6D41" w:rsidR="003A53A0" w:rsidRPr="003A53A0" w:rsidRDefault="003A53A0" w:rsidP="003A53A0">
            <w:pPr>
              <w:pStyle w:val="TableText1"/>
              <w:rPr>
                <w:rFonts w:cs="Arial"/>
                <w:bCs/>
                <w:szCs w:val="20"/>
              </w:rPr>
            </w:pPr>
            <w:r w:rsidRPr="003A53A0">
              <w:rPr>
                <w:rFonts w:cs="Arial"/>
                <w:bCs/>
                <w:iCs/>
                <w:szCs w:val="20"/>
              </w:rPr>
              <w:t>Statement 2</w:t>
            </w:r>
          </w:p>
        </w:tc>
        <w:tc>
          <w:tcPr>
            <w:tcW w:w="10632" w:type="dxa"/>
            <w:vAlign w:val="center"/>
          </w:tcPr>
          <w:p w14:paraId="1F550CCA" w14:textId="77777777" w:rsidR="003A53A0" w:rsidRPr="003A53A0" w:rsidRDefault="003A53A0" w:rsidP="003A53A0">
            <w:pPr>
              <w:rPr>
                <w:rFonts w:ascii="Arial" w:hAnsi="Arial" w:cs="Arial"/>
                <w:sz w:val="20"/>
                <w:szCs w:val="20"/>
              </w:rPr>
            </w:pPr>
            <w:r w:rsidRPr="003A53A0">
              <w:rPr>
                <w:rFonts w:ascii="Arial" w:hAnsi="Arial" w:cs="Arial"/>
                <w:sz w:val="20"/>
                <w:szCs w:val="20"/>
              </w:rPr>
              <w:t xml:space="preserve">In 2020, there has been a recent study published on Graduated compression stockings as adjuvant to pharmaco-thromboprophylaxis in elective surgical patients (GAPS study): randomised controlled trial </w:t>
            </w:r>
            <w:hyperlink r:id="rId14" w:history="1">
              <w:r w:rsidRPr="003A53A0">
                <w:rPr>
                  <w:rStyle w:val="Hyperlink"/>
                  <w:rFonts w:ascii="Arial" w:hAnsi="Arial" w:cs="Arial"/>
                  <w:sz w:val="20"/>
                  <w:szCs w:val="20"/>
                </w:rPr>
                <w:t>https://www.bmj.com/content/369/bmj.m1309</w:t>
              </w:r>
            </w:hyperlink>
            <w:r w:rsidRPr="003A53A0">
              <w:rPr>
                <w:rFonts w:ascii="Arial" w:hAnsi="Arial" w:cs="Arial"/>
                <w:sz w:val="20"/>
                <w:szCs w:val="20"/>
              </w:rPr>
              <w:t xml:space="preserve">  The outcomes state ‘For patients who have elective surgery and are at moderate or high risk of venous thromboembolism, administration of pharmaco-thromboprophylaxis alone is non-</w:t>
            </w:r>
            <w:r w:rsidRPr="003A53A0">
              <w:rPr>
                <w:rFonts w:ascii="Arial" w:hAnsi="Arial" w:cs="Arial"/>
                <w:sz w:val="20"/>
                <w:szCs w:val="20"/>
              </w:rPr>
              <w:lastRenderedPageBreak/>
              <w:t xml:space="preserve">inferior to a combination of pharmaco-thromboprophylaxis and GCS. These findings indicate that GCS might be unnecessary in most patients undergoing elective surgery’  </w:t>
            </w:r>
          </w:p>
          <w:p w14:paraId="1CD86160" w14:textId="77777777" w:rsidR="003A53A0" w:rsidRPr="003A53A0" w:rsidRDefault="003A53A0" w:rsidP="003A53A0">
            <w:pPr>
              <w:rPr>
                <w:rFonts w:ascii="Arial" w:hAnsi="Arial" w:cs="Arial"/>
                <w:sz w:val="20"/>
                <w:szCs w:val="20"/>
              </w:rPr>
            </w:pPr>
            <w:r w:rsidRPr="003A53A0">
              <w:rPr>
                <w:rFonts w:ascii="Arial" w:hAnsi="Arial" w:cs="Arial"/>
                <w:sz w:val="20"/>
                <w:szCs w:val="20"/>
              </w:rPr>
              <w:t xml:space="preserve">How will these findings now impact on the use of GCS as mechanical prophylaxis for patients in secondary care who are eligible for pharmacological thromboprophylaxis? We suggest that this QS be reviewed in light of the above. </w:t>
            </w:r>
          </w:p>
          <w:p w14:paraId="304E6F59" w14:textId="77777777" w:rsidR="003A53A0" w:rsidRPr="003A53A0" w:rsidRDefault="003A53A0" w:rsidP="003A53A0">
            <w:pPr>
              <w:pStyle w:val="TableText1"/>
              <w:rPr>
                <w:rFonts w:cs="Arial"/>
                <w:szCs w:val="20"/>
              </w:rPr>
            </w:pPr>
          </w:p>
        </w:tc>
      </w:tr>
      <w:tr w:rsidR="003A53A0" w:rsidRPr="003A53A0" w14:paraId="22A218EF" w14:textId="77777777" w:rsidTr="00F60DF7">
        <w:tc>
          <w:tcPr>
            <w:tcW w:w="675" w:type="dxa"/>
            <w:vAlign w:val="center"/>
          </w:tcPr>
          <w:p w14:paraId="7CBAC69A" w14:textId="628509C3" w:rsidR="003A53A0" w:rsidRPr="003A53A0" w:rsidRDefault="00F60DF7" w:rsidP="00F60DF7">
            <w:pPr>
              <w:pStyle w:val="TableText1"/>
              <w:rPr>
                <w:rFonts w:cs="Arial"/>
                <w:szCs w:val="20"/>
              </w:rPr>
            </w:pPr>
            <w:r>
              <w:rPr>
                <w:rFonts w:cs="Arial"/>
                <w:szCs w:val="20"/>
              </w:rPr>
              <w:lastRenderedPageBreak/>
              <w:t>49</w:t>
            </w:r>
          </w:p>
        </w:tc>
        <w:tc>
          <w:tcPr>
            <w:tcW w:w="2552" w:type="dxa"/>
            <w:vAlign w:val="center"/>
          </w:tcPr>
          <w:p w14:paraId="2461FF74" w14:textId="341C57FF" w:rsidR="003A53A0" w:rsidRPr="003A53A0" w:rsidRDefault="003A53A0" w:rsidP="003A53A0">
            <w:pPr>
              <w:pStyle w:val="TableText1"/>
              <w:rPr>
                <w:rFonts w:cs="Arial"/>
                <w:szCs w:val="20"/>
              </w:rPr>
            </w:pPr>
            <w:r w:rsidRPr="003A53A0">
              <w:rPr>
                <w:rFonts w:cs="Arial"/>
                <w:szCs w:val="20"/>
              </w:rPr>
              <w:t>British Association of Day Surgery</w:t>
            </w:r>
          </w:p>
        </w:tc>
        <w:tc>
          <w:tcPr>
            <w:tcW w:w="1417" w:type="dxa"/>
            <w:vAlign w:val="center"/>
          </w:tcPr>
          <w:p w14:paraId="5E91C235" w14:textId="3E68AD59" w:rsidR="003A53A0" w:rsidRPr="003A53A0" w:rsidRDefault="003A53A0" w:rsidP="003A53A0">
            <w:pPr>
              <w:pStyle w:val="TableText1"/>
              <w:rPr>
                <w:rFonts w:cs="Arial"/>
                <w:bCs/>
                <w:szCs w:val="20"/>
              </w:rPr>
            </w:pPr>
            <w:r w:rsidRPr="003A53A0">
              <w:rPr>
                <w:rFonts w:cs="Arial"/>
                <w:bCs/>
                <w:iCs/>
                <w:szCs w:val="20"/>
              </w:rPr>
              <w:t>Statement 2</w:t>
            </w:r>
          </w:p>
        </w:tc>
        <w:tc>
          <w:tcPr>
            <w:tcW w:w="10632" w:type="dxa"/>
            <w:vAlign w:val="center"/>
          </w:tcPr>
          <w:p w14:paraId="50CF15C2" w14:textId="77777777" w:rsidR="003A53A0" w:rsidRPr="003A53A0" w:rsidRDefault="003A53A0" w:rsidP="003A53A0">
            <w:pPr>
              <w:rPr>
                <w:rFonts w:ascii="Arial" w:hAnsi="Arial" w:cs="Arial"/>
                <w:sz w:val="20"/>
                <w:szCs w:val="20"/>
                <w:lang w:eastAsia="en-GB"/>
              </w:rPr>
            </w:pPr>
            <w:r w:rsidRPr="003A53A0">
              <w:rPr>
                <w:rFonts w:ascii="Arial" w:hAnsi="Arial" w:cs="Arial"/>
                <w:sz w:val="20"/>
                <w:szCs w:val="20"/>
              </w:rPr>
              <w:t>I support statement 2</w:t>
            </w:r>
          </w:p>
          <w:p w14:paraId="18D44685" w14:textId="77777777" w:rsidR="003A53A0" w:rsidRPr="003A53A0" w:rsidRDefault="003A53A0" w:rsidP="003A53A0">
            <w:pPr>
              <w:pStyle w:val="TableText1"/>
              <w:rPr>
                <w:rFonts w:cs="Arial"/>
                <w:szCs w:val="20"/>
              </w:rPr>
            </w:pPr>
          </w:p>
        </w:tc>
      </w:tr>
      <w:tr w:rsidR="003A53A0" w:rsidRPr="003A53A0" w14:paraId="38B94A44" w14:textId="77777777" w:rsidTr="00F60DF7">
        <w:tc>
          <w:tcPr>
            <w:tcW w:w="675" w:type="dxa"/>
            <w:vAlign w:val="center"/>
          </w:tcPr>
          <w:p w14:paraId="3FA360A4" w14:textId="0114E14F" w:rsidR="003A53A0" w:rsidRPr="003A53A0" w:rsidRDefault="00F60DF7" w:rsidP="00F60DF7">
            <w:pPr>
              <w:pStyle w:val="TableText1"/>
              <w:rPr>
                <w:rFonts w:cs="Arial"/>
                <w:szCs w:val="20"/>
              </w:rPr>
            </w:pPr>
            <w:r>
              <w:rPr>
                <w:rFonts w:cs="Arial"/>
                <w:szCs w:val="20"/>
              </w:rPr>
              <w:t>50</w:t>
            </w:r>
          </w:p>
        </w:tc>
        <w:tc>
          <w:tcPr>
            <w:tcW w:w="2552" w:type="dxa"/>
            <w:vAlign w:val="center"/>
          </w:tcPr>
          <w:p w14:paraId="79BF48EB" w14:textId="338298EE" w:rsidR="003A53A0" w:rsidRPr="003A53A0" w:rsidRDefault="003A53A0" w:rsidP="003A53A0">
            <w:pPr>
              <w:pStyle w:val="TableText1"/>
              <w:rPr>
                <w:rFonts w:cs="Arial"/>
                <w:szCs w:val="20"/>
              </w:rPr>
            </w:pPr>
            <w:r w:rsidRPr="003A53A0">
              <w:rPr>
                <w:rFonts w:cs="Arial"/>
                <w:szCs w:val="20"/>
              </w:rPr>
              <w:t>British Geriatrics Society</w:t>
            </w:r>
          </w:p>
        </w:tc>
        <w:tc>
          <w:tcPr>
            <w:tcW w:w="1417" w:type="dxa"/>
            <w:vAlign w:val="center"/>
          </w:tcPr>
          <w:p w14:paraId="3A5D5B4E" w14:textId="3431BA0E" w:rsidR="003A53A0" w:rsidRPr="003A53A0" w:rsidRDefault="003A53A0" w:rsidP="003A53A0">
            <w:pPr>
              <w:pStyle w:val="TableText1"/>
              <w:rPr>
                <w:rFonts w:cs="Arial"/>
                <w:bCs/>
                <w:szCs w:val="20"/>
              </w:rPr>
            </w:pPr>
            <w:r w:rsidRPr="003A53A0">
              <w:rPr>
                <w:rFonts w:cs="Arial"/>
                <w:bCs/>
                <w:iCs/>
                <w:szCs w:val="20"/>
              </w:rPr>
              <w:t>Statement 2</w:t>
            </w:r>
          </w:p>
        </w:tc>
        <w:tc>
          <w:tcPr>
            <w:tcW w:w="10632" w:type="dxa"/>
            <w:vAlign w:val="center"/>
          </w:tcPr>
          <w:p w14:paraId="2A848399" w14:textId="72BB6B86" w:rsidR="003A53A0" w:rsidRPr="003A53A0" w:rsidRDefault="003A53A0" w:rsidP="003A53A0">
            <w:pPr>
              <w:pStyle w:val="TableText1"/>
              <w:rPr>
                <w:rFonts w:cs="Arial"/>
                <w:szCs w:val="20"/>
              </w:rPr>
            </w:pPr>
            <w:r w:rsidRPr="003A53A0">
              <w:rPr>
                <w:rFonts w:cs="Arial"/>
                <w:szCs w:val="20"/>
              </w:rPr>
              <w:t>This appears an appropriate standard to reduce the risk of inappropriate use of these stockings, which can result in skin damage particularly in older patients.</w:t>
            </w:r>
          </w:p>
        </w:tc>
      </w:tr>
      <w:tr w:rsidR="003A53A0" w:rsidRPr="003A53A0" w14:paraId="08436129" w14:textId="77777777" w:rsidTr="00F60DF7">
        <w:tc>
          <w:tcPr>
            <w:tcW w:w="675" w:type="dxa"/>
            <w:vAlign w:val="center"/>
          </w:tcPr>
          <w:p w14:paraId="3762E9B2" w14:textId="3AF56FC5" w:rsidR="003A53A0" w:rsidRPr="003A53A0" w:rsidRDefault="00F60DF7" w:rsidP="00F60DF7">
            <w:pPr>
              <w:pStyle w:val="TableText1"/>
              <w:rPr>
                <w:rFonts w:cs="Arial"/>
                <w:szCs w:val="20"/>
              </w:rPr>
            </w:pPr>
            <w:r>
              <w:rPr>
                <w:rFonts w:cs="Arial"/>
                <w:szCs w:val="20"/>
              </w:rPr>
              <w:t>51</w:t>
            </w:r>
          </w:p>
        </w:tc>
        <w:tc>
          <w:tcPr>
            <w:tcW w:w="2552" w:type="dxa"/>
            <w:vAlign w:val="center"/>
          </w:tcPr>
          <w:p w14:paraId="68AC2715" w14:textId="1B18D59D" w:rsidR="003A53A0" w:rsidRPr="003A53A0" w:rsidRDefault="003A53A0" w:rsidP="003A53A0">
            <w:pPr>
              <w:pStyle w:val="TableText1"/>
              <w:rPr>
                <w:rFonts w:cs="Arial"/>
                <w:szCs w:val="20"/>
              </w:rPr>
            </w:pPr>
            <w:r w:rsidRPr="003A53A0">
              <w:rPr>
                <w:rFonts w:cs="Arial"/>
                <w:szCs w:val="20"/>
              </w:rPr>
              <w:t>British Orthopaedic Association</w:t>
            </w:r>
          </w:p>
        </w:tc>
        <w:tc>
          <w:tcPr>
            <w:tcW w:w="1417" w:type="dxa"/>
            <w:vAlign w:val="center"/>
          </w:tcPr>
          <w:p w14:paraId="2F642D2B" w14:textId="22C7AB19" w:rsidR="003A53A0" w:rsidRPr="003A53A0" w:rsidRDefault="003A53A0" w:rsidP="003A53A0">
            <w:pPr>
              <w:pStyle w:val="TableText1"/>
              <w:rPr>
                <w:rFonts w:cs="Arial"/>
                <w:bCs/>
                <w:szCs w:val="20"/>
              </w:rPr>
            </w:pPr>
            <w:r w:rsidRPr="003A53A0">
              <w:rPr>
                <w:rFonts w:cs="Arial"/>
                <w:bCs/>
                <w:iCs/>
                <w:szCs w:val="20"/>
              </w:rPr>
              <w:t>Statement 2</w:t>
            </w:r>
          </w:p>
        </w:tc>
        <w:tc>
          <w:tcPr>
            <w:tcW w:w="10632" w:type="dxa"/>
            <w:vAlign w:val="center"/>
          </w:tcPr>
          <w:p w14:paraId="31258A9C" w14:textId="60FBA75C" w:rsidR="003A53A0" w:rsidRPr="003A53A0" w:rsidRDefault="003A53A0" w:rsidP="003A53A0">
            <w:pPr>
              <w:pStyle w:val="TableText1"/>
              <w:rPr>
                <w:rFonts w:cs="Arial"/>
                <w:szCs w:val="20"/>
              </w:rPr>
            </w:pPr>
            <w:r w:rsidRPr="003A53A0">
              <w:rPr>
                <w:rFonts w:cs="Arial"/>
                <w:szCs w:val="20"/>
              </w:rPr>
              <w:t>Statement 2 – no additional comments</w:t>
            </w:r>
          </w:p>
        </w:tc>
      </w:tr>
      <w:tr w:rsidR="003A53A0" w:rsidRPr="003A53A0" w14:paraId="2877027C" w14:textId="77777777" w:rsidTr="00F60DF7">
        <w:tc>
          <w:tcPr>
            <w:tcW w:w="675" w:type="dxa"/>
            <w:vAlign w:val="center"/>
          </w:tcPr>
          <w:p w14:paraId="1BF3173F" w14:textId="11ED453C" w:rsidR="003A53A0" w:rsidRPr="003A53A0" w:rsidRDefault="00F60DF7" w:rsidP="00F60DF7">
            <w:pPr>
              <w:pStyle w:val="TableText1"/>
              <w:rPr>
                <w:rFonts w:cs="Arial"/>
                <w:szCs w:val="20"/>
              </w:rPr>
            </w:pPr>
            <w:r>
              <w:rPr>
                <w:rFonts w:cs="Arial"/>
                <w:szCs w:val="20"/>
              </w:rPr>
              <w:t>52</w:t>
            </w:r>
          </w:p>
        </w:tc>
        <w:tc>
          <w:tcPr>
            <w:tcW w:w="2552" w:type="dxa"/>
            <w:vAlign w:val="center"/>
          </w:tcPr>
          <w:p w14:paraId="57CF8BF3" w14:textId="315066FD" w:rsidR="003A53A0" w:rsidRPr="003A53A0" w:rsidRDefault="003A53A0" w:rsidP="003A53A0">
            <w:pPr>
              <w:pStyle w:val="TableText1"/>
              <w:rPr>
                <w:rFonts w:cs="Arial"/>
                <w:szCs w:val="20"/>
              </w:rPr>
            </w:pPr>
            <w:r w:rsidRPr="003A53A0">
              <w:rPr>
                <w:rFonts w:cs="Arial"/>
                <w:szCs w:val="20"/>
              </w:rPr>
              <w:t>Chelsea and Westminster Hospital NHS Foundation Trust</w:t>
            </w:r>
          </w:p>
        </w:tc>
        <w:tc>
          <w:tcPr>
            <w:tcW w:w="1417" w:type="dxa"/>
            <w:vAlign w:val="center"/>
          </w:tcPr>
          <w:p w14:paraId="5038CEBB" w14:textId="748BC755" w:rsidR="003A53A0" w:rsidRPr="003A53A0" w:rsidRDefault="003A53A0" w:rsidP="003A53A0">
            <w:pPr>
              <w:pStyle w:val="TableText1"/>
              <w:rPr>
                <w:rFonts w:cs="Arial"/>
                <w:bCs/>
                <w:szCs w:val="20"/>
              </w:rPr>
            </w:pPr>
            <w:r w:rsidRPr="003A53A0">
              <w:rPr>
                <w:rFonts w:cs="Arial"/>
                <w:bCs/>
                <w:iCs/>
                <w:szCs w:val="20"/>
              </w:rPr>
              <w:t>Statement 2</w:t>
            </w:r>
          </w:p>
        </w:tc>
        <w:tc>
          <w:tcPr>
            <w:tcW w:w="10632" w:type="dxa"/>
            <w:vAlign w:val="center"/>
          </w:tcPr>
          <w:p w14:paraId="2E5FB387" w14:textId="316AF666" w:rsidR="003A53A0" w:rsidRPr="003A53A0" w:rsidRDefault="003A53A0" w:rsidP="003A53A0">
            <w:pPr>
              <w:pStyle w:val="TableText1"/>
              <w:rPr>
                <w:rFonts w:cs="Arial"/>
                <w:szCs w:val="20"/>
              </w:rPr>
            </w:pPr>
            <w:bookmarkStart w:id="4" w:name="_Hlk60843060"/>
            <w:r w:rsidRPr="003A53A0">
              <w:rPr>
                <w:rFonts w:cs="Arial"/>
                <w:szCs w:val="20"/>
              </w:rPr>
              <w:t>Include intermittent pneumatic compression device</w:t>
            </w:r>
            <w:bookmarkEnd w:id="4"/>
          </w:p>
        </w:tc>
      </w:tr>
      <w:tr w:rsidR="003A53A0" w:rsidRPr="003A53A0" w14:paraId="1ED8F7BB" w14:textId="77777777" w:rsidTr="00F60DF7">
        <w:tc>
          <w:tcPr>
            <w:tcW w:w="675" w:type="dxa"/>
            <w:vAlign w:val="center"/>
          </w:tcPr>
          <w:p w14:paraId="78A70A9D" w14:textId="64E24472" w:rsidR="003A53A0" w:rsidRPr="003A53A0" w:rsidRDefault="00F60DF7" w:rsidP="00F60DF7">
            <w:pPr>
              <w:pStyle w:val="TableText1"/>
              <w:rPr>
                <w:rFonts w:cs="Arial"/>
                <w:szCs w:val="20"/>
              </w:rPr>
            </w:pPr>
            <w:r>
              <w:rPr>
                <w:rFonts w:cs="Arial"/>
                <w:szCs w:val="20"/>
              </w:rPr>
              <w:t>53</w:t>
            </w:r>
          </w:p>
        </w:tc>
        <w:tc>
          <w:tcPr>
            <w:tcW w:w="2552" w:type="dxa"/>
            <w:vAlign w:val="center"/>
          </w:tcPr>
          <w:p w14:paraId="3B4F1263" w14:textId="6F7B7DE5" w:rsidR="003A53A0" w:rsidRPr="003A53A0" w:rsidRDefault="003A53A0" w:rsidP="003A53A0">
            <w:pPr>
              <w:pStyle w:val="TableText1"/>
              <w:rPr>
                <w:rFonts w:cs="Arial"/>
                <w:szCs w:val="20"/>
              </w:rPr>
            </w:pPr>
            <w:r w:rsidRPr="003A53A0">
              <w:rPr>
                <w:rFonts w:cs="Arial"/>
                <w:szCs w:val="20"/>
              </w:rPr>
              <w:t>Chelsea and Westminster Hospital NHS Foundation Trust</w:t>
            </w:r>
          </w:p>
        </w:tc>
        <w:tc>
          <w:tcPr>
            <w:tcW w:w="1417" w:type="dxa"/>
            <w:vAlign w:val="center"/>
          </w:tcPr>
          <w:p w14:paraId="6381226D" w14:textId="6F99A809" w:rsidR="003A53A0" w:rsidRPr="003A53A0" w:rsidRDefault="003A53A0" w:rsidP="003A53A0">
            <w:pPr>
              <w:pStyle w:val="TableText1"/>
              <w:rPr>
                <w:rFonts w:cs="Arial"/>
                <w:bCs/>
                <w:szCs w:val="20"/>
              </w:rPr>
            </w:pPr>
            <w:r w:rsidRPr="003A53A0">
              <w:rPr>
                <w:rFonts w:cs="Arial"/>
                <w:bCs/>
                <w:iCs/>
                <w:szCs w:val="20"/>
              </w:rPr>
              <w:t>Statement 2</w:t>
            </w:r>
          </w:p>
        </w:tc>
        <w:tc>
          <w:tcPr>
            <w:tcW w:w="10632" w:type="dxa"/>
            <w:vAlign w:val="center"/>
          </w:tcPr>
          <w:p w14:paraId="74D04632" w14:textId="787FCD63" w:rsidR="003A53A0" w:rsidRPr="003A53A0" w:rsidRDefault="003A53A0" w:rsidP="003A53A0">
            <w:pPr>
              <w:rPr>
                <w:rFonts w:ascii="Arial" w:hAnsi="Arial" w:cs="Arial"/>
                <w:sz w:val="20"/>
                <w:szCs w:val="20"/>
              </w:rPr>
            </w:pPr>
            <w:r w:rsidRPr="003A53A0">
              <w:rPr>
                <w:rFonts w:ascii="Arial" w:hAnsi="Arial" w:cs="Arial"/>
                <w:sz w:val="20"/>
                <w:szCs w:val="20"/>
              </w:rPr>
              <w:t>Challenging to measure and collect data on people shown how to use anti-embolism stockings correctly as part of administration processes</w:t>
            </w:r>
            <w:r w:rsidR="009731F0">
              <w:rPr>
                <w:rFonts w:ascii="Arial" w:hAnsi="Arial" w:cs="Arial"/>
                <w:sz w:val="20"/>
                <w:szCs w:val="20"/>
              </w:rPr>
              <w:t>.</w:t>
            </w:r>
          </w:p>
          <w:p w14:paraId="6C128DDB" w14:textId="77777777" w:rsidR="003A53A0" w:rsidRPr="003A53A0" w:rsidRDefault="003A53A0" w:rsidP="003A53A0">
            <w:pPr>
              <w:pStyle w:val="TableText1"/>
              <w:rPr>
                <w:rFonts w:cs="Arial"/>
                <w:szCs w:val="20"/>
              </w:rPr>
            </w:pPr>
          </w:p>
        </w:tc>
      </w:tr>
      <w:tr w:rsidR="003A53A0" w:rsidRPr="003A53A0" w14:paraId="54E694AA" w14:textId="77777777" w:rsidTr="00F60DF7">
        <w:tc>
          <w:tcPr>
            <w:tcW w:w="675" w:type="dxa"/>
            <w:vAlign w:val="center"/>
          </w:tcPr>
          <w:p w14:paraId="04A48D70" w14:textId="64FDFE44" w:rsidR="003A53A0" w:rsidRPr="003A53A0" w:rsidRDefault="00F60DF7" w:rsidP="00F60DF7">
            <w:pPr>
              <w:pStyle w:val="TableText1"/>
              <w:rPr>
                <w:rFonts w:cs="Arial"/>
                <w:szCs w:val="20"/>
              </w:rPr>
            </w:pPr>
            <w:r>
              <w:rPr>
                <w:rFonts w:cs="Arial"/>
                <w:szCs w:val="20"/>
              </w:rPr>
              <w:t>54</w:t>
            </w:r>
          </w:p>
        </w:tc>
        <w:tc>
          <w:tcPr>
            <w:tcW w:w="2552" w:type="dxa"/>
            <w:vAlign w:val="center"/>
          </w:tcPr>
          <w:p w14:paraId="37D2C69F" w14:textId="7521DFC7" w:rsidR="003A53A0" w:rsidRPr="003A53A0" w:rsidRDefault="003A53A0" w:rsidP="003A53A0">
            <w:pPr>
              <w:pStyle w:val="TableText1"/>
              <w:rPr>
                <w:rFonts w:cs="Arial"/>
                <w:szCs w:val="20"/>
              </w:rPr>
            </w:pPr>
            <w:r w:rsidRPr="003A53A0">
              <w:rPr>
                <w:rFonts w:cs="Arial"/>
                <w:szCs w:val="20"/>
              </w:rPr>
              <w:t>Chelsea and Westminster Hospital NHS Foundation Trust</w:t>
            </w:r>
          </w:p>
        </w:tc>
        <w:tc>
          <w:tcPr>
            <w:tcW w:w="1417" w:type="dxa"/>
            <w:vAlign w:val="center"/>
          </w:tcPr>
          <w:p w14:paraId="2C1A9FCC" w14:textId="2F92B9A0" w:rsidR="003A53A0" w:rsidRPr="003A53A0" w:rsidRDefault="003A53A0" w:rsidP="003A53A0">
            <w:pPr>
              <w:pStyle w:val="TableText1"/>
              <w:rPr>
                <w:rFonts w:cs="Arial"/>
                <w:bCs/>
                <w:szCs w:val="20"/>
              </w:rPr>
            </w:pPr>
            <w:r w:rsidRPr="003A53A0">
              <w:rPr>
                <w:rFonts w:cs="Arial"/>
                <w:bCs/>
                <w:iCs/>
                <w:szCs w:val="20"/>
              </w:rPr>
              <w:t>Statement 2</w:t>
            </w:r>
          </w:p>
        </w:tc>
        <w:tc>
          <w:tcPr>
            <w:tcW w:w="10632" w:type="dxa"/>
            <w:vAlign w:val="center"/>
          </w:tcPr>
          <w:p w14:paraId="14712D61" w14:textId="2AE7EAFF" w:rsidR="003A53A0" w:rsidRPr="003A53A0" w:rsidRDefault="003A53A0" w:rsidP="003A53A0">
            <w:pPr>
              <w:pStyle w:val="TableText1"/>
              <w:rPr>
                <w:rFonts w:cs="Arial"/>
                <w:szCs w:val="20"/>
              </w:rPr>
            </w:pPr>
            <w:r w:rsidRPr="003A53A0">
              <w:rPr>
                <w:rFonts w:cs="Arial"/>
                <w:szCs w:val="20"/>
              </w:rPr>
              <w:t>Including a quality standard with VTE risk assessment and following assessment if mechanical thromboprophylaxis is clinically indicated with no contraindications present before offered would be have more clinical impact on VTE prevention measures</w:t>
            </w:r>
          </w:p>
        </w:tc>
      </w:tr>
      <w:tr w:rsidR="003A53A0" w:rsidRPr="003A53A0" w14:paraId="10970A8D" w14:textId="77777777" w:rsidTr="00F60DF7">
        <w:tc>
          <w:tcPr>
            <w:tcW w:w="675" w:type="dxa"/>
            <w:vAlign w:val="center"/>
          </w:tcPr>
          <w:p w14:paraId="2CE220F7" w14:textId="31D1A071" w:rsidR="003A53A0" w:rsidRPr="003A53A0" w:rsidRDefault="00F60DF7" w:rsidP="00F60DF7">
            <w:pPr>
              <w:pStyle w:val="TableText1"/>
              <w:rPr>
                <w:rFonts w:cs="Arial"/>
                <w:szCs w:val="20"/>
              </w:rPr>
            </w:pPr>
            <w:r>
              <w:rPr>
                <w:rFonts w:cs="Arial"/>
                <w:szCs w:val="20"/>
              </w:rPr>
              <w:t>55</w:t>
            </w:r>
          </w:p>
        </w:tc>
        <w:tc>
          <w:tcPr>
            <w:tcW w:w="2552" w:type="dxa"/>
            <w:vAlign w:val="center"/>
          </w:tcPr>
          <w:p w14:paraId="7A176A16" w14:textId="1E2EF123" w:rsidR="003A53A0" w:rsidRPr="003A53A0" w:rsidRDefault="003A53A0" w:rsidP="003A53A0">
            <w:pPr>
              <w:pStyle w:val="TableText1"/>
              <w:rPr>
                <w:rFonts w:cs="Arial"/>
                <w:szCs w:val="20"/>
              </w:rPr>
            </w:pPr>
            <w:r w:rsidRPr="003A53A0">
              <w:rPr>
                <w:rFonts w:cs="Arial"/>
                <w:szCs w:val="20"/>
              </w:rPr>
              <w:t>Chelsea and Westminster Hospital NHS Foundation Trust</w:t>
            </w:r>
          </w:p>
        </w:tc>
        <w:tc>
          <w:tcPr>
            <w:tcW w:w="1417" w:type="dxa"/>
            <w:vAlign w:val="center"/>
          </w:tcPr>
          <w:p w14:paraId="6F4DBD55" w14:textId="09E57D8C" w:rsidR="003A53A0" w:rsidRPr="003A53A0" w:rsidRDefault="003A53A0" w:rsidP="003A53A0">
            <w:pPr>
              <w:pStyle w:val="TableText1"/>
              <w:rPr>
                <w:rFonts w:cs="Arial"/>
                <w:bCs/>
                <w:szCs w:val="20"/>
              </w:rPr>
            </w:pPr>
            <w:r w:rsidRPr="003A53A0">
              <w:rPr>
                <w:rFonts w:cs="Arial"/>
                <w:bCs/>
                <w:iCs/>
                <w:szCs w:val="20"/>
              </w:rPr>
              <w:t>Statement 2 (definitions)</w:t>
            </w:r>
          </w:p>
        </w:tc>
        <w:tc>
          <w:tcPr>
            <w:tcW w:w="10632" w:type="dxa"/>
            <w:vAlign w:val="center"/>
          </w:tcPr>
          <w:p w14:paraId="440E0F51" w14:textId="77777777" w:rsidR="003A53A0" w:rsidRPr="003A53A0" w:rsidRDefault="003A53A0" w:rsidP="003A53A0">
            <w:pPr>
              <w:rPr>
                <w:rFonts w:ascii="Arial" w:hAnsi="Arial" w:cs="Arial"/>
                <w:sz w:val="20"/>
                <w:szCs w:val="20"/>
              </w:rPr>
            </w:pPr>
            <w:r w:rsidRPr="003A53A0">
              <w:rPr>
                <w:rFonts w:ascii="Arial" w:hAnsi="Arial" w:cs="Arial"/>
                <w:sz w:val="20"/>
                <w:szCs w:val="20"/>
              </w:rPr>
              <w:t>Include pregnancy/postpartum patients as per RCOG guidance</w:t>
            </w:r>
          </w:p>
          <w:p w14:paraId="6A6E7DC0" w14:textId="77777777" w:rsidR="003A53A0" w:rsidRPr="003A53A0" w:rsidRDefault="003A53A0" w:rsidP="003A53A0">
            <w:pPr>
              <w:rPr>
                <w:rFonts w:ascii="Arial" w:hAnsi="Arial" w:cs="Arial"/>
                <w:sz w:val="20"/>
                <w:szCs w:val="20"/>
              </w:rPr>
            </w:pPr>
            <w:r w:rsidRPr="003A53A0">
              <w:rPr>
                <w:rFonts w:ascii="Arial" w:hAnsi="Arial" w:cs="Arial"/>
                <w:sz w:val="20"/>
                <w:szCs w:val="20"/>
              </w:rPr>
              <w:t>As quality standards are based on NICE NG89 – 1.3 recommends all patients for mechanical prophylaxis</w:t>
            </w:r>
          </w:p>
          <w:p w14:paraId="14656316" w14:textId="2BDB1B19" w:rsidR="003A53A0" w:rsidRPr="003A53A0" w:rsidRDefault="003A53A0" w:rsidP="003A53A0">
            <w:pPr>
              <w:pStyle w:val="TableText1"/>
              <w:rPr>
                <w:rFonts w:cs="Arial"/>
                <w:szCs w:val="20"/>
              </w:rPr>
            </w:pPr>
            <w:r w:rsidRPr="003A53A0">
              <w:rPr>
                <w:rFonts w:cs="Arial"/>
                <w:szCs w:val="20"/>
              </w:rPr>
              <w:t>NICE NG89 recommendations include use of ‘mechanical VTE prophylaxis’ but not included on page 10 e.g. 1.8, 1.11.4, 1.11.5, 1.11.7, 1.11.8, 1.11.10, 1.13.1, 1.14.12, 1.14.14, 1.15.4, 1.15.6, 1.16.6,</w:t>
            </w:r>
          </w:p>
        </w:tc>
      </w:tr>
      <w:tr w:rsidR="003A53A0" w:rsidRPr="003A53A0" w14:paraId="0442D3CB" w14:textId="77777777" w:rsidTr="00F60DF7">
        <w:tc>
          <w:tcPr>
            <w:tcW w:w="675" w:type="dxa"/>
            <w:vAlign w:val="center"/>
          </w:tcPr>
          <w:p w14:paraId="15832E29" w14:textId="2116C820" w:rsidR="003A53A0" w:rsidRPr="003A53A0" w:rsidRDefault="00F60DF7" w:rsidP="00F60DF7">
            <w:pPr>
              <w:pStyle w:val="TableText1"/>
              <w:rPr>
                <w:rFonts w:cs="Arial"/>
                <w:szCs w:val="20"/>
              </w:rPr>
            </w:pPr>
            <w:r>
              <w:rPr>
                <w:rFonts w:cs="Arial"/>
                <w:szCs w:val="20"/>
              </w:rPr>
              <w:t>56</w:t>
            </w:r>
          </w:p>
        </w:tc>
        <w:tc>
          <w:tcPr>
            <w:tcW w:w="2552" w:type="dxa"/>
            <w:vAlign w:val="center"/>
          </w:tcPr>
          <w:p w14:paraId="648E975C" w14:textId="0FAB5A96" w:rsidR="003A53A0" w:rsidRPr="003A53A0" w:rsidRDefault="003A53A0" w:rsidP="003A53A0">
            <w:pPr>
              <w:pStyle w:val="TableText1"/>
              <w:rPr>
                <w:rFonts w:cs="Arial"/>
                <w:szCs w:val="20"/>
              </w:rPr>
            </w:pPr>
            <w:r w:rsidRPr="003A53A0">
              <w:rPr>
                <w:rFonts w:cs="Arial"/>
                <w:szCs w:val="20"/>
              </w:rPr>
              <w:t>Chelsea and Westminster Hospital NHS Foundation Trust</w:t>
            </w:r>
          </w:p>
        </w:tc>
        <w:tc>
          <w:tcPr>
            <w:tcW w:w="1417" w:type="dxa"/>
            <w:vAlign w:val="center"/>
          </w:tcPr>
          <w:p w14:paraId="4D5194AA" w14:textId="3BBEF16D" w:rsidR="003A53A0" w:rsidRPr="003A53A0" w:rsidRDefault="003A53A0" w:rsidP="003A53A0">
            <w:pPr>
              <w:pStyle w:val="TableText1"/>
              <w:rPr>
                <w:rFonts w:cs="Arial"/>
                <w:bCs/>
                <w:szCs w:val="20"/>
              </w:rPr>
            </w:pPr>
            <w:r w:rsidRPr="003A53A0">
              <w:rPr>
                <w:rFonts w:cs="Arial"/>
                <w:bCs/>
                <w:iCs/>
                <w:szCs w:val="20"/>
              </w:rPr>
              <w:t>Statement 2 (definitions)</w:t>
            </w:r>
          </w:p>
        </w:tc>
        <w:tc>
          <w:tcPr>
            <w:tcW w:w="10632" w:type="dxa"/>
            <w:vAlign w:val="center"/>
          </w:tcPr>
          <w:p w14:paraId="4DC11B58" w14:textId="2740C0A2" w:rsidR="003A53A0" w:rsidRPr="003A53A0" w:rsidRDefault="003A53A0" w:rsidP="003A53A0">
            <w:pPr>
              <w:pStyle w:val="TableText1"/>
              <w:rPr>
                <w:rFonts w:cs="Arial"/>
                <w:szCs w:val="20"/>
              </w:rPr>
            </w:pPr>
            <w:r w:rsidRPr="003A53A0">
              <w:rPr>
                <w:rFonts w:cs="Arial"/>
                <w:szCs w:val="20"/>
              </w:rPr>
              <w:t>‘People should be encouraged to wear their anti</w:t>
            </w:r>
            <w:r w:rsidRPr="003A53A0">
              <w:rPr>
                <w:rFonts w:cs="Arial"/>
                <w:szCs w:val="20"/>
              </w:rPr>
              <w:noBreakHyphen/>
              <w:t>embolism stockings day and night until they no longer have significantly reduced mobility’ – patient skin condition should be inspected so anti-embolism stockings removed for at least 30 minutes in a  24 hour period; and not continuous wear.</w:t>
            </w:r>
          </w:p>
        </w:tc>
      </w:tr>
      <w:tr w:rsidR="003A53A0" w:rsidRPr="003A53A0" w14:paraId="5F680DC7" w14:textId="77777777" w:rsidTr="00F60DF7">
        <w:tc>
          <w:tcPr>
            <w:tcW w:w="675" w:type="dxa"/>
            <w:vAlign w:val="center"/>
          </w:tcPr>
          <w:p w14:paraId="12C3B78A" w14:textId="0DCB2261" w:rsidR="003A53A0" w:rsidRPr="003A53A0" w:rsidRDefault="00F60DF7" w:rsidP="00F60DF7">
            <w:pPr>
              <w:pStyle w:val="TableText1"/>
              <w:rPr>
                <w:rFonts w:cs="Arial"/>
                <w:szCs w:val="20"/>
              </w:rPr>
            </w:pPr>
            <w:r>
              <w:rPr>
                <w:rFonts w:cs="Arial"/>
                <w:szCs w:val="20"/>
              </w:rPr>
              <w:t>57</w:t>
            </w:r>
          </w:p>
        </w:tc>
        <w:tc>
          <w:tcPr>
            <w:tcW w:w="2552" w:type="dxa"/>
            <w:vAlign w:val="center"/>
          </w:tcPr>
          <w:p w14:paraId="7964E3B9" w14:textId="7A2ADF1D" w:rsidR="003A53A0" w:rsidRPr="003A53A0" w:rsidRDefault="003A53A0" w:rsidP="003A53A0">
            <w:pPr>
              <w:pStyle w:val="TableText1"/>
              <w:rPr>
                <w:rFonts w:cs="Arial"/>
                <w:szCs w:val="20"/>
              </w:rPr>
            </w:pPr>
            <w:r w:rsidRPr="003A53A0">
              <w:rPr>
                <w:rFonts w:cs="Arial"/>
                <w:szCs w:val="20"/>
              </w:rPr>
              <w:t>Clinical Leaders of Thrombosis</w:t>
            </w:r>
          </w:p>
        </w:tc>
        <w:tc>
          <w:tcPr>
            <w:tcW w:w="1417" w:type="dxa"/>
            <w:vAlign w:val="center"/>
          </w:tcPr>
          <w:p w14:paraId="2E81320F" w14:textId="59BE5AB0" w:rsidR="003A53A0" w:rsidRPr="003A53A0" w:rsidRDefault="003A53A0" w:rsidP="003A53A0">
            <w:pPr>
              <w:pStyle w:val="TableText1"/>
              <w:rPr>
                <w:rFonts w:cs="Arial"/>
                <w:bCs/>
                <w:szCs w:val="20"/>
              </w:rPr>
            </w:pPr>
            <w:r w:rsidRPr="003A53A0">
              <w:rPr>
                <w:rFonts w:cs="Arial"/>
                <w:bCs/>
                <w:iCs/>
                <w:szCs w:val="20"/>
              </w:rPr>
              <w:t>Statement 2</w:t>
            </w:r>
          </w:p>
        </w:tc>
        <w:tc>
          <w:tcPr>
            <w:tcW w:w="10632" w:type="dxa"/>
            <w:vAlign w:val="center"/>
          </w:tcPr>
          <w:p w14:paraId="2D6A3B0C" w14:textId="76A9F537" w:rsidR="003A53A0" w:rsidRPr="003A53A0" w:rsidRDefault="003A53A0" w:rsidP="003A53A0">
            <w:pPr>
              <w:pStyle w:val="TableText1"/>
              <w:rPr>
                <w:rFonts w:cs="Arial"/>
                <w:szCs w:val="20"/>
              </w:rPr>
            </w:pPr>
            <w:r w:rsidRPr="003A53A0">
              <w:rPr>
                <w:rFonts w:cs="Arial"/>
                <w:szCs w:val="20"/>
              </w:rPr>
              <w:t xml:space="preserve">Use of AES following publication of GAPS trial showing in certain </w:t>
            </w:r>
            <w:bookmarkStart w:id="5" w:name="_Hlk60843598"/>
            <w:r w:rsidRPr="003A53A0">
              <w:rPr>
                <w:rFonts w:cs="Arial"/>
                <w:szCs w:val="20"/>
              </w:rPr>
              <w:t>population low molecular weight heparin (LMWH) alone was non inferior to LMWH plus AES</w:t>
            </w:r>
            <w:bookmarkEnd w:id="5"/>
            <w:r w:rsidRPr="003A53A0">
              <w:rPr>
                <w:rFonts w:cs="Arial"/>
                <w:szCs w:val="20"/>
              </w:rPr>
              <w:t xml:space="preserve"> we would expect to see a reduction in the use of AES. Would question whether their use is common practice but acknowledge if used then need to be fitted and cared for properly</w:t>
            </w:r>
          </w:p>
        </w:tc>
      </w:tr>
      <w:tr w:rsidR="003A53A0" w:rsidRPr="003A53A0" w14:paraId="7C67297A" w14:textId="77777777" w:rsidTr="00F60DF7">
        <w:tc>
          <w:tcPr>
            <w:tcW w:w="675" w:type="dxa"/>
            <w:vAlign w:val="center"/>
          </w:tcPr>
          <w:p w14:paraId="35E58401" w14:textId="2AB7C5B5" w:rsidR="003A53A0" w:rsidRPr="003A53A0" w:rsidRDefault="00F60DF7" w:rsidP="00F60DF7">
            <w:pPr>
              <w:pStyle w:val="TableText1"/>
              <w:rPr>
                <w:rFonts w:cs="Arial"/>
                <w:szCs w:val="20"/>
              </w:rPr>
            </w:pPr>
            <w:r>
              <w:rPr>
                <w:rFonts w:cs="Arial"/>
                <w:szCs w:val="20"/>
              </w:rPr>
              <w:t>58</w:t>
            </w:r>
          </w:p>
        </w:tc>
        <w:tc>
          <w:tcPr>
            <w:tcW w:w="2552" w:type="dxa"/>
            <w:vAlign w:val="center"/>
          </w:tcPr>
          <w:p w14:paraId="4105E5BE" w14:textId="713132AB" w:rsidR="003A53A0" w:rsidRPr="003A53A0" w:rsidRDefault="003A53A0" w:rsidP="003A53A0">
            <w:pPr>
              <w:pStyle w:val="TableText1"/>
              <w:rPr>
                <w:rFonts w:cs="Arial"/>
                <w:szCs w:val="20"/>
              </w:rPr>
            </w:pPr>
            <w:r w:rsidRPr="003A53A0">
              <w:rPr>
                <w:rFonts w:cs="Arial"/>
                <w:szCs w:val="20"/>
              </w:rPr>
              <w:t>King’s College Hospital NHS Foundation Trust</w:t>
            </w:r>
          </w:p>
        </w:tc>
        <w:tc>
          <w:tcPr>
            <w:tcW w:w="1417" w:type="dxa"/>
            <w:vAlign w:val="center"/>
          </w:tcPr>
          <w:p w14:paraId="1A4B7986" w14:textId="0771B559" w:rsidR="003A53A0" w:rsidRPr="003A53A0" w:rsidRDefault="003A53A0" w:rsidP="003A53A0">
            <w:pPr>
              <w:pStyle w:val="TableText1"/>
              <w:rPr>
                <w:rFonts w:cs="Arial"/>
                <w:bCs/>
                <w:szCs w:val="20"/>
              </w:rPr>
            </w:pPr>
            <w:r w:rsidRPr="003A53A0">
              <w:rPr>
                <w:rFonts w:cs="Arial"/>
                <w:bCs/>
                <w:iCs/>
                <w:szCs w:val="20"/>
              </w:rPr>
              <w:t>Statement 2</w:t>
            </w:r>
          </w:p>
        </w:tc>
        <w:tc>
          <w:tcPr>
            <w:tcW w:w="10632" w:type="dxa"/>
            <w:vAlign w:val="center"/>
          </w:tcPr>
          <w:p w14:paraId="5C81D8CD" w14:textId="3046C81D" w:rsidR="003A53A0" w:rsidRPr="003A53A0" w:rsidRDefault="003A53A0" w:rsidP="003A53A0">
            <w:pPr>
              <w:pStyle w:val="TableText1"/>
              <w:rPr>
                <w:rFonts w:cs="Arial"/>
                <w:szCs w:val="20"/>
              </w:rPr>
            </w:pPr>
            <w:r w:rsidRPr="003A53A0">
              <w:rPr>
                <w:rFonts w:cs="Arial"/>
                <w:szCs w:val="20"/>
              </w:rPr>
              <w:t>given the uncertain role of AES in preventing VTE as highlighted by the GAPP study; this is an area of lesser importance which could be removed.</w:t>
            </w:r>
          </w:p>
        </w:tc>
      </w:tr>
      <w:tr w:rsidR="003A53A0" w:rsidRPr="003A53A0" w14:paraId="686A1B3F" w14:textId="77777777" w:rsidTr="00F60DF7">
        <w:tc>
          <w:tcPr>
            <w:tcW w:w="675" w:type="dxa"/>
            <w:vAlign w:val="center"/>
          </w:tcPr>
          <w:p w14:paraId="66DE7766" w14:textId="16EFB6B3" w:rsidR="003A53A0" w:rsidRPr="003A53A0" w:rsidRDefault="00F60DF7" w:rsidP="00F60DF7">
            <w:pPr>
              <w:pStyle w:val="TableText1"/>
              <w:rPr>
                <w:rFonts w:cs="Arial"/>
                <w:szCs w:val="20"/>
              </w:rPr>
            </w:pPr>
            <w:r>
              <w:rPr>
                <w:rFonts w:cs="Arial"/>
                <w:szCs w:val="20"/>
              </w:rPr>
              <w:t>59</w:t>
            </w:r>
          </w:p>
        </w:tc>
        <w:tc>
          <w:tcPr>
            <w:tcW w:w="2552" w:type="dxa"/>
            <w:vAlign w:val="center"/>
          </w:tcPr>
          <w:p w14:paraId="7F977651" w14:textId="2677BD87" w:rsidR="003A53A0" w:rsidRPr="003A53A0" w:rsidRDefault="003A53A0" w:rsidP="003A53A0">
            <w:pPr>
              <w:pStyle w:val="TableText1"/>
              <w:rPr>
                <w:rFonts w:cs="Arial"/>
                <w:szCs w:val="20"/>
              </w:rPr>
            </w:pPr>
            <w:r w:rsidRPr="003A53A0">
              <w:rPr>
                <w:rFonts w:cs="Arial"/>
                <w:szCs w:val="20"/>
              </w:rPr>
              <w:t>LEO Pharma</w:t>
            </w:r>
          </w:p>
        </w:tc>
        <w:tc>
          <w:tcPr>
            <w:tcW w:w="1417" w:type="dxa"/>
            <w:vAlign w:val="center"/>
          </w:tcPr>
          <w:p w14:paraId="70A301B3" w14:textId="5AAEB856" w:rsidR="003A53A0" w:rsidRPr="003A53A0" w:rsidRDefault="003A53A0" w:rsidP="003A53A0">
            <w:pPr>
              <w:pStyle w:val="TableText1"/>
              <w:rPr>
                <w:rFonts w:cs="Arial"/>
                <w:bCs/>
                <w:szCs w:val="20"/>
              </w:rPr>
            </w:pPr>
            <w:r w:rsidRPr="003A53A0">
              <w:rPr>
                <w:rFonts w:cs="Arial"/>
                <w:bCs/>
                <w:iCs/>
                <w:szCs w:val="20"/>
              </w:rPr>
              <w:t>Statement 2</w:t>
            </w:r>
          </w:p>
        </w:tc>
        <w:tc>
          <w:tcPr>
            <w:tcW w:w="10632" w:type="dxa"/>
            <w:vAlign w:val="center"/>
          </w:tcPr>
          <w:p w14:paraId="38852F08" w14:textId="7BE2A257" w:rsidR="003A53A0" w:rsidRPr="003A53A0" w:rsidRDefault="003A53A0" w:rsidP="003A53A0">
            <w:pPr>
              <w:pStyle w:val="TableText1"/>
              <w:rPr>
                <w:rFonts w:cs="Arial"/>
                <w:szCs w:val="20"/>
              </w:rPr>
            </w:pPr>
            <w:r w:rsidRPr="003A53A0">
              <w:rPr>
                <w:rFonts w:cs="Arial"/>
                <w:szCs w:val="20"/>
              </w:rPr>
              <w:t>This quality statement should make reference to accurately measuring the anti-embolism stockings. There is a need for the stockings to be accurately measured to be able to provide the support.</w:t>
            </w:r>
          </w:p>
        </w:tc>
      </w:tr>
      <w:tr w:rsidR="003A53A0" w:rsidRPr="003A53A0" w14:paraId="11C5EE72" w14:textId="77777777" w:rsidTr="00F60DF7">
        <w:tc>
          <w:tcPr>
            <w:tcW w:w="675" w:type="dxa"/>
            <w:vAlign w:val="center"/>
          </w:tcPr>
          <w:p w14:paraId="49A43BD1" w14:textId="1C6F54FA" w:rsidR="003A53A0" w:rsidRPr="003A53A0" w:rsidRDefault="00F60DF7" w:rsidP="00F60DF7">
            <w:pPr>
              <w:pStyle w:val="TableText1"/>
              <w:rPr>
                <w:rFonts w:cs="Arial"/>
                <w:szCs w:val="20"/>
              </w:rPr>
            </w:pPr>
            <w:r>
              <w:rPr>
                <w:rFonts w:cs="Arial"/>
                <w:szCs w:val="20"/>
              </w:rPr>
              <w:t>60</w:t>
            </w:r>
          </w:p>
        </w:tc>
        <w:tc>
          <w:tcPr>
            <w:tcW w:w="2552" w:type="dxa"/>
            <w:vAlign w:val="center"/>
          </w:tcPr>
          <w:p w14:paraId="3C97AB66" w14:textId="407AE169"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2197462B" w14:textId="45265216" w:rsidR="003A53A0" w:rsidRPr="003A53A0" w:rsidRDefault="003A53A0" w:rsidP="003A53A0">
            <w:pPr>
              <w:pStyle w:val="TableText1"/>
              <w:rPr>
                <w:rFonts w:cs="Arial"/>
                <w:bCs/>
                <w:szCs w:val="20"/>
              </w:rPr>
            </w:pPr>
            <w:r w:rsidRPr="003A53A0">
              <w:rPr>
                <w:rFonts w:cs="Arial"/>
                <w:bCs/>
                <w:iCs/>
                <w:szCs w:val="20"/>
              </w:rPr>
              <w:t xml:space="preserve">Statement 2 (measures) </w:t>
            </w:r>
          </w:p>
        </w:tc>
        <w:tc>
          <w:tcPr>
            <w:tcW w:w="10632" w:type="dxa"/>
            <w:vAlign w:val="center"/>
          </w:tcPr>
          <w:p w14:paraId="436B987E" w14:textId="1B5AC649" w:rsidR="003A53A0" w:rsidRPr="003A53A0" w:rsidRDefault="003A53A0" w:rsidP="003A53A0">
            <w:pPr>
              <w:pStyle w:val="TableText1"/>
              <w:rPr>
                <w:rFonts w:cs="Arial"/>
                <w:szCs w:val="20"/>
              </w:rPr>
            </w:pPr>
            <w:r w:rsidRPr="003A53A0">
              <w:rPr>
                <w:rFonts w:cs="Arial"/>
                <w:szCs w:val="20"/>
              </w:rPr>
              <w:t>Ambiguity on what construct should be used to assess quality measure number 3 ‘patient satisfaction’ or if this is to be locally determined/defined?</w:t>
            </w:r>
            <w:r w:rsidR="009C6564">
              <w:rPr>
                <w:rFonts w:cs="Arial"/>
                <w:szCs w:val="20"/>
              </w:rPr>
              <w:t xml:space="preserve"> </w:t>
            </w:r>
          </w:p>
        </w:tc>
      </w:tr>
      <w:tr w:rsidR="003A53A0" w:rsidRPr="003A53A0" w14:paraId="1EABC0CF" w14:textId="77777777" w:rsidTr="00F60DF7">
        <w:tc>
          <w:tcPr>
            <w:tcW w:w="675" w:type="dxa"/>
            <w:vAlign w:val="center"/>
          </w:tcPr>
          <w:p w14:paraId="715948A1" w14:textId="2119B2D7" w:rsidR="003A53A0" w:rsidRPr="003A53A0" w:rsidRDefault="00F60DF7" w:rsidP="00F60DF7">
            <w:pPr>
              <w:pStyle w:val="TableText1"/>
              <w:rPr>
                <w:rFonts w:cs="Arial"/>
                <w:szCs w:val="20"/>
              </w:rPr>
            </w:pPr>
            <w:r>
              <w:rPr>
                <w:rFonts w:cs="Arial"/>
                <w:szCs w:val="20"/>
              </w:rPr>
              <w:lastRenderedPageBreak/>
              <w:t>61</w:t>
            </w:r>
          </w:p>
        </w:tc>
        <w:tc>
          <w:tcPr>
            <w:tcW w:w="2552" w:type="dxa"/>
            <w:vAlign w:val="center"/>
          </w:tcPr>
          <w:p w14:paraId="094431B1" w14:textId="16E6CA0C"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183307AE" w14:textId="2EE1F817" w:rsidR="003A53A0" w:rsidRPr="003A53A0" w:rsidRDefault="003A53A0" w:rsidP="003A53A0">
            <w:pPr>
              <w:pStyle w:val="TableText1"/>
              <w:rPr>
                <w:rFonts w:cs="Arial"/>
                <w:bCs/>
                <w:szCs w:val="20"/>
              </w:rPr>
            </w:pPr>
            <w:r w:rsidRPr="003A53A0">
              <w:rPr>
                <w:rFonts w:cs="Arial"/>
                <w:bCs/>
                <w:iCs/>
                <w:szCs w:val="20"/>
              </w:rPr>
              <w:t>Statement 2</w:t>
            </w:r>
          </w:p>
        </w:tc>
        <w:tc>
          <w:tcPr>
            <w:tcW w:w="10632" w:type="dxa"/>
            <w:vAlign w:val="center"/>
          </w:tcPr>
          <w:p w14:paraId="78BA5069" w14:textId="73BD64A9" w:rsidR="003A53A0" w:rsidRPr="003A53A0" w:rsidRDefault="003A53A0" w:rsidP="003A53A0">
            <w:pPr>
              <w:pStyle w:val="TableText1"/>
              <w:rPr>
                <w:rFonts w:cs="Arial"/>
                <w:szCs w:val="20"/>
              </w:rPr>
            </w:pPr>
            <w:r w:rsidRPr="003A53A0">
              <w:rPr>
                <w:rFonts w:cs="Arial"/>
                <w:szCs w:val="20"/>
              </w:rPr>
              <w:t xml:space="preserve">Consideration as to those who may temporarily or more permanently not have the mental capacity to make specific decisions needs to be considered here and reference given to supporting best practice in this area with these people to maximise their health and wellbeing. </w:t>
            </w:r>
          </w:p>
        </w:tc>
      </w:tr>
      <w:tr w:rsidR="003A53A0" w:rsidRPr="003A53A0" w14:paraId="6314172D" w14:textId="77777777" w:rsidTr="00F60DF7">
        <w:tc>
          <w:tcPr>
            <w:tcW w:w="675" w:type="dxa"/>
            <w:vAlign w:val="center"/>
          </w:tcPr>
          <w:p w14:paraId="3E1097FF" w14:textId="6CE11947" w:rsidR="003A53A0" w:rsidRPr="003A53A0" w:rsidRDefault="00F60DF7" w:rsidP="00F60DF7">
            <w:pPr>
              <w:pStyle w:val="TableText1"/>
              <w:rPr>
                <w:rFonts w:cs="Arial"/>
                <w:szCs w:val="20"/>
              </w:rPr>
            </w:pPr>
            <w:r>
              <w:rPr>
                <w:rFonts w:cs="Arial"/>
                <w:szCs w:val="20"/>
              </w:rPr>
              <w:t>62</w:t>
            </w:r>
          </w:p>
        </w:tc>
        <w:tc>
          <w:tcPr>
            <w:tcW w:w="2552" w:type="dxa"/>
            <w:vAlign w:val="center"/>
          </w:tcPr>
          <w:p w14:paraId="1DA3E077" w14:textId="0544B56E"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32E6EC01" w14:textId="37F0E101" w:rsidR="003A53A0" w:rsidRPr="003A53A0" w:rsidRDefault="003A53A0" w:rsidP="003A53A0">
            <w:pPr>
              <w:pStyle w:val="TableText1"/>
              <w:rPr>
                <w:rFonts w:cs="Arial"/>
                <w:bCs/>
                <w:szCs w:val="20"/>
              </w:rPr>
            </w:pPr>
            <w:r w:rsidRPr="003A53A0">
              <w:rPr>
                <w:rFonts w:cs="Arial"/>
                <w:bCs/>
                <w:iCs/>
                <w:szCs w:val="20"/>
              </w:rPr>
              <w:t>Statement 2</w:t>
            </w:r>
          </w:p>
        </w:tc>
        <w:tc>
          <w:tcPr>
            <w:tcW w:w="10632" w:type="dxa"/>
            <w:vAlign w:val="center"/>
          </w:tcPr>
          <w:p w14:paraId="5FF8B3BC" w14:textId="0475954C" w:rsidR="003A53A0" w:rsidRPr="003A53A0" w:rsidRDefault="003A53A0" w:rsidP="003A53A0">
            <w:pPr>
              <w:pStyle w:val="TableText1"/>
              <w:rPr>
                <w:rFonts w:cs="Arial"/>
                <w:szCs w:val="20"/>
              </w:rPr>
            </w:pPr>
            <w:r w:rsidRPr="003A53A0">
              <w:rPr>
                <w:rFonts w:cs="Arial"/>
                <w:szCs w:val="20"/>
              </w:rPr>
              <w:t xml:space="preserve">Need to ensure there is reference to those individuals who may be contraindicated for stockings. </w:t>
            </w:r>
          </w:p>
        </w:tc>
      </w:tr>
      <w:tr w:rsidR="003A53A0" w:rsidRPr="003A53A0" w14:paraId="06E2D7E0" w14:textId="77777777" w:rsidTr="00F60DF7">
        <w:tc>
          <w:tcPr>
            <w:tcW w:w="675" w:type="dxa"/>
            <w:vAlign w:val="center"/>
          </w:tcPr>
          <w:p w14:paraId="14C9F80F" w14:textId="437596B3" w:rsidR="003A53A0" w:rsidRPr="003A53A0" w:rsidRDefault="00F60DF7" w:rsidP="00F60DF7">
            <w:pPr>
              <w:pStyle w:val="TableText1"/>
              <w:rPr>
                <w:rFonts w:cs="Arial"/>
                <w:szCs w:val="20"/>
              </w:rPr>
            </w:pPr>
            <w:r>
              <w:rPr>
                <w:rFonts w:cs="Arial"/>
                <w:szCs w:val="20"/>
              </w:rPr>
              <w:t>63</w:t>
            </w:r>
          </w:p>
        </w:tc>
        <w:tc>
          <w:tcPr>
            <w:tcW w:w="2552" w:type="dxa"/>
            <w:vAlign w:val="center"/>
          </w:tcPr>
          <w:p w14:paraId="233E21B5" w14:textId="7A6ACF55"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219FD075" w14:textId="6EA0E404" w:rsidR="003A53A0" w:rsidRPr="003A53A0" w:rsidRDefault="003A53A0" w:rsidP="003A53A0">
            <w:pPr>
              <w:pStyle w:val="TableText1"/>
              <w:rPr>
                <w:rFonts w:cs="Arial"/>
                <w:bCs/>
                <w:szCs w:val="20"/>
              </w:rPr>
            </w:pPr>
            <w:r w:rsidRPr="003A53A0">
              <w:rPr>
                <w:rFonts w:cs="Arial"/>
                <w:bCs/>
                <w:iCs/>
                <w:szCs w:val="20"/>
              </w:rPr>
              <w:t>Statement 2</w:t>
            </w:r>
          </w:p>
        </w:tc>
        <w:tc>
          <w:tcPr>
            <w:tcW w:w="10632" w:type="dxa"/>
            <w:vAlign w:val="center"/>
          </w:tcPr>
          <w:p w14:paraId="0B0CD8B9" w14:textId="43CBAD97" w:rsidR="003A53A0" w:rsidRPr="003A53A0" w:rsidRDefault="003A53A0" w:rsidP="003A53A0">
            <w:pPr>
              <w:pStyle w:val="TableText1"/>
              <w:rPr>
                <w:rFonts w:cs="Arial"/>
                <w:szCs w:val="20"/>
              </w:rPr>
            </w:pPr>
            <w:r w:rsidRPr="003A53A0">
              <w:rPr>
                <w:rFonts w:cs="Arial"/>
                <w:szCs w:val="20"/>
              </w:rPr>
              <w:t xml:space="preserve">“Proportion of people aged 16 and over in hospital who use anti embolism stockings to prevent VTE and are satisfied with the support they receive to wear them.” Suggest needs further clarity to ensure this picks up the salient point and not just a ‘tick box exercise’ as there are several other numerators and ways to establish impact here. </w:t>
            </w:r>
          </w:p>
        </w:tc>
      </w:tr>
      <w:tr w:rsidR="003A53A0" w:rsidRPr="003A53A0" w14:paraId="5EFD7E03" w14:textId="77777777" w:rsidTr="00F60DF7">
        <w:tc>
          <w:tcPr>
            <w:tcW w:w="675" w:type="dxa"/>
            <w:vAlign w:val="center"/>
          </w:tcPr>
          <w:p w14:paraId="4780555C" w14:textId="0ED6E550" w:rsidR="003A53A0" w:rsidRPr="003A53A0" w:rsidRDefault="00F60DF7" w:rsidP="00F60DF7">
            <w:pPr>
              <w:pStyle w:val="TableText1"/>
              <w:rPr>
                <w:rFonts w:cs="Arial"/>
                <w:szCs w:val="20"/>
              </w:rPr>
            </w:pPr>
            <w:r>
              <w:rPr>
                <w:rFonts w:cs="Arial"/>
                <w:szCs w:val="20"/>
              </w:rPr>
              <w:t>64</w:t>
            </w:r>
          </w:p>
        </w:tc>
        <w:tc>
          <w:tcPr>
            <w:tcW w:w="2552" w:type="dxa"/>
            <w:vAlign w:val="center"/>
          </w:tcPr>
          <w:p w14:paraId="215791FA" w14:textId="31D8B5C8"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3787D859" w14:textId="61C29704" w:rsidR="003A53A0" w:rsidRPr="003A53A0" w:rsidRDefault="003A53A0" w:rsidP="003A53A0">
            <w:pPr>
              <w:pStyle w:val="TableText1"/>
              <w:rPr>
                <w:rFonts w:cs="Arial"/>
                <w:bCs/>
                <w:szCs w:val="20"/>
              </w:rPr>
            </w:pPr>
            <w:r w:rsidRPr="003A53A0">
              <w:rPr>
                <w:rFonts w:cs="Arial"/>
                <w:bCs/>
                <w:iCs/>
                <w:szCs w:val="20"/>
              </w:rPr>
              <w:t>Statement 2</w:t>
            </w:r>
          </w:p>
        </w:tc>
        <w:tc>
          <w:tcPr>
            <w:tcW w:w="10632" w:type="dxa"/>
            <w:vAlign w:val="center"/>
          </w:tcPr>
          <w:p w14:paraId="71838E78" w14:textId="77CF5FFB" w:rsidR="003A53A0" w:rsidRPr="003A53A0" w:rsidRDefault="003A53A0" w:rsidP="003A53A0">
            <w:pPr>
              <w:pStyle w:val="TableText1"/>
              <w:rPr>
                <w:rFonts w:cs="Arial"/>
                <w:szCs w:val="20"/>
              </w:rPr>
            </w:pPr>
            <w:r w:rsidRPr="003A53A0">
              <w:rPr>
                <w:rFonts w:cs="Arial"/>
                <w:szCs w:val="20"/>
              </w:rPr>
              <w:t xml:space="preserve">“Stockings should be fitted and people shown how to use them.” Suggest this is wider than this remit and about education, training to an extent and support. “People should be encouraged to wear their anti embolism stockings day and night until they no longer have significantly reduced mobility.” Suggest this should include problem solving where people are reluctant and need additional support. </w:t>
            </w:r>
          </w:p>
        </w:tc>
      </w:tr>
      <w:tr w:rsidR="003A53A0" w:rsidRPr="003A53A0" w14:paraId="470196EF" w14:textId="77777777" w:rsidTr="00F60DF7">
        <w:tc>
          <w:tcPr>
            <w:tcW w:w="675" w:type="dxa"/>
            <w:vAlign w:val="center"/>
          </w:tcPr>
          <w:p w14:paraId="3DD83300" w14:textId="47268FBE" w:rsidR="003A53A0" w:rsidRPr="003A53A0" w:rsidRDefault="00F60DF7" w:rsidP="00F60DF7">
            <w:pPr>
              <w:pStyle w:val="TableText1"/>
              <w:rPr>
                <w:rFonts w:cs="Arial"/>
                <w:szCs w:val="20"/>
              </w:rPr>
            </w:pPr>
            <w:r>
              <w:rPr>
                <w:rFonts w:cs="Arial"/>
                <w:szCs w:val="20"/>
              </w:rPr>
              <w:t>65</w:t>
            </w:r>
          </w:p>
        </w:tc>
        <w:tc>
          <w:tcPr>
            <w:tcW w:w="2552" w:type="dxa"/>
            <w:vAlign w:val="center"/>
          </w:tcPr>
          <w:p w14:paraId="2A294EC8" w14:textId="042D8F74" w:rsidR="003A53A0" w:rsidRPr="003A53A0" w:rsidRDefault="003A53A0" w:rsidP="003A53A0">
            <w:pPr>
              <w:pStyle w:val="TableText1"/>
              <w:rPr>
                <w:rFonts w:cs="Arial"/>
                <w:szCs w:val="20"/>
              </w:rPr>
            </w:pPr>
            <w:r w:rsidRPr="003A53A0">
              <w:rPr>
                <w:rFonts w:cs="Arial"/>
                <w:szCs w:val="20"/>
              </w:rPr>
              <w:t>Thrombosis UK</w:t>
            </w:r>
          </w:p>
        </w:tc>
        <w:tc>
          <w:tcPr>
            <w:tcW w:w="1417" w:type="dxa"/>
            <w:vAlign w:val="center"/>
          </w:tcPr>
          <w:p w14:paraId="0DC028F3" w14:textId="62E50E9C" w:rsidR="003A53A0" w:rsidRPr="003A53A0" w:rsidRDefault="003A53A0" w:rsidP="003A53A0">
            <w:pPr>
              <w:pStyle w:val="TableText1"/>
              <w:rPr>
                <w:rFonts w:cs="Arial"/>
                <w:bCs/>
                <w:szCs w:val="20"/>
              </w:rPr>
            </w:pPr>
            <w:r w:rsidRPr="003A53A0">
              <w:rPr>
                <w:rFonts w:cs="Arial"/>
                <w:bCs/>
                <w:iCs/>
                <w:szCs w:val="20"/>
              </w:rPr>
              <w:t>Statement 2</w:t>
            </w:r>
          </w:p>
        </w:tc>
        <w:tc>
          <w:tcPr>
            <w:tcW w:w="10632" w:type="dxa"/>
            <w:vAlign w:val="center"/>
          </w:tcPr>
          <w:p w14:paraId="086E683A" w14:textId="77777777" w:rsidR="003A53A0" w:rsidRPr="003A53A0" w:rsidRDefault="003A53A0" w:rsidP="003A53A0">
            <w:pPr>
              <w:rPr>
                <w:rFonts w:ascii="Arial" w:hAnsi="Arial" w:cs="Arial"/>
                <w:sz w:val="20"/>
                <w:szCs w:val="20"/>
              </w:rPr>
            </w:pPr>
            <w:r w:rsidRPr="003A53A0">
              <w:rPr>
                <w:rFonts w:ascii="Arial" w:hAnsi="Arial" w:cs="Arial"/>
                <w:sz w:val="20"/>
                <w:szCs w:val="20"/>
              </w:rPr>
              <w:t>2020 current published evidence from the GAPS trial (</w:t>
            </w:r>
            <w:hyperlink r:id="rId15" w:history="1">
              <w:r w:rsidRPr="003A53A0">
                <w:rPr>
                  <w:rStyle w:val="Hyperlink"/>
                  <w:rFonts w:ascii="Arial" w:hAnsi="Arial" w:cs="Arial"/>
                  <w:sz w:val="20"/>
                  <w:szCs w:val="20"/>
                </w:rPr>
                <w:t>https://www.bmj.com/content/369/bmj.m1309</w:t>
              </w:r>
            </w:hyperlink>
            <w:r w:rsidRPr="003A53A0">
              <w:rPr>
                <w:rFonts w:ascii="Arial" w:hAnsi="Arial" w:cs="Arial"/>
                <w:sz w:val="20"/>
                <w:szCs w:val="20"/>
              </w:rPr>
              <w:t xml:space="preserve"> ) suggests anti-embolic stockings are ineffective in moderate risk surgical patients and there is lack of evidence of their efficacy in medical or obstetric patients and indeed they do harm in stroke patients. </w:t>
            </w:r>
          </w:p>
          <w:p w14:paraId="0EA11C5D" w14:textId="77777777" w:rsidR="003A53A0" w:rsidRPr="003A53A0" w:rsidRDefault="003A53A0" w:rsidP="003A53A0">
            <w:pPr>
              <w:rPr>
                <w:rFonts w:ascii="Arial" w:hAnsi="Arial" w:cs="Arial"/>
                <w:sz w:val="20"/>
                <w:szCs w:val="20"/>
              </w:rPr>
            </w:pPr>
            <w:r w:rsidRPr="003A53A0">
              <w:rPr>
                <w:rFonts w:ascii="Arial" w:hAnsi="Arial" w:cs="Arial"/>
                <w:sz w:val="20"/>
                <w:szCs w:val="20"/>
              </w:rPr>
              <w:t>Based upon this clinical evidence, we do not agree with this Quality Statement (two) and think we should not be asking hospital staff to concentrate on delivering a treatment that is poorly evidenced.</w:t>
            </w:r>
          </w:p>
          <w:p w14:paraId="1FEFA109" w14:textId="55C9E477" w:rsidR="003A53A0" w:rsidRPr="003A53A0" w:rsidRDefault="003A53A0" w:rsidP="003A53A0">
            <w:pPr>
              <w:pStyle w:val="TableText1"/>
              <w:rPr>
                <w:rFonts w:cs="Arial"/>
                <w:szCs w:val="20"/>
              </w:rPr>
            </w:pPr>
            <w:r w:rsidRPr="003A53A0">
              <w:rPr>
                <w:rFonts w:cs="Arial"/>
                <w:szCs w:val="20"/>
              </w:rPr>
              <w:t>We strongly urge NICE to reconsider and remove this statement.</w:t>
            </w:r>
          </w:p>
        </w:tc>
      </w:tr>
      <w:tr w:rsidR="003A53A0" w:rsidRPr="003A53A0" w14:paraId="2010BE5D" w14:textId="77777777" w:rsidTr="00F60DF7">
        <w:tc>
          <w:tcPr>
            <w:tcW w:w="675" w:type="dxa"/>
            <w:vAlign w:val="center"/>
          </w:tcPr>
          <w:p w14:paraId="23081F4D" w14:textId="220217C7" w:rsidR="003A53A0" w:rsidRPr="003A53A0" w:rsidRDefault="00F60DF7" w:rsidP="00F60DF7">
            <w:pPr>
              <w:pStyle w:val="TableText1"/>
              <w:rPr>
                <w:rFonts w:cs="Arial"/>
                <w:szCs w:val="20"/>
              </w:rPr>
            </w:pPr>
            <w:r>
              <w:rPr>
                <w:rFonts w:cs="Arial"/>
                <w:szCs w:val="20"/>
              </w:rPr>
              <w:t>66</w:t>
            </w:r>
          </w:p>
        </w:tc>
        <w:tc>
          <w:tcPr>
            <w:tcW w:w="2552" w:type="dxa"/>
            <w:vAlign w:val="center"/>
          </w:tcPr>
          <w:p w14:paraId="09A58399" w14:textId="3D4E8A6A" w:rsidR="003A53A0" w:rsidRPr="003A53A0" w:rsidRDefault="003A53A0" w:rsidP="003A53A0">
            <w:pPr>
              <w:pStyle w:val="TableText1"/>
              <w:rPr>
                <w:rFonts w:cs="Arial"/>
                <w:szCs w:val="20"/>
              </w:rPr>
            </w:pPr>
            <w:r w:rsidRPr="003A53A0">
              <w:rPr>
                <w:rFonts w:cs="Arial"/>
                <w:szCs w:val="20"/>
              </w:rPr>
              <w:t>UK Clinical Pharmacy Association (UKCPA) Haemostasis &amp; Thrombosis Committee</w:t>
            </w:r>
          </w:p>
        </w:tc>
        <w:tc>
          <w:tcPr>
            <w:tcW w:w="1417" w:type="dxa"/>
            <w:vAlign w:val="center"/>
          </w:tcPr>
          <w:p w14:paraId="2DB64805" w14:textId="0920CE8A" w:rsidR="003A53A0" w:rsidRPr="003A53A0" w:rsidRDefault="003A53A0" w:rsidP="003A53A0">
            <w:pPr>
              <w:pStyle w:val="TableText1"/>
              <w:rPr>
                <w:rFonts w:cs="Arial"/>
                <w:bCs/>
                <w:szCs w:val="20"/>
              </w:rPr>
            </w:pPr>
            <w:r w:rsidRPr="003A53A0">
              <w:rPr>
                <w:rFonts w:cs="Arial"/>
                <w:bCs/>
                <w:iCs/>
                <w:szCs w:val="20"/>
              </w:rPr>
              <w:t>Statement 2</w:t>
            </w:r>
          </w:p>
        </w:tc>
        <w:tc>
          <w:tcPr>
            <w:tcW w:w="10632" w:type="dxa"/>
            <w:vAlign w:val="center"/>
          </w:tcPr>
          <w:p w14:paraId="44F5AD93" w14:textId="4AA0494B" w:rsidR="003A53A0" w:rsidRPr="003A53A0" w:rsidRDefault="003A53A0" w:rsidP="003A53A0">
            <w:pPr>
              <w:pStyle w:val="TableText1"/>
              <w:rPr>
                <w:rFonts w:cs="Arial"/>
                <w:szCs w:val="20"/>
              </w:rPr>
            </w:pPr>
            <w:r w:rsidRPr="003A53A0">
              <w:rPr>
                <w:rFonts w:cs="Arial"/>
                <w:szCs w:val="20"/>
              </w:rPr>
              <w:t>Include intermittent pneumatic compression device or mechanical thromboprophylaxis to include any form</w:t>
            </w:r>
          </w:p>
        </w:tc>
      </w:tr>
      <w:tr w:rsidR="003A53A0" w:rsidRPr="003A53A0" w14:paraId="37BA4842" w14:textId="77777777" w:rsidTr="00F60DF7">
        <w:tc>
          <w:tcPr>
            <w:tcW w:w="675" w:type="dxa"/>
            <w:vAlign w:val="center"/>
          </w:tcPr>
          <w:p w14:paraId="3D63C715" w14:textId="330D7F50" w:rsidR="003A53A0" w:rsidRPr="003A53A0" w:rsidRDefault="00F60DF7" w:rsidP="00F60DF7">
            <w:pPr>
              <w:pStyle w:val="TableText1"/>
              <w:rPr>
                <w:rFonts w:cs="Arial"/>
                <w:szCs w:val="20"/>
              </w:rPr>
            </w:pPr>
            <w:r>
              <w:rPr>
                <w:rFonts w:cs="Arial"/>
                <w:szCs w:val="20"/>
              </w:rPr>
              <w:t>67</w:t>
            </w:r>
          </w:p>
        </w:tc>
        <w:tc>
          <w:tcPr>
            <w:tcW w:w="2552" w:type="dxa"/>
            <w:vAlign w:val="center"/>
          </w:tcPr>
          <w:p w14:paraId="37D94D8A" w14:textId="02288ED4" w:rsidR="003A53A0" w:rsidRPr="003A53A0" w:rsidRDefault="003A53A0" w:rsidP="003A53A0">
            <w:pPr>
              <w:pStyle w:val="TableText1"/>
              <w:rPr>
                <w:rFonts w:cs="Arial"/>
                <w:szCs w:val="20"/>
              </w:rPr>
            </w:pPr>
            <w:r w:rsidRPr="003A53A0">
              <w:rPr>
                <w:rFonts w:cs="Arial"/>
                <w:szCs w:val="20"/>
              </w:rPr>
              <w:t>UK Clinical Pharmacy Association (UKCPA) Haemostasis &amp; Thrombosis Committee</w:t>
            </w:r>
          </w:p>
        </w:tc>
        <w:tc>
          <w:tcPr>
            <w:tcW w:w="1417" w:type="dxa"/>
            <w:vAlign w:val="center"/>
          </w:tcPr>
          <w:p w14:paraId="268089F7" w14:textId="68FC008D" w:rsidR="003A53A0" w:rsidRPr="003A53A0" w:rsidRDefault="003A53A0" w:rsidP="003A53A0">
            <w:pPr>
              <w:pStyle w:val="TableText1"/>
              <w:rPr>
                <w:rFonts w:cs="Arial"/>
                <w:bCs/>
                <w:szCs w:val="20"/>
              </w:rPr>
            </w:pPr>
            <w:r w:rsidRPr="003A53A0">
              <w:rPr>
                <w:rFonts w:cs="Arial"/>
                <w:bCs/>
                <w:iCs/>
                <w:szCs w:val="20"/>
              </w:rPr>
              <w:t>Statement 2 (definitions)</w:t>
            </w:r>
          </w:p>
        </w:tc>
        <w:tc>
          <w:tcPr>
            <w:tcW w:w="10632" w:type="dxa"/>
            <w:vAlign w:val="center"/>
          </w:tcPr>
          <w:p w14:paraId="26AE2181" w14:textId="77777777" w:rsidR="003A53A0" w:rsidRPr="003A53A0" w:rsidRDefault="003A53A0" w:rsidP="003A53A0">
            <w:pPr>
              <w:rPr>
                <w:rFonts w:ascii="Arial" w:hAnsi="Arial" w:cs="Arial"/>
                <w:sz w:val="20"/>
                <w:szCs w:val="20"/>
              </w:rPr>
            </w:pPr>
            <w:r w:rsidRPr="003A53A0">
              <w:rPr>
                <w:rFonts w:ascii="Arial" w:hAnsi="Arial" w:cs="Arial"/>
                <w:sz w:val="20"/>
                <w:szCs w:val="20"/>
              </w:rPr>
              <w:t>Include pregnancy/postpartum patients as per RCOG guidance</w:t>
            </w:r>
          </w:p>
          <w:p w14:paraId="01481B26" w14:textId="77777777" w:rsidR="003A53A0" w:rsidRPr="003A53A0" w:rsidRDefault="003A53A0" w:rsidP="003A53A0">
            <w:pPr>
              <w:rPr>
                <w:rFonts w:ascii="Arial" w:hAnsi="Arial" w:cs="Arial"/>
                <w:sz w:val="20"/>
                <w:szCs w:val="20"/>
              </w:rPr>
            </w:pPr>
            <w:r w:rsidRPr="003A53A0">
              <w:rPr>
                <w:rFonts w:ascii="Arial" w:hAnsi="Arial" w:cs="Arial"/>
                <w:sz w:val="20"/>
                <w:szCs w:val="20"/>
              </w:rPr>
              <w:t>As quality standards are based on NICE NG89 – 1.3 recommends all patients for mechanical prophylaxis</w:t>
            </w:r>
          </w:p>
          <w:p w14:paraId="2C39929C" w14:textId="464626A5" w:rsidR="003A53A0" w:rsidRPr="003A53A0" w:rsidRDefault="003A53A0" w:rsidP="003A53A0">
            <w:pPr>
              <w:pStyle w:val="TableText1"/>
              <w:rPr>
                <w:rFonts w:cs="Arial"/>
                <w:szCs w:val="20"/>
              </w:rPr>
            </w:pPr>
            <w:r w:rsidRPr="003A53A0">
              <w:rPr>
                <w:rFonts w:cs="Arial"/>
                <w:szCs w:val="20"/>
              </w:rPr>
              <w:t>NICE NG89 recommendations include use of ‘mechanical VTE prophylaxis’ but not included on page 10 e.g. 1.8, 1.11.4, 1.11.5, 1.11.7, 1.11.8, 1.11.10, 1.13.1, 1.14.12, 1.14.14, 1.15.4, 1.15.6, 1.16.6,</w:t>
            </w:r>
          </w:p>
        </w:tc>
      </w:tr>
      <w:tr w:rsidR="003A53A0" w:rsidRPr="003A53A0" w14:paraId="38D873D1" w14:textId="77777777" w:rsidTr="00F60DF7">
        <w:tc>
          <w:tcPr>
            <w:tcW w:w="675" w:type="dxa"/>
            <w:vAlign w:val="center"/>
          </w:tcPr>
          <w:p w14:paraId="0072E0CD" w14:textId="70FE7CF5" w:rsidR="003A53A0" w:rsidRPr="003A53A0" w:rsidRDefault="00F60DF7" w:rsidP="00F60DF7">
            <w:pPr>
              <w:pStyle w:val="TableText1"/>
              <w:rPr>
                <w:rFonts w:cs="Arial"/>
                <w:szCs w:val="20"/>
              </w:rPr>
            </w:pPr>
            <w:r>
              <w:rPr>
                <w:rFonts w:cs="Arial"/>
                <w:szCs w:val="20"/>
              </w:rPr>
              <w:t>68</w:t>
            </w:r>
          </w:p>
        </w:tc>
        <w:tc>
          <w:tcPr>
            <w:tcW w:w="2552" w:type="dxa"/>
            <w:vAlign w:val="center"/>
          </w:tcPr>
          <w:p w14:paraId="5226BD43" w14:textId="0C45575F" w:rsidR="003A53A0" w:rsidRPr="003A53A0" w:rsidRDefault="003A53A0" w:rsidP="003A53A0">
            <w:pPr>
              <w:pStyle w:val="TableText1"/>
              <w:rPr>
                <w:rFonts w:cs="Arial"/>
                <w:szCs w:val="20"/>
              </w:rPr>
            </w:pPr>
            <w:r w:rsidRPr="003A53A0">
              <w:rPr>
                <w:rFonts w:cs="Arial"/>
                <w:szCs w:val="20"/>
              </w:rPr>
              <w:t>UK Clinical Pharmacy Association (UKCPA) Haemostasis &amp; Thrombosis Committee</w:t>
            </w:r>
          </w:p>
        </w:tc>
        <w:tc>
          <w:tcPr>
            <w:tcW w:w="1417" w:type="dxa"/>
            <w:vAlign w:val="center"/>
          </w:tcPr>
          <w:p w14:paraId="3337944D" w14:textId="5B3584C4" w:rsidR="003A53A0" w:rsidRPr="003A53A0" w:rsidRDefault="003A53A0" w:rsidP="003A53A0">
            <w:pPr>
              <w:pStyle w:val="TableText1"/>
              <w:rPr>
                <w:rFonts w:cs="Arial"/>
                <w:bCs/>
                <w:szCs w:val="20"/>
              </w:rPr>
            </w:pPr>
            <w:r w:rsidRPr="003A53A0">
              <w:rPr>
                <w:rFonts w:cs="Arial"/>
                <w:bCs/>
                <w:iCs/>
                <w:szCs w:val="20"/>
              </w:rPr>
              <w:t>Statement 2 (definitions)</w:t>
            </w:r>
          </w:p>
        </w:tc>
        <w:tc>
          <w:tcPr>
            <w:tcW w:w="10632" w:type="dxa"/>
            <w:vAlign w:val="center"/>
          </w:tcPr>
          <w:p w14:paraId="76410E8F" w14:textId="2F334851" w:rsidR="003A53A0" w:rsidRPr="003A53A0" w:rsidRDefault="003A53A0" w:rsidP="003A53A0">
            <w:pPr>
              <w:pStyle w:val="TableText1"/>
              <w:rPr>
                <w:rFonts w:cs="Arial"/>
                <w:szCs w:val="20"/>
              </w:rPr>
            </w:pPr>
            <w:r w:rsidRPr="003A53A0">
              <w:rPr>
                <w:rFonts w:cs="Arial"/>
                <w:szCs w:val="20"/>
              </w:rPr>
              <w:t>‘People should be encouraged to wear their anti</w:t>
            </w:r>
            <w:r w:rsidRPr="003A53A0">
              <w:rPr>
                <w:rFonts w:cs="Arial"/>
                <w:szCs w:val="20"/>
              </w:rPr>
              <w:noBreakHyphen/>
              <w:t>embolism stockings day and night until they no longer have significantly reduced mobility’ – patient skin condition should be inspected so anti-embolism stockings removed for at least 30 minutes in a 24 hour period; and not continuous wear.</w:t>
            </w:r>
          </w:p>
        </w:tc>
      </w:tr>
      <w:tr w:rsidR="003A53A0" w:rsidRPr="003A53A0" w14:paraId="17E8CF07" w14:textId="77777777" w:rsidTr="00F60DF7">
        <w:tc>
          <w:tcPr>
            <w:tcW w:w="675" w:type="dxa"/>
            <w:vAlign w:val="center"/>
          </w:tcPr>
          <w:p w14:paraId="62DFFA1B" w14:textId="78A71112" w:rsidR="003A53A0" w:rsidRPr="003A53A0" w:rsidRDefault="00F60DF7" w:rsidP="00F60DF7">
            <w:pPr>
              <w:pStyle w:val="TableText1"/>
              <w:rPr>
                <w:rFonts w:cs="Arial"/>
                <w:szCs w:val="20"/>
              </w:rPr>
            </w:pPr>
            <w:r>
              <w:rPr>
                <w:rFonts w:cs="Arial"/>
                <w:szCs w:val="20"/>
              </w:rPr>
              <w:t>69</w:t>
            </w:r>
          </w:p>
        </w:tc>
        <w:tc>
          <w:tcPr>
            <w:tcW w:w="2552" w:type="dxa"/>
            <w:vAlign w:val="center"/>
          </w:tcPr>
          <w:p w14:paraId="458ACE33" w14:textId="5D6A2198" w:rsidR="003A53A0" w:rsidRPr="003A53A0" w:rsidRDefault="003A53A0" w:rsidP="003A53A0">
            <w:pPr>
              <w:pStyle w:val="TableText1"/>
              <w:rPr>
                <w:rFonts w:cs="Arial"/>
                <w:szCs w:val="20"/>
              </w:rPr>
            </w:pPr>
            <w:r w:rsidRPr="003A53A0">
              <w:rPr>
                <w:rFonts w:cs="Arial"/>
                <w:szCs w:val="20"/>
              </w:rPr>
              <w:t>University Hospitals Birmingham NHS Foundation Trust Haematology Service</w:t>
            </w:r>
          </w:p>
        </w:tc>
        <w:tc>
          <w:tcPr>
            <w:tcW w:w="1417" w:type="dxa"/>
            <w:vAlign w:val="center"/>
          </w:tcPr>
          <w:p w14:paraId="7915660C" w14:textId="4B9799B6" w:rsidR="003A53A0" w:rsidRPr="003A53A0" w:rsidRDefault="003A53A0" w:rsidP="003A53A0">
            <w:pPr>
              <w:pStyle w:val="TableText1"/>
              <w:rPr>
                <w:rFonts w:cs="Arial"/>
                <w:bCs/>
                <w:szCs w:val="20"/>
              </w:rPr>
            </w:pPr>
            <w:r w:rsidRPr="003A53A0">
              <w:rPr>
                <w:rFonts w:cs="Arial"/>
                <w:bCs/>
                <w:iCs/>
                <w:szCs w:val="20"/>
              </w:rPr>
              <w:t>Statement 2</w:t>
            </w:r>
          </w:p>
        </w:tc>
        <w:tc>
          <w:tcPr>
            <w:tcW w:w="10632" w:type="dxa"/>
            <w:vAlign w:val="center"/>
          </w:tcPr>
          <w:p w14:paraId="44F8CD4D" w14:textId="11F0BEA0" w:rsidR="003A53A0" w:rsidRPr="003A53A0" w:rsidRDefault="003A53A0" w:rsidP="003A53A0">
            <w:pPr>
              <w:pStyle w:val="TableText1"/>
              <w:rPr>
                <w:rFonts w:cs="Arial"/>
                <w:szCs w:val="20"/>
              </w:rPr>
            </w:pPr>
            <w:r w:rsidRPr="003A53A0">
              <w:rPr>
                <w:rFonts w:cs="Arial"/>
                <w:szCs w:val="20"/>
              </w:rPr>
              <w:t>With the GAPS study suggesting no benefit for AES in addition to LMWH, their efficacy and value is coming under doubt now. However if they are used, it is important to do it properly of course. It could lead to even more paperwork for nurses, which isn’t welcome.</w:t>
            </w:r>
          </w:p>
        </w:tc>
      </w:tr>
      <w:tr w:rsidR="003A53A0" w:rsidRPr="003A53A0" w14:paraId="5DF90AC8" w14:textId="77777777" w:rsidTr="00F60DF7">
        <w:tc>
          <w:tcPr>
            <w:tcW w:w="675" w:type="dxa"/>
            <w:vAlign w:val="center"/>
          </w:tcPr>
          <w:p w14:paraId="595B0107" w14:textId="07443F4A" w:rsidR="003A53A0" w:rsidRPr="003A53A0" w:rsidRDefault="00F60DF7" w:rsidP="00F60DF7">
            <w:pPr>
              <w:pStyle w:val="TableText1"/>
              <w:rPr>
                <w:rFonts w:cs="Arial"/>
                <w:szCs w:val="20"/>
              </w:rPr>
            </w:pPr>
            <w:r>
              <w:rPr>
                <w:rFonts w:cs="Arial"/>
                <w:szCs w:val="20"/>
              </w:rPr>
              <w:t>70</w:t>
            </w:r>
          </w:p>
        </w:tc>
        <w:tc>
          <w:tcPr>
            <w:tcW w:w="2552" w:type="dxa"/>
            <w:vAlign w:val="center"/>
          </w:tcPr>
          <w:p w14:paraId="1343604F" w14:textId="5BCDBBFE" w:rsidR="003A53A0" w:rsidRPr="003A53A0" w:rsidRDefault="003A53A0" w:rsidP="003A53A0">
            <w:pPr>
              <w:pStyle w:val="TableText1"/>
              <w:rPr>
                <w:rFonts w:cs="Arial"/>
                <w:szCs w:val="20"/>
              </w:rPr>
            </w:pPr>
            <w:r w:rsidRPr="003A53A0">
              <w:rPr>
                <w:rFonts w:cs="Arial"/>
                <w:bCs/>
                <w:iCs/>
                <w:szCs w:val="20"/>
              </w:rPr>
              <w:t>VTE National Network for Nursing and Midwifery</w:t>
            </w:r>
          </w:p>
        </w:tc>
        <w:tc>
          <w:tcPr>
            <w:tcW w:w="1417" w:type="dxa"/>
            <w:vAlign w:val="center"/>
          </w:tcPr>
          <w:p w14:paraId="1AD2665B" w14:textId="7EB1DE21" w:rsidR="003A53A0" w:rsidRPr="003A53A0" w:rsidRDefault="003A53A0" w:rsidP="003A53A0">
            <w:pPr>
              <w:pStyle w:val="TableText1"/>
              <w:rPr>
                <w:rFonts w:cs="Arial"/>
                <w:bCs/>
                <w:szCs w:val="20"/>
              </w:rPr>
            </w:pPr>
            <w:r w:rsidRPr="003A53A0">
              <w:rPr>
                <w:rFonts w:cs="Arial"/>
                <w:bCs/>
                <w:iCs/>
                <w:szCs w:val="20"/>
              </w:rPr>
              <w:t>Statement 2</w:t>
            </w:r>
          </w:p>
        </w:tc>
        <w:tc>
          <w:tcPr>
            <w:tcW w:w="10632" w:type="dxa"/>
            <w:vAlign w:val="center"/>
          </w:tcPr>
          <w:p w14:paraId="14AD789E" w14:textId="08A3968C" w:rsidR="003A53A0" w:rsidRPr="003A53A0" w:rsidRDefault="003A53A0" w:rsidP="003A53A0">
            <w:pPr>
              <w:pStyle w:val="TableText1"/>
              <w:rPr>
                <w:rFonts w:cs="Arial"/>
                <w:szCs w:val="20"/>
              </w:rPr>
            </w:pPr>
            <w:r w:rsidRPr="003A53A0">
              <w:rPr>
                <w:rFonts w:cs="Arial"/>
                <w:szCs w:val="20"/>
              </w:rPr>
              <w:t xml:space="preserve">Statement 2-many centres are now reviewing their use of AES as a result of the GAPs study, stocking use is less likely to have an impact on patient outcomes than appropriate thromboprophylaxis so could be removed. If this </w:t>
            </w:r>
            <w:r w:rsidRPr="003A53A0">
              <w:rPr>
                <w:rFonts w:cs="Arial"/>
                <w:szCs w:val="20"/>
              </w:rPr>
              <w:lastRenderedPageBreak/>
              <w:t>remains, it should include the use of all mechanical TP (IPC and foot pumps) and include daily skin checks and documentation standards.</w:t>
            </w:r>
          </w:p>
        </w:tc>
      </w:tr>
      <w:tr w:rsidR="003A53A0" w:rsidRPr="003A53A0" w14:paraId="535A32E4" w14:textId="77777777" w:rsidTr="00F60DF7">
        <w:tc>
          <w:tcPr>
            <w:tcW w:w="675" w:type="dxa"/>
            <w:vAlign w:val="center"/>
          </w:tcPr>
          <w:p w14:paraId="361F7C24" w14:textId="139F8AEA" w:rsidR="003A53A0" w:rsidRPr="003A53A0" w:rsidRDefault="00F60DF7" w:rsidP="00F60DF7">
            <w:pPr>
              <w:pStyle w:val="TableText1"/>
              <w:rPr>
                <w:rFonts w:cs="Arial"/>
                <w:szCs w:val="20"/>
              </w:rPr>
            </w:pPr>
            <w:r>
              <w:rPr>
                <w:rFonts w:cs="Arial"/>
                <w:szCs w:val="20"/>
              </w:rPr>
              <w:lastRenderedPageBreak/>
              <w:t>71</w:t>
            </w:r>
          </w:p>
        </w:tc>
        <w:tc>
          <w:tcPr>
            <w:tcW w:w="2552" w:type="dxa"/>
            <w:vAlign w:val="center"/>
          </w:tcPr>
          <w:p w14:paraId="70EA309D" w14:textId="06D32466" w:rsidR="003A53A0" w:rsidRPr="003A53A0" w:rsidRDefault="003A53A0" w:rsidP="003A53A0">
            <w:pPr>
              <w:pStyle w:val="TableText1"/>
              <w:rPr>
                <w:rFonts w:cs="Arial"/>
                <w:szCs w:val="20"/>
              </w:rPr>
            </w:pPr>
            <w:r w:rsidRPr="003A53A0">
              <w:rPr>
                <w:rFonts w:cs="Arial"/>
                <w:szCs w:val="20"/>
              </w:rPr>
              <w:t>All-Party Parliamentary Group on Vascular and Venous Disease</w:t>
            </w:r>
          </w:p>
        </w:tc>
        <w:tc>
          <w:tcPr>
            <w:tcW w:w="1417" w:type="dxa"/>
            <w:vAlign w:val="center"/>
          </w:tcPr>
          <w:p w14:paraId="6357F86F" w14:textId="6D27FE9F" w:rsidR="003A53A0" w:rsidRPr="003A53A0" w:rsidRDefault="003A53A0" w:rsidP="003A53A0">
            <w:pPr>
              <w:pStyle w:val="TableText1"/>
              <w:rPr>
                <w:rFonts w:cs="Arial"/>
                <w:bCs/>
                <w:szCs w:val="20"/>
              </w:rPr>
            </w:pPr>
            <w:r w:rsidRPr="003A53A0">
              <w:rPr>
                <w:rFonts w:cs="Arial"/>
                <w:bCs/>
                <w:iCs/>
                <w:szCs w:val="20"/>
              </w:rPr>
              <w:t>Statement 3 (rationale)</w:t>
            </w:r>
          </w:p>
        </w:tc>
        <w:tc>
          <w:tcPr>
            <w:tcW w:w="10632" w:type="dxa"/>
            <w:vAlign w:val="center"/>
          </w:tcPr>
          <w:p w14:paraId="326001FD" w14:textId="77777777" w:rsidR="003A53A0" w:rsidRPr="003A53A0" w:rsidRDefault="003A53A0" w:rsidP="003A53A0">
            <w:pPr>
              <w:rPr>
                <w:rFonts w:ascii="Arial" w:hAnsi="Arial" w:cs="Arial"/>
                <w:sz w:val="20"/>
                <w:szCs w:val="20"/>
              </w:rPr>
            </w:pPr>
            <w:r w:rsidRPr="003A53A0">
              <w:rPr>
                <w:rFonts w:ascii="Arial" w:hAnsi="Arial" w:cs="Arial"/>
                <w:sz w:val="20"/>
                <w:szCs w:val="20"/>
              </w:rPr>
              <w:t>This draft quality standard does support a key area for quality improvement.</w:t>
            </w:r>
          </w:p>
          <w:p w14:paraId="283913DD" w14:textId="77777777" w:rsidR="003A53A0" w:rsidRPr="003A53A0" w:rsidRDefault="003A53A0" w:rsidP="003A53A0">
            <w:pPr>
              <w:rPr>
                <w:rFonts w:ascii="Arial" w:hAnsi="Arial" w:cs="Arial"/>
                <w:sz w:val="20"/>
                <w:szCs w:val="20"/>
              </w:rPr>
            </w:pPr>
            <w:r w:rsidRPr="003A53A0">
              <w:rPr>
                <w:rFonts w:ascii="Arial" w:hAnsi="Arial" w:cs="Arial"/>
                <w:sz w:val="20"/>
                <w:szCs w:val="20"/>
              </w:rPr>
              <w:t>-This data could be collected locally by an audit process involving both the vascular ultrasound department and the local audit team.</w:t>
            </w:r>
          </w:p>
          <w:p w14:paraId="30BBCDAB" w14:textId="77777777" w:rsidR="003A53A0" w:rsidRPr="003A53A0" w:rsidRDefault="003A53A0" w:rsidP="003A53A0">
            <w:pPr>
              <w:rPr>
                <w:rFonts w:ascii="Arial" w:hAnsi="Arial" w:cs="Arial"/>
                <w:sz w:val="20"/>
                <w:szCs w:val="20"/>
              </w:rPr>
            </w:pPr>
            <w:r w:rsidRPr="003A53A0">
              <w:rPr>
                <w:rFonts w:ascii="Arial" w:hAnsi="Arial" w:cs="Arial"/>
                <w:sz w:val="20"/>
                <w:szCs w:val="20"/>
              </w:rPr>
              <w:t>-Service providers would have to ensure that pathways are in place for ultrasounds scans to be done within 4 hours and if this is not possible, in certain organisations over the weekend, then pathways should be in place for these scans to be performed within 24 hours. The pathways should also provide guidance on interim anticoagulation.</w:t>
            </w:r>
          </w:p>
          <w:p w14:paraId="2FCDDE6E" w14:textId="77777777" w:rsidR="003A53A0" w:rsidRPr="003A53A0" w:rsidRDefault="003A53A0" w:rsidP="003A53A0">
            <w:pPr>
              <w:rPr>
                <w:rFonts w:ascii="Arial" w:hAnsi="Arial" w:cs="Arial"/>
                <w:sz w:val="20"/>
                <w:szCs w:val="20"/>
              </w:rPr>
            </w:pPr>
          </w:p>
          <w:p w14:paraId="07DAFC7A" w14:textId="77777777" w:rsidR="003A53A0" w:rsidRPr="003A53A0" w:rsidRDefault="003A53A0" w:rsidP="003A53A0">
            <w:pPr>
              <w:rPr>
                <w:rFonts w:ascii="Arial" w:hAnsi="Arial" w:cs="Arial"/>
                <w:sz w:val="20"/>
                <w:szCs w:val="20"/>
              </w:rPr>
            </w:pPr>
            <w:r w:rsidRPr="003A53A0">
              <w:rPr>
                <w:rFonts w:ascii="Arial" w:hAnsi="Arial" w:cs="Arial"/>
                <w:sz w:val="20"/>
                <w:szCs w:val="20"/>
              </w:rPr>
              <w:t>-Requests for proximal leg vein ultrasound scans are usually made in a timely manner however delays in performing the scan may be delayed (for example over the weekend).</w:t>
            </w:r>
          </w:p>
          <w:p w14:paraId="771497FA" w14:textId="77777777" w:rsidR="003A53A0" w:rsidRPr="003A53A0" w:rsidRDefault="003A53A0" w:rsidP="003A53A0">
            <w:pPr>
              <w:rPr>
                <w:rFonts w:ascii="Arial" w:hAnsi="Arial" w:cs="Arial"/>
                <w:sz w:val="20"/>
                <w:szCs w:val="20"/>
              </w:rPr>
            </w:pPr>
          </w:p>
          <w:p w14:paraId="40E2AED7" w14:textId="6C1752D8" w:rsidR="003A53A0" w:rsidRPr="003A53A0" w:rsidRDefault="003A53A0" w:rsidP="003A53A0">
            <w:pPr>
              <w:pStyle w:val="TableText1"/>
              <w:rPr>
                <w:rFonts w:cs="Arial"/>
                <w:szCs w:val="20"/>
              </w:rPr>
            </w:pPr>
            <w:r w:rsidRPr="003A53A0">
              <w:rPr>
                <w:rFonts w:cs="Arial"/>
                <w:szCs w:val="20"/>
              </w:rPr>
              <w:t>-Limiting the ultrasound to the proximal leg vein will miss patients with ileo-femoral DVT, which have the poorest outcomes. We would kindly suggest that ultrasound is conducted as mentioned and extended onto the confluence of the IVC.</w:t>
            </w:r>
          </w:p>
        </w:tc>
      </w:tr>
      <w:tr w:rsidR="003A53A0" w:rsidRPr="003A53A0" w14:paraId="3502D756" w14:textId="77777777" w:rsidTr="00F60DF7">
        <w:tc>
          <w:tcPr>
            <w:tcW w:w="675" w:type="dxa"/>
            <w:vAlign w:val="center"/>
          </w:tcPr>
          <w:p w14:paraId="465F24ED" w14:textId="1BE3A08F" w:rsidR="003A53A0" w:rsidRPr="003A53A0" w:rsidRDefault="00F60DF7" w:rsidP="00F60DF7">
            <w:pPr>
              <w:pStyle w:val="TableText1"/>
              <w:rPr>
                <w:rFonts w:cs="Arial"/>
                <w:szCs w:val="20"/>
              </w:rPr>
            </w:pPr>
            <w:r>
              <w:rPr>
                <w:rFonts w:cs="Arial"/>
                <w:szCs w:val="20"/>
              </w:rPr>
              <w:t>72</w:t>
            </w:r>
          </w:p>
        </w:tc>
        <w:tc>
          <w:tcPr>
            <w:tcW w:w="2552" w:type="dxa"/>
            <w:vAlign w:val="center"/>
          </w:tcPr>
          <w:p w14:paraId="4B18789B" w14:textId="55D22094" w:rsidR="003A53A0" w:rsidRPr="003A53A0" w:rsidRDefault="003A53A0" w:rsidP="003A53A0">
            <w:pPr>
              <w:pStyle w:val="TableText1"/>
              <w:rPr>
                <w:rFonts w:cs="Arial"/>
                <w:szCs w:val="20"/>
              </w:rPr>
            </w:pPr>
            <w:r w:rsidRPr="003A53A0">
              <w:rPr>
                <w:rFonts w:cs="Arial"/>
                <w:szCs w:val="20"/>
              </w:rPr>
              <w:t>British Geriatrics Society</w:t>
            </w:r>
          </w:p>
        </w:tc>
        <w:tc>
          <w:tcPr>
            <w:tcW w:w="1417" w:type="dxa"/>
            <w:vAlign w:val="center"/>
          </w:tcPr>
          <w:p w14:paraId="04D7AA5A" w14:textId="7938AE32" w:rsidR="003A53A0" w:rsidRPr="003A53A0" w:rsidRDefault="003A53A0" w:rsidP="003A53A0">
            <w:pPr>
              <w:pStyle w:val="TableText1"/>
              <w:rPr>
                <w:rFonts w:cs="Arial"/>
                <w:bCs/>
                <w:szCs w:val="20"/>
              </w:rPr>
            </w:pPr>
            <w:r w:rsidRPr="003A53A0">
              <w:rPr>
                <w:rFonts w:cs="Arial"/>
                <w:bCs/>
                <w:iCs/>
                <w:szCs w:val="20"/>
              </w:rPr>
              <w:t>Statement 3</w:t>
            </w:r>
          </w:p>
        </w:tc>
        <w:tc>
          <w:tcPr>
            <w:tcW w:w="10632" w:type="dxa"/>
            <w:vAlign w:val="center"/>
          </w:tcPr>
          <w:p w14:paraId="60AF0294" w14:textId="0E7FAB9A" w:rsidR="003A53A0" w:rsidRPr="003A53A0" w:rsidRDefault="003A53A0" w:rsidP="003A53A0">
            <w:pPr>
              <w:pStyle w:val="TableText1"/>
              <w:rPr>
                <w:rFonts w:cs="Arial"/>
                <w:szCs w:val="20"/>
              </w:rPr>
            </w:pPr>
            <w:r w:rsidRPr="003A53A0">
              <w:rPr>
                <w:rFonts w:cs="Arial"/>
                <w:szCs w:val="20"/>
              </w:rPr>
              <w:t>The rationale for the timing of this standard appears less clear. Delivering Doppler ultrasound scanning within 4 hours of any suspicion of DVT is unlikely to be feasible. Most acute units have adopted ambulatory care pathways for these patients to remove them from an unselected admission queue (poor experience for patients) and provide the convenience of a booked appointment slot with a confirmed scan time. The rationale for this 4-hour standard appears to be the avoidance of unnecessary heparin treatment, but more evidence would need to be presented on the risks/harm of this approach. To genuinely provide a 24/7 ultrasound service would represent a significant cost that is unlikely to be justified for these risks, except in specific cases where a bleeding disorder exists. However, the document does note a more important problem of extreme delays to Doppler scanning resulting in multiple consecutive days of heparin treatment without diagnosis which does appear to be suboptimal care. It may be more sensible to target the quality standard timeframe to specifically identify these events, by extending the acceptable time window to 24 hours. This would be in keeping with reasonable expectations from high-quality ambulatory care services for management of these patients and would limit prophylactic heparin treatment to a single dose before diagnosis is made.</w:t>
            </w:r>
          </w:p>
        </w:tc>
      </w:tr>
      <w:tr w:rsidR="003A53A0" w:rsidRPr="003A53A0" w14:paraId="6D48D05E" w14:textId="77777777" w:rsidTr="00F60DF7">
        <w:tc>
          <w:tcPr>
            <w:tcW w:w="675" w:type="dxa"/>
            <w:vAlign w:val="center"/>
          </w:tcPr>
          <w:p w14:paraId="490BC37A" w14:textId="5A198614" w:rsidR="003A53A0" w:rsidRPr="003A53A0" w:rsidRDefault="00F60DF7" w:rsidP="00F60DF7">
            <w:pPr>
              <w:pStyle w:val="TableText1"/>
              <w:rPr>
                <w:rFonts w:cs="Arial"/>
                <w:szCs w:val="20"/>
              </w:rPr>
            </w:pPr>
            <w:r>
              <w:rPr>
                <w:rFonts w:cs="Arial"/>
                <w:szCs w:val="20"/>
              </w:rPr>
              <w:t>73</w:t>
            </w:r>
          </w:p>
        </w:tc>
        <w:tc>
          <w:tcPr>
            <w:tcW w:w="2552" w:type="dxa"/>
            <w:vAlign w:val="center"/>
          </w:tcPr>
          <w:p w14:paraId="6356F2DD" w14:textId="52E6FB1A" w:rsidR="003A53A0" w:rsidRPr="003A53A0" w:rsidRDefault="003A53A0" w:rsidP="003A53A0">
            <w:pPr>
              <w:pStyle w:val="TableText1"/>
              <w:rPr>
                <w:rFonts w:cs="Arial"/>
                <w:szCs w:val="20"/>
              </w:rPr>
            </w:pPr>
            <w:r w:rsidRPr="003A53A0">
              <w:rPr>
                <w:rFonts w:cs="Arial"/>
                <w:szCs w:val="20"/>
              </w:rPr>
              <w:t>British Orthopaedic Association</w:t>
            </w:r>
          </w:p>
        </w:tc>
        <w:tc>
          <w:tcPr>
            <w:tcW w:w="1417" w:type="dxa"/>
            <w:vAlign w:val="center"/>
          </w:tcPr>
          <w:p w14:paraId="19AFF66F" w14:textId="023BEB37" w:rsidR="003A53A0" w:rsidRPr="003A53A0" w:rsidRDefault="003A53A0" w:rsidP="003A53A0">
            <w:pPr>
              <w:pStyle w:val="TableText1"/>
              <w:rPr>
                <w:rFonts w:cs="Arial"/>
                <w:bCs/>
                <w:szCs w:val="20"/>
              </w:rPr>
            </w:pPr>
            <w:r w:rsidRPr="003A53A0">
              <w:rPr>
                <w:rFonts w:cs="Arial"/>
                <w:bCs/>
                <w:iCs/>
                <w:szCs w:val="20"/>
              </w:rPr>
              <w:t>Statement 3</w:t>
            </w:r>
          </w:p>
        </w:tc>
        <w:tc>
          <w:tcPr>
            <w:tcW w:w="10632" w:type="dxa"/>
            <w:vAlign w:val="center"/>
          </w:tcPr>
          <w:p w14:paraId="0E8DB441" w14:textId="393AEE64" w:rsidR="003A53A0" w:rsidRPr="003A53A0" w:rsidRDefault="0032423B" w:rsidP="003A53A0">
            <w:pPr>
              <w:pStyle w:val="TableText1"/>
              <w:rPr>
                <w:rFonts w:cs="Arial"/>
                <w:szCs w:val="20"/>
              </w:rPr>
            </w:pPr>
            <w:r>
              <w:rPr>
                <w:rFonts w:cs="Arial"/>
                <w:szCs w:val="20"/>
              </w:rPr>
              <w:t>N</w:t>
            </w:r>
            <w:r w:rsidR="003A53A0" w:rsidRPr="003A53A0">
              <w:rPr>
                <w:rFonts w:cs="Arial"/>
                <w:szCs w:val="20"/>
              </w:rPr>
              <w:t>o additional comments</w:t>
            </w:r>
          </w:p>
        </w:tc>
      </w:tr>
      <w:tr w:rsidR="003A53A0" w:rsidRPr="003A53A0" w14:paraId="6509F865" w14:textId="77777777" w:rsidTr="00F60DF7">
        <w:tc>
          <w:tcPr>
            <w:tcW w:w="675" w:type="dxa"/>
            <w:vAlign w:val="center"/>
          </w:tcPr>
          <w:p w14:paraId="1D6E8D2D" w14:textId="5CD547E4" w:rsidR="003A53A0" w:rsidRPr="003A53A0" w:rsidRDefault="00F60DF7" w:rsidP="00F60DF7">
            <w:pPr>
              <w:pStyle w:val="TableText1"/>
              <w:rPr>
                <w:rFonts w:cs="Arial"/>
                <w:szCs w:val="20"/>
              </w:rPr>
            </w:pPr>
            <w:r>
              <w:rPr>
                <w:rFonts w:cs="Arial"/>
                <w:szCs w:val="20"/>
              </w:rPr>
              <w:t>74</w:t>
            </w:r>
          </w:p>
        </w:tc>
        <w:tc>
          <w:tcPr>
            <w:tcW w:w="2552" w:type="dxa"/>
            <w:vAlign w:val="center"/>
          </w:tcPr>
          <w:p w14:paraId="352AC7E6" w14:textId="61FE93AC" w:rsidR="003A53A0" w:rsidRPr="003A53A0" w:rsidRDefault="003A53A0" w:rsidP="003A53A0">
            <w:pPr>
              <w:pStyle w:val="TableText1"/>
              <w:rPr>
                <w:rFonts w:cs="Arial"/>
                <w:szCs w:val="20"/>
              </w:rPr>
            </w:pPr>
            <w:r w:rsidRPr="003A53A0">
              <w:rPr>
                <w:rFonts w:cs="Arial"/>
                <w:szCs w:val="20"/>
              </w:rPr>
              <w:t>British Thoracic Society</w:t>
            </w:r>
          </w:p>
        </w:tc>
        <w:tc>
          <w:tcPr>
            <w:tcW w:w="1417" w:type="dxa"/>
            <w:vAlign w:val="center"/>
          </w:tcPr>
          <w:p w14:paraId="45438025" w14:textId="7E7429B6" w:rsidR="003A53A0" w:rsidRPr="003A53A0" w:rsidRDefault="003A53A0" w:rsidP="003A53A0">
            <w:pPr>
              <w:pStyle w:val="TableText1"/>
              <w:rPr>
                <w:rFonts w:cs="Arial"/>
                <w:bCs/>
                <w:szCs w:val="20"/>
              </w:rPr>
            </w:pPr>
            <w:r w:rsidRPr="003A53A0">
              <w:rPr>
                <w:rFonts w:cs="Arial"/>
                <w:bCs/>
                <w:iCs/>
                <w:szCs w:val="20"/>
              </w:rPr>
              <w:t>Statement 3</w:t>
            </w:r>
          </w:p>
        </w:tc>
        <w:tc>
          <w:tcPr>
            <w:tcW w:w="10632" w:type="dxa"/>
            <w:vAlign w:val="center"/>
          </w:tcPr>
          <w:p w14:paraId="49713177" w14:textId="77777777" w:rsidR="003A53A0" w:rsidRPr="003A53A0" w:rsidRDefault="003A53A0" w:rsidP="003A53A0">
            <w:pPr>
              <w:rPr>
                <w:rFonts w:ascii="Arial" w:hAnsi="Arial" w:cs="Arial"/>
                <w:sz w:val="20"/>
                <w:szCs w:val="20"/>
              </w:rPr>
            </w:pPr>
            <w:r w:rsidRPr="003A53A0">
              <w:rPr>
                <w:rFonts w:ascii="Arial" w:hAnsi="Arial" w:cs="Arial"/>
                <w:sz w:val="20"/>
                <w:szCs w:val="20"/>
              </w:rPr>
              <w:t>Statement 3 seems impractical and unachievable. The delay is not in the requesting of scans but in the time from request to scan being performed. DVT scanning slots are typically unavailable out of office hours and limited at weekends. Most patients in practice therefore get their scan the next day at the earliest and often longer if presenting over the weekend. The previous statement re: anticoagulation within one hour seemed more appropriate?</w:t>
            </w:r>
          </w:p>
          <w:p w14:paraId="16836FEF" w14:textId="77777777" w:rsidR="003A53A0" w:rsidRPr="003A53A0" w:rsidRDefault="003A53A0" w:rsidP="003A53A0">
            <w:pPr>
              <w:rPr>
                <w:rFonts w:ascii="Arial" w:hAnsi="Arial" w:cs="Arial"/>
                <w:sz w:val="20"/>
                <w:szCs w:val="20"/>
              </w:rPr>
            </w:pPr>
          </w:p>
          <w:p w14:paraId="4997F11E" w14:textId="4B69E529" w:rsidR="003A53A0" w:rsidRPr="003A53A0" w:rsidRDefault="003A53A0" w:rsidP="003A53A0">
            <w:pPr>
              <w:pStyle w:val="TableText1"/>
              <w:rPr>
                <w:rFonts w:cs="Arial"/>
                <w:szCs w:val="20"/>
              </w:rPr>
            </w:pPr>
            <w:r w:rsidRPr="003A53A0">
              <w:rPr>
                <w:rFonts w:cs="Arial"/>
                <w:szCs w:val="20"/>
              </w:rPr>
              <w:lastRenderedPageBreak/>
              <w:t>It seems unrealistic that Doppler US scans requested outwith 8am-5pm will be done within 4 hours – the likely solution will be that these scans only get requested in normal hours</w:t>
            </w:r>
          </w:p>
        </w:tc>
      </w:tr>
      <w:tr w:rsidR="003A53A0" w:rsidRPr="003A53A0" w14:paraId="3B2984AF" w14:textId="77777777" w:rsidTr="00F60DF7">
        <w:tc>
          <w:tcPr>
            <w:tcW w:w="675" w:type="dxa"/>
            <w:vAlign w:val="center"/>
          </w:tcPr>
          <w:p w14:paraId="4A8B1521" w14:textId="4739EA39" w:rsidR="003A53A0" w:rsidRPr="003A53A0" w:rsidRDefault="00F60DF7" w:rsidP="00F60DF7">
            <w:pPr>
              <w:pStyle w:val="TableText1"/>
              <w:rPr>
                <w:rFonts w:cs="Arial"/>
                <w:szCs w:val="20"/>
              </w:rPr>
            </w:pPr>
            <w:r>
              <w:rPr>
                <w:rFonts w:cs="Arial"/>
                <w:szCs w:val="20"/>
              </w:rPr>
              <w:lastRenderedPageBreak/>
              <w:t>75</w:t>
            </w:r>
          </w:p>
        </w:tc>
        <w:tc>
          <w:tcPr>
            <w:tcW w:w="2552" w:type="dxa"/>
            <w:vAlign w:val="center"/>
          </w:tcPr>
          <w:p w14:paraId="54B6760B" w14:textId="38893EB8" w:rsidR="003A53A0" w:rsidRPr="003A53A0" w:rsidRDefault="003A53A0" w:rsidP="003A53A0">
            <w:pPr>
              <w:pStyle w:val="TableText1"/>
              <w:rPr>
                <w:rFonts w:cs="Arial"/>
                <w:szCs w:val="20"/>
              </w:rPr>
            </w:pPr>
            <w:r w:rsidRPr="003A53A0">
              <w:rPr>
                <w:rFonts w:cs="Arial"/>
                <w:szCs w:val="20"/>
              </w:rPr>
              <w:t>Chelsea and Westminster Hospital NHS Foundation Trust</w:t>
            </w:r>
          </w:p>
        </w:tc>
        <w:tc>
          <w:tcPr>
            <w:tcW w:w="1417" w:type="dxa"/>
            <w:vAlign w:val="center"/>
          </w:tcPr>
          <w:p w14:paraId="76DB62C7" w14:textId="0437F71C" w:rsidR="003A53A0" w:rsidRPr="003A53A0" w:rsidRDefault="003A53A0" w:rsidP="003A53A0">
            <w:pPr>
              <w:pStyle w:val="TableText1"/>
              <w:rPr>
                <w:rFonts w:cs="Arial"/>
                <w:bCs/>
                <w:szCs w:val="20"/>
              </w:rPr>
            </w:pPr>
            <w:r w:rsidRPr="003A53A0">
              <w:rPr>
                <w:rFonts w:cs="Arial"/>
                <w:bCs/>
                <w:iCs/>
                <w:szCs w:val="20"/>
              </w:rPr>
              <w:t>Statement 3</w:t>
            </w:r>
          </w:p>
        </w:tc>
        <w:tc>
          <w:tcPr>
            <w:tcW w:w="10632" w:type="dxa"/>
            <w:vAlign w:val="center"/>
          </w:tcPr>
          <w:p w14:paraId="596963E1" w14:textId="720F8D9D" w:rsidR="003A53A0" w:rsidRPr="003A53A0" w:rsidRDefault="003A53A0" w:rsidP="003A53A0">
            <w:pPr>
              <w:pStyle w:val="TableText1"/>
              <w:rPr>
                <w:rFonts w:cs="Arial"/>
                <w:szCs w:val="20"/>
              </w:rPr>
            </w:pPr>
            <w:r w:rsidRPr="003A53A0">
              <w:rPr>
                <w:rFonts w:cs="Arial"/>
                <w:szCs w:val="20"/>
              </w:rPr>
              <w:t>‘Proximal leg vein ultrasound within 4 hours of request’ unlikely to be achieved as dependent on local radiology services – to include in the statement that interim anticoagulation therapy should be offered if more than 4 hours for a proximal leg vein ultrasound performed, with review of anticoagulation following imaging diagnosis</w:t>
            </w:r>
          </w:p>
        </w:tc>
      </w:tr>
      <w:tr w:rsidR="003A53A0" w:rsidRPr="003A53A0" w14:paraId="56EE7EE2" w14:textId="77777777" w:rsidTr="00F60DF7">
        <w:tc>
          <w:tcPr>
            <w:tcW w:w="675" w:type="dxa"/>
            <w:vAlign w:val="center"/>
          </w:tcPr>
          <w:p w14:paraId="42D3EE2A" w14:textId="65D9B96C" w:rsidR="003A53A0" w:rsidRPr="003A53A0" w:rsidRDefault="00F60DF7" w:rsidP="00F60DF7">
            <w:pPr>
              <w:pStyle w:val="TableText1"/>
              <w:rPr>
                <w:rFonts w:cs="Arial"/>
                <w:szCs w:val="20"/>
              </w:rPr>
            </w:pPr>
            <w:r>
              <w:rPr>
                <w:rFonts w:cs="Arial"/>
                <w:szCs w:val="20"/>
              </w:rPr>
              <w:t>76</w:t>
            </w:r>
          </w:p>
        </w:tc>
        <w:tc>
          <w:tcPr>
            <w:tcW w:w="2552" w:type="dxa"/>
            <w:vAlign w:val="center"/>
          </w:tcPr>
          <w:p w14:paraId="57648AC3" w14:textId="59B8B2D3" w:rsidR="003A53A0" w:rsidRPr="003A53A0" w:rsidRDefault="003A53A0" w:rsidP="003A53A0">
            <w:pPr>
              <w:pStyle w:val="TableText1"/>
              <w:rPr>
                <w:rFonts w:cs="Arial"/>
                <w:szCs w:val="20"/>
              </w:rPr>
            </w:pPr>
            <w:r w:rsidRPr="003A53A0">
              <w:rPr>
                <w:rFonts w:cs="Arial"/>
                <w:szCs w:val="20"/>
              </w:rPr>
              <w:t>Chelsea and Westminster Hospital NHS Foundation Trust</w:t>
            </w:r>
          </w:p>
        </w:tc>
        <w:tc>
          <w:tcPr>
            <w:tcW w:w="1417" w:type="dxa"/>
            <w:vAlign w:val="center"/>
          </w:tcPr>
          <w:p w14:paraId="472C3BF2" w14:textId="1DB12CFC" w:rsidR="003A53A0" w:rsidRPr="003A53A0" w:rsidRDefault="003A53A0" w:rsidP="003A53A0">
            <w:pPr>
              <w:pStyle w:val="TableText1"/>
              <w:rPr>
                <w:rFonts w:cs="Arial"/>
                <w:bCs/>
                <w:szCs w:val="20"/>
              </w:rPr>
            </w:pPr>
            <w:r w:rsidRPr="003A53A0">
              <w:rPr>
                <w:rFonts w:cs="Arial"/>
                <w:bCs/>
                <w:iCs/>
                <w:szCs w:val="20"/>
              </w:rPr>
              <w:t>Statement 3</w:t>
            </w:r>
          </w:p>
        </w:tc>
        <w:tc>
          <w:tcPr>
            <w:tcW w:w="10632" w:type="dxa"/>
            <w:vAlign w:val="center"/>
          </w:tcPr>
          <w:p w14:paraId="07049C58" w14:textId="31177B57" w:rsidR="003A53A0" w:rsidRPr="003A53A0" w:rsidRDefault="003A53A0" w:rsidP="003A53A0">
            <w:pPr>
              <w:pStyle w:val="TableText1"/>
              <w:rPr>
                <w:rFonts w:cs="Arial"/>
                <w:szCs w:val="20"/>
              </w:rPr>
            </w:pPr>
            <w:r w:rsidRPr="003A53A0">
              <w:rPr>
                <w:rFonts w:cs="Arial"/>
                <w:szCs w:val="20"/>
              </w:rPr>
              <w:t>Statement would need to indicate prioritisation of imaging and radiology services/equipment/personnel to support this implementation of this statement</w:t>
            </w:r>
          </w:p>
        </w:tc>
      </w:tr>
      <w:tr w:rsidR="003A53A0" w:rsidRPr="003A53A0" w14:paraId="7AC2B738" w14:textId="77777777" w:rsidTr="00F60DF7">
        <w:tc>
          <w:tcPr>
            <w:tcW w:w="675" w:type="dxa"/>
            <w:vAlign w:val="center"/>
          </w:tcPr>
          <w:p w14:paraId="168696AB" w14:textId="0347D03F" w:rsidR="003A53A0" w:rsidRPr="003A53A0" w:rsidRDefault="00F60DF7" w:rsidP="00F60DF7">
            <w:pPr>
              <w:pStyle w:val="TableText1"/>
              <w:rPr>
                <w:rFonts w:cs="Arial"/>
                <w:szCs w:val="20"/>
              </w:rPr>
            </w:pPr>
            <w:r>
              <w:rPr>
                <w:rFonts w:cs="Arial"/>
                <w:szCs w:val="20"/>
              </w:rPr>
              <w:t>77</w:t>
            </w:r>
          </w:p>
        </w:tc>
        <w:tc>
          <w:tcPr>
            <w:tcW w:w="2552" w:type="dxa"/>
            <w:vAlign w:val="center"/>
          </w:tcPr>
          <w:p w14:paraId="444EED8C" w14:textId="6CE3907E" w:rsidR="003A53A0" w:rsidRPr="003A53A0" w:rsidRDefault="003A53A0" w:rsidP="003A53A0">
            <w:pPr>
              <w:pStyle w:val="TableText1"/>
              <w:rPr>
                <w:rFonts w:cs="Arial"/>
                <w:szCs w:val="20"/>
              </w:rPr>
            </w:pPr>
            <w:r w:rsidRPr="003A53A0">
              <w:rPr>
                <w:rFonts w:cs="Arial"/>
                <w:szCs w:val="20"/>
              </w:rPr>
              <w:t>Clinical Leaders of Thrombosis</w:t>
            </w:r>
          </w:p>
        </w:tc>
        <w:tc>
          <w:tcPr>
            <w:tcW w:w="1417" w:type="dxa"/>
            <w:vAlign w:val="center"/>
          </w:tcPr>
          <w:p w14:paraId="22FBDC04" w14:textId="712B3472" w:rsidR="003A53A0" w:rsidRPr="003A53A0" w:rsidRDefault="003A53A0" w:rsidP="003A53A0">
            <w:pPr>
              <w:pStyle w:val="TableText1"/>
              <w:rPr>
                <w:rFonts w:cs="Arial"/>
                <w:bCs/>
                <w:szCs w:val="20"/>
              </w:rPr>
            </w:pPr>
            <w:r w:rsidRPr="003A53A0">
              <w:rPr>
                <w:rFonts w:cs="Arial"/>
                <w:bCs/>
                <w:iCs/>
                <w:szCs w:val="20"/>
              </w:rPr>
              <w:t>Statement 3</w:t>
            </w:r>
          </w:p>
        </w:tc>
        <w:tc>
          <w:tcPr>
            <w:tcW w:w="10632" w:type="dxa"/>
            <w:vAlign w:val="center"/>
          </w:tcPr>
          <w:p w14:paraId="33345C39" w14:textId="2187F13A" w:rsidR="003A53A0" w:rsidRPr="003A53A0" w:rsidRDefault="003A53A0" w:rsidP="003A53A0">
            <w:pPr>
              <w:pStyle w:val="TableText1"/>
              <w:rPr>
                <w:rFonts w:cs="Arial"/>
                <w:szCs w:val="20"/>
              </w:rPr>
            </w:pPr>
            <w:r w:rsidRPr="003A53A0">
              <w:rPr>
                <w:rFonts w:cs="Arial"/>
                <w:szCs w:val="20"/>
              </w:rPr>
              <w:t>Many hospitals are unable to offer Doppler ultrasound screening for DVT at weekends so achieve even within 24 hours of presentation let alone within 4 hours a scan will not be possible. The priority would be to ensure appropriate treatment is prescribed and a scan booked should be the priority</w:t>
            </w:r>
          </w:p>
        </w:tc>
      </w:tr>
      <w:tr w:rsidR="003A53A0" w:rsidRPr="003A53A0" w14:paraId="4901803D" w14:textId="77777777" w:rsidTr="00F60DF7">
        <w:tc>
          <w:tcPr>
            <w:tcW w:w="675" w:type="dxa"/>
            <w:vAlign w:val="center"/>
          </w:tcPr>
          <w:p w14:paraId="1AFBC83F" w14:textId="04339CAB" w:rsidR="003A53A0" w:rsidRPr="003A53A0" w:rsidRDefault="00F60DF7" w:rsidP="00F60DF7">
            <w:pPr>
              <w:pStyle w:val="TableText1"/>
              <w:rPr>
                <w:rFonts w:cs="Arial"/>
                <w:szCs w:val="20"/>
              </w:rPr>
            </w:pPr>
            <w:r>
              <w:rPr>
                <w:rFonts w:cs="Arial"/>
                <w:szCs w:val="20"/>
              </w:rPr>
              <w:t>78</w:t>
            </w:r>
          </w:p>
        </w:tc>
        <w:tc>
          <w:tcPr>
            <w:tcW w:w="2552" w:type="dxa"/>
            <w:vAlign w:val="center"/>
          </w:tcPr>
          <w:p w14:paraId="483DD7C0" w14:textId="773E02A0" w:rsidR="003A53A0" w:rsidRPr="003A53A0" w:rsidRDefault="003A53A0" w:rsidP="003A53A0">
            <w:pPr>
              <w:pStyle w:val="TableText1"/>
              <w:rPr>
                <w:rFonts w:cs="Arial"/>
                <w:szCs w:val="20"/>
              </w:rPr>
            </w:pPr>
            <w:r w:rsidRPr="003A53A0">
              <w:rPr>
                <w:rFonts w:cs="Arial"/>
                <w:szCs w:val="20"/>
              </w:rPr>
              <w:t>LEO Pharma</w:t>
            </w:r>
          </w:p>
        </w:tc>
        <w:tc>
          <w:tcPr>
            <w:tcW w:w="1417" w:type="dxa"/>
            <w:vAlign w:val="center"/>
          </w:tcPr>
          <w:p w14:paraId="078AC9CE" w14:textId="20F7BC0C" w:rsidR="003A53A0" w:rsidRPr="003A53A0" w:rsidRDefault="003A53A0" w:rsidP="003A53A0">
            <w:pPr>
              <w:pStyle w:val="TableText1"/>
              <w:rPr>
                <w:rFonts w:cs="Arial"/>
                <w:bCs/>
                <w:szCs w:val="20"/>
              </w:rPr>
            </w:pPr>
            <w:r w:rsidRPr="003A53A0">
              <w:rPr>
                <w:rFonts w:cs="Arial"/>
                <w:bCs/>
                <w:iCs/>
                <w:szCs w:val="20"/>
              </w:rPr>
              <w:t>Statement 3</w:t>
            </w:r>
          </w:p>
        </w:tc>
        <w:tc>
          <w:tcPr>
            <w:tcW w:w="10632" w:type="dxa"/>
            <w:vAlign w:val="center"/>
          </w:tcPr>
          <w:p w14:paraId="726C8A45" w14:textId="5AF5DF04" w:rsidR="003A53A0" w:rsidRPr="003A53A0" w:rsidRDefault="003A53A0" w:rsidP="003A53A0">
            <w:pPr>
              <w:pStyle w:val="TableText1"/>
              <w:rPr>
                <w:rFonts w:cs="Arial"/>
                <w:szCs w:val="20"/>
              </w:rPr>
            </w:pPr>
            <w:r w:rsidRPr="003A53A0">
              <w:rPr>
                <w:rFonts w:cs="Arial"/>
                <w:szCs w:val="20"/>
              </w:rPr>
              <w:t>This quality statement does not make clear whether the patient will be treated immediately/timescale following positive result of the proximal leg vein ultrasound scan. It should refer to this to allow for patients to be treated in a timely manner and appropriately depending on license and individual case history</w:t>
            </w:r>
          </w:p>
        </w:tc>
      </w:tr>
      <w:tr w:rsidR="003A53A0" w:rsidRPr="003A53A0" w14:paraId="47D4342F" w14:textId="77777777" w:rsidTr="00F60DF7">
        <w:tc>
          <w:tcPr>
            <w:tcW w:w="675" w:type="dxa"/>
            <w:vAlign w:val="center"/>
          </w:tcPr>
          <w:p w14:paraId="59A171B6" w14:textId="74B70F5F" w:rsidR="003A53A0" w:rsidRPr="003A53A0" w:rsidRDefault="00F60DF7" w:rsidP="00F60DF7">
            <w:pPr>
              <w:pStyle w:val="TableText1"/>
              <w:rPr>
                <w:rFonts w:cs="Arial"/>
                <w:szCs w:val="20"/>
              </w:rPr>
            </w:pPr>
            <w:r>
              <w:rPr>
                <w:rFonts w:cs="Arial"/>
                <w:szCs w:val="20"/>
              </w:rPr>
              <w:t>79</w:t>
            </w:r>
          </w:p>
        </w:tc>
        <w:tc>
          <w:tcPr>
            <w:tcW w:w="2552" w:type="dxa"/>
            <w:vAlign w:val="center"/>
          </w:tcPr>
          <w:p w14:paraId="21942CE2" w14:textId="2579814F" w:rsidR="003A53A0" w:rsidRPr="003A53A0" w:rsidRDefault="003A53A0" w:rsidP="003A53A0">
            <w:pPr>
              <w:pStyle w:val="TableText1"/>
              <w:rPr>
                <w:rFonts w:cs="Arial"/>
                <w:szCs w:val="20"/>
              </w:rPr>
            </w:pPr>
            <w:r w:rsidRPr="003A53A0">
              <w:rPr>
                <w:rFonts w:cs="Arial"/>
                <w:szCs w:val="20"/>
              </w:rPr>
              <w:t>King’s College Hospital NHS Foundation Trust</w:t>
            </w:r>
          </w:p>
        </w:tc>
        <w:tc>
          <w:tcPr>
            <w:tcW w:w="1417" w:type="dxa"/>
            <w:vAlign w:val="center"/>
          </w:tcPr>
          <w:p w14:paraId="4C8AA4CE" w14:textId="416279E8" w:rsidR="003A53A0" w:rsidRPr="003A53A0" w:rsidRDefault="003A53A0" w:rsidP="003A53A0">
            <w:pPr>
              <w:pStyle w:val="TableText1"/>
              <w:rPr>
                <w:rFonts w:cs="Arial"/>
                <w:bCs/>
                <w:szCs w:val="20"/>
              </w:rPr>
            </w:pPr>
            <w:r w:rsidRPr="003A53A0">
              <w:rPr>
                <w:rFonts w:cs="Arial"/>
                <w:bCs/>
                <w:iCs/>
                <w:szCs w:val="20"/>
              </w:rPr>
              <w:t>Statement 3</w:t>
            </w:r>
          </w:p>
        </w:tc>
        <w:tc>
          <w:tcPr>
            <w:tcW w:w="10632" w:type="dxa"/>
            <w:vAlign w:val="center"/>
          </w:tcPr>
          <w:p w14:paraId="79EB9AAF" w14:textId="77777777" w:rsidR="003A53A0" w:rsidRPr="003A53A0" w:rsidRDefault="003A53A0" w:rsidP="003A53A0">
            <w:pPr>
              <w:rPr>
                <w:rFonts w:ascii="Arial" w:hAnsi="Arial" w:cs="Arial"/>
                <w:sz w:val="20"/>
                <w:szCs w:val="20"/>
              </w:rPr>
            </w:pPr>
            <w:r w:rsidRPr="003A53A0">
              <w:rPr>
                <w:rFonts w:ascii="Arial" w:hAnsi="Arial" w:cs="Arial"/>
                <w:sz w:val="20"/>
                <w:szCs w:val="20"/>
              </w:rPr>
              <w:t>DVT scan within 4h will not be possible in many cases and this will not be a cost effective quality improvement. All randomised controlled trials investigating risk stratification strategies for DVT imaging allowed 48-72h of interim anticoagulation. The NICE guidance itself advocates imaging within 24h and this would be a more appropriate standard (as per the previous QS29). Given the NCEPOD report highlighted omissions in early treatment and delays in PE imaging, and the greater potential for harm with delays in PE treatment, it may be prudent to retain the previous QS29 (statement 3) for interim anticoagulation (where PE imaging is not possible) within 1h of clinical suspicion.</w:t>
            </w:r>
          </w:p>
          <w:p w14:paraId="7DE15058" w14:textId="5E9A30DF" w:rsidR="003A53A0" w:rsidRPr="003A53A0" w:rsidRDefault="003A53A0" w:rsidP="003A53A0">
            <w:pPr>
              <w:pStyle w:val="TableText1"/>
              <w:rPr>
                <w:rFonts w:cs="Arial"/>
                <w:szCs w:val="20"/>
              </w:rPr>
            </w:pPr>
            <w:r w:rsidRPr="003A53A0">
              <w:rPr>
                <w:rFonts w:cs="Arial"/>
                <w:szCs w:val="20"/>
              </w:rPr>
              <w:t>Delays uncommon in our experience and already monitored locally for targeted improvement. We see very few adverse incidents in relation to this. Delays in PE management/imaging more frequent and a greater cause for concern.</w:t>
            </w:r>
          </w:p>
        </w:tc>
      </w:tr>
      <w:tr w:rsidR="003A53A0" w:rsidRPr="003A53A0" w14:paraId="4C9AB414" w14:textId="77777777" w:rsidTr="00F60DF7">
        <w:tc>
          <w:tcPr>
            <w:tcW w:w="675" w:type="dxa"/>
            <w:vAlign w:val="center"/>
          </w:tcPr>
          <w:p w14:paraId="32E2BE6D" w14:textId="75C37F44" w:rsidR="003A53A0" w:rsidRPr="003A53A0" w:rsidRDefault="00F60DF7" w:rsidP="00F60DF7">
            <w:pPr>
              <w:pStyle w:val="TableText1"/>
              <w:rPr>
                <w:rFonts w:cs="Arial"/>
                <w:szCs w:val="20"/>
              </w:rPr>
            </w:pPr>
            <w:r>
              <w:rPr>
                <w:rFonts w:cs="Arial"/>
                <w:szCs w:val="20"/>
              </w:rPr>
              <w:t>80</w:t>
            </w:r>
          </w:p>
        </w:tc>
        <w:tc>
          <w:tcPr>
            <w:tcW w:w="2552" w:type="dxa"/>
            <w:vAlign w:val="center"/>
          </w:tcPr>
          <w:p w14:paraId="3FB01CC9" w14:textId="5C51BA3F"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624D25E8" w14:textId="4662D78E" w:rsidR="003A53A0" w:rsidRPr="003A53A0" w:rsidRDefault="003A53A0" w:rsidP="003A53A0">
            <w:pPr>
              <w:pStyle w:val="TableText1"/>
              <w:rPr>
                <w:rFonts w:cs="Arial"/>
                <w:bCs/>
                <w:szCs w:val="20"/>
              </w:rPr>
            </w:pPr>
            <w:r w:rsidRPr="003A53A0">
              <w:rPr>
                <w:rFonts w:cs="Arial"/>
                <w:bCs/>
                <w:iCs/>
                <w:szCs w:val="20"/>
              </w:rPr>
              <w:t xml:space="preserve">Statement </w:t>
            </w:r>
          </w:p>
        </w:tc>
        <w:tc>
          <w:tcPr>
            <w:tcW w:w="10632" w:type="dxa"/>
            <w:vAlign w:val="center"/>
          </w:tcPr>
          <w:p w14:paraId="58F4462A" w14:textId="69A21020" w:rsidR="003A53A0" w:rsidRPr="003A53A0" w:rsidRDefault="003A53A0" w:rsidP="003A53A0">
            <w:pPr>
              <w:pStyle w:val="Paragraphnonumbers"/>
              <w:rPr>
                <w:rFonts w:cs="Arial"/>
                <w:sz w:val="20"/>
                <w:szCs w:val="20"/>
              </w:rPr>
            </w:pPr>
            <w:r w:rsidRPr="003A53A0">
              <w:rPr>
                <w:rFonts w:cs="Arial"/>
                <w:sz w:val="20"/>
                <w:szCs w:val="20"/>
              </w:rPr>
              <w:t xml:space="preserve">may well be resource implication to get ultrasound within 4 hrs of request 24/7 </w:t>
            </w:r>
          </w:p>
          <w:p w14:paraId="44B41BC8" w14:textId="77777777" w:rsidR="003A53A0" w:rsidRPr="003A53A0" w:rsidRDefault="003A53A0" w:rsidP="003A53A0">
            <w:pPr>
              <w:pStyle w:val="TableText1"/>
              <w:rPr>
                <w:rFonts w:cs="Arial"/>
                <w:szCs w:val="20"/>
              </w:rPr>
            </w:pPr>
          </w:p>
        </w:tc>
      </w:tr>
      <w:tr w:rsidR="003A53A0" w:rsidRPr="003A53A0" w14:paraId="7D7F8C5F" w14:textId="77777777" w:rsidTr="00F60DF7">
        <w:tc>
          <w:tcPr>
            <w:tcW w:w="675" w:type="dxa"/>
            <w:vAlign w:val="center"/>
          </w:tcPr>
          <w:p w14:paraId="65FB36BC" w14:textId="6C9C8407" w:rsidR="003A53A0" w:rsidRPr="003A53A0" w:rsidRDefault="00F60DF7" w:rsidP="00F60DF7">
            <w:pPr>
              <w:pStyle w:val="TableText1"/>
              <w:rPr>
                <w:rFonts w:cs="Arial"/>
                <w:szCs w:val="20"/>
              </w:rPr>
            </w:pPr>
            <w:r>
              <w:rPr>
                <w:rFonts w:cs="Arial"/>
                <w:szCs w:val="20"/>
              </w:rPr>
              <w:t>81</w:t>
            </w:r>
          </w:p>
        </w:tc>
        <w:tc>
          <w:tcPr>
            <w:tcW w:w="2552" w:type="dxa"/>
            <w:vAlign w:val="center"/>
          </w:tcPr>
          <w:p w14:paraId="716FB178" w14:textId="2E34A275"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34493D3E" w14:textId="77777777" w:rsidR="003A53A0" w:rsidRPr="003A53A0" w:rsidRDefault="003A53A0" w:rsidP="003A53A0">
            <w:pPr>
              <w:pStyle w:val="Paragraphnonumbers"/>
              <w:rPr>
                <w:rFonts w:cs="Arial"/>
                <w:bCs/>
                <w:sz w:val="20"/>
                <w:szCs w:val="20"/>
              </w:rPr>
            </w:pPr>
            <w:r w:rsidRPr="003A53A0">
              <w:rPr>
                <w:rFonts w:cs="Arial"/>
                <w:bCs/>
                <w:color w:val="000000"/>
                <w:sz w:val="20"/>
                <w:szCs w:val="20"/>
              </w:rPr>
              <w:t>Statement 3 (measure)</w:t>
            </w:r>
          </w:p>
          <w:p w14:paraId="64F84D5D" w14:textId="77777777" w:rsidR="003A53A0" w:rsidRPr="003A53A0" w:rsidRDefault="003A53A0" w:rsidP="003A53A0">
            <w:pPr>
              <w:pStyle w:val="TableText1"/>
              <w:rPr>
                <w:rFonts w:cs="Arial"/>
                <w:bCs/>
                <w:szCs w:val="20"/>
              </w:rPr>
            </w:pPr>
          </w:p>
        </w:tc>
        <w:tc>
          <w:tcPr>
            <w:tcW w:w="10632" w:type="dxa"/>
            <w:vAlign w:val="center"/>
          </w:tcPr>
          <w:p w14:paraId="78BF4C16" w14:textId="77777777" w:rsidR="003A53A0" w:rsidRPr="003A53A0" w:rsidRDefault="003A53A0" w:rsidP="003A53A0">
            <w:pPr>
              <w:spacing w:line="276" w:lineRule="auto"/>
              <w:rPr>
                <w:rFonts w:ascii="Arial" w:hAnsi="Arial" w:cs="Arial"/>
                <w:sz w:val="20"/>
                <w:szCs w:val="20"/>
                <w:lang w:eastAsia="en-GB"/>
              </w:rPr>
            </w:pPr>
            <w:r w:rsidRPr="003A53A0">
              <w:rPr>
                <w:rFonts w:ascii="Arial" w:hAnsi="Arial" w:cs="Arial"/>
                <w:color w:val="000000"/>
                <w:sz w:val="20"/>
                <w:szCs w:val="20"/>
              </w:rPr>
              <w:t xml:space="preserve">Near patient testing of d-dimer: </w:t>
            </w:r>
          </w:p>
          <w:p w14:paraId="24BCE3E5" w14:textId="095183DB" w:rsidR="003A53A0" w:rsidRPr="003A53A0" w:rsidRDefault="003A53A0" w:rsidP="003A53A0">
            <w:pPr>
              <w:pStyle w:val="TableText1"/>
              <w:rPr>
                <w:rFonts w:cs="Arial"/>
                <w:szCs w:val="20"/>
              </w:rPr>
            </w:pPr>
            <w:r w:rsidRPr="003A53A0">
              <w:rPr>
                <w:rFonts w:cs="Arial"/>
                <w:color w:val="000000"/>
                <w:szCs w:val="20"/>
              </w:rPr>
              <w:t xml:space="preserve">D-dimer is mentioned. Near patient testing is not specially mentioned. The views on the value of d-dimer near patient testing are mixed. Therefore clarity on the usefulness of this would be helpful. In reality, many clinicians will no longer perform d-dimer near patient testing. Instead, they will offer a blood test for a lab d-dimer before starting interim anticoagulation. </w:t>
            </w:r>
          </w:p>
        </w:tc>
      </w:tr>
      <w:tr w:rsidR="003A53A0" w:rsidRPr="003A53A0" w14:paraId="38CD9EA7" w14:textId="77777777" w:rsidTr="00F60DF7">
        <w:tc>
          <w:tcPr>
            <w:tcW w:w="675" w:type="dxa"/>
            <w:vAlign w:val="center"/>
          </w:tcPr>
          <w:p w14:paraId="213923F5" w14:textId="5394A607" w:rsidR="003A53A0" w:rsidRPr="003A53A0" w:rsidRDefault="00F60DF7" w:rsidP="00F60DF7">
            <w:pPr>
              <w:pStyle w:val="TableText1"/>
              <w:rPr>
                <w:rFonts w:cs="Arial"/>
                <w:szCs w:val="20"/>
              </w:rPr>
            </w:pPr>
            <w:r>
              <w:rPr>
                <w:rFonts w:cs="Arial"/>
                <w:szCs w:val="20"/>
              </w:rPr>
              <w:t>82</w:t>
            </w:r>
          </w:p>
        </w:tc>
        <w:tc>
          <w:tcPr>
            <w:tcW w:w="2552" w:type="dxa"/>
            <w:vAlign w:val="center"/>
          </w:tcPr>
          <w:p w14:paraId="282522D5" w14:textId="16DBEBD4"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33B5FB07" w14:textId="0DF2F2D8" w:rsidR="003A53A0" w:rsidRPr="003A53A0" w:rsidRDefault="003A53A0" w:rsidP="003A53A0">
            <w:pPr>
              <w:pStyle w:val="TableText1"/>
              <w:rPr>
                <w:rFonts w:cs="Arial"/>
                <w:bCs/>
                <w:szCs w:val="20"/>
              </w:rPr>
            </w:pPr>
            <w:r w:rsidRPr="003A53A0">
              <w:rPr>
                <w:rFonts w:cs="Arial"/>
                <w:bCs/>
                <w:color w:val="000000"/>
                <w:szCs w:val="20"/>
              </w:rPr>
              <w:t>Statement 3 (measure)</w:t>
            </w:r>
          </w:p>
        </w:tc>
        <w:tc>
          <w:tcPr>
            <w:tcW w:w="10632" w:type="dxa"/>
            <w:vAlign w:val="center"/>
          </w:tcPr>
          <w:p w14:paraId="676C177A" w14:textId="06DAA5DC" w:rsidR="003A53A0" w:rsidRPr="003A53A0" w:rsidRDefault="003A53A0" w:rsidP="003A53A0">
            <w:pPr>
              <w:pStyle w:val="TableText1"/>
              <w:rPr>
                <w:rFonts w:cs="Arial"/>
                <w:szCs w:val="20"/>
              </w:rPr>
            </w:pPr>
            <w:r w:rsidRPr="003A53A0">
              <w:rPr>
                <w:rFonts w:cs="Arial"/>
                <w:color w:val="000000"/>
                <w:szCs w:val="20"/>
              </w:rPr>
              <w:t xml:space="preserve">4 hour window from assessment to ultrasound has capacity implications and may not always be possible. This is especially dependent on the time of day (e.g. later afternoon/out of hours). A time window for when an ultrasound may be expected (e.g. “ideally same day but, when not available, within 24 hours” etc) might help with the realistic timeframes unless of course there is compelling evidence it should be performed within 4 hours at any time of the day. </w:t>
            </w:r>
          </w:p>
        </w:tc>
      </w:tr>
      <w:tr w:rsidR="003A53A0" w:rsidRPr="003A53A0" w14:paraId="40EFC324" w14:textId="77777777" w:rsidTr="00F60DF7">
        <w:tc>
          <w:tcPr>
            <w:tcW w:w="675" w:type="dxa"/>
            <w:vAlign w:val="center"/>
          </w:tcPr>
          <w:p w14:paraId="434C45C2" w14:textId="3B47DA78" w:rsidR="003A53A0" w:rsidRPr="003A53A0" w:rsidRDefault="00F60DF7" w:rsidP="00F60DF7">
            <w:pPr>
              <w:pStyle w:val="TableText1"/>
              <w:rPr>
                <w:rFonts w:cs="Arial"/>
                <w:szCs w:val="20"/>
              </w:rPr>
            </w:pPr>
            <w:r>
              <w:rPr>
                <w:rFonts w:cs="Arial"/>
                <w:szCs w:val="20"/>
              </w:rPr>
              <w:lastRenderedPageBreak/>
              <w:t>83</w:t>
            </w:r>
          </w:p>
        </w:tc>
        <w:tc>
          <w:tcPr>
            <w:tcW w:w="2552" w:type="dxa"/>
            <w:vAlign w:val="center"/>
          </w:tcPr>
          <w:p w14:paraId="601CFC31" w14:textId="09FEBEE6"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5303C009" w14:textId="0CEE3B13" w:rsidR="003A53A0" w:rsidRPr="003A53A0" w:rsidRDefault="003A53A0" w:rsidP="003A53A0">
            <w:pPr>
              <w:pStyle w:val="TableText1"/>
              <w:rPr>
                <w:rFonts w:cs="Arial"/>
                <w:bCs/>
                <w:szCs w:val="20"/>
              </w:rPr>
            </w:pPr>
            <w:r w:rsidRPr="003A53A0">
              <w:rPr>
                <w:rFonts w:cs="Arial"/>
                <w:bCs/>
                <w:color w:val="000000"/>
                <w:szCs w:val="20"/>
              </w:rPr>
              <w:t>Statement 3 (measure)</w:t>
            </w:r>
          </w:p>
        </w:tc>
        <w:tc>
          <w:tcPr>
            <w:tcW w:w="10632" w:type="dxa"/>
            <w:vAlign w:val="center"/>
          </w:tcPr>
          <w:p w14:paraId="51EB0A1C" w14:textId="0D199CB3" w:rsidR="003A53A0" w:rsidRPr="003A53A0" w:rsidRDefault="003A53A0" w:rsidP="003A53A0">
            <w:pPr>
              <w:pStyle w:val="TableText1"/>
              <w:rPr>
                <w:rFonts w:cs="Arial"/>
                <w:szCs w:val="20"/>
              </w:rPr>
            </w:pPr>
            <w:r w:rsidRPr="003A53A0">
              <w:rPr>
                <w:rFonts w:cs="Arial"/>
                <w:color w:val="000000"/>
                <w:szCs w:val="20"/>
              </w:rPr>
              <w:t xml:space="preserve">Meaningful data collection on the 4 hour window could be difficult. This relies on accurate coding of the Well’s score in patient notes and the time of assessment in general practices (or other settings). It also requires documentation of time of assessment in secondary care settings. Multiple factors will determine the time between initial assessment and ultrasound including travel time, patient transport availability, time of the day (e.g. out of hours) and specialist capacity so the resulting information would need to be interpreted with caution. </w:t>
            </w:r>
          </w:p>
        </w:tc>
      </w:tr>
      <w:tr w:rsidR="003A53A0" w:rsidRPr="003A53A0" w14:paraId="48B9F566" w14:textId="77777777" w:rsidTr="00F60DF7">
        <w:tc>
          <w:tcPr>
            <w:tcW w:w="675" w:type="dxa"/>
            <w:vAlign w:val="center"/>
          </w:tcPr>
          <w:p w14:paraId="491E164B" w14:textId="44C5EF07" w:rsidR="003A53A0" w:rsidRPr="003A53A0" w:rsidRDefault="00F60DF7" w:rsidP="00F60DF7">
            <w:pPr>
              <w:pStyle w:val="TableText1"/>
              <w:rPr>
                <w:rFonts w:cs="Arial"/>
                <w:szCs w:val="20"/>
              </w:rPr>
            </w:pPr>
            <w:r>
              <w:rPr>
                <w:rFonts w:cs="Arial"/>
                <w:szCs w:val="20"/>
              </w:rPr>
              <w:t>84</w:t>
            </w:r>
          </w:p>
        </w:tc>
        <w:tc>
          <w:tcPr>
            <w:tcW w:w="2552" w:type="dxa"/>
            <w:vAlign w:val="center"/>
          </w:tcPr>
          <w:p w14:paraId="224A0966" w14:textId="4CDF6181"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0D5752D8" w14:textId="30AC6BEE" w:rsidR="003A53A0" w:rsidRPr="003A53A0" w:rsidRDefault="003A53A0" w:rsidP="003A53A0">
            <w:pPr>
              <w:pStyle w:val="TableText1"/>
              <w:rPr>
                <w:rFonts w:cs="Arial"/>
                <w:bCs/>
                <w:szCs w:val="20"/>
              </w:rPr>
            </w:pPr>
            <w:r w:rsidRPr="003A53A0">
              <w:rPr>
                <w:rFonts w:cs="Arial"/>
                <w:bCs/>
                <w:color w:val="000000"/>
                <w:szCs w:val="20"/>
              </w:rPr>
              <w:t>Statement 3</w:t>
            </w:r>
          </w:p>
        </w:tc>
        <w:tc>
          <w:tcPr>
            <w:tcW w:w="10632" w:type="dxa"/>
            <w:vAlign w:val="center"/>
          </w:tcPr>
          <w:p w14:paraId="6A11D234" w14:textId="2A9D4636" w:rsidR="003A53A0" w:rsidRPr="003A53A0" w:rsidRDefault="003A53A0" w:rsidP="003A53A0">
            <w:pPr>
              <w:pStyle w:val="TableText1"/>
              <w:rPr>
                <w:rFonts w:cs="Arial"/>
                <w:szCs w:val="20"/>
              </w:rPr>
            </w:pPr>
            <w:r w:rsidRPr="003A53A0">
              <w:rPr>
                <w:rFonts w:cs="Arial"/>
                <w:color w:val="000000"/>
                <w:szCs w:val="20"/>
              </w:rPr>
              <w:t xml:space="preserve">“People aged 18 and over who have signs and symptoms of a deep vein thrombosis (blood clot) and whose doctor” suggest that this may also be an advanced practice role so the word ‘doctor’ may be misleading. </w:t>
            </w:r>
          </w:p>
        </w:tc>
      </w:tr>
      <w:tr w:rsidR="003A53A0" w:rsidRPr="003A53A0" w14:paraId="26768ECD" w14:textId="77777777" w:rsidTr="00F60DF7">
        <w:tc>
          <w:tcPr>
            <w:tcW w:w="675" w:type="dxa"/>
            <w:vAlign w:val="center"/>
          </w:tcPr>
          <w:p w14:paraId="21082219" w14:textId="73AB994D" w:rsidR="003A53A0" w:rsidRPr="003A53A0" w:rsidRDefault="00F60DF7" w:rsidP="00F60DF7">
            <w:pPr>
              <w:pStyle w:val="TableText1"/>
              <w:rPr>
                <w:rFonts w:cs="Arial"/>
                <w:szCs w:val="20"/>
              </w:rPr>
            </w:pPr>
            <w:r>
              <w:rPr>
                <w:rFonts w:cs="Arial"/>
                <w:szCs w:val="20"/>
              </w:rPr>
              <w:t>85</w:t>
            </w:r>
          </w:p>
        </w:tc>
        <w:tc>
          <w:tcPr>
            <w:tcW w:w="2552" w:type="dxa"/>
            <w:vAlign w:val="center"/>
          </w:tcPr>
          <w:p w14:paraId="5010DCF7" w14:textId="02D83EE1" w:rsidR="003A53A0" w:rsidRPr="003A53A0" w:rsidRDefault="003A53A0" w:rsidP="003A53A0">
            <w:pPr>
              <w:pStyle w:val="TableText1"/>
              <w:rPr>
                <w:rFonts w:cs="Arial"/>
                <w:szCs w:val="20"/>
              </w:rPr>
            </w:pPr>
            <w:r w:rsidRPr="003A53A0">
              <w:rPr>
                <w:rFonts w:cs="Arial"/>
                <w:szCs w:val="20"/>
              </w:rPr>
              <w:t>Society and College of Radiographers</w:t>
            </w:r>
          </w:p>
        </w:tc>
        <w:tc>
          <w:tcPr>
            <w:tcW w:w="1417" w:type="dxa"/>
            <w:vAlign w:val="center"/>
          </w:tcPr>
          <w:p w14:paraId="31F9DF4D" w14:textId="3CF0E6B9" w:rsidR="003A53A0" w:rsidRPr="003A53A0" w:rsidRDefault="003A53A0" w:rsidP="003A53A0">
            <w:pPr>
              <w:pStyle w:val="TableText1"/>
              <w:rPr>
                <w:rFonts w:cs="Arial"/>
                <w:bCs/>
                <w:szCs w:val="20"/>
              </w:rPr>
            </w:pPr>
            <w:r w:rsidRPr="003A53A0">
              <w:rPr>
                <w:rFonts w:cs="Arial"/>
                <w:bCs/>
                <w:color w:val="000000"/>
                <w:szCs w:val="20"/>
              </w:rPr>
              <w:t>Statement 3</w:t>
            </w:r>
          </w:p>
        </w:tc>
        <w:tc>
          <w:tcPr>
            <w:tcW w:w="10632" w:type="dxa"/>
            <w:vAlign w:val="center"/>
          </w:tcPr>
          <w:p w14:paraId="00D02EC4"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 xml:space="preserve">There is mention of variability of access, but no detail of who performs the scans. There is limited capacity to train staff from outside the vascular or imaging departments. If this were to happen clear governance arrangements would need to be in place. </w:t>
            </w:r>
          </w:p>
          <w:p w14:paraId="59F85235" w14:textId="77777777" w:rsidR="003A53A0" w:rsidRPr="003A53A0" w:rsidRDefault="003A53A0" w:rsidP="003A53A0">
            <w:pPr>
              <w:pStyle w:val="TableText1"/>
              <w:rPr>
                <w:rFonts w:cs="Arial"/>
                <w:szCs w:val="20"/>
              </w:rPr>
            </w:pPr>
          </w:p>
        </w:tc>
      </w:tr>
      <w:tr w:rsidR="003A53A0" w:rsidRPr="003A53A0" w14:paraId="3B63A815" w14:textId="77777777" w:rsidTr="00F60DF7">
        <w:tc>
          <w:tcPr>
            <w:tcW w:w="675" w:type="dxa"/>
            <w:vAlign w:val="center"/>
          </w:tcPr>
          <w:p w14:paraId="2D511641" w14:textId="3FC257C0" w:rsidR="003A53A0" w:rsidRPr="003A53A0" w:rsidRDefault="00F60DF7" w:rsidP="00F60DF7">
            <w:pPr>
              <w:pStyle w:val="TableText1"/>
              <w:rPr>
                <w:rFonts w:cs="Arial"/>
                <w:szCs w:val="20"/>
              </w:rPr>
            </w:pPr>
            <w:r>
              <w:rPr>
                <w:rFonts w:cs="Arial"/>
                <w:szCs w:val="20"/>
              </w:rPr>
              <w:t>86</w:t>
            </w:r>
          </w:p>
        </w:tc>
        <w:tc>
          <w:tcPr>
            <w:tcW w:w="2552" w:type="dxa"/>
            <w:vAlign w:val="center"/>
          </w:tcPr>
          <w:p w14:paraId="1ACF95E8" w14:textId="4D9EBA5E" w:rsidR="003A53A0" w:rsidRPr="003A53A0" w:rsidRDefault="003A53A0" w:rsidP="003A53A0">
            <w:pPr>
              <w:pStyle w:val="TableText1"/>
              <w:rPr>
                <w:rFonts w:cs="Arial"/>
                <w:szCs w:val="20"/>
              </w:rPr>
            </w:pPr>
            <w:r w:rsidRPr="003A53A0">
              <w:rPr>
                <w:rFonts w:cs="Arial"/>
                <w:szCs w:val="20"/>
              </w:rPr>
              <w:t>Society and College of Radiographers</w:t>
            </w:r>
          </w:p>
        </w:tc>
        <w:tc>
          <w:tcPr>
            <w:tcW w:w="1417" w:type="dxa"/>
            <w:vAlign w:val="center"/>
          </w:tcPr>
          <w:p w14:paraId="28B6940A" w14:textId="5D608595" w:rsidR="003A53A0" w:rsidRPr="003A53A0" w:rsidRDefault="003A53A0" w:rsidP="003A53A0">
            <w:pPr>
              <w:pStyle w:val="TableText1"/>
              <w:rPr>
                <w:rFonts w:cs="Arial"/>
                <w:bCs/>
                <w:szCs w:val="20"/>
              </w:rPr>
            </w:pPr>
            <w:r w:rsidRPr="003A53A0">
              <w:rPr>
                <w:rFonts w:cs="Arial"/>
                <w:bCs/>
                <w:color w:val="000000"/>
                <w:szCs w:val="20"/>
              </w:rPr>
              <w:t>Statement 3</w:t>
            </w:r>
          </w:p>
        </w:tc>
        <w:tc>
          <w:tcPr>
            <w:tcW w:w="10632" w:type="dxa"/>
            <w:vAlign w:val="center"/>
          </w:tcPr>
          <w:p w14:paraId="5AF19DD6"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This statement is unrealistic because there is currently a national shortage of radiographers, sonographers and radiologists [1, 2, 3] and significant pressure on imaging departments [1]. It is unlikely that all services would be able to offer a proximal leg vein ultrasound scan within 4 hours of being requested.</w:t>
            </w:r>
          </w:p>
          <w:p w14:paraId="02410C7D" w14:textId="77777777" w:rsidR="003A53A0" w:rsidRPr="003A53A0" w:rsidRDefault="003A53A0" w:rsidP="003A53A0">
            <w:pPr>
              <w:rPr>
                <w:rFonts w:ascii="Arial" w:hAnsi="Arial" w:cs="Arial"/>
                <w:color w:val="000000"/>
                <w:sz w:val="20"/>
                <w:szCs w:val="20"/>
              </w:rPr>
            </w:pPr>
          </w:p>
          <w:p w14:paraId="1488C08C"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 xml:space="preserve">Weekends and out of hours they are reliant on the on-call staff so provision is variable. </w:t>
            </w:r>
          </w:p>
          <w:p w14:paraId="5D4F89FC"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 xml:space="preserve">Monday to Friday capacity, waiting lists and staffing can all impact on the provision of the service. </w:t>
            </w:r>
          </w:p>
          <w:p w14:paraId="4F6D7232" w14:textId="77777777" w:rsidR="003A53A0" w:rsidRPr="003A53A0" w:rsidRDefault="003A53A0" w:rsidP="003A53A0">
            <w:pPr>
              <w:rPr>
                <w:rFonts w:ascii="Arial" w:hAnsi="Arial" w:cs="Arial"/>
                <w:color w:val="000000"/>
                <w:sz w:val="20"/>
                <w:szCs w:val="20"/>
              </w:rPr>
            </w:pPr>
          </w:p>
          <w:p w14:paraId="34C2C65A"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 xml:space="preserve">In Scotland there is no funding for out of hours arrangements to perform these scans. </w:t>
            </w:r>
          </w:p>
          <w:p w14:paraId="2F402A89" w14:textId="77777777" w:rsidR="003A53A0" w:rsidRPr="003A53A0" w:rsidRDefault="003A53A0" w:rsidP="003A53A0">
            <w:pPr>
              <w:rPr>
                <w:rFonts w:ascii="Arial" w:hAnsi="Arial" w:cs="Arial"/>
                <w:color w:val="000000"/>
                <w:sz w:val="20"/>
                <w:szCs w:val="20"/>
              </w:rPr>
            </w:pPr>
          </w:p>
          <w:p w14:paraId="4BAC9A51"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 xml:space="preserve">Realistically solving this will be very difficult. Significant investment in education, training and on-going support/supervision would be required to provide such a service without impacting on the normal workflow. </w:t>
            </w:r>
          </w:p>
          <w:p w14:paraId="37A8F962" w14:textId="77777777" w:rsidR="003A53A0" w:rsidRPr="003A53A0" w:rsidRDefault="003A53A0" w:rsidP="003A53A0">
            <w:pPr>
              <w:rPr>
                <w:rFonts w:ascii="Arial" w:hAnsi="Arial" w:cs="Arial"/>
                <w:color w:val="000000"/>
                <w:sz w:val="20"/>
                <w:szCs w:val="20"/>
              </w:rPr>
            </w:pPr>
          </w:p>
          <w:p w14:paraId="6873E3EA" w14:textId="77777777" w:rsidR="003A53A0" w:rsidRPr="003A53A0" w:rsidRDefault="003A53A0" w:rsidP="003A53A0">
            <w:pPr>
              <w:rPr>
                <w:rFonts w:ascii="Arial" w:hAnsi="Arial" w:cs="Arial"/>
                <w:color w:val="000000"/>
                <w:sz w:val="20"/>
                <w:szCs w:val="20"/>
              </w:rPr>
            </w:pPr>
          </w:p>
          <w:p w14:paraId="40FB7481" w14:textId="77777777" w:rsidR="003A53A0" w:rsidRPr="003A53A0" w:rsidRDefault="0071228A" w:rsidP="003A53A0">
            <w:pPr>
              <w:pStyle w:val="Paragraphnonumbers"/>
              <w:numPr>
                <w:ilvl w:val="0"/>
                <w:numId w:val="35"/>
              </w:numPr>
              <w:spacing w:after="0"/>
              <w:rPr>
                <w:rFonts w:cs="Arial"/>
                <w:color w:val="000000"/>
                <w:sz w:val="20"/>
                <w:szCs w:val="20"/>
                <w:lang w:eastAsia="en-US"/>
              </w:rPr>
            </w:pPr>
            <w:hyperlink r:id="rId16" w:history="1">
              <w:r w:rsidR="003A53A0" w:rsidRPr="003A53A0">
                <w:rPr>
                  <w:rStyle w:val="Hyperlink"/>
                  <w:rFonts w:cs="Arial"/>
                  <w:sz w:val="20"/>
                  <w:szCs w:val="20"/>
                  <w:lang w:eastAsia="en-US"/>
                </w:rPr>
                <w:t>https://www.england.nhs.uk/wp-content/uploads/2020/10/BM2025Pu-item-5-diagnostics-recovery-and-renewal.pdf</w:t>
              </w:r>
            </w:hyperlink>
          </w:p>
          <w:p w14:paraId="09B1534E" w14:textId="77777777" w:rsidR="003A53A0" w:rsidRPr="003A53A0" w:rsidRDefault="0071228A" w:rsidP="003A53A0">
            <w:pPr>
              <w:pStyle w:val="Paragraphnonumbers"/>
              <w:numPr>
                <w:ilvl w:val="0"/>
                <w:numId w:val="35"/>
              </w:numPr>
              <w:spacing w:after="0"/>
              <w:rPr>
                <w:rFonts w:cs="Arial"/>
                <w:color w:val="000000"/>
                <w:sz w:val="20"/>
                <w:szCs w:val="20"/>
                <w:lang w:eastAsia="en-US"/>
              </w:rPr>
            </w:pPr>
            <w:hyperlink r:id="rId17" w:history="1">
              <w:r w:rsidR="003A53A0" w:rsidRPr="003A53A0">
                <w:rPr>
                  <w:rStyle w:val="Hyperlink"/>
                  <w:rFonts w:cs="Arial"/>
                  <w:sz w:val="20"/>
                  <w:szCs w:val="20"/>
                  <w:lang w:eastAsia="en-US"/>
                </w:rPr>
                <w:t>https://www.sor.org/sites/default/files/document-versions/ultrasound_workforce_uk_census_2019.pdf</w:t>
              </w:r>
            </w:hyperlink>
          </w:p>
          <w:p w14:paraId="7F5A044B" w14:textId="72D59406" w:rsidR="003A53A0" w:rsidRPr="003A53A0" w:rsidRDefault="003A53A0" w:rsidP="003A53A0">
            <w:pPr>
              <w:pStyle w:val="TableText1"/>
              <w:rPr>
                <w:rFonts w:cs="Arial"/>
                <w:szCs w:val="20"/>
              </w:rPr>
            </w:pPr>
            <w:r w:rsidRPr="003A53A0">
              <w:rPr>
                <w:rFonts w:cs="Arial"/>
                <w:color w:val="000000"/>
                <w:szCs w:val="20"/>
              </w:rPr>
              <w:t>https://www.rcr.ac.uk/publication/clinical-radiology-uk-workforce-census-2019-report</w:t>
            </w:r>
          </w:p>
        </w:tc>
      </w:tr>
      <w:tr w:rsidR="003A53A0" w:rsidRPr="003A53A0" w14:paraId="6E0187AE" w14:textId="77777777" w:rsidTr="00F60DF7">
        <w:tc>
          <w:tcPr>
            <w:tcW w:w="675" w:type="dxa"/>
            <w:vAlign w:val="center"/>
          </w:tcPr>
          <w:p w14:paraId="79340AC3" w14:textId="19E42213" w:rsidR="003A53A0" w:rsidRPr="003A53A0" w:rsidRDefault="00F60DF7" w:rsidP="00F60DF7">
            <w:pPr>
              <w:pStyle w:val="TableText1"/>
              <w:rPr>
                <w:rFonts w:cs="Arial"/>
                <w:szCs w:val="20"/>
              </w:rPr>
            </w:pPr>
            <w:r>
              <w:rPr>
                <w:rFonts w:cs="Arial"/>
                <w:szCs w:val="20"/>
              </w:rPr>
              <w:t>87</w:t>
            </w:r>
          </w:p>
        </w:tc>
        <w:tc>
          <w:tcPr>
            <w:tcW w:w="2552" w:type="dxa"/>
            <w:vAlign w:val="center"/>
          </w:tcPr>
          <w:p w14:paraId="5C8DD293" w14:textId="069CAF55" w:rsidR="003A53A0" w:rsidRPr="003A53A0" w:rsidRDefault="003A53A0" w:rsidP="003A53A0">
            <w:pPr>
              <w:pStyle w:val="TableText1"/>
              <w:rPr>
                <w:rFonts w:cs="Arial"/>
                <w:szCs w:val="20"/>
              </w:rPr>
            </w:pPr>
            <w:r w:rsidRPr="003A53A0">
              <w:rPr>
                <w:rFonts w:cs="Arial"/>
                <w:szCs w:val="20"/>
              </w:rPr>
              <w:t>Society for Acute Medicine</w:t>
            </w:r>
          </w:p>
        </w:tc>
        <w:tc>
          <w:tcPr>
            <w:tcW w:w="1417" w:type="dxa"/>
            <w:vAlign w:val="center"/>
          </w:tcPr>
          <w:p w14:paraId="47D4356E" w14:textId="43FEFAD0" w:rsidR="003A53A0" w:rsidRPr="003A53A0" w:rsidRDefault="003A53A0" w:rsidP="003A53A0">
            <w:pPr>
              <w:pStyle w:val="TableText1"/>
              <w:rPr>
                <w:rFonts w:cs="Arial"/>
                <w:bCs/>
                <w:szCs w:val="20"/>
              </w:rPr>
            </w:pPr>
            <w:r w:rsidRPr="003A53A0">
              <w:rPr>
                <w:rFonts w:cs="Arial"/>
                <w:bCs/>
                <w:color w:val="000000"/>
                <w:szCs w:val="20"/>
              </w:rPr>
              <w:t>Statement 3</w:t>
            </w:r>
          </w:p>
        </w:tc>
        <w:tc>
          <w:tcPr>
            <w:tcW w:w="10632" w:type="dxa"/>
            <w:vAlign w:val="center"/>
          </w:tcPr>
          <w:p w14:paraId="3312A99C" w14:textId="27E8DA7A" w:rsidR="003A53A0" w:rsidRPr="003A53A0" w:rsidRDefault="003A53A0" w:rsidP="003A53A0">
            <w:pPr>
              <w:pStyle w:val="TableText1"/>
              <w:rPr>
                <w:rFonts w:cs="Arial"/>
                <w:szCs w:val="20"/>
              </w:rPr>
            </w:pPr>
            <w:r w:rsidRPr="003A53A0">
              <w:rPr>
                <w:rFonts w:cs="Arial"/>
                <w:color w:val="000000"/>
                <w:szCs w:val="20"/>
              </w:rPr>
              <w:t>I note you have commented on time to USS for DVT but not imaging for PE – I would consider this more important as PE can be immediately life threatening in the way DVT may not be. PLEASE reconsider this</w:t>
            </w:r>
          </w:p>
        </w:tc>
      </w:tr>
      <w:tr w:rsidR="003A53A0" w:rsidRPr="003A53A0" w14:paraId="250978C7" w14:textId="77777777" w:rsidTr="00F60DF7">
        <w:tc>
          <w:tcPr>
            <w:tcW w:w="675" w:type="dxa"/>
            <w:vAlign w:val="center"/>
          </w:tcPr>
          <w:p w14:paraId="4BBF1F63" w14:textId="5D744C67" w:rsidR="003A53A0" w:rsidRPr="003A53A0" w:rsidRDefault="00F60DF7" w:rsidP="00F60DF7">
            <w:pPr>
              <w:pStyle w:val="TableText1"/>
              <w:rPr>
                <w:rFonts w:cs="Arial"/>
                <w:szCs w:val="20"/>
              </w:rPr>
            </w:pPr>
            <w:r>
              <w:rPr>
                <w:rFonts w:cs="Arial"/>
                <w:szCs w:val="20"/>
              </w:rPr>
              <w:t>88</w:t>
            </w:r>
          </w:p>
        </w:tc>
        <w:tc>
          <w:tcPr>
            <w:tcW w:w="2552" w:type="dxa"/>
            <w:vAlign w:val="center"/>
          </w:tcPr>
          <w:p w14:paraId="7E23F87F" w14:textId="2B1236CA" w:rsidR="003A53A0" w:rsidRPr="003A53A0" w:rsidRDefault="003A53A0" w:rsidP="003A53A0">
            <w:pPr>
              <w:pStyle w:val="TableText1"/>
              <w:rPr>
                <w:rFonts w:cs="Arial"/>
                <w:szCs w:val="20"/>
              </w:rPr>
            </w:pPr>
            <w:r w:rsidRPr="003A53A0">
              <w:rPr>
                <w:rFonts w:cs="Arial"/>
                <w:szCs w:val="20"/>
              </w:rPr>
              <w:t>UK Clinical Pharmacy Association (UKCPA) Haemostasis &amp; Thrombosis Committee</w:t>
            </w:r>
          </w:p>
        </w:tc>
        <w:tc>
          <w:tcPr>
            <w:tcW w:w="1417" w:type="dxa"/>
            <w:vAlign w:val="center"/>
          </w:tcPr>
          <w:p w14:paraId="450110AE" w14:textId="74CCAD42" w:rsidR="003A53A0" w:rsidRPr="003A53A0" w:rsidRDefault="003A53A0" w:rsidP="003A53A0">
            <w:pPr>
              <w:pStyle w:val="TableText1"/>
              <w:rPr>
                <w:rFonts w:cs="Arial"/>
                <w:bCs/>
                <w:szCs w:val="20"/>
              </w:rPr>
            </w:pPr>
            <w:r w:rsidRPr="003A53A0">
              <w:rPr>
                <w:rFonts w:cs="Arial"/>
                <w:bCs/>
                <w:color w:val="000000"/>
                <w:szCs w:val="20"/>
              </w:rPr>
              <w:t>Statement 3</w:t>
            </w:r>
          </w:p>
        </w:tc>
        <w:tc>
          <w:tcPr>
            <w:tcW w:w="10632" w:type="dxa"/>
            <w:vAlign w:val="center"/>
          </w:tcPr>
          <w:p w14:paraId="54E9B675" w14:textId="6B1FC0EC" w:rsidR="003A53A0" w:rsidRPr="003A53A0" w:rsidRDefault="003A53A0" w:rsidP="003A53A0">
            <w:pPr>
              <w:pStyle w:val="TableText1"/>
              <w:rPr>
                <w:rFonts w:cs="Arial"/>
                <w:szCs w:val="20"/>
              </w:rPr>
            </w:pPr>
            <w:r w:rsidRPr="003A53A0">
              <w:rPr>
                <w:rFonts w:cs="Arial"/>
                <w:color w:val="000000"/>
                <w:szCs w:val="20"/>
              </w:rPr>
              <w:t>‘Proximal leg vein ultrasound within 4 hours of request’ unlikely to be achieved as dependent on local radiology services and out of hours service – to include in the statement that interim anticoagulation therapy should be offered if more than 4 hours for a proximal leg vein ultrasound performed, with review of anticoagulation following imaging diagnosis</w:t>
            </w:r>
          </w:p>
        </w:tc>
      </w:tr>
      <w:tr w:rsidR="003A53A0" w:rsidRPr="003A53A0" w14:paraId="24E000ED" w14:textId="77777777" w:rsidTr="00F60DF7">
        <w:tc>
          <w:tcPr>
            <w:tcW w:w="675" w:type="dxa"/>
            <w:vAlign w:val="center"/>
          </w:tcPr>
          <w:p w14:paraId="776B2EB3" w14:textId="16FB0E06" w:rsidR="003A53A0" w:rsidRPr="003A53A0" w:rsidRDefault="00F60DF7" w:rsidP="00F60DF7">
            <w:pPr>
              <w:pStyle w:val="TableText1"/>
              <w:rPr>
                <w:rFonts w:cs="Arial"/>
                <w:szCs w:val="20"/>
              </w:rPr>
            </w:pPr>
            <w:r>
              <w:rPr>
                <w:rFonts w:cs="Arial"/>
                <w:szCs w:val="20"/>
              </w:rPr>
              <w:lastRenderedPageBreak/>
              <w:t>89</w:t>
            </w:r>
          </w:p>
        </w:tc>
        <w:tc>
          <w:tcPr>
            <w:tcW w:w="2552" w:type="dxa"/>
            <w:vAlign w:val="center"/>
          </w:tcPr>
          <w:p w14:paraId="65EB8302" w14:textId="3C3918FE" w:rsidR="003A53A0" w:rsidRPr="003A53A0" w:rsidRDefault="003A53A0" w:rsidP="003A53A0">
            <w:pPr>
              <w:pStyle w:val="TableText1"/>
              <w:rPr>
                <w:rFonts w:cs="Arial"/>
                <w:szCs w:val="20"/>
              </w:rPr>
            </w:pPr>
            <w:r w:rsidRPr="003A53A0">
              <w:rPr>
                <w:rFonts w:cs="Arial"/>
                <w:szCs w:val="20"/>
              </w:rPr>
              <w:t>University Hospitals Birmingham NHS Foundation Trust Haematology Service</w:t>
            </w:r>
          </w:p>
        </w:tc>
        <w:tc>
          <w:tcPr>
            <w:tcW w:w="1417" w:type="dxa"/>
            <w:vAlign w:val="center"/>
          </w:tcPr>
          <w:p w14:paraId="170DD8D8" w14:textId="75809A78" w:rsidR="003A53A0" w:rsidRPr="003A53A0" w:rsidRDefault="003A53A0" w:rsidP="003A53A0">
            <w:pPr>
              <w:pStyle w:val="TableText1"/>
              <w:rPr>
                <w:rFonts w:cs="Arial"/>
                <w:bCs/>
                <w:szCs w:val="20"/>
              </w:rPr>
            </w:pPr>
            <w:r w:rsidRPr="003A53A0">
              <w:rPr>
                <w:rFonts w:cs="Arial"/>
                <w:bCs/>
                <w:color w:val="000000"/>
                <w:szCs w:val="20"/>
              </w:rPr>
              <w:t>Statement 3</w:t>
            </w:r>
          </w:p>
        </w:tc>
        <w:tc>
          <w:tcPr>
            <w:tcW w:w="10632" w:type="dxa"/>
            <w:vAlign w:val="center"/>
          </w:tcPr>
          <w:p w14:paraId="61B2D166"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There are some very effective and safe community pathways where access to a scan in 4 hours is impractical. This will require a lot of extra radiology resourcing and may push DVT investigations back into secondary care to comply with this standard which ultimately will not improve patient experience.</w:t>
            </w:r>
          </w:p>
          <w:p w14:paraId="24180DCC"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Secondary care is already under pressure to accommodate current suspected DVT scans within 24h. QS3 seems unrealistic.</w:t>
            </w:r>
          </w:p>
          <w:p w14:paraId="09448647" w14:textId="49D6197C" w:rsidR="003A53A0" w:rsidRPr="003A53A0" w:rsidRDefault="003A53A0" w:rsidP="003A53A0">
            <w:pPr>
              <w:pStyle w:val="TableText1"/>
              <w:rPr>
                <w:rFonts w:cs="Arial"/>
                <w:szCs w:val="20"/>
              </w:rPr>
            </w:pPr>
            <w:r w:rsidRPr="003A53A0">
              <w:rPr>
                <w:rFonts w:cs="Arial"/>
                <w:color w:val="000000"/>
                <w:szCs w:val="20"/>
              </w:rPr>
              <w:t>Patients are risk assessed before initiation of anticoagulation. NICE will need to demonstrate that the risks of offering interim anticoagulation (following high clinical suspicion and positive D-dimers) outweigh the benefits.</w:t>
            </w:r>
          </w:p>
        </w:tc>
      </w:tr>
      <w:tr w:rsidR="003A53A0" w:rsidRPr="003A53A0" w14:paraId="3760190D" w14:textId="77777777" w:rsidTr="00F60DF7">
        <w:tc>
          <w:tcPr>
            <w:tcW w:w="675" w:type="dxa"/>
            <w:vAlign w:val="center"/>
          </w:tcPr>
          <w:p w14:paraId="4090413D" w14:textId="4AE46A55" w:rsidR="003A53A0" w:rsidRPr="003A53A0" w:rsidRDefault="00F60DF7" w:rsidP="00F60DF7">
            <w:pPr>
              <w:pStyle w:val="TableText1"/>
              <w:rPr>
                <w:rFonts w:cs="Arial"/>
                <w:szCs w:val="20"/>
              </w:rPr>
            </w:pPr>
            <w:r>
              <w:rPr>
                <w:rFonts w:cs="Arial"/>
                <w:szCs w:val="20"/>
              </w:rPr>
              <w:t>90</w:t>
            </w:r>
          </w:p>
        </w:tc>
        <w:tc>
          <w:tcPr>
            <w:tcW w:w="2552" w:type="dxa"/>
            <w:vAlign w:val="center"/>
          </w:tcPr>
          <w:p w14:paraId="7923A363" w14:textId="359C83BD" w:rsidR="003A53A0" w:rsidRPr="003A53A0" w:rsidRDefault="003A53A0" w:rsidP="003A53A0">
            <w:pPr>
              <w:pStyle w:val="TableText1"/>
              <w:rPr>
                <w:rFonts w:cs="Arial"/>
                <w:szCs w:val="20"/>
              </w:rPr>
            </w:pPr>
            <w:r w:rsidRPr="003A53A0">
              <w:rPr>
                <w:rFonts w:cs="Arial"/>
                <w:szCs w:val="20"/>
              </w:rPr>
              <w:t>VTE National Network for Nursing and Midwifery</w:t>
            </w:r>
          </w:p>
        </w:tc>
        <w:tc>
          <w:tcPr>
            <w:tcW w:w="1417" w:type="dxa"/>
            <w:vAlign w:val="center"/>
          </w:tcPr>
          <w:p w14:paraId="6740122F" w14:textId="5076AD65" w:rsidR="003A53A0" w:rsidRPr="003A53A0" w:rsidRDefault="003A53A0" w:rsidP="003A53A0">
            <w:pPr>
              <w:pStyle w:val="TableText1"/>
              <w:rPr>
                <w:rFonts w:cs="Arial"/>
                <w:bCs/>
                <w:szCs w:val="20"/>
              </w:rPr>
            </w:pPr>
            <w:r w:rsidRPr="003A53A0">
              <w:rPr>
                <w:rFonts w:cs="Arial"/>
                <w:bCs/>
                <w:color w:val="000000"/>
                <w:szCs w:val="20"/>
              </w:rPr>
              <w:t>Statement 3</w:t>
            </w:r>
          </w:p>
        </w:tc>
        <w:tc>
          <w:tcPr>
            <w:tcW w:w="10632" w:type="dxa"/>
            <w:vAlign w:val="center"/>
          </w:tcPr>
          <w:p w14:paraId="73E6DD52" w14:textId="77777777" w:rsidR="003A53A0" w:rsidRPr="003A53A0" w:rsidRDefault="003A53A0" w:rsidP="003A53A0">
            <w:pPr>
              <w:pStyle w:val="NICEnormal"/>
              <w:rPr>
                <w:rFonts w:cs="Arial"/>
                <w:sz w:val="20"/>
                <w:szCs w:val="20"/>
              </w:rPr>
            </w:pPr>
            <w:r w:rsidRPr="003A53A0">
              <w:rPr>
                <w:rFonts w:cs="Arial"/>
                <w:sz w:val="20"/>
                <w:szCs w:val="20"/>
              </w:rPr>
              <w:t>Statement 3 is unachievable for many centres at present.</w:t>
            </w:r>
          </w:p>
          <w:p w14:paraId="200693C8" w14:textId="7AC586A0" w:rsidR="003A53A0" w:rsidRPr="003A53A0" w:rsidRDefault="003A53A0" w:rsidP="003A53A0">
            <w:pPr>
              <w:pStyle w:val="TableText1"/>
              <w:rPr>
                <w:rFonts w:cs="Arial"/>
                <w:szCs w:val="20"/>
              </w:rPr>
            </w:pPr>
            <w:r w:rsidRPr="003A53A0">
              <w:rPr>
                <w:rFonts w:cs="Arial"/>
                <w:szCs w:val="20"/>
              </w:rPr>
              <w:t>Statement 3 will not be possible in many cases and is unlikely to represent a cost effective quality improvement. The VTE NICE guideline states that scans should be performed within 24h, it would be better for the QS to be consistent with this.</w:t>
            </w:r>
            <w:r w:rsidRPr="003A53A0">
              <w:rPr>
                <w:rFonts w:cs="Arial"/>
                <w:color w:val="C45911"/>
                <w:szCs w:val="20"/>
              </w:rPr>
              <w:t xml:space="preserve"> </w:t>
            </w:r>
          </w:p>
        </w:tc>
      </w:tr>
      <w:tr w:rsidR="003A53A0" w:rsidRPr="003A53A0" w14:paraId="2A054917" w14:textId="77777777" w:rsidTr="00F60DF7">
        <w:tc>
          <w:tcPr>
            <w:tcW w:w="675" w:type="dxa"/>
            <w:vAlign w:val="center"/>
          </w:tcPr>
          <w:p w14:paraId="7CADE6CE" w14:textId="448AC570" w:rsidR="003A53A0" w:rsidRPr="003A53A0" w:rsidRDefault="00F60DF7" w:rsidP="00F60DF7">
            <w:pPr>
              <w:pStyle w:val="TableText1"/>
              <w:rPr>
                <w:rFonts w:cs="Arial"/>
                <w:szCs w:val="20"/>
              </w:rPr>
            </w:pPr>
            <w:r>
              <w:rPr>
                <w:rFonts w:cs="Arial"/>
                <w:szCs w:val="20"/>
              </w:rPr>
              <w:t>91</w:t>
            </w:r>
          </w:p>
        </w:tc>
        <w:tc>
          <w:tcPr>
            <w:tcW w:w="2552" w:type="dxa"/>
            <w:vAlign w:val="center"/>
          </w:tcPr>
          <w:p w14:paraId="367C59EF" w14:textId="06CAA170" w:rsidR="003A53A0" w:rsidRPr="003A53A0" w:rsidRDefault="003A53A0" w:rsidP="003A53A0">
            <w:pPr>
              <w:pStyle w:val="TableText1"/>
              <w:rPr>
                <w:rFonts w:cs="Arial"/>
                <w:szCs w:val="20"/>
              </w:rPr>
            </w:pPr>
            <w:r w:rsidRPr="003A53A0">
              <w:rPr>
                <w:rFonts w:cs="Arial"/>
                <w:szCs w:val="20"/>
              </w:rPr>
              <w:t>All-Party Parliamentary Group on Vascular and Venous Disease</w:t>
            </w:r>
          </w:p>
        </w:tc>
        <w:tc>
          <w:tcPr>
            <w:tcW w:w="1417" w:type="dxa"/>
            <w:vAlign w:val="center"/>
          </w:tcPr>
          <w:p w14:paraId="5B92EB48" w14:textId="269FFC2A" w:rsidR="003A53A0" w:rsidRPr="003A53A0" w:rsidRDefault="003A53A0" w:rsidP="003A53A0">
            <w:pPr>
              <w:pStyle w:val="TableText1"/>
              <w:rPr>
                <w:rFonts w:cs="Arial"/>
                <w:bCs/>
                <w:szCs w:val="20"/>
              </w:rPr>
            </w:pPr>
            <w:r w:rsidRPr="003A53A0">
              <w:rPr>
                <w:rFonts w:cs="Arial"/>
                <w:bCs/>
                <w:color w:val="000000"/>
                <w:szCs w:val="20"/>
              </w:rPr>
              <w:t>Statement 4 (measure)</w:t>
            </w:r>
          </w:p>
        </w:tc>
        <w:tc>
          <w:tcPr>
            <w:tcW w:w="10632" w:type="dxa"/>
            <w:vAlign w:val="center"/>
          </w:tcPr>
          <w:p w14:paraId="62998CC1"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This draft quality standard does support a key area for quality improvement.</w:t>
            </w:r>
          </w:p>
          <w:p w14:paraId="37B9BC7A"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-This data could be collected locally by an audit process.</w:t>
            </w:r>
          </w:p>
          <w:p w14:paraId="6B807187"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-Pathways would need to be put into place to ensure that a 3 month review would be carried out. The proposed pathway would have to indicate which clinical team would be responsible for ensuring the review was arranged.</w:t>
            </w:r>
          </w:p>
          <w:p w14:paraId="399046BF"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-The process of streamlining the review of anticoagulation would lead to increased efficiency and this may offer a potential cost saving.</w:t>
            </w:r>
          </w:p>
          <w:p w14:paraId="6EF6ED38" w14:textId="77777777" w:rsidR="003A53A0" w:rsidRPr="003A53A0" w:rsidRDefault="003A53A0" w:rsidP="003A53A0">
            <w:pPr>
              <w:rPr>
                <w:rFonts w:ascii="Arial" w:hAnsi="Arial" w:cs="Arial"/>
                <w:color w:val="000000"/>
                <w:sz w:val="20"/>
                <w:szCs w:val="20"/>
              </w:rPr>
            </w:pPr>
          </w:p>
          <w:p w14:paraId="2E59119C" w14:textId="11F76366" w:rsidR="003A53A0" w:rsidRPr="003A53A0" w:rsidRDefault="003A53A0" w:rsidP="003A53A0">
            <w:pPr>
              <w:pStyle w:val="TableText1"/>
              <w:rPr>
                <w:rFonts w:cs="Arial"/>
                <w:szCs w:val="20"/>
              </w:rPr>
            </w:pPr>
            <w:r w:rsidRPr="003A53A0">
              <w:rPr>
                <w:rFonts w:cs="Arial"/>
                <w:color w:val="000000"/>
                <w:szCs w:val="20"/>
              </w:rPr>
              <w:t>-An outcome measure of only “rates of adherence” would not accurately describe quality. This should be in combination with clinical outcomes and adverse events management, such as bleeding risks.</w:t>
            </w:r>
          </w:p>
        </w:tc>
      </w:tr>
      <w:tr w:rsidR="003A53A0" w:rsidRPr="003A53A0" w14:paraId="083CE145" w14:textId="77777777" w:rsidTr="00F60DF7">
        <w:tc>
          <w:tcPr>
            <w:tcW w:w="675" w:type="dxa"/>
            <w:vAlign w:val="center"/>
          </w:tcPr>
          <w:p w14:paraId="27D1D2C5" w14:textId="1CA3D935" w:rsidR="003A53A0" w:rsidRPr="003A53A0" w:rsidRDefault="00F60DF7" w:rsidP="00F60DF7">
            <w:pPr>
              <w:pStyle w:val="TableText1"/>
              <w:rPr>
                <w:rFonts w:cs="Arial"/>
                <w:szCs w:val="20"/>
              </w:rPr>
            </w:pPr>
            <w:r>
              <w:rPr>
                <w:rFonts w:cs="Arial"/>
                <w:szCs w:val="20"/>
              </w:rPr>
              <w:t>92</w:t>
            </w:r>
          </w:p>
        </w:tc>
        <w:tc>
          <w:tcPr>
            <w:tcW w:w="2552" w:type="dxa"/>
            <w:vAlign w:val="center"/>
          </w:tcPr>
          <w:p w14:paraId="378F9A1F" w14:textId="5AAD02D1" w:rsidR="003A53A0" w:rsidRPr="003A53A0" w:rsidRDefault="003A53A0" w:rsidP="003A53A0">
            <w:pPr>
              <w:pStyle w:val="TableText1"/>
              <w:rPr>
                <w:rFonts w:cs="Arial"/>
                <w:szCs w:val="20"/>
              </w:rPr>
            </w:pPr>
            <w:r w:rsidRPr="003A53A0">
              <w:rPr>
                <w:rFonts w:cs="Arial"/>
                <w:szCs w:val="20"/>
              </w:rPr>
              <w:t>Anticoagulation UK</w:t>
            </w:r>
          </w:p>
        </w:tc>
        <w:tc>
          <w:tcPr>
            <w:tcW w:w="1417" w:type="dxa"/>
            <w:vAlign w:val="center"/>
          </w:tcPr>
          <w:p w14:paraId="1B1866D7" w14:textId="3A51DFB2" w:rsidR="003A53A0" w:rsidRPr="003A53A0" w:rsidRDefault="003A53A0" w:rsidP="003A53A0">
            <w:pPr>
              <w:pStyle w:val="TableText1"/>
              <w:rPr>
                <w:rFonts w:cs="Arial"/>
                <w:bCs/>
                <w:szCs w:val="20"/>
              </w:rPr>
            </w:pPr>
            <w:r w:rsidRPr="003A53A0">
              <w:rPr>
                <w:rFonts w:cs="Arial"/>
                <w:bCs/>
                <w:color w:val="000000"/>
                <w:szCs w:val="20"/>
              </w:rPr>
              <w:t>Statement 4</w:t>
            </w:r>
          </w:p>
        </w:tc>
        <w:tc>
          <w:tcPr>
            <w:tcW w:w="10632" w:type="dxa"/>
            <w:vAlign w:val="center"/>
          </w:tcPr>
          <w:p w14:paraId="71FF8C59"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 ‘have a review after 3 months and then at least once a year if they continue to take it long – term’</w:t>
            </w:r>
          </w:p>
          <w:p w14:paraId="73B8269E"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 xml:space="preserve">We suggest that wording is changed from ‘after’ 3 months to  ‘at’  3 months with the QS ensuring that the follow up review appointment is notified to the patient at the time of initiation of medication or, stated  on the discharge summary to ensure that the patient/carer is fully aware of the need for the review along with  who will undertake i.e secondary care HCP, anticoagulation clinic or GP? </w:t>
            </w:r>
          </w:p>
          <w:p w14:paraId="7AAE7800"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 xml:space="preserve">From the patient perspective, prescriptions for anticoagulation medication are normally repeated at two monthly intervals and this provides an opportunity in primary care for a review date to be confirmed with the patient. </w:t>
            </w:r>
          </w:p>
          <w:p w14:paraId="123E9AE7"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 xml:space="preserve">Patients need to be made aware of the need to monitor Doacs – see attached a recent PIL produced by two Imperial College London medical students on their GP rotation. </w:t>
            </w:r>
            <w:hyperlink r:id="rId18" w:history="1">
              <w:r w:rsidRPr="003A53A0">
                <w:rPr>
                  <w:rStyle w:val="Hyperlink"/>
                  <w:rFonts w:ascii="Arial" w:hAnsi="Arial" w:cs="Arial"/>
                  <w:sz w:val="20"/>
                  <w:szCs w:val="20"/>
                </w:rPr>
                <w:t>https://anticoagulationuk.org/news/2020-12-01-anticoagulation-uk-and-imperial-college-london-students-produce-leaflet-for-patients-currently-taking-direct-oral-anticoagulants-doacs</w:t>
              </w:r>
            </w:hyperlink>
          </w:p>
          <w:p w14:paraId="06C94FFC" w14:textId="77777777" w:rsidR="003A53A0" w:rsidRPr="003A53A0" w:rsidRDefault="003A53A0" w:rsidP="003A53A0">
            <w:pPr>
              <w:rPr>
                <w:rFonts w:ascii="Arial" w:hAnsi="Arial" w:cs="Arial"/>
                <w:color w:val="000000"/>
                <w:sz w:val="20"/>
                <w:szCs w:val="20"/>
              </w:rPr>
            </w:pPr>
          </w:p>
          <w:p w14:paraId="122DF5D7" w14:textId="740E35A2" w:rsidR="003A53A0" w:rsidRPr="003A53A0" w:rsidRDefault="003A53A0" w:rsidP="003A53A0">
            <w:pPr>
              <w:pStyle w:val="TableText1"/>
              <w:rPr>
                <w:rFonts w:cs="Arial"/>
                <w:szCs w:val="20"/>
              </w:rPr>
            </w:pPr>
            <w:r w:rsidRPr="003A53A0">
              <w:rPr>
                <w:rFonts w:cs="Arial"/>
                <w:color w:val="000000"/>
                <w:szCs w:val="20"/>
              </w:rPr>
              <w:t xml:space="preserve"> </w:t>
            </w:r>
          </w:p>
        </w:tc>
      </w:tr>
      <w:tr w:rsidR="003A53A0" w:rsidRPr="003A53A0" w14:paraId="2974F013" w14:textId="77777777" w:rsidTr="00F60DF7">
        <w:tc>
          <w:tcPr>
            <w:tcW w:w="675" w:type="dxa"/>
            <w:vAlign w:val="center"/>
          </w:tcPr>
          <w:p w14:paraId="229AD555" w14:textId="5CA9EECD" w:rsidR="003A53A0" w:rsidRPr="003A53A0" w:rsidRDefault="00F60DF7" w:rsidP="00F60DF7">
            <w:pPr>
              <w:pStyle w:val="TableText1"/>
              <w:rPr>
                <w:rFonts w:cs="Arial"/>
                <w:szCs w:val="20"/>
              </w:rPr>
            </w:pPr>
            <w:r>
              <w:rPr>
                <w:rFonts w:cs="Arial"/>
                <w:szCs w:val="20"/>
              </w:rPr>
              <w:t>93</w:t>
            </w:r>
          </w:p>
        </w:tc>
        <w:tc>
          <w:tcPr>
            <w:tcW w:w="2552" w:type="dxa"/>
            <w:vAlign w:val="center"/>
          </w:tcPr>
          <w:p w14:paraId="28F6D960" w14:textId="602C85CE" w:rsidR="003A53A0" w:rsidRPr="003A53A0" w:rsidRDefault="003A53A0" w:rsidP="003A53A0">
            <w:pPr>
              <w:pStyle w:val="TableText1"/>
              <w:rPr>
                <w:rFonts w:cs="Arial"/>
                <w:szCs w:val="20"/>
              </w:rPr>
            </w:pPr>
            <w:r w:rsidRPr="003A53A0">
              <w:rPr>
                <w:rFonts w:cs="Arial"/>
                <w:szCs w:val="20"/>
              </w:rPr>
              <w:t>British Geriatrics Society</w:t>
            </w:r>
          </w:p>
        </w:tc>
        <w:tc>
          <w:tcPr>
            <w:tcW w:w="1417" w:type="dxa"/>
            <w:vAlign w:val="center"/>
          </w:tcPr>
          <w:p w14:paraId="20FDF3E5" w14:textId="271616B7" w:rsidR="003A53A0" w:rsidRPr="003A53A0" w:rsidRDefault="003A53A0" w:rsidP="003A53A0">
            <w:pPr>
              <w:pStyle w:val="TableText1"/>
              <w:rPr>
                <w:rFonts w:cs="Arial"/>
                <w:bCs/>
                <w:szCs w:val="20"/>
              </w:rPr>
            </w:pPr>
            <w:r w:rsidRPr="003A53A0">
              <w:rPr>
                <w:rFonts w:cs="Arial"/>
                <w:bCs/>
                <w:color w:val="000000"/>
                <w:szCs w:val="20"/>
              </w:rPr>
              <w:t>Statement 4</w:t>
            </w:r>
          </w:p>
        </w:tc>
        <w:tc>
          <w:tcPr>
            <w:tcW w:w="10632" w:type="dxa"/>
            <w:vAlign w:val="center"/>
          </w:tcPr>
          <w:p w14:paraId="49825EA0" w14:textId="15722D05" w:rsidR="003A53A0" w:rsidRPr="003A53A0" w:rsidRDefault="003A53A0" w:rsidP="003A53A0">
            <w:pPr>
              <w:pStyle w:val="TableText1"/>
              <w:rPr>
                <w:rFonts w:cs="Arial"/>
                <w:szCs w:val="20"/>
              </w:rPr>
            </w:pPr>
            <w:r w:rsidRPr="003A53A0">
              <w:rPr>
                <w:rFonts w:cs="Arial"/>
                <w:color w:val="000000"/>
                <w:szCs w:val="20"/>
              </w:rPr>
              <w:t xml:space="preserve">This statement assumes uncertainty in long-term anticoagulation strategy at the point of VTE diagnosis for every patient and this forms the rationale for a mandatory 3-month review. However, for many patients it may be clear at </w:t>
            </w:r>
            <w:r w:rsidRPr="003A53A0">
              <w:rPr>
                <w:rFonts w:cs="Arial"/>
                <w:color w:val="000000"/>
                <w:szCs w:val="20"/>
              </w:rPr>
              <w:lastRenderedPageBreak/>
              <w:t>diagnosis that anticoagulation should be lifelong (e.g. recurrent VTE, proven coagulation disorder, co-existent cancer) or short-term (e.g. clearly provoked), which would make this review arguably unnecessary and burdensome for patient and healthcare services. Perhaps the standard could be limited to those where a clear treatment decision has not been made at the point of VTE diagnosis.</w:t>
            </w:r>
          </w:p>
        </w:tc>
      </w:tr>
      <w:tr w:rsidR="003A53A0" w:rsidRPr="003A53A0" w14:paraId="6E604318" w14:textId="77777777" w:rsidTr="00F60DF7">
        <w:tc>
          <w:tcPr>
            <w:tcW w:w="675" w:type="dxa"/>
            <w:vAlign w:val="center"/>
          </w:tcPr>
          <w:p w14:paraId="062ADB7A" w14:textId="3E6960CE" w:rsidR="003A53A0" w:rsidRPr="003A53A0" w:rsidRDefault="00F60DF7" w:rsidP="00F60DF7">
            <w:pPr>
              <w:pStyle w:val="TableText1"/>
              <w:rPr>
                <w:rFonts w:cs="Arial"/>
                <w:szCs w:val="20"/>
              </w:rPr>
            </w:pPr>
            <w:r>
              <w:rPr>
                <w:rFonts w:cs="Arial"/>
                <w:szCs w:val="20"/>
              </w:rPr>
              <w:lastRenderedPageBreak/>
              <w:t>94</w:t>
            </w:r>
          </w:p>
        </w:tc>
        <w:tc>
          <w:tcPr>
            <w:tcW w:w="2552" w:type="dxa"/>
            <w:vAlign w:val="center"/>
          </w:tcPr>
          <w:p w14:paraId="3532913E" w14:textId="5835D7AE" w:rsidR="003A53A0" w:rsidRPr="003A53A0" w:rsidRDefault="003A53A0" w:rsidP="003A53A0">
            <w:pPr>
              <w:pStyle w:val="TableText1"/>
              <w:rPr>
                <w:rFonts w:cs="Arial"/>
                <w:szCs w:val="20"/>
              </w:rPr>
            </w:pPr>
            <w:r w:rsidRPr="003A53A0">
              <w:rPr>
                <w:rFonts w:cs="Arial"/>
                <w:szCs w:val="20"/>
              </w:rPr>
              <w:t>British Orthopaedic Association</w:t>
            </w:r>
          </w:p>
        </w:tc>
        <w:tc>
          <w:tcPr>
            <w:tcW w:w="1417" w:type="dxa"/>
            <w:vAlign w:val="center"/>
          </w:tcPr>
          <w:p w14:paraId="6FFABAA8" w14:textId="24A01743" w:rsidR="003A53A0" w:rsidRPr="003A53A0" w:rsidRDefault="003A53A0" w:rsidP="003A53A0">
            <w:pPr>
              <w:pStyle w:val="TableText1"/>
              <w:rPr>
                <w:rFonts w:cs="Arial"/>
                <w:bCs/>
                <w:szCs w:val="20"/>
              </w:rPr>
            </w:pPr>
            <w:r w:rsidRPr="003A53A0">
              <w:rPr>
                <w:rFonts w:cs="Arial"/>
                <w:bCs/>
                <w:color w:val="000000"/>
                <w:szCs w:val="20"/>
              </w:rPr>
              <w:t>Statement 4</w:t>
            </w:r>
          </w:p>
        </w:tc>
        <w:tc>
          <w:tcPr>
            <w:tcW w:w="10632" w:type="dxa"/>
            <w:vAlign w:val="center"/>
          </w:tcPr>
          <w:p w14:paraId="00D7B5A6" w14:textId="633D7332" w:rsidR="003A53A0" w:rsidRPr="003A53A0" w:rsidRDefault="0032423B" w:rsidP="003A53A0">
            <w:pPr>
              <w:pStyle w:val="TableText1"/>
              <w:rPr>
                <w:rFonts w:cs="Arial"/>
                <w:szCs w:val="20"/>
              </w:rPr>
            </w:pPr>
            <w:r>
              <w:rPr>
                <w:rFonts w:cs="Arial"/>
                <w:color w:val="000000"/>
                <w:szCs w:val="20"/>
              </w:rPr>
              <w:t>N</w:t>
            </w:r>
            <w:r w:rsidR="003A53A0" w:rsidRPr="003A53A0">
              <w:rPr>
                <w:rFonts w:cs="Arial"/>
                <w:color w:val="000000"/>
                <w:szCs w:val="20"/>
              </w:rPr>
              <w:t>o additional comments</w:t>
            </w:r>
          </w:p>
        </w:tc>
      </w:tr>
      <w:tr w:rsidR="003A53A0" w:rsidRPr="003A53A0" w14:paraId="5EA64D82" w14:textId="77777777" w:rsidTr="00F60DF7">
        <w:tc>
          <w:tcPr>
            <w:tcW w:w="675" w:type="dxa"/>
            <w:vAlign w:val="center"/>
          </w:tcPr>
          <w:p w14:paraId="7DFAECD9" w14:textId="65146996" w:rsidR="003A53A0" w:rsidRPr="003A53A0" w:rsidRDefault="00F60DF7" w:rsidP="00F60DF7">
            <w:pPr>
              <w:pStyle w:val="TableText1"/>
              <w:rPr>
                <w:rFonts w:cs="Arial"/>
                <w:szCs w:val="20"/>
              </w:rPr>
            </w:pPr>
            <w:r>
              <w:rPr>
                <w:rFonts w:cs="Arial"/>
                <w:szCs w:val="20"/>
              </w:rPr>
              <w:t>95</w:t>
            </w:r>
          </w:p>
        </w:tc>
        <w:tc>
          <w:tcPr>
            <w:tcW w:w="2552" w:type="dxa"/>
            <w:vAlign w:val="center"/>
          </w:tcPr>
          <w:p w14:paraId="1E5D3340" w14:textId="71F56FE2" w:rsidR="003A53A0" w:rsidRPr="003A53A0" w:rsidRDefault="003A53A0" w:rsidP="003A53A0">
            <w:pPr>
              <w:pStyle w:val="TableText1"/>
              <w:rPr>
                <w:rFonts w:cs="Arial"/>
                <w:szCs w:val="20"/>
              </w:rPr>
            </w:pPr>
            <w:r w:rsidRPr="003A53A0">
              <w:rPr>
                <w:rFonts w:cs="Arial"/>
                <w:szCs w:val="20"/>
              </w:rPr>
              <w:t>British Thoracic Society</w:t>
            </w:r>
          </w:p>
        </w:tc>
        <w:tc>
          <w:tcPr>
            <w:tcW w:w="1417" w:type="dxa"/>
            <w:vAlign w:val="center"/>
          </w:tcPr>
          <w:p w14:paraId="7883DFCF" w14:textId="6FD22503" w:rsidR="003A53A0" w:rsidRPr="003A53A0" w:rsidRDefault="003A53A0" w:rsidP="003A53A0">
            <w:pPr>
              <w:pStyle w:val="TableText1"/>
              <w:rPr>
                <w:rFonts w:cs="Arial"/>
                <w:bCs/>
                <w:szCs w:val="20"/>
              </w:rPr>
            </w:pPr>
            <w:r w:rsidRPr="003A53A0">
              <w:rPr>
                <w:rFonts w:cs="Arial"/>
                <w:bCs/>
                <w:color w:val="000000"/>
                <w:szCs w:val="20"/>
              </w:rPr>
              <w:t>Statement 4</w:t>
            </w:r>
          </w:p>
        </w:tc>
        <w:tc>
          <w:tcPr>
            <w:tcW w:w="10632" w:type="dxa"/>
            <w:vAlign w:val="center"/>
          </w:tcPr>
          <w:p w14:paraId="6BE2E44A"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Who is required to conduct the review – can it be the GP? Or does NICE mean a specialist or anticoagulation service. The yearly follow up may be impractical in secondary care. What parameters will be needed at that yearly follow up?</w:t>
            </w:r>
          </w:p>
          <w:p w14:paraId="762E05ED" w14:textId="77777777" w:rsidR="003A53A0" w:rsidRPr="003A53A0" w:rsidRDefault="003A53A0" w:rsidP="003A53A0">
            <w:pPr>
              <w:pStyle w:val="TableText1"/>
              <w:rPr>
                <w:rFonts w:cs="Arial"/>
                <w:szCs w:val="20"/>
              </w:rPr>
            </w:pPr>
          </w:p>
        </w:tc>
      </w:tr>
      <w:tr w:rsidR="003A53A0" w:rsidRPr="003A53A0" w14:paraId="48692264" w14:textId="77777777" w:rsidTr="00F60DF7">
        <w:tc>
          <w:tcPr>
            <w:tcW w:w="675" w:type="dxa"/>
            <w:vAlign w:val="center"/>
          </w:tcPr>
          <w:p w14:paraId="2CF84A2C" w14:textId="7C6272FE" w:rsidR="003A53A0" w:rsidRPr="003A53A0" w:rsidRDefault="00F60DF7" w:rsidP="00F60DF7">
            <w:pPr>
              <w:pStyle w:val="TableText1"/>
              <w:rPr>
                <w:rFonts w:cs="Arial"/>
                <w:szCs w:val="20"/>
              </w:rPr>
            </w:pPr>
            <w:r>
              <w:rPr>
                <w:rFonts w:cs="Arial"/>
                <w:szCs w:val="20"/>
              </w:rPr>
              <w:t>96</w:t>
            </w:r>
          </w:p>
        </w:tc>
        <w:tc>
          <w:tcPr>
            <w:tcW w:w="2552" w:type="dxa"/>
            <w:vAlign w:val="center"/>
          </w:tcPr>
          <w:p w14:paraId="4C423A92" w14:textId="7A5CE2FD" w:rsidR="003A53A0" w:rsidRPr="003A53A0" w:rsidRDefault="003A53A0" w:rsidP="003A53A0">
            <w:pPr>
              <w:pStyle w:val="TableText1"/>
              <w:rPr>
                <w:rFonts w:cs="Arial"/>
                <w:szCs w:val="20"/>
              </w:rPr>
            </w:pPr>
            <w:r w:rsidRPr="003A53A0">
              <w:rPr>
                <w:rFonts w:cs="Arial"/>
                <w:szCs w:val="20"/>
              </w:rPr>
              <w:t>Chelsea and Westminster Hospital NHS Foundation Trust</w:t>
            </w:r>
          </w:p>
        </w:tc>
        <w:tc>
          <w:tcPr>
            <w:tcW w:w="1417" w:type="dxa"/>
            <w:vAlign w:val="center"/>
          </w:tcPr>
          <w:p w14:paraId="23CDE2E9" w14:textId="587D0AB4" w:rsidR="003A53A0" w:rsidRPr="003A53A0" w:rsidRDefault="003A53A0" w:rsidP="003A53A0">
            <w:pPr>
              <w:pStyle w:val="TableText1"/>
              <w:rPr>
                <w:rFonts w:cs="Arial"/>
                <w:bCs/>
                <w:szCs w:val="20"/>
              </w:rPr>
            </w:pPr>
            <w:r w:rsidRPr="003A53A0">
              <w:rPr>
                <w:rFonts w:cs="Arial"/>
                <w:bCs/>
                <w:color w:val="000000"/>
                <w:szCs w:val="20"/>
              </w:rPr>
              <w:t>Statement 4</w:t>
            </w:r>
          </w:p>
        </w:tc>
        <w:tc>
          <w:tcPr>
            <w:tcW w:w="10632" w:type="dxa"/>
            <w:vAlign w:val="center"/>
          </w:tcPr>
          <w:p w14:paraId="2C86BF64" w14:textId="501092E7" w:rsidR="003A53A0" w:rsidRPr="003A53A0" w:rsidRDefault="003A53A0" w:rsidP="003A53A0">
            <w:pPr>
              <w:pStyle w:val="TableText1"/>
              <w:rPr>
                <w:rFonts w:cs="Arial"/>
                <w:szCs w:val="20"/>
              </w:rPr>
            </w:pPr>
            <w:r w:rsidRPr="003A53A0">
              <w:rPr>
                <w:rFonts w:cs="Arial"/>
                <w:color w:val="000000"/>
                <w:szCs w:val="20"/>
              </w:rPr>
              <w:t>Challenging to identify patients requiring a review at 3 months, when care transferred to primary care unless high risk</w:t>
            </w:r>
          </w:p>
        </w:tc>
      </w:tr>
      <w:tr w:rsidR="003A53A0" w:rsidRPr="003A53A0" w14:paraId="798C0241" w14:textId="77777777" w:rsidTr="00F60DF7">
        <w:tc>
          <w:tcPr>
            <w:tcW w:w="675" w:type="dxa"/>
            <w:vAlign w:val="center"/>
          </w:tcPr>
          <w:p w14:paraId="04591F9D" w14:textId="77E01C49" w:rsidR="003A53A0" w:rsidRPr="003A53A0" w:rsidRDefault="00F60DF7" w:rsidP="00F60DF7">
            <w:pPr>
              <w:pStyle w:val="TableText1"/>
              <w:rPr>
                <w:rFonts w:cs="Arial"/>
                <w:szCs w:val="20"/>
              </w:rPr>
            </w:pPr>
            <w:r>
              <w:rPr>
                <w:rFonts w:cs="Arial"/>
                <w:szCs w:val="20"/>
              </w:rPr>
              <w:t>97</w:t>
            </w:r>
          </w:p>
        </w:tc>
        <w:tc>
          <w:tcPr>
            <w:tcW w:w="2552" w:type="dxa"/>
            <w:vAlign w:val="center"/>
          </w:tcPr>
          <w:p w14:paraId="6A1E6FDF" w14:textId="26E076E5" w:rsidR="003A53A0" w:rsidRPr="003A53A0" w:rsidRDefault="003A53A0" w:rsidP="003A53A0">
            <w:pPr>
              <w:pStyle w:val="TableText1"/>
              <w:rPr>
                <w:rFonts w:cs="Arial"/>
                <w:szCs w:val="20"/>
              </w:rPr>
            </w:pPr>
            <w:r w:rsidRPr="003A53A0">
              <w:rPr>
                <w:rFonts w:cs="Arial"/>
                <w:szCs w:val="20"/>
              </w:rPr>
              <w:t>Chelsea and Westminster Hospital NHS Foundation Trust</w:t>
            </w:r>
          </w:p>
        </w:tc>
        <w:tc>
          <w:tcPr>
            <w:tcW w:w="1417" w:type="dxa"/>
            <w:vAlign w:val="center"/>
          </w:tcPr>
          <w:p w14:paraId="2CB6B3CD" w14:textId="0C3DF3E7" w:rsidR="003A53A0" w:rsidRPr="003A53A0" w:rsidRDefault="003A53A0" w:rsidP="003A53A0">
            <w:pPr>
              <w:pStyle w:val="TableText1"/>
              <w:rPr>
                <w:rFonts w:cs="Arial"/>
                <w:bCs/>
                <w:szCs w:val="20"/>
              </w:rPr>
            </w:pPr>
            <w:r w:rsidRPr="003A53A0">
              <w:rPr>
                <w:rFonts w:cs="Arial"/>
                <w:bCs/>
                <w:color w:val="000000"/>
                <w:szCs w:val="20"/>
              </w:rPr>
              <w:t>Statement 4</w:t>
            </w:r>
          </w:p>
        </w:tc>
        <w:tc>
          <w:tcPr>
            <w:tcW w:w="10632" w:type="dxa"/>
            <w:vAlign w:val="center"/>
          </w:tcPr>
          <w:p w14:paraId="781C87A0" w14:textId="3FC2AE0C" w:rsidR="003A53A0" w:rsidRPr="003A53A0" w:rsidRDefault="003A53A0" w:rsidP="003A53A0">
            <w:pPr>
              <w:pStyle w:val="TableText1"/>
              <w:rPr>
                <w:rFonts w:cs="Arial"/>
                <w:szCs w:val="20"/>
              </w:rPr>
            </w:pPr>
            <w:r w:rsidRPr="003A53A0">
              <w:rPr>
                <w:rFonts w:cs="Arial"/>
                <w:color w:val="000000"/>
                <w:szCs w:val="20"/>
              </w:rPr>
              <w:t>Unable to identify the outcome of rates of adherence to VTE anticoagulation treatment</w:t>
            </w:r>
          </w:p>
        </w:tc>
      </w:tr>
      <w:tr w:rsidR="003A53A0" w:rsidRPr="003A53A0" w14:paraId="232BDB8D" w14:textId="77777777" w:rsidTr="00F60DF7">
        <w:tc>
          <w:tcPr>
            <w:tcW w:w="675" w:type="dxa"/>
            <w:vAlign w:val="center"/>
          </w:tcPr>
          <w:p w14:paraId="0B3F5EA5" w14:textId="787B929C" w:rsidR="003A53A0" w:rsidRPr="003A53A0" w:rsidRDefault="00F60DF7" w:rsidP="00F60DF7">
            <w:pPr>
              <w:pStyle w:val="TableText1"/>
              <w:rPr>
                <w:rFonts w:cs="Arial"/>
                <w:szCs w:val="20"/>
              </w:rPr>
            </w:pPr>
            <w:r>
              <w:rPr>
                <w:rFonts w:cs="Arial"/>
                <w:szCs w:val="20"/>
              </w:rPr>
              <w:t>98</w:t>
            </w:r>
          </w:p>
        </w:tc>
        <w:tc>
          <w:tcPr>
            <w:tcW w:w="2552" w:type="dxa"/>
            <w:vAlign w:val="center"/>
          </w:tcPr>
          <w:p w14:paraId="191E8A21" w14:textId="2A9BE6FD" w:rsidR="003A53A0" w:rsidRPr="003A53A0" w:rsidRDefault="003A53A0" w:rsidP="003A53A0">
            <w:pPr>
              <w:pStyle w:val="TableText1"/>
              <w:rPr>
                <w:rFonts w:cs="Arial"/>
                <w:szCs w:val="20"/>
              </w:rPr>
            </w:pPr>
            <w:r w:rsidRPr="003A53A0">
              <w:rPr>
                <w:rFonts w:cs="Arial"/>
                <w:szCs w:val="20"/>
              </w:rPr>
              <w:t>Chelsea and Westminster Hospital NHS Foundation Trust</w:t>
            </w:r>
          </w:p>
        </w:tc>
        <w:tc>
          <w:tcPr>
            <w:tcW w:w="1417" w:type="dxa"/>
            <w:vAlign w:val="center"/>
          </w:tcPr>
          <w:p w14:paraId="43A5D194" w14:textId="39F94F94" w:rsidR="003A53A0" w:rsidRPr="003A53A0" w:rsidRDefault="003A53A0" w:rsidP="003A53A0">
            <w:pPr>
              <w:pStyle w:val="TableText1"/>
              <w:rPr>
                <w:rFonts w:cs="Arial"/>
                <w:bCs/>
                <w:szCs w:val="20"/>
              </w:rPr>
            </w:pPr>
            <w:r w:rsidRPr="003A53A0">
              <w:rPr>
                <w:rFonts w:cs="Arial"/>
                <w:bCs/>
                <w:color w:val="000000"/>
                <w:szCs w:val="20"/>
              </w:rPr>
              <w:t>Statement 4</w:t>
            </w:r>
          </w:p>
        </w:tc>
        <w:tc>
          <w:tcPr>
            <w:tcW w:w="10632" w:type="dxa"/>
            <w:vAlign w:val="center"/>
          </w:tcPr>
          <w:p w14:paraId="4B660071" w14:textId="2C6EA82C" w:rsidR="003A53A0" w:rsidRPr="003A53A0" w:rsidRDefault="003A53A0" w:rsidP="003A53A0">
            <w:pPr>
              <w:pStyle w:val="TableText1"/>
              <w:rPr>
                <w:rFonts w:cs="Arial"/>
                <w:szCs w:val="20"/>
              </w:rPr>
            </w:pPr>
            <w:r w:rsidRPr="003A53A0">
              <w:rPr>
                <w:rFonts w:cs="Arial"/>
                <w:color w:val="000000"/>
                <w:szCs w:val="20"/>
              </w:rPr>
              <w:t>Heparins of animal origin paragraph does not sit well under this section of review of anticoagulation therapy at 3 months and annually – consider removal and placing under statement 1 which related to pharmacological VTE prophylaxis</w:t>
            </w:r>
          </w:p>
        </w:tc>
      </w:tr>
      <w:tr w:rsidR="003A53A0" w:rsidRPr="003A53A0" w14:paraId="6EDB73C9" w14:textId="77777777" w:rsidTr="00F60DF7">
        <w:tc>
          <w:tcPr>
            <w:tcW w:w="675" w:type="dxa"/>
            <w:vAlign w:val="center"/>
          </w:tcPr>
          <w:p w14:paraId="6492644C" w14:textId="1C4489DA" w:rsidR="003A53A0" w:rsidRPr="003A53A0" w:rsidRDefault="00F60DF7" w:rsidP="00F60DF7">
            <w:pPr>
              <w:pStyle w:val="TableText1"/>
              <w:rPr>
                <w:rFonts w:cs="Arial"/>
                <w:szCs w:val="20"/>
              </w:rPr>
            </w:pPr>
            <w:r>
              <w:rPr>
                <w:rFonts w:cs="Arial"/>
                <w:szCs w:val="20"/>
              </w:rPr>
              <w:t>99</w:t>
            </w:r>
          </w:p>
        </w:tc>
        <w:tc>
          <w:tcPr>
            <w:tcW w:w="2552" w:type="dxa"/>
            <w:vAlign w:val="center"/>
          </w:tcPr>
          <w:p w14:paraId="5F1E9AAA" w14:textId="2C367DCC" w:rsidR="003A53A0" w:rsidRPr="003A53A0" w:rsidRDefault="003A53A0" w:rsidP="003A53A0">
            <w:pPr>
              <w:pStyle w:val="TableText1"/>
              <w:rPr>
                <w:rFonts w:cs="Arial"/>
                <w:szCs w:val="20"/>
              </w:rPr>
            </w:pPr>
            <w:r w:rsidRPr="003A53A0">
              <w:rPr>
                <w:rFonts w:cs="Arial"/>
                <w:szCs w:val="20"/>
              </w:rPr>
              <w:t>Clinical Leaders of Thrombosis</w:t>
            </w:r>
          </w:p>
        </w:tc>
        <w:tc>
          <w:tcPr>
            <w:tcW w:w="1417" w:type="dxa"/>
            <w:vAlign w:val="center"/>
          </w:tcPr>
          <w:p w14:paraId="34204A8B" w14:textId="4184BE78" w:rsidR="003A53A0" w:rsidRPr="003A53A0" w:rsidRDefault="003A53A0" w:rsidP="003A53A0">
            <w:pPr>
              <w:pStyle w:val="TableText1"/>
              <w:rPr>
                <w:rFonts w:cs="Arial"/>
                <w:bCs/>
                <w:szCs w:val="20"/>
              </w:rPr>
            </w:pPr>
            <w:r w:rsidRPr="003A53A0">
              <w:rPr>
                <w:rFonts w:cs="Arial"/>
                <w:bCs/>
                <w:color w:val="000000"/>
                <w:szCs w:val="20"/>
              </w:rPr>
              <w:t>Statement 4</w:t>
            </w:r>
          </w:p>
        </w:tc>
        <w:tc>
          <w:tcPr>
            <w:tcW w:w="10632" w:type="dxa"/>
            <w:vAlign w:val="center"/>
          </w:tcPr>
          <w:p w14:paraId="55D887B8" w14:textId="1C8BE6C0" w:rsidR="003A53A0" w:rsidRPr="003A53A0" w:rsidRDefault="003A53A0" w:rsidP="003A53A0">
            <w:pPr>
              <w:pStyle w:val="TableText1"/>
              <w:rPr>
                <w:rFonts w:cs="Arial"/>
                <w:szCs w:val="20"/>
              </w:rPr>
            </w:pPr>
            <w:r w:rsidRPr="003A53A0">
              <w:rPr>
                <w:rFonts w:cs="Arial"/>
                <w:color w:val="000000"/>
                <w:szCs w:val="20"/>
              </w:rPr>
              <w:t>Whilst most organisations would review patients between 3 to 6 months after starting anticoagulation it will require considerable resources to be able to review all patients annually. To ensure patients are reviewed by health care professionals, currently GP’s carry out the annual review of bloods on these patients may be a better standard.</w:t>
            </w:r>
          </w:p>
        </w:tc>
      </w:tr>
      <w:tr w:rsidR="003A53A0" w:rsidRPr="003A53A0" w14:paraId="3279B92E" w14:textId="77777777" w:rsidTr="00F60DF7">
        <w:tc>
          <w:tcPr>
            <w:tcW w:w="675" w:type="dxa"/>
            <w:vAlign w:val="center"/>
          </w:tcPr>
          <w:p w14:paraId="73F5CCF8" w14:textId="267D12FC" w:rsidR="003A53A0" w:rsidRPr="003A53A0" w:rsidRDefault="00F60DF7" w:rsidP="00F60DF7">
            <w:pPr>
              <w:pStyle w:val="TableText1"/>
              <w:rPr>
                <w:rFonts w:cs="Arial"/>
                <w:szCs w:val="20"/>
              </w:rPr>
            </w:pPr>
            <w:r>
              <w:rPr>
                <w:rFonts w:cs="Arial"/>
                <w:szCs w:val="20"/>
              </w:rPr>
              <w:t>100</w:t>
            </w:r>
          </w:p>
        </w:tc>
        <w:tc>
          <w:tcPr>
            <w:tcW w:w="2552" w:type="dxa"/>
            <w:vAlign w:val="center"/>
          </w:tcPr>
          <w:p w14:paraId="37C5361D" w14:textId="3E200F78" w:rsidR="003A53A0" w:rsidRPr="003A53A0" w:rsidRDefault="003A53A0" w:rsidP="003A53A0">
            <w:pPr>
              <w:pStyle w:val="TableText1"/>
              <w:rPr>
                <w:rFonts w:cs="Arial"/>
                <w:szCs w:val="20"/>
              </w:rPr>
            </w:pPr>
            <w:r w:rsidRPr="003A53A0">
              <w:rPr>
                <w:rFonts w:cs="Arial"/>
                <w:szCs w:val="20"/>
              </w:rPr>
              <w:t>King’s College Hospital NHS Foundation Trust</w:t>
            </w:r>
          </w:p>
        </w:tc>
        <w:tc>
          <w:tcPr>
            <w:tcW w:w="1417" w:type="dxa"/>
            <w:vAlign w:val="center"/>
          </w:tcPr>
          <w:p w14:paraId="23B9BF4B" w14:textId="6EFE3F84" w:rsidR="003A53A0" w:rsidRPr="003A53A0" w:rsidRDefault="003A53A0" w:rsidP="003A53A0">
            <w:pPr>
              <w:pStyle w:val="TableText1"/>
              <w:rPr>
                <w:rFonts w:cs="Arial"/>
                <w:bCs/>
                <w:szCs w:val="20"/>
              </w:rPr>
            </w:pPr>
            <w:r w:rsidRPr="003A53A0">
              <w:rPr>
                <w:rFonts w:cs="Arial"/>
                <w:bCs/>
                <w:color w:val="000000"/>
                <w:szCs w:val="20"/>
              </w:rPr>
              <w:t>Statement 4</w:t>
            </w:r>
          </w:p>
        </w:tc>
        <w:tc>
          <w:tcPr>
            <w:tcW w:w="10632" w:type="dxa"/>
            <w:vAlign w:val="center"/>
          </w:tcPr>
          <w:p w14:paraId="27EC6209" w14:textId="2AD78B63" w:rsidR="003A53A0" w:rsidRPr="003A53A0" w:rsidRDefault="003A53A0" w:rsidP="003A53A0">
            <w:pPr>
              <w:pStyle w:val="TableText1"/>
              <w:rPr>
                <w:rFonts w:cs="Arial"/>
                <w:szCs w:val="20"/>
              </w:rPr>
            </w:pPr>
            <w:r w:rsidRPr="003A53A0">
              <w:rPr>
                <w:rFonts w:cs="Arial"/>
                <w:color w:val="000000"/>
                <w:szCs w:val="20"/>
              </w:rPr>
              <w:t>Duration review should take place before 3 months as this represents the minimum duration of treatment. The annual review is desirable but would require audit in primary care (as most patients will be discharged to primary care following a documented decision to continue long term, especially post advent of COVID).</w:t>
            </w:r>
          </w:p>
        </w:tc>
      </w:tr>
      <w:tr w:rsidR="003A53A0" w:rsidRPr="003A53A0" w14:paraId="58F85B1C" w14:textId="77777777" w:rsidTr="00F60DF7">
        <w:tc>
          <w:tcPr>
            <w:tcW w:w="675" w:type="dxa"/>
            <w:vAlign w:val="center"/>
          </w:tcPr>
          <w:p w14:paraId="02C1DF40" w14:textId="1E68FBC7" w:rsidR="003A53A0" w:rsidRPr="003A53A0" w:rsidRDefault="00F60DF7" w:rsidP="00F60DF7">
            <w:pPr>
              <w:pStyle w:val="TableText1"/>
              <w:rPr>
                <w:rFonts w:cs="Arial"/>
                <w:szCs w:val="20"/>
              </w:rPr>
            </w:pPr>
            <w:r>
              <w:rPr>
                <w:rFonts w:cs="Arial"/>
                <w:szCs w:val="20"/>
              </w:rPr>
              <w:t>101</w:t>
            </w:r>
          </w:p>
        </w:tc>
        <w:tc>
          <w:tcPr>
            <w:tcW w:w="2552" w:type="dxa"/>
            <w:vAlign w:val="center"/>
          </w:tcPr>
          <w:p w14:paraId="629E3CF1" w14:textId="2A0B261D" w:rsidR="003A53A0" w:rsidRPr="003A53A0" w:rsidRDefault="003A53A0" w:rsidP="003A53A0">
            <w:pPr>
              <w:pStyle w:val="TableText1"/>
              <w:rPr>
                <w:rFonts w:cs="Arial"/>
                <w:szCs w:val="20"/>
              </w:rPr>
            </w:pPr>
            <w:r w:rsidRPr="003A53A0">
              <w:rPr>
                <w:rFonts w:cs="Arial"/>
                <w:szCs w:val="20"/>
              </w:rPr>
              <w:t>LEO Pharma</w:t>
            </w:r>
          </w:p>
        </w:tc>
        <w:tc>
          <w:tcPr>
            <w:tcW w:w="1417" w:type="dxa"/>
            <w:vAlign w:val="center"/>
          </w:tcPr>
          <w:p w14:paraId="6B94C736" w14:textId="08C1F583" w:rsidR="003A53A0" w:rsidRPr="003A53A0" w:rsidRDefault="003A53A0" w:rsidP="003A53A0">
            <w:pPr>
              <w:pStyle w:val="TableText1"/>
              <w:rPr>
                <w:rFonts w:cs="Arial"/>
                <w:bCs/>
                <w:szCs w:val="20"/>
              </w:rPr>
            </w:pPr>
            <w:r w:rsidRPr="003A53A0">
              <w:rPr>
                <w:rFonts w:cs="Arial"/>
                <w:bCs/>
                <w:color w:val="000000"/>
                <w:szCs w:val="20"/>
              </w:rPr>
              <w:t>Statement 4</w:t>
            </w:r>
          </w:p>
        </w:tc>
        <w:tc>
          <w:tcPr>
            <w:tcW w:w="10632" w:type="dxa"/>
            <w:vAlign w:val="center"/>
          </w:tcPr>
          <w:p w14:paraId="13F4674D"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This quality statement does not specifically refer to cancer associated thrombosis (CAT). We strongly propose including an additional quality statement for CAT. Patients with active cancer &amp; VTE receive anticoagulation therapy for up to 6 months and are reviewed within the 6 months. There is clear evidence that patients with active cancer benefit from extended prophylaxis. The NICE guidelines (NG 158) recommend that patients with active cancer and confirmed proximal DVT or PE are treated with anticoagulation for 3 to 6 months and reviewed at 3 to 6 months according to clinical need. Furthermore, the NICE guidelines state when selecting anticoagulation treatment for patients with active cancer and confirmed proximal DVT or PE the below factors need to be considered:</w:t>
            </w:r>
          </w:p>
          <w:p w14:paraId="222BBE1B" w14:textId="77777777" w:rsidR="003A53A0" w:rsidRPr="003A53A0" w:rsidRDefault="003A53A0" w:rsidP="003A53A0">
            <w:pPr>
              <w:pStyle w:val="Default"/>
              <w:numPr>
                <w:ilvl w:val="0"/>
                <w:numId w:val="40"/>
              </w:numPr>
              <w:rPr>
                <w:sz w:val="20"/>
                <w:szCs w:val="20"/>
                <w:lang w:eastAsia="en-US"/>
              </w:rPr>
            </w:pPr>
            <w:r w:rsidRPr="003A53A0">
              <w:rPr>
                <w:sz w:val="20"/>
                <w:szCs w:val="20"/>
                <w:lang w:eastAsia="en-US"/>
              </w:rPr>
              <w:t>Tumour site</w:t>
            </w:r>
          </w:p>
          <w:p w14:paraId="0328D014" w14:textId="77777777" w:rsidR="003A53A0" w:rsidRPr="003A53A0" w:rsidRDefault="003A53A0" w:rsidP="003A53A0">
            <w:pPr>
              <w:pStyle w:val="Default"/>
              <w:numPr>
                <w:ilvl w:val="0"/>
                <w:numId w:val="40"/>
              </w:numPr>
              <w:rPr>
                <w:sz w:val="20"/>
                <w:szCs w:val="20"/>
                <w:lang w:eastAsia="en-US"/>
              </w:rPr>
            </w:pPr>
            <w:r w:rsidRPr="003A53A0">
              <w:rPr>
                <w:sz w:val="20"/>
                <w:szCs w:val="20"/>
                <w:lang w:eastAsia="en-US"/>
              </w:rPr>
              <w:t>Drug-drug interactions</w:t>
            </w:r>
          </w:p>
          <w:p w14:paraId="4FC34091" w14:textId="77777777" w:rsidR="003A53A0" w:rsidRPr="003A53A0" w:rsidRDefault="003A53A0" w:rsidP="003A53A0">
            <w:pPr>
              <w:pStyle w:val="Default"/>
              <w:numPr>
                <w:ilvl w:val="0"/>
                <w:numId w:val="40"/>
              </w:numPr>
              <w:rPr>
                <w:sz w:val="20"/>
                <w:szCs w:val="20"/>
                <w:lang w:eastAsia="en-US"/>
              </w:rPr>
            </w:pPr>
            <w:r w:rsidRPr="003A53A0">
              <w:rPr>
                <w:sz w:val="20"/>
                <w:szCs w:val="20"/>
                <w:lang w:eastAsia="en-US"/>
              </w:rPr>
              <w:t>Bleeding risk</w:t>
            </w:r>
          </w:p>
          <w:p w14:paraId="1090E874" w14:textId="77777777" w:rsidR="003A53A0" w:rsidRPr="003A53A0" w:rsidRDefault="003A53A0" w:rsidP="003A53A0">
            <w:pPr>
              <w:rPr>
                <w:rFonts w:ascii="Arial" w:hAnsi="Arial" w:cs="Arial"/>
                <w:color w:val="000000"/>
                <w:sz w:val="20"/>
                <w:szCs w:val="20"/>
              </w:rPr>
            </w:pPr>
          </w:p>
          <w:p w14:paraId="2232523B"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lastRenderedPageBreak/>
              <w:t>In additional support, a prospective, open single arm study evaluated safety and efficacy in relation to bleeding risk and VTE recurrence in CAT patients treated with tinzaparin beyond 6 months of treatment. The study had a final sample size of 247 subjects, diagnosed with proximal DVT and PE, or both and active cancer. The patients received tinzaparin 175IU/kg subcutaneously once a day. Patients were initially followed up by visits at one month and then every 3 months until end of study or death to evaluate safety and efficacy. From month 7–12, 2 patients presented with VTE recurrence, with an incidence of 1.1% (95% CI 0.1 to 3.9%) compared to months 1–6 during which 11 patients presented recurrence with an incidence of 4.5% (95% CI 2.2 to 7.8%) (p=0.08). The study results showed that VTE recurrence at 6 and12 months was 4.7% and 6%, respectively.</w:t>
            </w:r>
          </w:p>
          <w:p w14:paraId="7F895BB9" w14:textId="77777777" w:rsidR="003A53A0" w:rsidRPr="003A53A0" w:rsidRDefault="003A53A0" w:rsidP="003A53A0">
            <w:pPr>
              <w:rPr>
                <w:rFonts w:ascii="Arial" w:hAnsi="Arial" w:cs="Arial"/>
                <w:color w:val="000000"/>
                <w:sz w:val="20"/>
                <w:szCs w:val="20"/>
              </w:rPr>
            </w:pPr>
          </w:p>
          <w:p w14:paraId="5390D48C"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This quality statement does not accurately reflect the key areas of improvement in CAT patients and needs to reflect this, as cancer associated thrombosis is the leading cause of death in CAT patients after the cancer itself. This is supported by epidemiological data which demonstrates that people with cancer and VTE are at considerably more risk of recurrent VTE and death than those with VTE alone.</w:t>
            </w:r>
          </w:p>
          <w:p w14:paraId="7636E0F0" w14:textId="77777777" w:rsidR="003A53A0" w:rsidRPr="003A53A0" w:rsidRDefault="003A53A0" w:rsidP="003A53A0">
            <w:pPr>
              <w:rPr>
                <w:rFonts w:ascii="Arial" w:hAnsi="Arial" w:cs="Arial"/>
                <w:color w:val="000000"/>
                <w:sz w:val="20"/>
                <w:szCs w:val="20"/>
              </w:rPr>
            </w:pPr>
          </w:p>
          <w:p w14:paraId="32604E79"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References:</w:t>
            </w:r>
          </w:p>
          <w:p w14:paraId="33AF5864" w14:textId="77777777" w:rsidR="003A53A0" w:rsidRPr="003A53A0" w:rsidRDefault="0071228A" w:rsidP="003A53A0">
            <w:pPr>
              <w:rPr>
                <w:rFonts w:ascii="Arial" w:hAnsi="Arial" w:cs="Arial"/>
                <w:color w:val="000000"/>
                <w:sz w:val="20"/>
                <w:szCs w:val="20"/>
              </w:rPr>
            </w:pPr>
            <w:hyperlink r:id="rId19" w:history="1">
              <w:r w:rsidR="003A53A0" w:rsidRPr="003A53A0">
                <w:rPr>
                  <w:rStyle w:val="Hyperlink"/>
                  <w:rFonts w:ascii="Arial" w:hAnsi="Arial" w:cs="Arial"/>
                  <w:sz w:val="20"/>
                  <w:szCs w:val="20"/>
                </w:rPr>
                <w:t>https://www.nice.org.uk/guidance/ng158</w:t>
              </w:r>
            </w:hyperlink>
            <w:r w:rsidR="003A53A0" w:rsidRPr="003A53A0">
              <w:rPr>
                <w:rFonts w:ascii="Arial" w:hAnsi="Arial" w:cs="Arial"/>
                <w:color w:val="000000"/>
                <w:sz w:val="20"/>
                <w:szCs w:val="20"/>
              </w:rPr>
              <w:t xml:space="preserve"> </w:t>
            </w:r>
          </w:p>
          <w:p w14:paraId="68DEC566" w14:textId="77777777" w:rsidR="003A53A0" w:rsidRPr="003A53A0" w:rsidRDefault="003A53A0" w:rsidP="003A53A0">
            <w:pPr>
              <w:rPr>
                <w:rFonts w:ascii="Arial" w:hAnsi="Arial" w:cs="Arial"/>
                <w:color w:val="000000"/>
                <w:sz w:val="20"/>
                <w:szCs w:val="20"/>
              </w:rPr>
            </w:pPr>
          </w:p>
          <w:p w14:paraId="4547C86D"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Jara-Palomares L et al. Tinzaparin in cancer associated thrombosis beyond 6months: TiCAT study. Thrombosis research 157 (2017)90-96.</w:t>
            </w:r>
          </w:p>
          <w:p w14:paraId="6DE0C66D" w14:textId="77777777" w:rsidR="003A53A0" w:rsidRPr="003A53A0" w:rsidRDefault="003A53A0" w:rsidP="003A53A0">
            <w:pPr>
              <w:rPr>
                <w:rFonts w:ascii="Arial" w:hAnsi="Arial" w:cs="Arial"/>
                <w:color w:val="000000"/>
                <w:sz w:val="20"/>
                <w:szCs w:val="20"/>
              </w:rPr>
            </w:pPr>
          </w:p>
          <w:p w14:paraId="632932B7"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Levitan N, et al. Medicine 1999; 78: 285-291.</w:t>
            </w:r>
          </w:p>
          <w:p w14:paraId="3E8B7EB5"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Prandoni P, et al. Blood 2002; 100:3484-3488.</w:t>
            </w:r>
          </w:p>
          <w:p w14:paraId="45AB5568" w14:textId="0888B2A2" w:rsidR="003A53A0" w:rsidRPr="003A53A0" w:rsidRDefault="003A53A0" w:rsidP="003A53A0">
            <w:pPr>
              <w:pStyle w:val="TableText1"/>
              <w:rPr>
                <w:rFonts w:cs="Arial"/>
                <w:szCs w:val="20"/>
              </w:rPr>
            </w:pPr>
            <w:r w:rsidRPr="003A53A0">
              <w:rPr>
                <w:rFonts w:cs="Arial"/>
                <w:color w:val="000000"/>
                <w:szCs w:val="20"/>
              </w:rPr>
              <w:t>SØrensen, Henrik Toft, et al.  New England Journal of Medicine 343.25 (2000): 1846-1850.</w:t>
            </w:r>
          </w:p>
        </w:tc>
      </w:tr>
      <w:tr w:rsidR="003A53A0" w:rsidRPr="003A53A0" w14:paraId="5971F31B" w14:textId="77777777" w:rsidTr="00F60DF7">
        <w:tc>
          <w:tcPr>
            <w:tcW w:w="675" w:type="dxa"/>
            <w:vAlign w:val="center"/>
          </w:tcPr>
          <w:p w14:paraId="4ACC2354" w14:textId="21413956" w:rsidR="003A53A0" w:rsidRPr="003A53A0" w:rsidRDefault="00F60DF7" w:rsidP="00F60DF7">
            <w:pPr>
              <w:pStyle w:val="TableText1"/>
              <w:rPr>
                <w:rFonts w:cs="Arial"/>
                <w:szCs w:val="20"/>
              </w:rPr>
            </w:pPr>
            <w:r>
              <w:rPr>
                <w:rFonts w:cs="Arial"/>
                <w:szCs w:val="20"/>
              </w:rPr>
              <w:lastRenderedPageBreak/>
              <w:t>102</w:t>
            </w:r>
          </w:p>
        </w:tc>
        <w:tc>
          <w:tcPr>
            <w:tcW w:w="2552" w:type="dxa"/>
            <w:vAlign w:val="center"/>
          </w:tcPr>
          <w:p w14:paraId="14742569" w14:textId="7F39B243"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46CBE318" w14:textId="6378A422" w:rsidR="003A53A0" w:rsidRPr="003A53A0" w:rsidRDefault="003A53A0" w:rsidP="003A53A0">
            <w:pPr>
              <w:pStyle w:val="TableText1"/>
              <w:rPr>
                <w:rFonts w:cs="Arial"/>
                <w:bCs/>
                <w:szCs w:val="20"/>
              </w:rPr>
            </w:pPr>
            <w:r w:rsidRPr="003A53A0">
              <w:rPr>
                <w:rFonts w:cs="Arial"/>
                <w:bCs/>
                <w:szCs w:val="20"/>
              </w:rPr>
              <w:t>Statement 4</w:t>
            </w:r>
          </w:p>
        </w:tc>
        <w:tc>
          <w:tcPr>
            <w:tcW w:w="10632" w:type="dxa"/>
            <w:vAlign w:val="center"/>
          </w:tcPr>
          <w:p w14:paraId="16D3E12B" w14:textId="57203A67" w:rsidR="003A53A0" w:rsidRPr="003A53A0" w:rsidRDefault="003A53A0" w:rsidP="003A53A0">
            <w:pPr>
              <w:pStyle w:val="TableText1"/>
              <w:rPr>
                <w:rFonts w:cs="Arial"/>
                <w:szCs w:val="20"/>
              </w:rPr>
            </w:pPr>
            <w:r w:rsidRPr="003A53A0">
              <w:rPr>
                <w:rFonts w:cs="Arial"/>
                <w:color w:val="000000"/>
                <w:szCs w:val="20"/>
              </w:rPr>
              <w:t xml:space="preserve">When a patient is assessed by the specialist and given advice to start anticoagulation, advice from them to the GP and patient about short or longer term treatment will be helpful e.g. if it is likely to be appropriate to stop at 3 months or not. If a straightforward case, the GP may be well placed to have this review. If more complex, review by the specialist would be helpful. </w:t>
            </w:r>
          </w:p>
        </w:tc>
      </w:tr>
      <w:tr w:rsidR="003A53A0" w:rsidRPr="003A53A0" w14:paraId="067FF5EB" w14:textId="77777777" w:rsidTr="00F60DF7">
        <w:tc>
          <w:tcPr>
            <w:tcW w:w="675" w:type="dxa"/>
            <w:vAlign w:val="center"/>
          </w:tcPr>
          <w:p w14:paraId="03882D67" w14:textId="72B0A519" w:rsidR="003A53A0" w:rsidRPr="003A53A0" w:rsidRDefault="00F60DF7" w:rsidP="00F60DF7">
            <w:pPr>
              <w:pStyle w:val="TableText1"/>
              <w:rPr>
                <w:rFonts w:cs="Arial"/>
                <w:szCs w:val="20"/>
              </w:rPr>
            </w:pPr>
            <w:r>
              <w:rPr>
                <w:rFonts w:cs="Arial"/>
                <w:szCs w:val="20"/>
              </w:rPr>
              <w:t>103</w:t>
            </w:r>
          </w:p>
        </w:tc>
        <w:tc>
          <w:tcPr>
            <w:tcW w:w="2552" w:type="dxa"/>
            <w:vAlign w:val="center"/>
          </w:tcPr>
          <w:p w14:paraId="1A426CB0" w14:textId="215D56F5"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01504C1F" w14:textId="14DDBDE9" w:rsidR="003A53A0" w:rsidRPr="003A53A0" w:rsidRDefault="003A53A0" w:rsidP="003A53A0">
            <w:pPr>
              <w:pStyle w:val="TableText1"/>
              <w:rPr>
                <w:rFonts w:cs="Arial"/>
                <w:bCs/>
                <w:szCs w:val="20"/>
              </w:rPr>
            </w:pPr>
            <w:r w:rsidRPr="003A53A0">
              <w:rPr>
                <w:rFonts w:cs="Arial"/>
                <w:bCs/>
                <w:szCs w:val="20"/>
              </w:rPr>
              <w:t>Statement 4</w:t>
            </w:r>
          </w:p>
        </w:tc>
        <w:tc>
          <w:tcPr>
            <w:tcW w:w="10632" w:type="dxa"/>
            <w:vAlign w:val="center"/>
          </w:tcPr>
          <w:p w14:paraId="0084ECE0" w14:textId="2DED2F9F" w:rsidR="003A53A0" w:rsidRPr="0032423B" w:rsidRDefault="003A53A0" w:rsidP="0032423B">
            <w:pPr>
              <w:pStyle w:val="Paragraphnonumbers"/>
              <w:rPr>
                <w:rFonts w:cs="Arial"/>
                <w:sz w:val="20"/>
                <w:szCs w:val="20"/>
              </w:rPr>
            </w:pPr>
            <w:r w:rsidRPr="003A53A0">
              <w:rPr>
                <w:rFonts w:cs="Arial"/>
                <w:color w:val="000000"/>
                <w:sz w:val="20"/>
                <w:szCs w:val="20"/>
              </w:rPr>
              <w:t xml:space="preserve">There is not a uniform system for recall of patients across practices. Therefore, any local data collection would need to take this heterogeneity into account when deciding how to collect data on recalling patients for review. </w:t>
            </w:r>
          </w:p>
        </w:tc>
      </w:tr>
      <w:tr w:rsidR="003A53A0" w:rsidRPr="003A53A0" w14:paraId="3C2DA9ED" w14:textId="77777777" w:rsidTr="00F60DF7">
        <w:tc>
          <w:tcPr>
            <w:tcW w:w="675" w:type="dxa"/>
            <w:vAlign w:val="center"/>
          </w:tcPr>
          <w:p w14:paraId="7609DB3F" w14:textId="08C82DF6" w:rsidR="003A53A0" w:rsidRPr="003A53A0" w:rsidRDefault="00F60DF7" w:rsidP="00F60DF7">
            <w:pPr>
              <w:pStyle w:val="TableText1"/>
              <w:rPr>
                <w:rFonts w:cs="Arial"/>
                <w:szCs w:val="20"/>
              </w:rPr>
            </w:pPr>
            <w:r>
              <w:rPr>
                <w:rFonts w:cs="Arial"/>
                <w:szCs w:val="20"/>
              </w:rPr>
              <w:t>104</w:t>
            </w:r>
          </w:p>
        </w:tc>
        <w:tc>
          <w:tcPr>
            <w:tcW w:w="2552" w:type="dxa"/>
            <w:vAlign w:val="center"/>
          </w:tcPr>
          <w:p w14:paraId="732CEB27" w14:textId="2AAFF12E"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1D46343A" w14:textId="3AC437FF" w:rsidR="003A53A0" w:rsidRPr="003A53A0" w:rsidRDefault="003A53A0" w:rsidP="003A53A0">
            <w:pPr>
              <w:pStyle w:val="TableText1"/>
              <w:rPr>
                <w:rFonts w:cs="Arial"/>
                <w:bCs/>
                <w:szCs w:val="20"/>
              </w:rPr>
            </w:pPr>
            <w:r w:rsidRPr="003A53A0">
              <w:rPr>
                <w:rFonts w:cs="Arial"/>
                <w:bCs/>
                <w:szCs w:val="20"/>
              </w:rPr>
              <w:t>Statement 4</w:t>
            </w:r>
          </w:p>
        </w:tc>
        <w:tc>
          <w:tcPr>
            <w:tcW w:w="10632" w:type="dxa"/>
            <w:vAlign w:val="center"/>
          </w:tcPr>
          <w:p w14:paraId="294E4EB1" w14:textId="6E9B4E85" w:rsidR="003A53A0" w:rsidRPr="003A53A0" w:rsidRDefault="003A53A0" w:rsidP="003A53A0">
            <w:pPr>
              <w:pStyle w:val="TableText1"/>
              <w:rPr>
                <w:rFonts w:cs="Arial"/>
                <w:szCs w:val="20"/>
              </w:rPr>
            </w:pPr>
            <w:r w:rsidRPr="003A53A0">
              <w:rPr>
                <w:rFonts w:cs="Arial"/>
                <w:color w:val="000000"/>
                <w:szCs w:val="20"/>
              </w:rPr>
              <w:t xml:space="preserve">To measure numbers who have had a review, there would need to be clear coding of “review of VTE.” Otherwise, it would need to be done manually as an audit of notes. </w:t>
            </w:r>
          </w:p>
        </w:tc>
      </w:tr>
      <w:tr w:rsidR="003A53A0" w:rsidRPr="003A53A0" w14:paraId="7CCB6A94" w14:textId="77777777" w:rsidTr="00F60DF7">
        <w:tc>
          <w:tcPr>
            <w:tcW w:w="675" w:type="dxa"/>
            <w:vAlign w:val="center"/>
          </w:tcPr>
          <w:p w14:paraId="3EDCC9D5" w14:textId="196759A9" w:rsidR="003A53A0" w:rsidRPr="003A53A0" w:rsidRDefault="00F60DF7" w:rsidP="00F60DF7">
            <w:pPr>
              <w:pStyle w:val="TableText1"/>
              <w:rPr>
                <w:rFonts w:cs="Arial"/>
                <w:szCs w:val="20"/>
              </w:rPr>
            </w:pPr>
            <w:r>
              <w:rPr>
                <w:rFonts w:cs="Arial"/>
                <w:szCs w:val="20"/>
              </w:rPr>
              <w:t>105</w:t>
            </w:r>
          </w:p>
        </w:tc>
        <w:tc>
          <w:tcPr>
            <w:tcW w:w="2552" w:type="dxa"/>
            <w:vAlign w:val="center"/>
          </w:tcPr>
          <w:p w14:paraId="3737B6F6" w14:textId="1724021F"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6F72D940" w14:textId="5B72186E" w:rsidR="003A53A0" w:rsidRPr="003A53A0" w:rsidRDefault="003A53A0" w:rsidP="003A53A0">
            <w:pPr>
              <w:pStyle w:val="TableText1"/>
              <w:rPr>
                <w:rFonts w:cs="Arial"/>
                <w:bCs/>
                <w:szCs w:val="20"/>
              </w:rPr>
            </w:pPr>
            <w:r w:rsidRPr="003A53A0">
              <w:rPr>
                <w:rFonts w:cs="Arial"/>
                <w:bCs/>
                <w:color w:val="000000"/>
                <w:szCs w:val="20"/>
              </w:rPr>
              <w:t>Statement 4 (</w:t>
            </w:r>
            <w:r w:rsidRPr="003A53A0">
              <w:rPr>
                <w:rFonts w:cs="Arial"/>
                <w:bCs/>
                <w:szCs w:val="20"/>
              </w:rPr>
              <w:t>measures)</w:t>
            </w:r>
          </w:p>
        </w:tc>
        <w:tc>
          <w:tcPr>
            <w:tcW w:w="10632" w:type="dxa"/>
            <w:vAlign w:val="center"/>
          </w:tcPr>
          <w:p w14:paraId="24055CF2" w14:textId="08481C01" w:rsidR="003A53A0" w:rsidRPr="003A53A0" w:rsidRDefault="003A53A0" w:rsidP="003A53A0">
            <w:pPr>
              <w:pStyle w:val="TableText1"/>
              <w:rPr>
                <w:rFonts w:cs="Arial"/>
                <w:szCs w:val="20"/>
              </w:rPr>
            </w:pPr>
            <w:r w:rsidRPr="003A53A0">
              <w:rPr>
                <w:rFonts w:cs="Arial"/>
                <w:color w:val="000000"/>
                <w:szCs w:val="20"/>
              </w:rPr>
              <w:t>It is feasible to have local systems in place to measure the quality measure, but considerations are required for patient cohorts that are not always engaged with healthcare systems e.g. not registered with GP, homeless and not contactable via telephone/postal invitation for review</w:t>
            </w:r>
          </w:p>
        </w:tc>
      </w:tr>
      <w:tr w:rsidR="003A53A0" w:rsidRPr="003A53A0" w14:paraId="6193DFBF" w14:textId="77777777" w:rsidTr="00F60DF7">
        <w:tc>
          <w:tcPr>
            <w:tcW w:w="675" w:type="dxa"/>
            <w:vAlign w:val="center"/>
          </w:tcPr>
          <w:p w14:paraId="22C4B896" w14:textId="32FDD447" w:rsidR="003A53A0" w:rsidRPr="003A53A0" w:rsidRDefault="00F60DF7" w:rsidP="00F60DF7">
            <w:pPr>
              <w:pStyle w:val="TableText1"/>
              <w:rPr>
                <w:rFonts w:cs="Arial"/>
                <w:szCs w:val="20"/>
              </w:rPr>
            </w:pPr>
            <w:r>
              <w:rPr>
                <w:rFonts w:cs="Arial"/>
                <w:szCs w:val="20"/>
              </w:rPr>
              <w:lastRenderedPageBreak/>
              <w:t>106</w:t>
            </w:r>
          </w:p>
        </w:tc>
        <w:tc>
          <w:tcPr>
            <w:tcW w:w="2552" w:type="dxa"/>
            <w:vAlign w:val="center"/>
          </w:tcPr>
          <w:p w14:paraId="6FEA200A" w14:textId="43253BF5"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03DC1FC4" w14:textId="067A10B5" w:rsidR="003A53A0" w:rsidRPr="003A53A0" w:rsidRDefault="003A53A0" w:rsidP="003A53A0">
            <w:pPr>
              <w:pStyle w:val="TableText1"/>
              <w:rPr>
                <w:rFonts w:cs="Arial"/>
                <w:bCs/>
                <w:szCs w:val="20"/>
              </w:rPr>
            </w:pPr>
            <w:r w:rsidRPr="003A53A0">
              <w:rPr>
                <w:rFonts w:cs="Arial"/>
                <w:bCs/>
                <w:szCs w:val="20"/>
              </w:rPr>
              <w:t>Statement 4</w:t>
            </w:r>
          </w:p>
        </w:tc>
        <w:tc>
          <w:tcPr>
            <w:tcW w:w="10632" w:type="dxa"/>
            <w:vAlign w:val="center"/>
          </w:tcPr>
          <w:p w14:paraId="13DF960C" w14:textId="5167156C"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“People aged 18 and over who have had a blood clot and are taking an anticoagulant (medicine to prevent another blood clot)” need to be clear who they will be seen by so as to manage expectations and allow the individual to negotiate their care.</w:t>
            </w:r>
            <w:r w:rsidR="009C6564">
              <w:rPr>
                <w:rFonts w:ascii="Arial" w:hAnsi="Arial" w:cs="Arial"/>
                <w:color w:val="000000"/>
                <w:sz w:val="20"/>
                <w:szCs w:val="20"/>
              </w:rPr>
              <w:t xml:space="preserve"> </w:t>
            </w:r>
          </w:p>
          <w:p w14:paraId="2EBB46B2" w14:textId="77777777" w:rsidR="003A53A0" w:rsidRPr="003A53A0" w:rsidRDefault="003A53A0" w:rsidP="003A53A0">
            <w:pPr>
              <w:pStyle w:val="TableText1"/>
              <w:rPr>
                <w:rFonts w:cs="Arial"/>
                <w:szCs w:val="20"/>
              </w:rPr>
            </w:pPr>
          </w:p>
        </w:tc>
      </w:tr>
      <w:tr w:rsidR="003A53A0" w:rsidRPr="003A53A0" w14:paraId="76A3738E" w14:textId="77777777" w:rsidTr="00F60DF7">
        <w:tc>
          <w:tcPr>
            <w:tcW w:w="675" w:type="dxa"/>
            <w:vAlign w:val="center"/>
          </w:tcPr>
          <w:p w14:paraId="00FB8E5D" w14:textId="1C5B5D97" w:rsidR="003A53A0" w:rsidRPr="003A53A0" w:rsidRDefault="00F60DF7" w:rsidP="00F60DF7">
            <w:pPr>
              <w:pStyle w:val="TableText1"/>
              <w:rPr>
                <w:rFonts w:cs="Arial"/>
                <w:szCs w:val="20"/>
              </w:rPr>
            </w:pPr>
            <w:r>
              <w:rPr>
                <w:rFonts w:cs="Arial"/>
                <w:szCs w:val="20"/>
              </w:rPr>
              <w:t>107</w:t>
            </w:r>
          </w:p>
        </w:tc>
        <w:tc>
          <w:tcPr>
            <w:tcW w:w="2552" w:type="dxa"/>
            <w:vAlign w:val="center"/>
          </w:tcPr>
          <w:p w14:paraId="4D912F72" w14:textId="038BF6DF"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55D601F4" w14:textId="2B8A7871" w:rsidR="003A53A0" w:rsidRPr="003A53A0" w:rsidRDefault="003A53A0" w:rsidP="003A53A0">
            <w:pPr>
              <w:pStyle w:val="TableText1"/>
              <w:rPr>
                <w:rFonts w:cs="Arial"/>
                <w:bCs/>
                <w:szCs w:val="20"/>
              </w:rPr>
            </w:pPr>
            <w:r w:rsidRPr="003A53A0">
              <w:rPr>
                <w:rFonts w:cs="Arial"/>
                <w:bCs/>
                <w:szCs w:val="20"/>
              </w:rPr>
              <w:t>Statement 4</w:t>
            </w:r>
          </w:p>
        </w:tc>
        <w:tc>
          <w:tcPr>
            <w:tcW w:w="10632" w:type="dxa"/>
            <w:vAlign w:val="center"/>
          </w:tcPr>
          <w:p w14:paraId="0E15D545" w14:textId="76A6E6F0" w:rsidR="003A53A0" w:rsidRPr="003A53A0" w:rsidRDefault="003A53A0" w:rsidP="003A53A0">
            <w:pPr>
              <w:pStyle w:val="TableText1"/>
              <w:rPr>
                <w:rFonts w:cs="Arial"/>
                <w:szCs w:val="20"/>
              </w:rPr>
            </w:pPr>
            <w:r w:rsidRPr="003A53A0">
              <w:rPr>
                <w:rFonts w:cs="Arial"/>
                <w:color w:val="000000"/>
                <w:szCs w:val="20"/>
              </w:rPr>
              <w:t xml:space="preserve">“The suitability, advantages and disadvantages of alternatives to heparin should be discussed with the person.” Needs to consider the role of families and carers where appropriate. </w:t>
            </w:r>
          </w:p>
        </w:tc>
      </w:tr>
      <w:tr w:rsidR="003A53A0" w:rsidRPr="003A53A0" w14:paraId="4D6B49C5" w14:textId="77777777" w:rsidTr="00F60DF7">
        <w:tc>
          <w:tcPr>
            <w:tcW w:w="675" w:type="dxa"/>
            <w:vAlign w:val="center"/>
          </w:tcPr>
          <w:p w14:paraId="77951754" w14:textId="45756128" w:rsidR="003A53A0" w:rsidRPr="003A53A0" w:rsidRDefault="00F60DF7" w:rsidP="00F60DF7">
            <w:pPr>
              <w:pStyle w:val="TableText1"/>
              <w:rPr>
                <w:rFonts w:cs="Arial"/>
                <w:szCs w:val="20"/>
              </w:rPr>
            </w:pPr>
            <w:r>
              <w:rPr>
                <w:rFonts w:cs="Arial"/>
                <w:szCs w:val="20"/>
              </w:rPr>
              <w:t>108</w:t>
            </w:r>
          </w:p>
        </w:tc>
        <w:tc>
          <w:tcPr>
            <w:tcW w:w="2552" w:type="dxa"/>
            <w:vAlign w:val="center"/>
          </w:tcPr>
          <w:p w14:paraId="2DACDE63" w14:textId="52E13DEC"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5BDC52F5" w14:textId="2611672B" w:rsidR="003A53A0" w:rsidRPr="003A53A0" w:rsidRDefault="003A53A0" w:rsidP="003A53A0">
            <w:pPr>
              <w:pStyle w:val="TableText1"/>
              <w:rPr>
                <w:rFonts w:cs="Arial"/>
                <w:bCs/>
                <w:szCs w:val="20"/>
              </w:rPr>
            </w:pPr>
            <w:r w:rsidRPr="003A53A0">
              <w:rPr>
                <w:rFonts w:cs="Arial"/>
                <w:bCs/>
                <w:szCs w:val="20"/>
              </w:rPr>
              <w:t>Statement 4</w:t>
            </w:r>
          </w:p>
        </w:tc>
        <w:tc>
          <w:tcPr>
            <w:tcW w:w="10632" w:type="dxa"/>
            <w:vAlign w:val="center"/>
          </w:tcPr>
          <w:p w14:paraId="2E67566C" w14:textId="7AADBFE0" w:rsidR="003A53A0" w:rsidRPr="003A53A0" w:rsidRDefault="003A53A0" w:rsidP="003A53A0">
            <w:pPr>
              <w:pStyle w:val="TableText1"/>
              <w:rPr>
                <w:rFonts w:cs="Arial"/>
                <w:szCs w:val="20"/>
              </w:rPr>
            </w:pPr>
            <w:r w:rsidRPr="003A53A0">
              <w:rPr>
                <w:rFonts w:cs="Arial"/>
                <w:color w:val="000000"/>
                <w:szCs w:val="20"/>
              </w:rPr>
              <w:t xml:space="preserve">Needs to consider those who may need support to access ongoing services such as those in receipt of care, those without a GP, those where English isn’t a first language, those possibly without a stable homelife or where reasonable adjustments are made for cognitive impairments etc. These groups are at risk of being marginalised here. </w:t>
            </w:r>
          </w:p>
        </w:tc>
      </w:tr>
      <w:tr w:rsidR="003A53A0" w:rsidRPr="003A53A0" w14:paraId="222A1E3A" w14:textId="77777777" w:rsidTr="00F60DF7">
        <w:tc>
          <w:tcPr>
            <w:tcW w:w="675" w:type="dxa"/>
            <w:vAlign w:val="center"/>
          </w:tcPr>
          <w:p w14:paraId="27F9F0EC" w14:textId="4B0E3C14" w:rsidR="003A53A0" w:rsidRPr="003A53A0" w:rsidRDefault="00F60DF7" w:rsidP="00F60DF7">
            <w:pPr>
              <w:pStyle w:val="TableText1"/>
              <w:rPr>
                <w:rFonts w:cs="Arial"/>
                <w:szCs w:val="20"/>
              </w:rPr>
            </w:pPr>
            <w:r>
              <w:rPr>
                <w:rFonts w:cs="Arial"/>
                <w:szCs w:val="20"/>
              </w:rPr>
              <w:t>109</w:t>
            </w:r>
          </w:p>
        </w:tc>
        <w:tc>
          <w:tcPr>
            <w:tcW w:w="2552" w:type="dxa"/>
            <w:vAlign w:val="center"/>
          </w:tcPr>
          <w:p w14:paraId="3A9C45DB" w14:textId="62A74DAB"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1830BE46" w14:textId="475B8851" w:rsidR="003A53A0" w:rsidRPr="003A53A0" w:rsidRDefault="003A53A0" w:rsidP="003A53A0">
            <w:pPr>
              <w:pStyle w:val="TableText1"/>
              <w:rPr>
                <w:rFonts w:cs="Arial"/>
                <w:bCs/>
                <w:szCs w:val="20"/>
              </w:rPr>
            </w:pPr>
            <w:r w:rsidRPr="003A53A0">
              <w:rPr>
                <w:rFonts w:cs="Arial"/>
                <w:bCs/>
                <w:szCs w:val="20"/>
              </w:rPr>
              <w:t>Statement 4</w:t>
            </w:r>
          </w:p>
        </w:tc>
        <w:tc>
          <w:tcPr>
            <w:tcW w:w="10632" w:type="dxa"/>
            <w:vAlign w:val="center"/>
          </w:tcPr>
          <w:p w14:paraId="2100437F" w14:textId="7BF67B0C" w:rsidR="003A53A0" w:rsidRPr="003A53A0" w:rsidRDefault="003A53A0" w:rsidP="003A53A0">
            <w:pPr>
              <w:pStyle w:val="TableText1"/>
              <w:rPr>
                <w:rFonts w:cs="Arial"/>
                <w:szCs w:val="20"/>
              </w:rPr>
            </w:pPr>
            <w:r w:rsidRPr="003A53A0">
              <w:rPr>
                <w:rFonts w:cs="Arial"/>
                <w:color w:val="000000"/>
                <w:szCs w:val="20"/>
              </w:rPr>
              <w:t xml:space="preserve">Review after 3 months and once a year need to identify the progress the person feels they have made and their wishes as paramount also not just clinical indicators. </w:t>
            </w:r>
          </w:p>
        </w:tc>
      </w:tr>
      <w:tr w:rsidR="003A53A0" w:rsidRPr="003A53A0" w14:paraId="3D9DDEB9" w14:textId="77777777" w:rsidTr="00F60DF7">
        <w:tc>
          <w:tcPr>
            <w:tcW w:w="675" w:type="dxa"/>
            <w:vAlign w:val="center"/>
          </w:tcPr>
          <w:p w14:paraId="44D66EA9" w14:textId="7810103A" w:rsidR="003A53A0" w:rsidRPr="003A53A0" w:rsidRDefault="00F60DF7" w:rsidP="00F60DF7">
            <w:pPr>
              <w:pStyle w:val="TableText1"/>
              <w:rPr>
                <w:rFonts w:cs="Arial"/>
                <w:szCs w:val="20"/>
              </w:rPr>
            </w:pPr>
            <w:r>
              <w:rPr>
                <w:rFonts w:cs="Arial"/>
                <w:szCs w:val="20"/>
              </w:rPr>
              <w:t>110</w:t>
            </w:r>
          </w:p>
        </w:tc>
        <w:tc>
          <w:tcPr>
            <w:tcW w:w="2552" w:type="dxa"/>
            <w:vAlign w:val="center"/>
          </w:tcPr>
          <w:p w14:paraId="71603032" w14:textId="386F50DD"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1225D019" w14:textId="217DF432" w:rsidR="003A53A0" w:rsidRPr="003A53A0" w:rsidRDefault="003A53A0" w:rsidP="003A53A0">
            <w:pPr>
              <w:pStyle w:val="TableText1"/>
              <w:rPr>
                <w:rFonts w:cs="Arial"/>
                <w:bCs/>
                <w:szCs w:val="20"/>
              </w:rPr>
            </w:pPr>
            <w:r w:rsidRPr="003A53A0">
              <w:rPr>
                <w:rFonts w:cs="Arial"/>
                <w:bCs/>
                <w:szCs w:val="20"/>
              </w:rPr>
              <w:t>Statement 4</w:t>
            </w:r>
          </w:p>
        </w:tc>
        <w:tc>
          <w:tcPr>
            <w:tcW w:w="10632" w:type="dxa"/>
            <w:vAlign w:val="center"/>
          </w:tcPr>
          <w:p w14:paraId="4FAD1224" w14:textId="39DB70EC" w:rsidR="003A53A0" w:rsidRPr="003A53A0" w:rsidRDefault="003A53A0" w:rsidP="003A53A0">
            <w:pPr>
              <w:pStyle w:val="TableText1"/>
              <w:rPr>
                <w:rFonts w:cs="Arial"/>
                <w:szCs w:val="20"/>
              </w:rPr>
            </w:pPr>
            <w:r w:rsidRPr="003A53A0">
              <w:rPr>
                <w:rFonts w:cs="Arial"/>
                <w:color w:val="000000"/>
                <w:szCs w:val="20"/>
              </w:rPr>
              <w:t xml:space="preserve">“The suitability, advantages and disadvantages of alternatives to heparin should be discussed with the person.” Needs to reflect role of families and carers also where appropriate. </w:t>
            </w:r>
          </w:p>
        </w:tc>
      </w:tr>
      <w:tr w:rsidR="003A53A0" w:rsidRPr="003A53A0" w14:paraId="1D6DFCAF" w14:textId="77777777" w:rsidTr="00F60DF7">
        <w:tc>
          <w:tcPr>
            <w:tcW w:w="675" w:type="dxa"/>
            <w:vAlign w:val="center"/>
          </w:tcPr>
          <w:p w14:paraId="5EBC4D06" w14:textId="32F90131" w:rsidR="003A53A0" w:rsidRPr="003A53A0" w:rsidRDefault="00F60DF7" w:rsidP="00F60DF7">
            <w:pPr>
              <w:pStyle w:val="TableText1"/>
              <w:rPr>
                <w:rFonts w:cs="Arial"/>
                <w:szCs w:val="20"/>
              </w:rPr>
            </w:pPr>
            <w:r>
              <w:rPr>
                <w:rFonts w:cs="Arial"/>
                <w:szCs w:val="20"/>
              </w:rPr>
              <w:t>111</w:t>
            </w:r>
          </w:p>
        </w:tc>
        <w:tc>
          <w:tcPr>
            <w:tcW w:w="2552" w:type="dxa"/>
            <w:vAlign w:val="center"/>
          </w:tcPr>
          <w:p w14:paraId="78E3C35B" w14:textId="487E8715" w:rsidR="003A53A0" w:rsidRPr="003A53A0" w:rsidRDefault="003A53A0" w:rsidP="003A53A0">
            <w:pPr>
              <w:pStyle w:val="TableText1"/>
              <w:rPr>
                <w:rFonts w:cs="Arial"/>
                <w:szCs w:val="20"/>
              </w:rPr>
            </w:pPr>
            <w:r w:rsidRPr="003A53A0">
              <w:rPr>
                <w:rFonts w:cs="Arial"/>
                <w:szCs w:val="20"/>
              </w:rPr>
              <w:t>UK Clinical Pharmacy Association (UKCPA) Haemostasis &amp; Thrombosis Committee</w:t>
            </w:r>
          </w:p>
        </w:tc>
        <w:tc>
          <w:tcPr>
            <w:tcW w:w="1417" w:type="dxa"/>
            <w:vAlign w:val="center"/>
          </w:tcPr>
          <w:p w14:paraId="54CA74A4" w14:textId="39110E5D" w:rsidR="003A53A0" w:rsidRPr="003A53A0" w:rsidRDefault="003A53A0" w:rsidP="003A53A0">
            <w:pPr>
              <w:pStyle w:val="TableText1"/>
              <w:rPr>
                <w:rFonts w:cs="Arial"/>
                <w:bCs/>
                <w:szCs w:val="20"/>
              </w:rPr>
            </w:pPr>
            <w:r w:rsidRPr="003A53A0">
              <w:rPr>
                <w:rFonts w:cs="Arial"/>
                <w:bCs/>
                <w:color w:val="000000"/>
                <w:szCs w:val="20"/>
              </w:rPr>
              <w:t>Statement 4</w:t>
            </w:r>
          </w:p>
        </w:tc>
        <w:tc>
          <w:tcPr>
            <w:tcW w:w="10632" w:type="dxa"/>
            <w:vAlign w:val="center"/>
          </w:tcPr>
          <w:p w14:paraId="75E997B5" w14:textId="5E60E88A" w:rsidR="003A53A0" w:rsidRPr="003A53A0" w:rsidRDefault="003A53A0" w:rsidP="003A53A0">
            <w:pPr>
              <w:pStyle w:val="TableText1"/>
              <w:rPr>
                <w:rFonts w:cs="Arial"/>
                <w:szCs w:val="20"/>
              </w:rPr>
            </w:pPr>
            <w:r w:rsidRPr="003A53A0">
              <w:rPr>
                <w:rFonts w:cs="Arial"/>
                <w:color w:val="000000"/>
                <w:szCs w:val="20"/>
              </w:rPr>
              <w:t>Heparins of animal origin paragraph does not sit well under this section of review of anticoagulation therapy at 3 months and annually – consider removal and placing under statement 1 which related to pharmacological VTE prophylaxis</w:t>
            </w:r>
          </w:p>
        </w:tc>
      </w:tr>
      <w:tr w:rsidR="003A53A0" w:rsidRPr="003A53A0" w14:paraId="3670E768" w14:textId="77777777" w:rsidTr="00F60DF7">
        <w:tc>
          <w:tcPr>
            <w:tcW w:w="675" w:type="dxa"/>
            <w:vAlign w:val="center"/>
          </w:tcPr>
          <w:p w14:paraId="1F8377DA" w14:textId="32CAE31D" w:rsidR="003A53A0" w:rsidRPr="003A53A0" w:rsidRDefault="00F60DF7" w:rsidP="00F60DF7">
            <w:pPr>
              <w:pStyle w:val="TableText1"/>
              <w:rPr>
                <w:rFonts w:cs="Arial"/>
                <w:szCs w:val="20"/>
              </w:rPr>
            </w:pPr>
            <w:r>
              <w:rPr>
                <w:rFonts w:cs="Arial"/>
                <w:szCs w:val="20"/>
              </w:rPr>
              <w:t>112</w:t>
            </w:r>
          </w:p>
        </w:tc>
        <w:tc>
          <w:tcPr>
            <w:tcW w:w="2552" w:type="dxa"/>
            <w:vAlign w:val="center"/>
          </w:tcPr>
          <w:p w14:paraId="1199BB78" w14:textId="46C5DF68" w:rsidR="003A53A0" w:rsidRPr="003A53A0" w:rsidRDefault="003A53A0" w:rsidP="003A53A0">
            <w:pPr>
              <w:pStyle w:val="TableText1"/>
              <w:rPr>
                <w:rFonts w:cs="Arial"/>
                <w:szCs w:val="20"/>
              </w:rPr>
            </w:pPr>
            <w:r w:rsidRPr="003A53A0">
              <w:rPr>
                <w:rFonts w:cs="Arial"/>
                <w:szCs w:val="20"/>
              </w:rPr>
              <w:t>University Hospitals Birmingham NHS Foundation Trust Haematology Service</w:t>
            </w:r>
          </w:p>
        </w:tc>
        <w:tc>
          <w:tcPr>
            <w:tcW w:w="1417" w:type="dxa"/>
            <w:vAlign w:val="center"/>
          </w:tcPr>
          <w:p w14:paraId="51B992D4" w14:textId="30187A7D" w:rsidR="003A53A0" w:rsidRPr="003A53A0" w:rsidRDefault="003A53A0" w:rsidP="003A53A0">
            <w:pPr>
              <w:pStyle w:val="TableText1"/>
              <w:rPr>
                <w:rFonts w:cs="Arial"/>
                <w:bCs/>
                <w:szCs w:val="20"/>
              </w:rPr>
            </w:pPr>
            <w:r w:rsidRPr="003A53A0">
              <w:rPr>
                <w:rFonts w:cs="Arial"/>
                <w:bCs/>
                <w:color w:val="000000"/>
                <w:szCs w:val="20"/>
              </w:rPr>
              <w:t>Statement 4</w:t>
            </w:r>
          </w:p>
        </w:tc>
        <w:tc>
          <w:tcPr>
            <w:tcW w:w="10632" w:type="dxa"/>
            <w:vAlign w:val="center"/>
          </w:tcPr>
          <w:p w14:paraId="361FE1DB"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It is rather vague on who should be doing this review and its purpose. Especially the annual review. The 3 month review should be with clinical staff who are specialists in VTE management but thereafter, it is more about the safety of the anticaogulation regime.</w:t>
            </w:r>
          </w:p>
          <w:p w14:paraId="5742BD9C" w14:textId="00285D3D" w:rsidR="003A53A0" w:rsidRPr="003A53A0" w:rsidRDefault="003A53A0" w:rsidP="003A53A0">
            <w:pPr>
              <w:pStyle w:val="TableText1"/>
              <w:rPr>
                <w:rFonts w:cs="Arial"/>
                <w:szCs w:val="20"/>
              </w:rPr>
            </w:pPr>
            <w:r w:rsidRPr="003A53A0">
              <w:rPr>
                <w:rFonts w:cs="Arial"/>
                <w:color w:val="000000"/>
                <w:szCs w:val="20"/>
              </w:rPr>
              <w:t>NICE will need to define who will be clinically responsible for annual anticoagulation reviews and offer the guidance for it. This cannot be a secondary care duty</w:t>
            </w:r>
          </w:p>
        </w:tc>
      </w:tr>
      <w:tr w:rsidR="003A53A0" w:rsidRPr="003A53A0" w14:paraId="45C2607E" w14:textId="77777777" w:rsidTr="00F60DF7">
        <w:tc>
          <w:tcPr>
            <w:tcW w:w="675" w:type="dxa"/>
            <w:vAlign w:val="center"/>
          </w:tcPr>
          <w:p w14:paraId="246A638A" w14:textId="0443D58A" w:rsidR="003A53A0" w:rsidRPr="003A53A0" w:rsidRDefault="00F60DF7" w:rsidP="00F60DF7">
            <w:pPr>
              <w:pStyle w:val="TableText1"/>
              <w:rPr>
                <w:rFonts w:cs="Arial"/>
                <w:szCs w:val="20"/>
              </w:rPr>
            </w:pPr>
            <w:r>
              <w:rPr>
                <w:rFonts w:cs="Arial"/>
                <w:szCs w:val="20"/>
              </w:rPr>
              <w:t>113</w:t>
            </w:r>
          </w:p>
        </w:tc>
        <w:tc>
          <w:tcPr>
            <w:tcW w:w="2552" w:type="dxa"/>
            <w:vAlign w:val="center"/>
          </w:tcPr>
          <w:p w14:paraId="2079680C" w14:textId="278D95FF" w:rsidR="003A53A0" w:rsidRPr="003A53A0" w:rsidRDefault="003A53A0" w:rsidP="003A53A0">
            <w:pPr>
              <w:pStyle w:val="TableText1"/>
              <w:rPr>
                <w:rFonts w:cs="Arial"/>
                <w:szCs w:val="20"/>
              </w:rPr>
            </w:pPr>
            <w:r w:rsidRPr="003A53A0">
              <w:rPr>
                <w:rFonts w:cs="Arial"/>
                <w:szCs w:val="20"/>
              </w:rPr>
              <w:t>VTE National Network for Nursing and Midwifery</w:t>
            </w:r>
          </w:p>
        </w:tc>
        <w:tc>
          <w:tcPr>
            <w:tcW w:w="1417" w:type="dxa"/>
            <w:vAlign w:val="center"/>
          </w:tcPr>
          <w:p w14:paraId="6C994FB3" w14:textId="7DC03140" w:rsidR="003A53A0" w:rsidRPr="003A53A0" w:rsidRDefault="003A53A0" w:rsidP="003A53A0">
            <w:pPr>
              <w:pStyle w:val="TableText1"/>
              <w:rPr>
                <w:rFonts w:cs="Arial"/>
                <w:bCs/>
                <w:szCs w:val="20"/>
              </w:rPr>
            </w:pPr>
            <w:r w:rsidRPr="003A53A0">
              <w:rPr>
                <w:rFonts w:cs="Arial"/>
                <w:bCs/>
                <w:color w:val="000000"/>
                <w:szCs w:val="20"/>
              </w:rPr>
              <w:t>Statement 4</w:t>
            </w:r>
          </w:p>
        </w:tc>
        <w:tc>
          <w:tcPr>
            <w:tcW w:w="10632" w:type="dxa"/>
            <w:vAlign w:val="center"/>
          </w:tcPr>
          <w:p w14:paraId="509380D6" w14:textId="512E55C4" w:rsidR="003A53A0" w:rsidRPr="003A53A0" w:rsidRDefault="003A53A0" w:rsidP="003A53A0">
            <w:pPr>
              <w:pStyle w:val="TableText1"/>
              <w:rPr>
                <w:rFonts w:cs="Arial"/>
                <w:szCs w:val="20"/>
              </w:rPr>
            </w:pPr>
            <w:r w:rsidRPr="003A53A0">
              <w:rPr>
                <w:rFonts w:cs="Arial"/>
                <w:szCs w:val="20"/>
              </w:rPr>
              <w:t>Statement 4-the duration of anticoagulation should be reviewed prior to 3 months since this is the minimum duration of treatment.  Annual reviews would be the ideal but many centres don’t have capacity for this and would fall to primary care.</w:t>
            </w:r>
          </w:p>
        </w:tc>
      </w:tr>
      <w:tr w:rsidR="003A53A0" w:rsidRPr="003A53A0" w14:paraId="52824BCB" w14:textId="77777777" w:rsidTr="00F60DF7">
        <w:tc>
          <w:tcPr>
            <w:tcW w:w="675" w:type="dxa"/>
            <w:vAlign w:val="center"/>
          </w:tcPr>
          <w:p w14:paraId="4CFC97F1" w14:textId="1491FA15" w:rsidR="003A53A0" w:rsidRPr="003A53A0" w:rsidRDefault="00F60DF7" w:rsidP="00F60DF7">
            <w:pPr>
              <w:pStyle w:val="TableText1"/>
              <w:rPr>
                <w:rFonts w:cs="Arial"/>
                <w:szCs w:val="20"/>
              </w:rPr>
            </w:pPr>
            <w:r>
              <w:rPr>
                <w:rFonts w:cs="Arial"/>
                <w:szCs w:val="20"/>
              </w:rPr>
              <w:t>114</w:t>
            </w:r>
          </w:p>
        </w:tc>
        <w:tc>
          <w:tcPr>
            <w:tcW w:w="2552" w:type="dxa"/>
            <w:vAlign w:val="center"/>
          </w:tcPr>
          <w:p w14:paraId="115DCE0C" w14:textId="799D213B" w:rsidR="003A53A0" w:rsidRPr="003A53A0" w:rsidRDefault="003A53A0" w:rsidP="003A53A0">
            <w:pPr>
              <w:pStyle w:val="TableText1"/>
              <w:rPr>
                <w:rFonts w:cs="Arial"/>
                <w:szCs w:val="20"/>
              </w:rPr>
            </w:pPr>
            <w:r w:rsidRPr="003A53A0">
              <w:rPr>
                <w:rFonts w:cs="Arial"/>
                <w:szCs w:val="20"/>
              </w:rPr>
              <w:t>All-Party Parliamentary Group on Vascular and Venous Disease</w:t>
            </w:r>
          </w:p>
        </w:tc>
        <w:tc>
          <w:tcPr>
            <w:tcW w:w="1417" w:type="dxa"/>
            <w:vAlign w:val="center"/>
          </w:tcPr>
          <w:p w14:paraId="56B65F80" w14:textId="1C10DD41" w:rsidR="003A53A0" w:rsidRPr="003A53A0" w:rsidRDefault="003A53A0" w:rsidP="003A53A0">
            <w:pPr>
              <w:pStyle w:val="TableText1"/>
              <w:rPr>
                <w:rFonts w:cs="Arial"/>
                <w:bCs/>
                <w:szCs w:val="20"/>
              </w:rPr>
            </w:pPr>
            <w:r w:rsidRPr="003A53A0">
              <w:rPr>
                <w:rFonts w:cs="Arial"/>
                <w:bCs/>
                <w:szCs w:val="20"/>
              </w:rPr>
              <w:t>Statement 5</w:t>
            </w:r>
          </w:p>
        </w:tc>
        <w:tc>
          <w:tcPr>
            <w:tcW w:w="10632" w:type="dxa"/>
            <w:vAlign w:val="center"/>
          </w:tcPr>
          <w:p w14:paraId="4E04D42A"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This quality standard is less likely to reflect the key areas for development because the low-risk PE group may not require follow-up and there is no clear definition of what characteristics constitute the suspected group.</w:t>
            </w:r>
          </w:p>
          <w:p w14:paraId="2A4C2906"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-Local structures to deliver this quality standard will require greater investment in staff, clinic space and radiological imaging support.</w:t>
            </w:r>
          </w:p>
          <w:p w14:paraId="46CE95E2" w14:textId="77777777" w:rsidR="003A53A0" w:rsidRPr="003A53A0" w:rsidRDefault="003A53A0" w:rsidP="003A53A0">
            <w:pPr>
              <w:rPr>
                <w:rFonts w:ascii="Arial" w:hAnsi="Arial" w:cs="Arial"/>
                <w:color w:val="000000"/>
                <w:sz w:val="20"/>
                <w:szCs w:val="20"/>
              </w:rPr>
            </w:pPr>
            <w:r w:rsidRPr="003A53A0">
              <w:rPr>
                <w:rFonts w:ascii="Arial" w:hAnsi="Arial" w:cs="Arial"/>
                <w:color w:val="000000"/>
                <w:sz w:val="20"/>
                <w:szCs w:val="20"/>
              </w:rPr>
              <w:t>-Provided the service appropriately funded, local services should be able to provide the follow-up suggested.</w:t>
            </w:r>
          </w:p>
          <w:p w14:paraId="2D7A93BC" w14:textId="7E58DC9C" w:rsidR="003A53A0" w:rsidRPr="003A53A0" w:rsidRDefault="003A53A0" w:rsidP="003A53A0">
            <w:pPr>
              <w:pStyle w:val="TableText1"/>
              <w:rPr>
                <w:rFonts w:cs="Arial"/>
                <w:szCs w:val="20"/>
              </w:rPr>
            </w:pPr>
            <w:r w:rsidRPr="003A53A0">
              <w:rPr>
                <w:rFonts w:cs="Arial"/>
                <w:color w:val="000000"/>
                <w:szCs w:val="20"/>
              </w:rPr>
              <w:t>-There should also be a monitoring and follow-up plan for patients who are intermediate and high risk of dying due to PE. Can the committee take into consideration IPG524.</w:t>
            </w:r>
          </w:p>
        </w:tc>
      </w:tr>
      <w:tr w:rsidR="003A53A0" w:rsidRPr="003A53A0" w14:paraId="3F48650B" w14:textId="77777777" w:rsidTr="00F60DF7">
        <w:tc>
          <w:tcPr>
            <w:tcW w:w="675" w:type="dxa"/>
            <w:vAlign w:val="center"/>
          </w:tcPr>
          <w:p w14:paraId="6BA282EF" w14:textId="22E23116" w:rsidR="003A53A0" w:rsidRPr="003A53A0" w:rsidRDefault="00F60DF7" w:rsidP="00F60DF7">
            <w:pPr>
              <w:pStyle w:val="TableText1"/>
              <w:rPr>
                <w:rFonts w:cs="Arial"/>
                <w:szCs w:val="20"/>
              </w:rPr>
            </w:pPr>
            <w:r>
              <w:rPr>
                <w:rFonts w:cs="Arial"/>
                <w:szCs w:val="20"/>
              </w:rPr>
              <w:t>115</w:t>
            </w:r>
          </w:p>
        </w:tc>
        <w:tc>
          <w:tcPr>
            <w:tcW w:w="2552" w:type="dxa"/>
            <w:vAlign w:val="center"/>
          </w:tcPr>
          <w:p w14:paraId="54860302" w14:textId="321440E3" w:rsidR="003A53A0" w:rsidRPr="003A53A0" w:rsidRDefault="003A53A0" w:rsidP="003A53A0">
            <w:pPr>
              <w:pStyle w:val="TableText1"/>
              <w:rPr>
                <w:rFonts w:cs="Arial"/>
                <w:szCs w:val="20"/>
              </w:rPr>
            </w:pPr>
            <w:r w:rsidRPr="003A53A0">
              <w:rPr>
                <w:rFonts w:cs="Arial"/>
                <w:szCs w:val="20"/>
              </w:rPr>
              <w:t>British Geriatrics Society</w:t>
            </w:r>
          </w:p>
        </w:tc>
        <w:tc>
          <w:tcPr>
            <w:tcW w:w="1417" w:type="dxa"/>
            <w:vAlign w:val="center"/>
          </w:tcPr>
          <w:p w14:paraId="342E4B0E" w14:textId="4E0A13D0" w:rsidR="003A53A0" w:rsidRPr="003A53A0" w:rsidRDefault="003A53A0" w:rsidP="003A53A0">
            <w:pPr>
              <w:pStyle w:val="TableText1"/>
              <w:rPr>
                <w:rFonts w:cs="Arial"/>
                <w:bCs/>
                <w:szCs w:val="20"/>
              </w:rPr>
            </w:pPr>
            <w:r w:rsidRPr="003A53A0">
              <w:rPr>
                <w:rFonts w:cs="Arial"/>
                <w:bCs/>
                <w:szCs w:val="20"/>
              </w:rPr>
              <w:t>Statement 5</w:t>
            </w:r>
          </w:p>
        </w:tc>
        <w:tc>
          <w:tcPr>
            <w:tcW w:w="10632" w:type="dxa"/>
            <w:vAlign w:val="center"/>
          </w:tcPr>
          <w:p w14:paraId="6F021E11" w14:textId="73A6FA1C" w:rsidR="003A53A0" w:rsidRPr="003A53A0" w:rsidRDefault="003A53A0" w:rsidP="003A53A0">
            <w:pPr>
              <w:pStyle w:val="TableText1"/>
              <w:rPr>
                <w:rFonts w:cs="Arial"/>
                <w:szCs w:val="20"/>
              </w:rPr>
            </w:pPr>
            <w:r w:rsidRPr="003A53A0">
              <w:rPr>
                <w:rFonts w:cs="Arial"/>
                <w:color w:val="000000"/>
                <w:szCs w:val="20"/>
              </w:rPr>
              <w:t>This appears appropriate</w:t>
            </w:r>
          </w:p>
        </w:tc>
      </w:tr>
      <w:tr w:rsidR="003A53A0" w:rsidRPr="003A53A0" w14:paraId="35E166D4" w14:textId="77777777" w:rsidTr="00F60DF7">
        <w:tc>
          <w:tcPr>
            <w:tcW w:w="675" w:type="dxa"/>
            <w:vAlign w:val="center"/>
          </w:tcPr>
          <w:p w14:paraId="57591C01" w14:textId="7906D30F" w:rsidR="003A53A0" w:rsidRPr="003A53A0" w:rsidRDefault="00F60DF7" w:rsidP="00F60DF7">
            <w:pPr>
              <w:pStyle w:val="TableText1"/>
              <w:rPr>
                <w:rFonts w:cs="Arial"/>
                <w:szCs w:val="20"/>
              </w:rPr>
            </w:pPr>
            <w:r>
              <w:rPr>
                <w:rFonts w:cs="Arial"/>
                <w:szCs w:val="20"/>
              </w:rPr>
              <w:t>116</w:t>
            </w:r>
          </w:p>
        </w:tc>
        <w:tc>
          <w:tcPr>
            <w:tcW w:w="2552" w:type="dxa"/>
            <w:vAlign w:val="center"/>
          </w:tcPr>
          <w:p w14:paraId="1094375F" w14:textId="67D6056C" w:rsidR="003A53A0" w:rsidRPr="003A53A0" w:rsidRDefault="003A53A0" w:rsidP="003A53A0">
            <w:pPr>
              <w:pStyle w:val="TableText1"/>
              <w:rPr>
                <w:rFonts w:cs="Arial"/>
                <w:szCs w:val="20"/>
              </w:rPr>
            </w:pPr>
            <w:r w:rsidRPr="003A53A0">
              <w:rPr>
                <w:rFonts w:cs="Arial"/>
                <w:szCs w:val="20"/>
              </w:rPr>
              <w:t>British Orthopaedic Association</w:t>
            </w:r>
          </w:p>
        </w:tc>
        <w:tc>
          <w:tcPr>
            <w:tcW w:w="1417" w:type="dxa"/>
            <w:vAlign w:val="center"/>
          </w:tcPr>
          <w:p w14:paraId="211CE54C" w14:textId="189AE6D0" w:rsidR="003A53A0" w:rsidRPr="003A53A0" w:rsidRDefault="003A53A0" w:rsidP="003A53A0">
            <w:pPr>
              <w:pStyle w:val="TableText1"/>
              <w:rPr>
                <w:rFonts w:cs="Arial"/>
                <w:bCs/>
                <w:szCs w:val="20"/>
              </w:rPr>
            </w:pPr>
            <w:r w:rsidRPr="003A53A0">
              <w:rPr>
                <w:rFonts w:cs="Arial"/>
                <w:bCs/>
                <w:szCs w:val="20"/>
              </w:rPr>
              <w:t>Statement 5</w:t>
            </w:r>
          </w:p>
        </w:tc>
        <w:tc>
          <w:tcPr>
            <w:tcW w:w="10632" w:type="dxa"/>
            <w:vAlign w:val="center"/>
          </w:tcPr>
          <w:p w14:paraId="6C954769" w14:textId="2017B880" w:rsidR="003A53A0" w:rsidRPr="003A53A0" w:rsidRDefault="0032423B" w:rsidP="003A53A0">
            <w:pPr>
              <w:pStyle w:val="TableText1"/>
              <w:rPr>
                <w:rFonts w:cs="Arial"/>
                <w:szCs w:val="20"/>
              </w:rPr>
            </w:pPr>
            <w:r>
              <w:rPr>
                <w:rFonts w:cs="Arial"/>
                <w:color w:val="000000"/>
                <w:szCs w:val="20"/>
              </w:rPr>
              <w:t>N</w:t>
            </w:r>
            <w:r w:rsidR="003A53A0" w:rsidRPr="003A53A0">
              <w:rPr>
                <w:rFonts w:cs="Arial"/>
                <w:color w:val="000000"/>
                <w:szCs w:val="20"/>
              </w:rPr>
              <w:t>o additional comments</w:t>
            </w:r>
          </w:p>
        </w:tc>
      </w:tr>
      <w:tr w:rsidR="003A53A0" w:rsidRPr="003A53A0" w14:paraId="3F4D0860" w14:textId="77777777" w:rsidTr="00F60DF7">
        <w:tc>
          <w:tcPr>
            <w:tcW w:w="675" w:type="dxa"/>
            <w:vAlign w:val="center"/>
          </w:tcPr>
          <w:p w14:paraId="2332AB35" w14:textId="7B6D4794" w:rsidR="003A53A0" w:rsidRPr="003A53A0" w:rsidRDefault="00F60DF7" w:rsidP="00F60DF7">
            <w:pPr>
              <w:pStyle w:val="TableText1"/>
              <w:rPr>
                <w:rFonts w:cs="Arial"/>
                <w:szCs w:val="20"/>
              </w:rPr>
            </w:pPr>
            <w:r>
              <w:rPr>
                <w:rFonts w:cs="Arial"/>
                <w:szCs w:val="20"/>
              </w:rPr>
              <w:lastRenderedPageBreak/>
              <w:t>117</w:t>
            </w:r>
          </w:p>
        </w:tc>
        <w:tc>
          <w:tcPr>
            <w:tcW w:w="2552" w:type="dxa"/>
            <w:vAlign w:val="center"/>
          </w:tcPr>
          <w:p w14:paraId="69DEE213" w14:textId="48591E34" w:rsidR="003A53A0" w:rsidRPr="003A53A0" w:rsidRDefault="003A53A0" w:rsidP="003A53A0">
            <w:pPr>
              <w:pStyle w:val="TableText1"/>
              <w:rPr>
                <w:rFonts w:cs="Arial"/>
                <w:szCs w:val="20"/>
              </w:rPr>
            </w:pPr>
            <w:r w:rsidRPr="003A53A0">
              <w:rPr>
                <w:rFonts w:cs="Arial"/>
                <w:szCs w:val="20"/>
              </w:rPr>
              <w:t>British Thoracic Society</w:t>
            </w:r>
          </w:p>
        </w:tc>
        <w:tc>
          <w:tcPr>
            <w:tcW w:w="1417" w:type="dxa"/>
            <w:vAlign w:val="center"/>
          </w:tcPr>
          <w:p w14:paraId="2693DA3B" w14:textId="1DE89872" w:rsidR="003A53A0" w:rsidRPr="003A53A0" w:rsidRDefault="003A53A0" w:rsidP="003A53A0">
            <w:pPr>
              <w:pStyle w:val="TableText1"/>
              <w:rPr>
                <w:rFonts w:cs="Arial"/>
                <w:bCs/>
                <w:szCs w:val="20"/>
              </w:rPr>
            </w:pPr>
            <w:r w:rsidRPr="003A53A0">
              <w:rPr>
                <w:rFonts w:cs="Arial"/>
                <w:bCs/>
                <w:szCs w:val="20"/>
              </w:rPr>
              <w:t>Statement 5</w:t>
            </w:r>
          </w:p>
        </w:tc>
        <w:tc>
          <w:tcPr>
            <w:tcW w:w="10632" w:type="dxa"/>
            <w:vAlign w:val="center"/>
          </w:tcPr>
          <w:p w14:paraId="1127CF6B" w14:textId="7F2D01EF" w:rsidR="003A53A0" w:rsidRPr="003A53A0" w:rsidRDefault="003A53A0" w:rsidP="003A53A0">
            <w:pPr>
              <w:pStyle w:val="TableText1"/>
              <w:rPr>
                <w:rFonts w:cs="Arial"/>
                <w:szCs w:val="20"/>
              </w:rPr>
            </w:pPr>
            <w:r w:rsidRPr="003A53A0">
              <w:rPr>
                <w:rFonts w:cs="Arial"/>
                <w:color w:val="000000"/>
                <w:szCs w:val="20"/>
              </w:rPr>
              <w:t>This is unclear and will be difficult to prove / monitor. Does this mean being told to come back the next day for a scan is ok? Does it specifically require written document with patient agreement? Does it cover the period after diagnosis is made and until patient is seen in an anticoagulation clinic? Does it have to cover the plan for if the patient doesn’t have a PE? Indeed does this also refer to long term follow up at 3 months or is it specifically to the immediate care of the patient? This is becoming increasingly important as a strategy.</w:t>
            </w:r>
          </w:p>
        </w:tc>
      </w:tr>
      <w:tr w:rsidR="003A53A0" w:rsidRPr="003A53A0" w14:paraId="3444313A" w14:textId="77777777" w:rsidTr="00F60DF7">
        <w:tc>
          <w:tcPr>
            <w:tcW w:w="675" w:type="dxa"/>
            <w:vAlign w:val="center"/>
          </w:tcPr>
          <w:p w14:paraId="09470FD0" w14:textId="13533C06" w:rsidR="003A53A0" w:rsidRPr="003A53A0" w:rsidRDefault="00F60DF7" w:rsidP="00F60DF7">
            <w:pPr>
              <w:pStyle w:val="TableText1"/>
              <w:rPr>
                <w:rFonts w:cs="Arial"/>
                <w:szCs w:val="20"/>
              </w:rPr>
            </w:pPr>
            <w:r>
              <w:rPr>
                <w:rFonts w:cs="Arial"/>
                <w:szCs w:val="20"/>
              </w:rPr>
              <w:t>118</w:t>
            </w:r>
          </w:p>
        </w:tc>
        <w:tc>
          <w:tcPr>
            <w:tcW w:w="2552" w:type="dxa"/>
            <w:vAlign w:val="center"/>
          </w:tcPr>
          <w:p w14:paraId="0636563D" w14:textId="7CB03AB0" w:rsidR="003A53A0" w:rsidRPr="003A53A0" w:rsidRDefault="003A53A0" w:rsidP="003A53A0">
            <w:pPr>
              <w:pStyle w:val="TableText1"/>
              <w:rPr>
                <w:rFonts w:cs="Arial"/>
                <w:szCs w:val="20"/>
              </w:rPr>
            </w:pPr>
            <w:r w:rsidRPr="003A53A0">
              <w:rPr>
                <w:rFonts w:cs="Arial"/>
                <w:szCs w:val="20"/>
              </w:rPr>
              <w:t>Chelsea and Westminster Hospital NHS Foundation Trust</w:t>
            </w:r>
          </w:p>
        </w:tc>
        <w:tc>
          <w:tcPr>
            <w:tcW w:w="1417" w:type="dxa"/>
            <w:vAlign w:val="center"/>
          </w:tcPr>
          <w:p w14:paraId="6D97140F" w14:textId="0FC85E5D" w:rsidR="003A53A0" w:rsidRPr="003A53A0" w:rsidRDefault="003A53A0" w:rsidP="003A53A0">
            <w:pPr>
              <w:pStyle w:val="TableText1"/>
              <w:rPr>
                <w:rFonts w:cs="Arial"/>
                <w:bCs/>
                <w:szCs w:val="20"/>
              </w:rPr>
            </w:pPr>
            <w:r w:rsidRPr="003A53A0">
              <w:rPr>
                <w:rFonts w:cs="Arial"/>
                <w:bCs/>
                <w:szCs w:val="20"/>
              </w:rPr>
              <w:t>Statement 5</w:t>
            </w:r>
          </w:p>
        </w:tc>
        <w:tc>
          <w:tcPr>
            <w:tcW w:w="10632" w:type="dxa"/>
            <w:vAlign w:val="center"/>
          </w:tcPr>
          <w:p w14:paraId="57E9829A" w14:textId="14D8C2F8" w:rsidR="003A53A0" w:rsidRPr="003A53A0" w:rsidRDefault="003A53A0" w:rsidP="003A53A0">
            <w:pPr>
              <w:pStyle w:val="TableText1"/>
              <w:rPr>
                <w:rFonts w:cs="Arial"/>
                <w:szCs w:val="20"/>
              </w:rPr>
            </w:pPr>
            <w:r w:rsidRPr="003A53A0">
              <w:rPr>
                <w:rFonts w:cs="Arial"/>
                <w:color w:val="000000"/>
                <w:szCs w:val="20"/>
              </w:rPr>
              <w:t>Outcome requires review of wording – patients may be admitted via ambulatory care pathways particularly when statement 5 relates to low-risk pulmonary embolism so ‘rates of emergency admissions ….. having outpatient treatment for PE’ is confusing</w:t>
            </w:r>
          </w:p>
        </w:tc>
      </w:tr>
      <w:tr w:rsidR="003A53A0" w:rsidRPr="003A53A0" w14:paraId="039F5461" w14:textId="77777777" w:rsidTr="00F60DF7">
        <w:tc>
          <w:tcPr>
            <w:tcW w:w="675" w:type="dxa"/>
            <w:vAlign w:val="center"/>
          </w:tcPr>
          <w:p w14:paraId="37214B66" w14:textId="1F23478F" w:rsidR="003A53A0" w:rsidRPr="003A53A0" w:rsidRDefault="00F60DF7" w:rsidP="00F60DF7">
            <w:pPr>
              <w:pStyle w:val="TableText1"/>
              <w:rPr>
                <w:rFonts w:cs="Arial"/>
                <w:szCs w:val="20"/>
              </w:rPr>
            </w:pPr>
            <w:r>
              <w:rPr>
                <w:rFonts w:cs="Arial"/>
                <w:szCs w:val="20"/>
              </w:rPr>
              <w:t>119</w:t>
            </w:r>
          </w:p>
        </w:tc>
        <w:tc>
          <w:tcPr>
            <w:tcW w:w="2552" w:type="dxa"/>
            <w:vAlign w:val="center"/>
          </w:tcPr>
          <w:p w14:paraId="13564CEB" w14:textId="5ABC6BE0" w:rsidR="003A53A0" w:rsidRPr="003A53A0" w:rsidRDefault="003A53A0" w:rsidP="003A53A0">
            <w:pPr>
              <w:pStyle w:val="TableText1"/>
              <w:rPr>
                <w:rFonts w:cs="Arial"/>
                <w:szCs w:val="20"/>
              </w:rPr>
            </w:pPr>
            <w:r w:rsidRPr="003A53A0">
              <w:rPr>
                <w:rFonts w:cs="Arial"/>
                <w:szCs w:val="20"/>
              </w:rPr>
              <w:t>Clinical Leaders of Thrombosis</w:t>
            </w:r>
          </w:p>
        </w:tc>
        <w:tc>
          <w:tcPr>
            <w:tcW w:w="1417" w:type="dxa"/>
            <w:vAlign w:val="center"/>
          </w:tcPr>
          <w:p w14:paraId="70D18412" w14:textId="09834AAB" w:rsidR="003A53A0" w:rsidRPr="003A53A0" w:rsidRDefault="003A53A0" w:rsidP="003A53A0">
            <w:pPr>
              <w:pStyle w:val="TableText1"/>
              <w:rPr>
                <w:rFonts w:cs="Arial"/>
                <w:bCs/>
                <w:szCs w:val="20"/>
              </w:rPr>
            </w:pPr>
            <w:r w:rsidRPr="003A53A0">
              <w:rPr>
                <w:rFonts w:cs="Arial"/>
                <w:bCs/>
                <w:szCs w:val="20"/>
              </w:rPr>
              <w:t>Statement 5</w:t>
            </w:r>
          </w:p>
        </w:tc>
        <w:tc>
          <w:tcPr>
            <w:tcW w:w="10632" w:type="dxa"/>
            <w:vAlign w:val="center"/>
          </w:tcPr>
          <w:p w14:paraId="30C4A94A" w14:textId="0CD430E1" w:rsidR="003A53A0" w:rsidRPr="003A53A0" w:rsidRDefault="003A53A0" w:rsidP="003A53A0">
            <w:pPr>
              <w:pStyle w:val="TableText1"/>
              <w:rPr>
                <w:rFonts w:cs="Arial"/>
                <w:szCs w:val="20"/>
              </w:rPr>
            </w:pPr>
            <w:r w:rsidRPr="003A53A0">
              <w:rPr>
                <w:rFonts w:cs="Arial"/>
                <w:color w:val="000000"/>
                <w:szCs w:val="20"/>
              </w:rPr>
              <w:t>The outcome measurement would read better if “Rates of emergency admissions relating to their PE management  to hospital for people aged 18 and over having outpatient treatment for PE” Some admissions would not be related to the PE</w:t>
            </w:r>
          </w:p>
        </w:tc>
      </w:tr>
      <w:tr w:rsidR="003A53A0" w:rsidRPr="003A53A0" w14:paraId="605F7908" w14:textId="77777777" w:rsidTr="00F60DF7">
        <w:tc>
          <w:tcPr>
            <w:tcW w:w="675" w:type="dxa"/>
            <w:vAlign w:val="center"/>
          </w:tcPr>
          <w:p w14:paraId="1274AE36" w14:textId="0B868354" w:rsidR="003A53A0" w:rsidRPr="003A53A0" w:rsidRDefault="00F60DF7" w:rsidP="00F60DF7">
            <w:pPr>
              <w:pStyle w:val="TableText1"/>
              <w:rPr>
                <w:rFonts w:cs="Arial"/>
                <w:szCs w:val="20"/>
              </w:rPr>
            </w:pPr>
            <w:r>
              <w:rPr>
                <w:rFonts w:cs="Arial"/>
                <w:szCs w:val="20"/>
              </w:rPr>
              <w:t>120</w:t>
            </w:r>
          </w:p>
        </w:tc>
        <w:tc>
          <w:tcPr>
            <w:tcW w:w="2552" w:type="dxa"/>
            <w:vAlign w:val="center"/>
          </w:tcPr>
          <w:p w14:paraId="214BFE19" w14:textId="4363E867" w:rsidR="003A53A0" w:rsidRPr="003A53A0" w:rsidRDefault="003A53A0" w:rsidP="003A53A0">
            <w:pPr>
              <w:pStyle w:val="TableText1"/>
              <w:rPr>
                <w:rFonts w:cs="Arial"/>
                <w:szCs w:val="20"/>
              </w:rPr>
            </w:pPr>
            <w:r w:rsidRPr="003A53A0">
              <w:rPr>
                <w:rFonts w:cs="Arial"/>
                <w:szCs w:val="20"/>
              </w:rPr>
              <w:t>King’s College Hospital NHS Foundation Trust</w:t>
            </w:r>
          </w:p>
        </w:tc>
        <w:tc>
          <w:tcPr>
            <w:tcW w:w="1417" w:type="dxa"/>
            <w:vAlign w:val="center"/>
          </w:tcPr>
          <w:p w14:paraId="7B5FCC8F" w14:textId="6AD787E3" w:rsidR="003A53A0" w:rsidRPr="003A53A0" w:rsidRDefault="003A53A0" w:rsidP="003A53A0">
            <w:pPr>
              <w:pStyle w:val="TableText1"/>
              <w:rPr>
                <w:rFonts w:cs="Arial"/>
                <w:bCs/>
                <w:szCs w:val="20"/>
              </w:rPr>
            </w:pPr>
            <w:r w:rsidRPr="003A53A0">
              <w:rPr>
                <w:rFonts w:cs="Arial"/>
                <w:bCs/>
                <w:szCs w:val="20"/>
              </w:rPr>
              <w:t>Statement 5</w:t>
            </w:r>
          </w:p>
        </w:tc>
        <w:tc>
          <w:tcPr>
            <w:tcW w:w="10632" w:type="dxa"/>
            <w:vAlign w:val="center"/>
          </w:tcPr>
          <w:p w14:paraId="25379518" w14:textId="698512D0" w:rsidR="003A53A0" w:rsidRPr="003A53A0" w:rsidRDefault="003A53A0" w:rsidP="003A53A0">
            <w:pPr>
              <w:pStyle w:val="TableText1"/>
              <w:rPr>
                <w:rFonts w:cs="Arial"/>
                <w:szCs w:val="20"/>
              </w:rPr>
            </w:pPr>
            <w:r w:rsidRPr="003A53A0">
              <w:rPr>
                <w:rFonts w:cs="Arial"/>
                <w:color w:val="000000"/>
                <w:szCs w:val="20"/>
              </w:rPr>
              <w:t>This is somewhat vague and may be difficult to monitor. Whilst most Trusts should be able to demonstrate a pathway, providing evidence of individually patient agreed plans monitoring will be problematic. Suggest this is more specific to provision of information regarding when to seek further medical attention and how to do so.</w:t>
            </w:r>
          </w:p>
        </w:tc>
      </w:tr>
      <w:tr w:rsidR="003A53A0" w:rsidRPr="003A53A0" w14:paraId="4303CF41" w14:textId="77777777" w:rsidTr="00F60DF7">
        <w:tc>
          <w:tcPr>
            <w:tcW w:w="675" w:type="dxa"/>
            <w:vAlign w:val="center"/>
          </w:tcPr>
          <w:p w14:paraId="49B31467" w14:textId="21EA94AB" w:rsidR="003A53A0" w:rsidRPr="003A53A0" w:rsidRDefault="00F60DF7" w:rsidP="00F60DF7">
            <w:pPr>
              <w:pStyle w:val="TableText1"/>
              <w:rPr>
                <w:rFonts w:cs="Arial"/>
                <w:szCs w:val="20"/>
              </w:rPr>
            </w:pPr>
            <w:r>
              <w:rPr>
                <w:rFonts w:cs="Arial"/>
                <w:szCs w:val="20"/>
              </w:rPr>
              <w:t>121</w:t>
            </w:r>
          </w:p>
        </w:tc>
        <w:tc>
          <w:tcPr>
            <w:tcW w:w="2552" w:type="dxa"/>
            <w:vAlign w:val="center"/>
          </w:tcPr>
          <w:p w14:paraId="76228DDA" w14:textId="312F9F70" w:rsidR="003A53A0" w:rsidRPr="003A53A0" w:rsidRDefault="003A53A0" w:rsidP="003A53A0">
            <w:pPr>
              <w:pStyle w:val="TableText1"/>
              <w:rPr>
                <w:rFonts w:cs="Arial"/>
                <w:szCs w:val="20"/>
              </w:rPr>
            </w:pPr>
            <w:r w:rsidRPr="003A53A0">
              <w:rPr>
                <w:rFonts w:cs="Arial"/>
                <w:szCs w:val="20"/>
              </w:rPr>
              <w:t>LEO Pharma</w:t>
            </w:r>
          </w:p>
        </w:tc>
        <w:tc>
          <w:tcPr>
            <w:tcW w:w="1417" w:type="dxa"/>
            <w:vAlign w:val="center"/>
          </w:tcPr>
          <w:p w14:paraId="26A8ED9E" w14:textId="0B04586B" w:rsidR="003A53A0" w:rsidRPr="003A53A0" w:rsidRDefault="003A53A0" w:rsidP="003A53A0">
            <w:pPr>
              <w:pStyle w:val="TableText1"/>
              <w:rPr>
                <w:rFonts w:cs="Arial"/>
                <w:bCs/>
                <w:szCs w:val="20"/>
              </w:rPr>
            </w:pPr>
            <w:r w:rsidRPr="003A53A0">
              <w:rPr>
                <w:rFonts w:cs="Arial"/>
                <w:bCs/>
                <w:szCs w:val="20"/>
              </w:rPr>
              <w:t>Statement 5</w:t>
            </w:r>
          </w:p>
        </w:tc>
        <w:tc>
          <w:tcPr>
            <w:tcW w:w="10632" w:type="dxa"/>
            <w:vAlign w:val="center"/>
          </w:tcPr>
          <w:p w14:paraId="39B07EF8" w14:textId="40C0B459" w:rsidR="003A53A0" w:rsidRPr="003A53A0" w:rsidRDefault="003A53A0" w:rsidP="003A53A0">
            <w:pPr>
              <w:pStyle w:val="TableText1"/>
              <w:rPr>
                <w:rFonts w:cs="Arial"/>
                <w:szCs w:val="20"/>
              </w:rPr>
            </w:pPr>
            <w:r w:rsidRPr="003A53A0">
              <w:rPr>
                <w:rFonts w:cs="Arial"/>
                <w:color w:val="000000"/>
                <w:szCs w:val="20"/>
              </w:rPr>
              <w:t>This quality statement may be hard to measure and conducting an audit of the agreed plan to measure whether the plan worked and achieved what it set out to do would be beneficial.</w:t>
            </w:r>
          </w:p>
        </w:tc>
      </w:tr>
      <w:tr w:rsidR="003A53A0" w:rsidRPr="003A53A0" w14:paraId="33F7F9A0" w14:textId="77777777" w:rsidTr="00F60DF7">
        <w:tc>
          <w:tcPr>
            <w:tcW w:w="675" w:type="dxa"/>
            <w:vAlign w:val="center"/>
          </w:tcPr>
          <w:p w14:paraId="0432BE51" w14:textId="0681F1B3" w:rsidR="003A53A0" w:rsidRPr="003A53A0" w:rsidRDefault="00F60DF7" w:rsidP="00F60DF7">
            <w:pPr>
              <w:pStyle w:val="TableText1"/>
              <w:rPr>
                <w:rFonts w:cs="Arial"/>
                <w:szCs w:val="20"/>
              </w:rPr>
            </w:pPr>
            <w:r>
              <w:rPr>
                <w:rFonts w:cs="Arial"/>
                <w:szCs w:val="20"/>
              </w:rPr>
              <w:t>122</w:t>
            </w:r>
          </w:p>
        </w:tc>
        <w:tc>
          <w:tcPr>
            <w:tcW w:w="2552" w:type="dxa"/>
            <w:vAlign w:val="center"/>
          </w:tcPr>
          <w:p w14:paraId="29BBEAC4" w14:textId="3BD38C01"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292A23AB" w14:textId="3DAEDBC1" w:rsidR="003A53A0" w:rsidRPr="003A53A0" w:rsidRDefault="003A53A0" w:rsidP="003A53A0">
            <w:pPr>
              <w:pStyle w:val="TableText1"/>
              <w:rPr>
                <w:rFonts w:cs="Arial"/>
                <w:bCs/>
                <w:szCs w:val="20"/>
              </w:rPr>
            </w:pPr>
            <w:r w:rsidRPr="003A53A0">
              <w:rPr>
                <w:rFonts w:cs="Arial"/>
                <w:bCs/>
                <w:szCs w:val="20"/>
              </w:rPr>
              <w:t>Statement 5</w:t>
            </w:r>
          </w:p>
        </w:tc>
        <w:tc>
          <w:tcPr>
            <w:tcW w:w="10632" w:type="dxa"/>
            <w:vAlign w:val="center"/>
          </w:tcPr>
          <w:p w14:paraId="50A70F04" w14:textId="7F48A446" w:rsidR="003A53A0" w:rsidRPr="003A53A0" w:rsidRDefault="003A53A0" w:rsidP="003A53A0">
            <w:pPr>
              <w:pStyle w:val="TableText1"/>
              <w:rPr>
                <w:rFonts w:cs="Arial"/>
                <w:szCs w:val="20"/>
              </w:rPr>
            </w:pPr>
            <w:r w:rsidRPr="003A53A0">
              <w:rPr>
                <w:rFonts w:cs="Arial"/>
                <w:color w:val="000000"/>
                <w:szCs w:val="20"/>
              </w:rPr>
              <w:t>To measure “plan to have a review at 12 months” would need to be collected by local auditing of note.</w:t>
            </w:r>
            <w:r w:rsidR="009C6564">
              <w:rPr>
                <w:rFonts w:cs="Arial"/>
                <w:color w:val="000000"/>
                <w:szCs w:val="20"/>
              </w:rPr>
              <w:t xml:space="preserve"> </w:t>
            </w:r>
          </w:p>
        </w:tc>
      </w:tr>
      <w:tr w:rsidR="003A53A0" w:rsidRPr="003A53A0" w14:paraId="1004AA4E" w14:textId="77777777" w:rsidTr="00F60DF7">
        <w:tc>
          <w:tcPr>
            <w:tcW w:w="675" w:type="dxa"/>
            <w:vAlign w:val="center"/>
          </w:tcPr>
          <w:p w14:paraId="4B303B8D" w14:textId="344EC08D" w:rsidR="003A53A0" w:rsidRPr="003A53A0" w:rsidRDefault="00F60DF7" w:rsidP="00F60DF7">
            <w:pPr>
              <w:pStyle w:val="TableText1"/>
              <w:rPr>
                <w:rFonts w:cs="Arial"/>
                <w:szCs w:val="20"/>
              </w:rPr>
            </w:pPr>
            <w:r>
              <w:rPr>
                <w:rFonts w:cs="Arial"/>
                <w:szCs w:val="20"/>
              </w:rPr>
              <w:t>123</w:t>
            </w:r>
          </w:p>
        </w:tc>
        <w:tc>
          <w:tcPr>
            <w:tcW w:w="2552" w:type="dxa"/>
            <w:vAlign w:val="center"/>
          </w:tcPr>
          <w:p w14:paraId="1469748E" w14:textId="15D75A5C"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2CA92761" w14:textId="01B2477A" w:rsidR="003A53A0" w:rsidRPr="003A53A0" w:rsidRDefault="003A53A0" w:rsidP="003A53A0">
            <w:pPr>
              <w:pStyle w:val="TableText1"/>
              <w:rPr>
                <w:rFonts w:cs="Arial"/>
                <w:bCs/>
                <w:szCs w:val="20"/>
              </w:rPr>
            </w:pPr>
            <w:r w:rsidRPr="003A53A0">
              <w:rPr>
                <w:rFonts w:cs="Arial"/>
                <w:bCs/>
                <w:szCs w:val="20"/>
              </w:rPr>
              <w:t>Statement 5 (measures)</w:t>
            </w:r>
          </w:p>
        </w:tc>
        <w:tc>
          <w:tcPr>
            <w:tcW w:w="10632" w:type="dxa"/>
            <w:vAlign w:val="center"/>
          </w:tcPr>
          <w:p w14:paraId="70588C20" w14:textId="3287E76D" w:rsidR="003A53A0" w:rsidRPr="003A53A0" w:rsidRDefault="003A53A0" w:rsidP="003A53A0">
            <w:pPr>
              <w:pStyle w:val="TableText1"/>
              <w:rPr>
                <w:rFonts w:cs="Arial"/>
                <w:szCs w:val="20"/>
              </w:rPr>
            </w:pPr>
            <w:r w:rsidRPr="003A53A0">
              <w:rPr>
                <w:rFonts w:cs="Arial"/>
                <w:szCs w:val="20"/>
              </w:rPr>
              <w:t xml:space="preserve">Pathways need to be evidenced based and relevant – this needs to be explicit. </w:t>
            </w:r>
          </w:p>
        </w:tc>
      </w:tr>
      <w:tr w:rsidR="003A53A0" w:rsidRPr="003A53A0" w14:paraId="58348421" w14:textId="77777777" w:rsidTr="00F60DF7">
        <w:tc>
          <w:tcPr>
            <w:tcW w:w="675" w:type="dxa"/>
            <w:vAlign w:val="center"/>
          </w:tcPr>
          <w:p w14:paraId="1E061D6C" w14:textId="75175F57" w:rsidR="003A53A0" w:rsidRPr="003A53A0" w:rsidRDefault="00F60DF7" w:rsidP="00F60DF7">
            <w:pPr>
              <w:pStyle w:val="TableText1"/>
              <w:rPr>
                <w:rFonts w:cs="Arial"/>
                <w:szCs w:val="20"/>
              </w:rPr>
            </w:pPr>
            <w:r>
              <w:rPr>
                <w:rFonts w:cs="Arial"/>
                <w:szCs w:val="20"/>
              </w:rPr>
              <w:t>124</w:t>
            </w:r>
          </w:p>
        </w:tc>
        <w:tc>
          <w:tcPr>
            <w:tcW w:w="2552" w:type="dxa"/>
            <w:vAlign w:val="center"/>
          </w:tcPr>
          <w:p w14:paraId="6BA37CB7" w14:textId="7D2CD999"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79F4796E" w14:textId="3CA4AF9A" w:rsidR="003A53A0" w:rsidRPr="003A53A0" w:rsidRDefault="003A53A0" w:rsidP="003A53A0">
            <w:pPr>
              <w:pStyle w:val="TableText1"/>
              <w:rPr>
                <w:rFonts w:cs="Arial"/>
                <w:bCs/>
                <w:szCs w:val="20"/>
              </w:rPr>
            </w:pPr>
            <w:r w:rsidRPr="003A53A0">
              <w:rPr>
                <w:rFonts w:cs="Arial"/>
                <w:bCs/>
                <w:szCs w:val="20"/>
              </w:rPr>
              <w:t>Statement 5 (measures)</w:t>
            </w:r>
          </w:p>
        </w:tc>
        <w:tc>
          <w:tcPr>
            <w:tcW w:w="10632" w:type="dxa"/>
            <w:vAlign w:val="center"/>
          </w:tcPr>
          <w:p w14:paraId="32E36207" w14:textId="21A11283" w:rsidR="003A53A0" w:rsidRPr="003A53A0" w:rsidRDefault="003A53A0" w:rsidP="003A53A0">
            <w:pPr>
              <w:pStyle w:val="TableText1"/>
              <w:rPr>
                <w:rFonts w:cs="Arial"/>
                <w:szCs w:val="20"/>
              </w:rPr>
            </w:pPr>
            <w:r w:rsidRPr="003A53A0">
              <w:rPr>
                <w:rFonts w:cs="Arial"/>
                <w:szCs w:val="20"/>
              </w:rPr>
              <w:t xml:space="preserve">It is feasible to have local systems in place to measure the quality measure but again considerations are required for patient cohorts that are not fully engaged with healthcare systems </w:t>
            </w:r>
          </w:p>
        </w:tc>
      </w:tr>
      <w:tr w:rsidR="003A53A0" w:rsidRPr="003A53A0" w14:paraId="4B1A42F2" w14:textId="77777777" w:rsidTr="00F60DF7">
        <w:tc>
          <w:tcPr>
            <w:tcW w:w="675" w:type="dxa"/>
            <w:vAlign w:val="center"/>
          </w:tcPr>
          <w:p w14:paraId="71BDBACE" w14:textId="3F09C9A5" w:rsidR="003A53A0" w:rsidRPr="003A53A0" w:rsidRDefault="00F60DF7" w:rsidP="00F60DF7">
            <w:pPr>
              <w:pStyle w:val="TableText1"/>
              <w:rPr>
                <w:rFonts w:cs="Arial"/>
                <w:szCs w:val="20"/>
              </w:rPr>
            </w:pPr>
            <w:r>
              <w:rPr>
                <w:rFonts w:cs="Arial"/>
                <w:szCs w:val="20"/>
              </w:rPr>
              <w:t>125</w:t>
            </w:r>
          </w:p>
        </w:tc>
        <w:tc>
          <w:tcPr>
            <w:tcW w:w="2552" w:type="dxa"/>
            <w:vAlign w:val="center"/>
          </w:tcPr>
          <w:p w14:paraId="16B4625B" w14:textId="118FDD8E"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212DF7BB" w14:textId="57334782" w:rsidR="003A53A0" w:rsidRPr="003A53A0" w:rsidRDefault="003A53A0" w:rsidP="003A53A0">
            <w:pPr>
              <w:pStyle w:val="TableText1"/>
              <w:rPr>
                <w:rFonts w:cs="Arial"/>
                <w:bCs/>
                <w:szCs w:val="20"/>
              </w:rPr>
            </w:pPr>
            <w:r w:rsidRPr="003A53A0">
              <w:rPr>
                <w:rFonts w:cs="Arial"/>
                <w:bCs/>
                <w:szCs w:val="20"/>
              </w:rPr>
              <w:t>Statement 5</w:t>
            </w:r>
          </w:p>
        </w:tc>
        <w:tc>
          <w:tcPr>
            <w:tcW w:w="10632" w:type="dxa"/>
            <w:vAlign w:val="center"/>
          </w:tcPr>
          <w:p w14:paraId="654B2589" w14:textId="20D31681" w:rsidR="003A53A0" w:rsidRPr="003A53A0" w:rsidRDefault="003A53A0" w:rsidP="003A53A0">
            <w:pPr>
              <w:pStyle w:val="Paragraphnonumbers"/>
              <w:rPr>
                <w:rFonts w:cs="Arial"/>
                <w:sz w:val="20"/>
                <w:szCs w:val="20"/>
              </w:rPr>
            </w:pPr>
            <w:r w:rsidRPr="003A53A0">
              <w:rPr>
                <w:rFonts w:cs="Arial"/>
                <w:sz w:val="20"/>
                <w:szCs w:val="20"/>
              </w:rPr>
              <w:t xml:space="preserve">“Clear arrangements for monitoring and follow-up for outpatients ensures that they receive the same quality of care as patients in hospital” is this about measuring against hospital care or about supporting the best possible care as per evidence bases? Terminology may need considering as local and regional variation may be evident. Right care, right place, right time. </w:t>
            </w:r>
          </w:p>
          <w:p w14:paraId="7B857D06" w14:textId="77777777" w:rsidR="003A53A0" w:rsidRPr="003A53A0" w:rsidRDefault="003A53A0" w:rsidP="003A53A0">
            <w:pPr>
              <w:pStyle w:val="TableText1"/>
              <w:rPr>
                <w:rFonts w:cs="Arial"/>
                <w:szCs w:val="20"/>
              </w:rPr>
            </w:pPr>
          </w:p>
        </w:tc>
      </w:tr>
      <w:tr w:rsidR="003A53A0" w:rsidRPr="003A53A0" w14:paraId="21F0DFA2" w14:textId="77777777" w:rsidTr="00F60DF7">
        <w:tc>
          <w:tcPr>
            <w:tcW w:w="675" w:type="dxa"/>
            <w:vAlign w:val="center"/>
          </w:tcPr>
          <w:p w14:paraId="498709D1" w14:textId="31EAFDBE" w:rsidR="003A53A0" w:rsidRPr="003A53A0" w:rsidRDefault="00F60DF7" w:rsidP="00F60DF7">
            <w:pPr>
              <w:pStyle w:val="TableText1"/>
              <w:rPr>
                <w:rFonts w:cs="Arial"/>
                <w:szCs w:val="20"/>
              </w:rPr>
            </w:pPr>
            <w:r>
              <w:rPr>
                <w:rFonts w:cs="Arial"/>
                <w:szCs w:val="20"/>
              </w:rPr>
              <w:t>126</w:t>
            </w:r>
          </w:p>
        </w:tc>
        <w:tc>
          <w:tcPr>
            <w:tcW w:w="2552" w:type="dxa"/>
            <w:vAlign w:val="center"/>
          </w:tcPr>
          <w:p w14:paraId="5C9070D7" w14:textId="0EEBD469" w:rsidR="003A53A0" w:rsidRPr="003A53A0" w:rsidRDefault="003A53A0" w:rsidP="003A53A0">
            <w:pPr>
              <w:pStyle w:val="TableText1"/>
              <w:rPr>
                <w:rFonts w:cs="Arial"/>
                <w:szCs w:val="20"/>
              </w:rPr>
            </w:pPr>
            <w:r w:rsidRPr="003A53A0">
              <w:rPr>
                <w:rFonts w:cs="Arial"/>
                <w:szCs w:val="20"/>
              </w:rPr>
              <w:t>NHS England and NHS Improvement</w:t>
            </w:r>
          </w:p>
        </w:tc>
        <w:tc>
          <w:tcPr>
            <w:tcW w:w="1417" w:type="dxa"/>
            <w:vAlign w:val="center"/>
          </w:tcPr>
          <w:p w14:paraId="2C45C0BF" w14:textId="0840793E" w:rsidR="003A53A0" w:rsidRPr="003A53A0" w:rsidRDefault="003A53A0" w:rsidP="003A53A0">
            <w:pPr>
              <w:pStyle w:val="TableText1"/>
              <w:rPr>
                <w:rFonts w:cs="Arial"/>
                <w:bCs/>
                <w:szCs w:val="20"/>
              </w:rPr>
            </w:pPr>
            <w:r w:rsidRPr="003A53A0">
              <w:rPr>
                <w:rFonts w:cs="Arial"/>
                <w:bCs/>
                <w:szCs w:val="20"/>
              </w:rPr>
              <w:t xml:space="preserve">Statement 5 </w:t>
            </w:r>
          </w:p>
        </w:tc>
        <w:tc>
          <w:tcPr>
            <w:tcW w:w="10632" w:type="dxa"/>
            <w:vAlign w:val="center"/>
          </w:tcPr>
          <w:p w14:paraId="0B0034A9" w14:textId="3B4FF911" w:rsidR="003A53A0" w:rsidRPr="003A53A0" w:rsidRDefault="003A53A0" w:rsidP="003A53A0">
            <w:pPr>
              <w:pStyle w:val="TableText1"/>
              <w:rPr>
                <w:rFonts w:cs="Arial"/>
                <w:szCs w:val="20"/>
              </w:rPr>
            </w:pPr>
            <w:r w:rsidRPr="003A53A0">
              <w:rPr>
                <w:rFonts w:cs="Arial"/>
                <w:szCs w:val="20"/>
              </w:rPr>
              <w:t xml:space="preserve">“Evidence that information is available” is this just about availability or provision? Please be explicit from the outset and ensure this reflects those who may need additional support. Also written information may not always be the most helpful way to provide information to certain groups so suggest this is reflected in the guidance – a range of ways are needed to be tailored to meet needs of the person. </w:t>
            </w:r>
          </w:p>
        </w:tc>
      </w:tr>
      <w:tr w:rsidR="003A53A0" w:rsidRPr="003A53A0" w14:paraId="0C87F57E" w14:textId="77777777" w:rsidTr="00F60DF7">
        <w:tc>
          <w:tcPr>
            <w:tcW w:w="675" w:type="dxa"/>
            <w:vAlign w:val="center"/>
          </w:tcPr>
          <w:p w14:paraId="30C01215" w14:textId="32CC4C8F" w:rsidR="003A53A0" w:rsidRPr="003A53A0" w:rsidRDefault="00F60DF7" w:rsidP="00F60DF7">
            <w:pPr>
              <w:pStyle w:val="TableText1"/>
              <w:rPr>
                <w:rFonts w:cs="Arial"/>
                <w:szCs w:val="20"/>
              </w:rPr>
            </w:pPr>
            <w:r>
              <w:rPr>
                <w:rFonts w:cs="Arial"/>
                <w:szCs w:val="20"/>
              </w:rPr>
              <w:t>127</w:t>
            </w:r>
          </w:p>
        </w:tc>
        <w:tc>
          <w:tcPr>
            <w:tcW w:w="2552" w:type="dxa"/>
            <w:vAlign w:val="center"/>
          </w:tcPr>
          <w:p w14:paraId="53828D5D" w14:textId="130DBD84" w:rsidR="003A53A0" w:rsidRPr="003A53A0" w:rsidRDefault="003A53A0" w:rsidP="003A53A0">
            <w:pPr>
              <w:pStyle w:val="TableText1"/>
              <w:rPr>
                <w:rFonts w:cs="Arial"/>
                <w:szCs w:val="20"/>
              </w:rPr>
            </w:pPr>
            <w:r w:rsidRPr="003A53A0">
              <w:rPr>
                <w:rFonts w:cs="Arial"/>
                <w:szCs w:val="20"/>
              </w:rPr>
              <w:t>Society for Acute Medicine</w:t>
            </w:r>
          </w:p>
        </w:tc>
        <w:tc>
          <w:tcPr>
            <w:tcW w:w="1417" w:type="dxa"/>
            <w:vAlign w:val="center"/>
          </w:tcPr>
          <w:p w14:paraId="52760B8A" w14:textId="112C34EB" w:rsidR="003A53A0" w:rsidRPr="003A53A0" w:rsidRDefault="003A53A0" w:rsidP="003A53A0">
            <w:pPr>
              <w:pStyle w:val="TableText1"/>
              <w:rPr>
                <w:rFonts w:cs="Arial"/>
                <w:bCs/>
                <w:szCs w:val="20"/>
              </w:rPr>
            </w:pPr>
            <w:r w:rsidRPr="003A53A0">
              <w:rPr>
                <w:rFonts w:cs="Arial"/>
                <w:bCs/>
                <w:szCs w:val="20"/>
              </w:rPr>
              <w:t>Statement 5</w:t>
            </w:r>
          </w:p>
        </w:tc>
        <w:tc>
          <w:tcPr>
            <w:tcW w:w="10632" w:type="dxa"/>
            <w:vAlign w:val="center"/>
          </w:tcPr>
          <w:p w14:paraId="15A59669" w14:textId="70802760" w:rsidR="003A53A0" w:rsidRPr="003A53A0" w:rsidRDefault="003A53A0" w:rsidP="003A53A0">
            <w:pPr>
              <w:pStyle w:val="TableText1"/>
              <w:rPr>
                <w:rFonts w:cs="Arial"/>
                <w:szCs w:val="20"/>
              </w:rPr>
            </w:pPr>
            <w:r w:rsidRPr="003A53A0">
              <w:rPr>
                <w:rFonts w:cs="Arial"/>
                <w:szCs w:val="20"/>
              </w:rPr>
              <w:t xml:space="preserve">The follow up data might be hard </w:t>
            </w:r>
            <w:r w:rsidR="00D43CEE">
              <w:rPr>
                <w:rFonts w:cs="Arial"/>
                <w:szCs w:val="20"/>
              </w:rPr>
              <w:t>t</w:t>
            </w:r>
            <w:r w:rsidR="00D43CEE" w:rsidRPr="003A53A0">
              <w:rPr>
                <w:rFonts w:cs="Arial"/>
                <w:szCs w:val="20"/>
              </w:rPr>
              <w:t>o</w:t>
            </w:r>
            <w:r w:rsidRPr="003A53A0">
              <w:rPr>
                <w:rFonts w:cs="Arial"/>
                <w:szCs w:val="20"/>
              </w:rPr>
              <w:t xml:space="preserve"> collect as you are relying on unit audit rather than data automatically generated</w:t>
            </w:r>
          </w:p>
        </w:tc>
      </w:tr>
      <w:tr w:rsidR="003A53A0" w:rsidRPr="003A53A0" w14:paraId="5CB72661" w14:textId="77777777" w:rsidTr="00F60DF7">
        <w:tc>
          <w:tcPr>
            <w:tcW w:w="675" w:type="dxa"/>
            <w:vAlign w:val="center"/>
          </w:tcPr>
          <w:p w14:paraId="56E190DA" w14:textId="08E8EA48" w:rsidR="003A53A0" w:rsidRPr="003A53A0" w:rsidRDefault="00F60DF7" w:rsidP="00F60DF7">
            <w:pPr>
              <w:pStyle w:val="TableText1"/>
              <w:rPr>
                <w:rFonts w:cs="Arial"/>
                <w:szCs w:val="20"/>
              </w:rPr>
            </w:pPr>
            <w:r>
              <w:rPr>
                <w:rFonts w:cs="Arial"/>
                <w:szCs w:val="20"/>
              </w:rPr>
              <w:lastRenderedPageBreak/>
              <w:t>128</w:t>
            </w:r>
          </w:p>
        </w:tc>
        <w:tc>
          <w:tcPr>
            <w:tcW w:w="2552" w:type="dxa"/>
            <w:vAlign w:val="center"/>
          </w:tcPr>
          <w:p w14:paraId="267EF03C" w14:textId="00F75D31" w:rsidR="003A53A0" w:rsidRPr="003A53A0" w:rsidRDefault="003A53A0" w:rsidP="003A53A0">
            <w:pPr>
              <w:pStyle w:val="TableText1"/>
              <w:rPr>
                <w:rFonts w:cs="Arial"/>
                <w:szCs w:val="20"/>
              </w:rPr>
            </w:pPr>
            <w:r w:rsidRPr="003A53A0">
              <w:rPr>
                <w:rFonts w:cs="Arial"/>
                <w:szCs w:val="20"/>
              </w:rPr>
              <w:t>UK Clinical Pharmacy Association (UKCPA) Haemostasis &amp; Thrombosis Committee</w:t>
            </w:r>
          </w:p>
        </w:tc>
        <w:tc>
          <w:tcPr>
            <w:tcW w:w="1417" w:type="dxa"/>
            <w:vAlign w:val="center"/>
          </w:tcPr>
          <w:p w14:paraId="6ED2FCFE" w14:textId="2CBECE5C" w:rsidR="003A53A0" w:rsidRPr="003A53A0" w:rsidRDefault="003A53A0" w:rsidP="003A53A0">
            <w:pPr>
              <w:pStyle w:val="TableText1"/>
              <w:rPr>
                <w:rFonts w:cs="Arial"/>
                <w:bCs/>
                <w:szCs w:val="20"/>
              </w:rPr>
            </w:pPr>
            <w:r w:rsidRPr="003A53A0">
              <w:rPr>
                <w:rFonts w:cs="Arial"/>
                <w:bCs/>
                <w:szCs w:val="20"/>
              </w:rPr>
              <w:t>Statement 5</w:t>
            </w:r>
          </w:p>
        </w:tc>
        <w:tc>
          <w:tcPr>
            <w:tcW w:w="10632" w:type="dxa"/>
            <w:vAlign w:val="center"/>
          </w:tcPr>
          <w:p w14:paraId="2F409C41" w14:textId="2EFF63AF" w:rsidR="003A53A0" w:rsidRPr="003A53A0" w:rsidRDefault="003A53A0" w:rsidP="003A53A0">
            <w:pPr>
              <w:pStyle w:val="TableText1"/>
              <w:rPr>
                <w:rFonts w:cs="Arial"/>
                <w:szCs w:val="20"/>
              </w:rPr>
            </w:pPr>
            <w:r w:rsidRPr="003A53A0">
              <w:rPr>
                <w:rFonts w:cs="Arial"/>
                <w:szCs w:val="20"/>
              </w:rPr>
              <w:t>Outcome requires review of wording – patients may be admitted via ambulatory care pathways particularly when statement 5 relates to low-risk pulmonary embolism so ‘rates of emergency admissions ….. having outpatient treatment for PE’ is confusing</w:t>
            </w:r>
          </w:p>
        </w:tc>
      </w:tr>
      <w:tr w:rsidR="003A53A0" w:rsidRPr="003A53A0" w14:paraId="48AF9996" w14:textId="77777777" w:rsidTr="00F60DF7">
        <w:tc>
          <w:tcPr>
            <w:tcW w:w="675" w:type="dxa"/>
            <w:vAlign w:val="center"/>
          </w:tcPr>
          <w:p w14:paraId="79483CFD" w14:textId="5DD0EAFB" w:rsidR="003A53A0" w:rsidRPr="003A53A0" w:rsidRDefault="00F60DF7" w:rsidP="00F60DF7">
            <w:pPr>
              <w:pStyle w:val="TableText1"/>
              <w:rPr>
                <w:rFonts w:cs="Arial"/>
                <w:szCs w:val="20"/>
              </w:rPr>
            </w:pPr>
            <w:r>
              <w:rPr>
                <w:rFonts w:cs="Arial"/>
                <w:szCs w:val="20"/>
              </w:rPr>
              <w:t>129</w:t>
            </w:r>
          </w:p>
        </w:tc>
        <w:tc>
          <w:tcPr>
            <w:tcW w:w="2552" w:type="dxa"/>
            <w:vAlign w:val="center"/>
          </w:tcPr>
          <w:p w14:paraId="6358A95F" w14:textId="16A001C3" w:rsidR="003A53A0" w:rsidRPr="003A53A0" w:rsidRDefault="003A53A0" w:rsidP="003A53A0">
            <w:pPr>
              <w:pStyle w:val="TableText1"/>
              <w:rPr>
                <w:rFonts w:cs="Arial"/>
                <w:szCs w:val="20"/>
              </w:rPr>
            </w:pPr>
            <w:r w:rsidRPr="003A53A0">
              <w:rPr>
                <w:rFonts w:cs="Arial"/>
                <w:szCs w:val="20"/>
              </w:rPr>
              <w:t>University Hospitals Birmingham NHS Foundation Trust Haematology Service</w:t>
            </w:r>
          </w:p>
        </w:tc>
        <w:tc>
          <w:tcPr>
            <w:tcW w:w="1417" w:type="dxa"/>
            <w:vAlign w:val="center"/>
          </w:tcPr>
          <w:p w14:paraId="5B669E44" w14:textId="1370551F" w:rsidR="003A53A0" w:rsidRPr="003A53A0" w:rsidRDefault="003A53A0" w:rsidP="003A53A0">
            <w:pPr>
              <w:pStyle w:val="TableText1"/>
              <w:rPr>
                <w:rFonts w:cs="Arial"/>
                <w:bCs/>
                <w:szCs w:val="20"/>
              </w:rPr>
            </w:pPr>
            <w:r w:rsidRPr="003A53A0">
              <w:rPr>
                <w:rFonts w:cs="Arial"/>
                <w:bCs/>
                <w:szCs w:val="20"/>
              </w:rPr>
              <w:t>Statement 5</w:t>
            </w:r>
          </w:p>
        </w:tc>
        <w:tc>
          <w:tcPr>
            <w:tcW w:w="10632" w:type="dxa"/>
            <w:vAlign w:val="center"/>
          </w:tcPr>
          <w:p w14:paraId="0AD2811B" w14:textId="577E35BA" w:rsidR="003A53A0" w:rsidRPr="003A53A0" w:rsidRDefault="003A53A0" w:rsidP="003A53A0">
            <w:pPr>
              <w:pStyle w:val="TableText1"/>
              <w:rPr>
                <w:rFonts w:cs="Arial"/>
                <w:szCs w:val="20"/>
              </w:rPr>
            </w:pPr>
            <w:r w:rsidRPr="003A53A0">
              <w:rPr>
                <w:rFonts w:cs="Arial"/>
                <w:szCs w:val="20"/>
              </w:rPr>
              <w:t>We agree with the spirit of the QS. NICE will need to clarify the ownership of clinical review; would responsibility lie with the prescriber? The anticoagulant clinic? Or the acute medicine team?</w:t>
            </w:r>
          </w:p>
        </w:tc>
      </w:tr>
      <w:tr w:rsidR="003A53A0" w:rsidRPr="003A53A0" w14:paraId="32F1D7F5" w14:textId="77777777" w:rsidTr="00F60DF7">
        <w:tc>
          <w:tcPr>
            <w:tcW w:w="675" w:type="dxa"/>
            <w:vAlign w:val="center"/>
          </w:tcPr>
          <w:p w14:paraId="13A3F2DA" w14:textId="76504AF8" w:rsidR="003A53A0" w:rsidRPr="003A53A0" w:rsidRDefault="00F60DF7" w:rsidP="00F60DF7">
            <w:pPr>
              <w:pStyle w:val="TableText1"/>
              <w:rPr>
                <w:rFonts w:cs="Arial"/>
                <w:szCs w:val="20"/>
              </w:rPr>
            </w:pPr>
            <w:r>
              <w:rPr>
                <w:rFonts w:cs="Arial"/>
                <w:szCs w:val="20"/>
              </w:rPr>
              <w:t>130</w:t>
            </w:r>
          </w:p>
        </w:tc>
        <w:tc>
          <w:tcPr>
            <w:tcW w:w="2552" w:type="dxa"/>
            <w:vAlign w:val="center"/>
          </w:tcPr>
          <w:p w14:paraId="13A84321" w14:textId="1FE01041" w:rsidR="003A53A0" w:rsidRPr="003A53A0" w:rsidRDefault="003A53A0" w:rsidP="003A53A0">
            <w:pPr>
              <w:pStyle w:val="TableText1"/>
              <w:rPr>
                <w:rFonts w:cs="Arial"/>
                <w:szCs w:val="20"/>
              </w:rPr>
            </w:pPr>
            <w:r w:rsidRPr="003A53A0">
              <w:rPr>
                <w:rFonts w:cs="Arial"/>
                <w:szCs w:val="20"/>
              </w:rPr>
              <w:t>Anticoagulation UK</w:t>
            </w:r>
          </w:p>
        </w:tc>
        <w:tc>
          <w:tcPr>
            <w:tcW w:w="1417" w:type="dxa"/>
            <w:vAlign w:val="center"/>
          </w:tcPr>
          <w:p w14:paraId="392409BA" w14:textId="71DC4A27" w:rsidR="003A53A0" w:rsidRPr="003A53A0" w:rsidRDefault="003A53A0" w:rsidP="003A53A0">
            <w:pPr>
              <w:pStyle w:val="TableText1"/>
              <w:rPr>
                <w:rFonts w:cs="Arial"/>
                <w:bCs/>
                <w:szCs w:val="20"/>
              </w:rPr>
            </w:pPr>
            <w:r w:rsidRPr="003A53A0">
              <w:rPr>
                <w:rFonts w:cs="Arial"/>
                <w:bCs/>
                <w:szCs w:val="20"/>
              </w:rPr>
              <w:t>Additional statement</w:t>
            </w:r>
          </w:p>
        </w:tc>
        <w:tc>
          <w:tcPr>
            <w:tcW w:w="10632" w:type="dxa"/>
            <w:vAlign w:val="center"/>
          </w:tcPr>
          <w:p w14:paraId="2B15B161" w14:textId="77777777" w:rsidR="003A53A0" w:rsidRPr="003A53A0" w:rsidRDefault="003A53A0" w:rsidP="0032423B">
            <w:pPr>
              <w:pStyle w:val="Paragraphnonumbers"/>
              <w:spacing w:after="0"/>
              <w:rPr>
                <w:rFonts w:cs="Arial"/>
                <w:sz w:val="20"/>
                <w:szCs w:val="20"/>
              </w:rPr>
            </w:pPr>
            <w:r w:rsidRPr="003A53A0">
              <w:rPr>
                <w:rFonts w:cs="Arial"/>
                <w:sz w:val="20"/>
                <w:szCs w:val="20"/>
              </w:rPr>
              <w:t xml:space="preserve">We reiterate our concerns around the lack of guidance or acknowledgement within NG 158 as to psychological support mechanisms to be offered/made available to patients following a VTE episode. This has been highlighted by a previously referenced study </w:t>
            </w:r>
            <w:hyperlink r:id="rId20" w:history="1">
              <w:r w:rsidRPr="003A53A0">
                <w:rPr>
                  <w:rStyle w:val="Hyperlink"/>
                  <w:rFonts w:cs="Arial"/>
                  <w:sz w:val="20"/>
                  <w:szCs w:val="20"/>
                </w:rPr>
                <w:t>https://bmjopen.bmj.com/content/9/2/e024805</w:t>
              </w:r>
            </w:hyperlink>
            <w:r w:rsidRPr="003A53A0">
              <w:rPr>
                <w:rStyle w:val="Hyperlink"/>
                <w:rFonts w:cs="Arial"/>
                <w:sz w:val="20"/>
                <w:szCs w:val="20"/>
              </w:rPr>
              <w:t xml:space="preserve">  </w:t>
            </w:r>
            <w:r w:rsidRPr="003A53A0">
              <w:rPr>
                <w:rFonts w:cs="Arial"/>
                <w:sz w:val="20"/>
                <w:szCs w:val="20"/>
              </w:rPr>
              <w:t xml:space="preserve"> . This is even more significant due to COVID 19 and the increased number of people hospitalised and discharged on anticoagulation potentially having to cope with the knowledge they may have heightened risk of VTE and other health challenges caused by the virus.</w:t>
            </w:r>
          </w:p>
          <w:p w14:paraId="7A42AFC6" w14:textId="77777777" w:rsidR="003A53A0" w:rsidRPr="003A53A0" w:rsidRDefault="003A53A0" w:rsidP="0032423B">
            <w:pPr>
              <w:pStyle w:val="Paragraphnonumbers"/>
              <w:spacing w:after="0"/>
              <w:ind w:left="349"/>
              <w:rPr>
                <w:rFonts w:cs="Arial"/>
                <w:sz w:val="20"/>
                <w:szCs w:val="20"/>
              </w:rPr>
            </w:pPr>
          </w:p>
          <w:p w14:paraId="6B5E4174" w14:textId="77777777" w:rsidR="003A53A0" w:rsidRPr="003A53A0" w:rsidRDefault="003A53A0" w:rsidP="0032423B">
            <w:pPr>
              <w:pStyle w:val="Paragraphnonumbers"/>
              <w:spacing w:after="0"/>
              <w:rPr>
                <w:rFonts w:cs="Arial"/>
                <w:sz w:val="20"/>
                <w:szCs w:val="20"/>
              </w:rPr>
            </w:pPr>
            <w:r w:rsidRPr="003A53A0">
              <w:rPr>
                <w:rFonts w:cs="Arial"/>
                <w:sz w:val="20"/>
                <w:szCs w:val="20"/>
              </w:rPr>
              <w:t>We would also continue to emphasise the need for NHS to produce standardised patient information which will address, VTE risk assessment on admission to hospital, prophylaxis options and detailed information on the duration of treatment and follow up on discharge.  We understand that the yellow book for anticoagulation therapy is currently being updated by NHSE Improvement and should be available next year.</w:t>
            </w:r>
          </w:p>
          <w:p w14:paraId="3695FC03" w14:textId="77777777" w:rsidR="003A53A0" w:rsidRPr="003A53A0" w:rsidRDefault="003A53A0" w:rsidP="003A53A0">
            <w:pPr>
              <w:pStyle w:val="TableText1"/>
              <w:rPr>
                <w:rFonts w:cs="Arial"/>
                <w:szCs w:val="20"/>
              </w:rPr>
            </w:pPr>
          </w:p>
        </w:tc>
      </w:tr>
      <w:tr w:rsidR="003A53A0" w:rsidRPr="003A53A0" w14:paraId="5895A3DA" w14:textId="77777777" w:rsidTr="00F60DF7">
        <w:tc>
          <w:tcPr>
            <w:tcW w:w="675" w:type="dxa"/>
            <w:vAlign w:val="center"/>
          </w:tcPr>
          <w:p w14:paraId="02F695D1" w14:textId="37CA9923" w:rsidR="003A53A0" w:rsidRPr="003A53A0" w:rsidRDefault="00F60DF7" w:rsidP="00F60DF7">
            <w:pPr>
              <w:pStyle w:val="TableText1"/>
              <w:rPr>
                <w:rFonts w:cs="Arial"/>
                <w:szCs w:val="20"/>
              </w:rPr>
            </w:pPr>
            <w:r>
              <w:rPr>
                <w:rFonts w:cs="Arial"/>
                <w:szCs w:val="20"/>
              </w:rPr>
              <w:t>131</w:t>
            </w:r>
          </w:p>
        </w:tc>
        <w:tc>
          <w:tcPr>
            <w:tcW w:w="2552" w:type="dxa"/>
            <w:vAlign w:val="center"/>
          </w:tcPr>
          <w:p w14:paraId="48DE352A" w14:textId="1A01E92B" w:rsidR="003A53A0" w:rsidRPr="003A53A0" w:rsidRDefault="003A53A0" w:rsidP="003A53A0">
            <w:pPr>
              <w:pStyle w:val="TableText1"/>
              <w:rPr>
                <w:rFonts w:cs="Arial"/>
                <w:szCs w:val="20"/>
              </w:rPr>
            </w:pPr>
            <w:r w:rsidRPr="003A53A0">
              <w:rPr>
                <w:rFonts w:cs="Arial"/>
                <w:szCs w:val="20"/>
              </w:rPr>
              <w:t>Chelsea and Westminster Hospital NHS Foundation Trust</w:t>
            </w:r>
          </w:p>
        </w:tc>
        <w:tc>
          <w:tcPr>
            <w:tcW w:w="1417" w:type="dxa"/>
            <w:vAlign w:val="center"/>
          </w:tcPr>
          <w:p w14:paraId="0FAA559E" w14:textId="565ACAFF" w:rsidR="003A53A0" w:rsidRPr="003A53A0" w:rsidRDefault="003A53A0" w:rsidP="003A53A0">
            <w:pPr>
              <w:pStyle w:val="TableText1"/>
              <w:rPr>
                <w:rFonts w:cs="Arial"/>
                <w:bCs/>
                <w:szCs w:val="20"/>
              </w:rPr>
            </w:pPr>
            <w:r w:rsidRPr="003A53A0">
              <w:rPr>
                <w:rFonts w:cs="Arial"/>
                <w:bCs/>
                <w:szCs w:val="20"/>
              </w:rPr>
              <w:t>Additional statement</w:t>
            </w:r>
          </w:p>
        </w:tc>
        <w:tc>
          <w:tcPr>
            <w:tcW w:w="10632" w:type="dxa"/>
            <w:vAlign w:val="center"/>
          </w:tcPr>
          <w:p w14:paraId="14A35236" w14:textId="742A7133" w:rsidR="003A53A0" w:rsidRPr="003A53A0" w:rsidRDefault="003A53A0" w:rsidP="003A53A0">
            <w:pPr>
              <w:pStyle w:val="TableText1"/>
              <w:rPr>
                <w:rFonts w:cs="Arial"/>
                <w:szCs w:val="20"/>
              </w:rPr>
            </w:pPr>
            <w:r w:rsidRPr="003A53A0">
              <w:rPr>
                <w:rFonts w:cs="Arial"/>
                <w:szCs w:val="20"/>
              </w:rPr>
              <w:t>Disappointed and would encourage including VTE risk assessment completion on admission, and reassessment of risk assessment as a standard, particularly as VTE risk assessment is the initial step in VTE prevention measure and driver for quality improvement</w:t>
            </w:r>
          </w:p>
        </w:tc>
      </w:tr>
      <w:tr w:rsidR="003A53A0" w:rsidRPr="003A53A0" w14:paraId="3AE2ECB9" w14:textId="77777777" w:rsidTr="00F60DF7">
        <w:tc>
          <w:tcPr>
            <w:tcW w:w="675" w:type="dxa"/>
            <w:vAlign w:val="center"/>
          </w:tcPr>
          <w:p w14:paraId="7FBBD1E9" w14:textId="142E1F47" w:rsidR="003A53A0" w:rsidRPr="003A53A0" w:rsidRDefault="00F60DF7" w:rsidP="00F60DF7">
            <w:pPr>
              <w:pStyle w:val="TableText1"/>
              <w:rPr>
                <w:rFonts w:cs="Arial"/>
                <w:szCs w:val="20"/>
              </w:rPr>
            </w:pPr>
            <w:r>
              <w:rPr>
                <w:rFonts w:cs="Arial"/>
                <w:szCs w:val="20"/>
              </w:rPr>
              <w:t>132</w:t>
            </w:r>
          </w:p>
        </w:tc>
        <w:tc>
          <w:tcPr>
            <w:tcW w:w="2552" w:type="dxa"/>
            <w:vAlign w:val="center"/>
          </w:tcPr>
          <w:p w14:paraId="6370D12D" w14:textId="1B45A631" w:rsidR="003A53A0" w:rsidRPr="003A53A0" w:rsidRDefault="003A53A0" w:rsidP="003A53A0">
            <w:pPr>
              <w:pStyle w:val="TableText1"/>
              <w:rPr>
                <w:rFonts w:cs="Arial"/>
                <w:szCs w:val="20"/>
              </w:rPr>
            </w:pPr>
            <w:r w:rsidRPr="003A53A0">
              <w:rPr>
                <w:rFonts w:cs="Arial"/>
                <w:szCs w:val="20"/>
              </w:rPr>
              <w:t>Chelsea and Westminster Hospital NHS Foundation Trust</w:t>
            </w:r>
          </w:p>
        </w:tc>
        <w:tc>
          <w:tcPr>
            <w:tcW w:w="1417" w:type="dxa"/>
            <w:vAlign w:val="center"/>
          </w:tcPr>
          <w:p w14:paraId="7A159D29" w14:textId="5A057898" w:rsidR="003A53A0" w:rsidRPr="003A53A0" w:rsidRDefault="003A53A0" w:rsidP="003A53A0">
            <w:pPr>
              <w:pStyle w:val="TableText1"/>
              <w:rPr>
                <w:rFonts w:cs="Arial"/>
                <w:bCs/>
                <w:szCs w:val="20"/>
              </w:rPr>
            </w:pPr>
            <w:r w:rsidRPr="003A53A0">
              <w:rPr>
                <w:rFonts w:cs="Arial"/>
                <w:bCs/>
                <w:szCs w:val="20"/>
              </w:rPr>
              <w:t>Additional statement</w:t>
            </w:r>
          </w:p>
        </w:tc>
        <w:tc>
          <w:tcPr>
            <w:tcW w:w="10632" w:type="dxa"/>
            <w:vAlign w:val="center"/>
          </w:tcPr>
          <w:p w14:paraId="2A3B2ABA" w14:textId="1EF05469" w:rsidR="003A53A0" w:rsidRPr="003A53A0" w:rsidRDefault="003A53A0" w:rsidP="003A53A0">
            <w:pPr>
              <w:pStyle w:val="TableText1"/>
              <w:rPr>
                <w:rFonts w:cs="Arial"/>
                <w:szCs w:val="20"/>
              </w:rPr>
            </w:pPr>
            <w:r w:rsidRPr="003A53A0">
              <w:rPr>
                <w:rFonts w:cs="Arial"/>
                <w:szCs w:val="20"/>
              </w:rPr>
              <w:t>Disappointed to see the provision of verbal and/or written patient information is not included in the quality standard – appreciate included in the section on ‘what the quality statement means for different audiences’ but unlikely to be read and impacted on</w:t>
            </w:r>
          </w:p>
        </w:tc>
      </w:tr>
      <w:tr w:rsidR="00804FDB" w:rsidRPr="003A53A0" w14:paraId="49334137" w14:textId="77777777" w:rsidTr="00804FDB">
        <w:tc>
          <w:tcPr>
            <w:tcW w:w="675" w:type="dxa"/>
            <w:tcBorders>
              <w:top w:val="single" w:sz="4" w:space="0" w:color="auto"/>
              <w:left w:val="single" w:sz="4" w:space="0" w:color="auto"/>
              <w:bottom w:val="single" w:sz="4" w:space="0" w:color="auto"/>
              <w:right w:val="single" w:sz="4" w:space="0" w:color="auto"/>
            </w:tcBorders>
            <w:vAlign w:val="center"/>
          </w:tcPr>
          <w:p w14:paraId="52A7C111" w14:textId="6107DEA4" w:rsidR="00804FDB" w:rsidRPr="003A53A0" w:rsidRDefault="00804FDB" w:rsidP="0049737E">
            <w:pPr>
              <w:pStyle w:val="TableText1"/>
              <w:rPr>
                <w:rFonts w:cs="Arial"/>
                <w:szCs w:val="20"/>
              </w:rPr>
            </w:pPr>
            <w:r>
              <w:rPr>
                <w:rFonts w:cs="Arial"/>
                <w:szCs w:val="20"/>
              </w:rPr>
              <w:t>133</w:t>
            </w:r>
          </w:p>
        </w:tc>
        <w:tc>
          <w:tcPr>
            <w:tcW w:w="2552" w:type="dxa"/>
            <w:tcBorders>
              <w:top w:val="single" w:sz="4" w:space="0" w:color="auto"/>
              <w:left w:val="single" w:sz="4" w:space="0" w:color="auto"/>
              <w:bottom w:val="single" w:sz="4" w:space="0" w:color="auto"/>
              <w:right w:val="single" w:sz="4" w:space="0" w:color="auto"/>
            </w:tcBorders>
            <w:vAlign w:val="center"/>
          </w:tcPr>
          <w:p w14:paraId="08A69740" w14:textId="77777777" w:rsidR="00804FDB" w:rsidRPr="003A53A0" w:rsidRDefault="00804FDB" w:rsidP="0049737E">
            <w:pPr>
              <w:pStyle w:val="TableText1"/>
              <w:rPr>
                <w:rFonts w:cs="Arial"/>
                <w:szCs w:val="20"/>
              </w:rPr>
            </w:pPr>
            <w:r w:rsidRPr="003A53A0">
              <w:rPr>
                <w:rFonts w:cs="Arial"/>
                <w:szCs w:val="20"/>
              </w:rPr>
              <w:t>Thrombosis UK</w:t>
            </w:r>
          </w:p>
        </w:tc>
        <w:tc>
          <w:tcPr>
            <w:tcW w:w="1417" w:type="dxa"/>
            <w:tcBorders>
              <w:top w:val="single" w:sz="4" w:space="0" w:color="auto"/>
              <w:left w:val="single" w:sz="4" w:space="0" w:color="auto"/>
              <w:bottom w:val="single" w:sz="4" w:space="0" w:color="auto"/>
              <w:right w:val="single" w:sz="4" w:space="0" w:color="auto"/>
            </w:tcBorders>
            <w:vAlign w:val="center"/>
          </w:tcPr>
          <w:p w14:paraId="7A051F34" w14:textId="77777777" w:rsidR="00804FDB" w:rsidRPr="003A53A0" w:rsidRDefault="00804FDB" w:rsidP="0049737E">
            <w:pPr>
              <w:pStyle w:val="TableText1"/>
              <w:rPr>
                <w:rFonts w:cs="Arial"/>
                <w:bCs/>
                <w:szCs w:val="20"/>
              </w:rPr>
            </w:pPr>
            <w:r w:rsidRPr="003A53A0">
              <w:rPr>
                <w:rFonts w:cs="Arial"/>
                <w:bCs/>
                <w:szCs w:val="20"/>
              </w:rPr>
              <w:t>Additional statement</w:t>
            </w:r>
          </w:p>
        </w:tc>
        <w:tc>
          <w:tcPr>
            <w:tcW w:w="10632" w:type="dxa"/>
            <w:tcBorders>
              <w:top w:val="single" w:sz="4" w:space="0" w:color="auto"/>
              <w:left w:val="single" w:sz="4" w:space="0" w:color="auto"/>
              <w:bottom w:val="single" w:sz="4" w:space="0" w:color="auto"/>
              <w:right w:val="single" w:sz="4" w:space="0" w:color="auto"/>
            </w:tcBorders>
            <w:vAlign w:val="center"/>
          </w:tcPr>
          <w:p w14:paraId="318B0D7F" w14:textId="77777777" w:rsidR="00804FDB" w:rsidRPr="003A53A0" w:rsidRDefault="00804FDB" w:rsidP="00804FDB">
            <w:pPr>
              <w:pStyle w:val="TableText1"/>
              <w:rPr>
                <w:rFonts w:cs="Arial"/>
                <w:szCs w:val="20"/>
              </w:rPr>
            </w:pPr>
            <w:r w:rsidRPr="003A53A0">
              <w:rPr>
                <w:rFonts w:cs="Arial"/>
                <w:szCs w:val="20"/>
              </w:rPr>
              <w:t xml:space="preserve">NICE VTE Guidelines (NG89) 1.2, recommends all hospital admitted patients are given information about their VTE Risk Assessment and how people can reduce their risk of VTE (such as keeping well hydrated and, if possible, exercising and becoming more mobile. </w:t>
            </w:r>
          </w:p>
          <w:p w14:paraId="3E918180" w14:textId="77777777" w:rsidR="00804FDB" w:rsidRPr="003A53A0" w:rsidRDefault="00804FDB" w:rsidP="00804FDB">
            <w:pPr>
              <w:pStyle w:val="TableText1"/>
              <w:rPr>
                <w:rFonts w:cs="Arial"/>
                <w:szCs w:val="20"/>
              </w:rPr>
            </w:pPr>
            <w:r w:rsidRPr="003A53A0">
              <w:rPr>
                <w:rFonts w:cs="Arial"/>
                <w:szCs w:val="20"/>
              </w:rPr>
              <w:t>The 2020 NHS GIRFT VTE Survey reports low levels of patient information being given:</w:t>
            </w:r>
          </w:p>
          <w:p w14:paraId="6F21E676" w14:textId="77777777" w:rsidR="00804FDB" w:rsidRPr="003A53A0" w:rsidRDefault="0071228A" w:rsidP="00804FDB">
            <w:pPr>
              <w:pStyle w:val="TableText1"/>
              <w:rPr>
                <w:rFonts w:cs="Arial"/>
                <w:szCs w:val="20"/>
              </w:rPr>
            </w:pPr>
            <w:hyperlink r:id="rId21" w:history="1">
              <w:r w:rsidR="00804FDB" w:rsidRPr="00804FDB">
                <w:rPr>
                  <w:rStyle w:val="Hyperlink"/>
                  <w:rFonts w:cs="Arial"/>
                  <w:szCs w:val="20"/>
                </w:rPr>
                <w:t>https://www.youtube.com/watch?v=MWln33e_LEU&amp;feature=youtu.be</w:t>
              </w:r>
            </w:hyperlink>
            <w:r w:rsidR="00804FDB" w:rsidRPr="003A53A0">
              <w:rPr>
                <w:rFonts w:cs="Arial"/>
                <w:szCs w:val="20"/>
              </w:rPr>
              <w:t xml:space="preserve"> (10mins 38 seconds, review data shared). Where only an average of 30% of patients overall received written information on admission or discharge.</w:t>
            </w:r>
          </w:p>
          <w:p w14:paraId="02932A57" w14:textId="77777777" w:rsidR="00804FDB" w:rsidRPr="003A53A0" w:rsidRDefault="00804FDB" w:rsidP="00804FDB">
            <w:pPr>
              <w:pStyle w:val="TableText1"/>
              <w:rPr>
                <w:rFonts w:cs="Arial"/>
                <w:szCs w:val="20"/>
              </w:rPr>
            </w:pPr>
          </w:p>
          <w:p w14:paraId="62CC0D9E" w14:textId="77777777" w:rsidR="00804FDB" w:rsidRPr="003A53A0" w:rsidRDefault="00804FDB" w:rsidP="0049737E">
            <w:pPr>
              <w:pStyle w:val="TableText1"/>
              <w:rPr>
                <w:rFonts w:cs="Arial"/>
                <w:szCs w:val="20"/>
              </w:rPr>
            </w:pPr>
            <w:r w:rsidRPr="003A53A0">
              <w:rPr>
                <w:rFonts w:cs="Arial"/>
                <w:szCs w:val="20"/>
              </w:rPr>
              <w:t xml:space="preserve">Evidence </w:t>
            </w:r>
            <w:hyperlink r:id="rId22" w:history="1">
              <w:r w:rsidRPr="00804FDB">
                <w:rPr>
                  <w:rStyle w:val="Hyperlink"/>
                  <w:rFonts w:cs="Arial"/>
                  <w:szCs w:val="20"/>
                </w:rPr>
                <w:t>https://www.ncbi.nlm.nih.gov/pmc/articles/PMC3987719/</w:t>
              </w:r>
            </w:hyperlink>
            <w:r w:rsidRPr="003A53A0">
              <w:rPr>
                <w:rFonts w:cs="Arial"/>
                <w:szCs w:val="20"/>
              </w:rPr>
              <w:t xml:space="preserve"> indicates the psychological impact a VTE can have on patients and we are aware that receiving reliable and timely information can help alleviate the severity of this. Therefore, we would urge NICE to include a Quality Standard within the venous thromboembolism QS that </w:t>
            </w:r>
            <w:r w:rsidRPr="003A53A0">
              <w:rPr>
                <w:rFonts w:cs="Arial"/>
                <w:szCs w:val="20"/>
              </w:rPr>
              <w:lastRenderedPageBreak/>
              <w:t>recommends all patients receive information about venous thromboembolism, prevention, management and recovery, including sign posting to where further support and reliable information can be sourced.</w:t>
            </w:r>
          </w:p>
        </w:tc>
      </w:tr>
      <w:tr w:rsidR="003A53A0" w:rsidRPr="003A53A0" w14:paraId="2E3297A0" w14:textId="77777777" w:rsidTr="00F60DF7">
        <w:tc>
          <w:tcPr>
            <w:tcW w:w="675" w:type="dxa"/>
            <w:vAlign w:val="center"/>
          </w:tcPr>
          <w:p w14:paraId="2EA0562A" w14:textId="2AD3698C" w:rsidR="003A53A0" w:rsidRPr="003A53A0" w:rsidRDefault="00F60DF7" w:rsidP="00F60DF7">
            <w:pPr>
              <w:pStyle w:val="TableText1"/>
              <w:rPr>
                <w:rFonts w:cs="Arial"/>
                <w:szCs w:val="20"/>
              </w:rPr>
            </w:pPr>
            <w:r>
              <w:rPr>
                <w:rFonts w:cs="Arial"/>
                <w:szCs w:val="20"/>
              </w:rPr>
              <w:lastRenderedPageBreak/>
              <w:t>13</w:t>
            </w:r>
            <w:r w:rsidR="00804FDB">
              <w:rPr>
                <w:rFonts w:cs="Arial"/>
                <w:szCs w:val="20"/>
              </w:rPr>
              <w:t>4</w:t>
            </w:r>
          </w:p>
        </w:tc>
        <w:tc>
          <w:tcPr>
            <w:tcW w:w="2552" w:type="dxa"/>
            <w:vAlign w:val="center"/>
          </w:tcPr>
          <w:p w14:paraId="581664BE" w14:textId="04E2F6EC" w:rsidR="003A53A0" w:rsidRPr="003A53A0" w:rsidRDefault="003A53A0" w:rsidP="003A53A0">
            <w:pPr>
              <w:pStyle w:val="TableText1"/>
              <w:rPr>
                <w:rFonts w:cs="Arial"/>
                <w:szCs w:val="20"/>
              </w:rPr>
            </w:pPr>
            <w:r w:rsidRPr="003A53A0">
              <w:rPr>
                <w:rFonts w:cs="Arial"/>
                <w:szCs w:val="20"/>
              </w:rPr>
              <w:t>UK Clinical Pharmacy Association (UKCPA) Haemostasis &amp; Thrombosis Committee</w:t>
            </w:r>
          </w:p>
        </w:tc>
        <w:tc>
          <w:tcPr>
            <w:tcW w:w="1417" w:type="dxa"/>
            <w:vAlign w:val="center"/>
          </w:tcPr>
          <w:p w14:paraId="6E23C4E8" w14:textId="122766BF" w:rsidR="003A53A0" w:rsidRPr="003A53A0" w:rsidRDefault="003A53A0" w:rsidP="003A53A0">
            <w:pPr>
              <w:pStyle w:val="TableText1"/>
              <w:rPr>
                <w:rFonts w:cs="Arial"/>
                <w:bCs/>
                <w:szCs w:val="20"/>
              </w:rPr>
            </w:pPr>
            <w:r w:rsidRPr="003A53A0">
              <w:rPr>
                <w:rFonts w:cs="Arial"/>
                <w:bCs/>
                <w:szCs w:val="20"/>
              </w:rPr>
              <w:t>Additional statement</w:t>
            </w:r>
          </w:p>
        </w:tc>
        <w:tc>
          <w:tcPr>
            <w:tcW w:w="10632" w:type="dxa"/>
            <w:vAlign w:val="center"/>
          </w:tcPr>
          <w:p w14:paraId="6D45EA18" w14:textId="0C9D6AE8" w:rsidR="003A53A0" w:rsidRPr="003A53A0" w:rsidRDefault="003A53A0" w:rsidP="003A53A0">
            <w:pPr>
              <w:pStyle w:val="TableText1"/>
              <w:rPr>
                <w:rFonts w:cs="Arial"/>
                <w:szCs w:val="20"/>
              </w:rPr>
            </w:pPr>
            <w:r w:rsidRPr="003A53A0">
              <w:rPr>
                <w:rFonts w:cs="Arial"/>
                <w:szCs w:val="20"/>
              </w:rPr>
              <w:t>Disappointed and would encourage including VTE risk assessment completion on admission, and reassessment of risk assessment as a standard, particularly as VTE risk assessment is the initial step in VTE prevention measure and driver for quality improvement</w:t>
            </w:r>
          </w:p>
        </w:tc>
      </w:tr>
      <w:tr w:rsidR="003A53A0" w:rsidRPr="003A53A0" w14:paraId="197008FA" w14:textId="77777777" w:rsidTr="00F60DF7">
        <w:tc>
          <w:tcPr>
            <w:tcW w:w="675" w:type="dxa"/>
            <w:vAlign w:val="center"/>
          </w:tcPr>
          <w:p w14:paraId="65EFA72B" w14:textId="0466DC7E" w:rsidR="003A53A0" w:rsidRPr="003A53A0" w:rsidRDefault="00F60DF7" w:rsidP="00F60DF7">
            <w:pPr>
              <w:pStyle w:val="TableText1"/>
              <w:rPr>
                <w:rFonts w:cs="Arial"/>
                <w:szCs w:val="20"/>
              </w:rPr>
            </w:pPr>
            <w:r>
              <w:rPr>
                <w:rFonts w:cs="Arial"/>
                <w:szCs w:val="20"/>
              </w:rPr>
              <w:t>13</w:t>
            </w:r>
            <w:r w:rsidR="00804FDB">
              <w:rPr>
                <w:rFonts w:cs="Arial"/>
                <w:szCs w:val="20"/>
              </w:rPr>
              <w:t>5</w:t>
            </w:r>
          </w:p>
        </w:tc>
        <w:tc>
          <w:tcPr>
            <w:tcW w:w="2552" w:type="dxa"/>
            <w:vAlign w:val="center"/>
          </w:tcPr>
          <w:p w14:paraId="35ED18DA" w14:textId="0E1AFEA1" w:rsidR="003A53A0" w:rsidRPr="003A53A0" w:rsidRDefault="003A53A0" w:rsidP="003A53A0">
            <w:pPr>
              <w:pStyle w:val="TableText1"/>
              <w:rPr>
                <w:rFonts w:cs="Arial"/>
                <w:szCs w:val="20"/>
              </w:rPr>
            </w:pPr>
            <w:r w:rsidRPr="003A53A0">
              <w:rPr>
                <w:rFonts w:cs="Arial"/>
                <w:szCs w:val="20"/>
              </w:rPr>
              <w:t>UK Clinical Pharmacy Association (UKCPA) Haemostasis &amp; Thrombosis Committee</w:t>
            </w:r>
          </w:p>
        </w:tc>
        <w:tc>
          <w:tcPr>
            <w:tcW w:w="1417" w:type="dxa"/>
            <w:vAlign w:val="center"/>
          </w:tcPr>
          <w:p w14:paraId="63DF432D" w14:textId="3CA730BE" w:rsidR="003A53A0" w:rsidRPr="003A53A0" w:rsidRDefault="003A53A0" w:rsidP="003A53A0">
            <w:pPr>
              <w:pStyle w:val="TableText1"/>
              <w:rPr>
                <w:rFonts w:cs="Arial"/>
                <w:bCs/>
                <w:szCs w:val="20"/>
              </w:rPr>
            </w:pPr>
            <w:r w:rsidRPr="003A53A0">
              <w:rPr>
                <w:rFonts w:cs="Arial"/>
                <w:bCs/>
                <w:szCs w:val="20"/>
              </w:rPr>
              <w:t>Additional statement</w:t>
            </w:r>
          </w:p>
        </w:tc>
        <w:tc>
          <w:tcPr>
            <w:tcW w:w="10632" w:type="dxa"/>
            <w:vAlign w:val="center"/>
          </w:tcPr>
          <w:p w14:paraId="07210957" w14:textId="7505C316" w:rsidR="003A53A0" w:rsidRPr="003A53A0" w:rsidRDefault="003A53A0" w:rsidP="003A53A0">
            <w:pPr>
              <w:pStyle w:val="TableText1"/>
              <w:rPr>
                <w:rFonts w:cs="Arial"/>
                <w:szCs w:val="20"/>
              </w:rPr>
            </w:pPr>
            <w:r w:rsidRPr="003A53A0">
              <w:rPr>
                <w:rFonts w:cs="Arial"/>
                <w:szCs w:val="20"/>
              </w:rPr>
              <w:t>Disappointed to see the provision of verbal and/or written patient information is not included in the quality standard – appreciate included in the section on ‘what the quality statement means for different audiences’ but unlikely to be read and impacted on</w:t>
            </w:r>
          </w:p>
        </w:tc>
      </w:tr>
      <w:tr w:rsidR="003A53A0" w:rsidRPr="003A53A0" w14:paraId="3E89BDF0" w14:textId="77777777" w:rsidTr="00F60DF7">
        <w:tc>
          <w:tcPr>
            <w:tcW w:w="675" w:type="dxa"/>
            <w:vAlign w:val="center"/>
          </w:tcPr>
          <w:p w14:paraId="391EAAB6" w14:textId="4FE351A6" w:rsidR="003A53A0" w:rsidRPr="003A53A0" w:rsidRDefault="00F60DF7" w:rsidP="00F60DF7">
            <w:pPr>
              <w:pStyle w:val="TableText1"/>
              <w:rPr>
                <w:rFonts w:cs="Arial"/>
                <w:szCs w:val="20"/>
              </w:rPr>
            </w:pPr>
            <w:r>
              <w:rPr>
                <w:rFonts w:cs="Arial"/>
                <w:szCs w:val="20"/>
              </w:rPr>
              <w:t>136</w:t>
            </w:r>
          </w:p>
        </w:tc>
        <w:tc>
          <w:tcPr>
            <w:tcW w:w="2552" w:type="dxa"/>
            <w:vAlign w:val="center"/>
          </w:tcPr>
          <w:p w14:paraId="6887D06C" w14:textId="781C553C" w:rsidR="003A53A0" w:rsidRPr="003A53A0" w:rsidRDefault="003A53A0" w:rsidP="003A53A0">
            <w:pPr>
              <w:pStyle w:val="TableText1"/>
              <w:rPr>
                <w:rFonts w:cs="Arial"/>
                <w:szCs w:val="20"/>
              </w:rPr>
            </w:pPr>
            <w:r w:rsidRPr="003A53A0">
              <w:rPr>
                <w:rFonts w:cs="Arial"/>
                <w:bCs/>
                <w:iCs/>
                <w:szCs w:val="20"/>
              </w:rPr>
              <w:t>VTE National Network for Nursing and Midwifery</w:t>
            </w:r>
          </w:p>
        </w:tc>
        <w:tc>
          <w:tcPr>
            <w:tcW w:w="1417" w:type="dxa"/>
            <w:vAlign w:val="center"/>
          </w:tcPr>
          <w:p w14:paraId="3D53A3F0" w14:textId="71FEC7FE" w:rsidR="003A53A0" w:rsidRPr="003A53A0" w:rsidRDefault="003A53A0" w:rsidP="003A53A0">
            <w:pPr>
              <w:pStyle w:val="TableText1"/>
              <w:rPr>
                <w:rFonts w:cs="Arial"/>
                <w:bCs/>
                <w:szCs w:val="20"/>
              </w:rPr>
            </w:pPr>
            <w:r w:rsidRPr="003A53A0">
              <w:rPr>
                <w:rFonts w:cs="Arial"/>
                <w:bCs/>
                <w:szCs w:val="20"/>
              </w:rPr>
              <w:t>Additional statement</w:t>
            </w:r>
          </w:p>
        </w:tc>
        <w:tc>
          <w:tcPr>
            <w:tcW w:w="10632" w:type="dxa"/>
          </w:tcPr>
          <w:p w14:paraId="564B5C60" w14:textId="77777777" w:rsidR="003A53A0" w:rsidRPr="003A53A0" w:rsidRDefault="003A53A0" w:rsidP="003A53A0">
            <w:pPr>
              <w:pStyle w:val="NICEnormal"/>
              <w:rPr>
                <w:rFonts w:cs="Arial"/>
                <w:sz w:val="20"/>
                <w:szCs w:val="20"/>
              </w:rPr>
            </w:pPr>
            <w:r w:rsidRPr="003A53A0">
              <w:rPr>
                <w:rFonts w:cs="Arial"/>
                <w:sz w:val="20"/>
                <w:szCs w:val="20"/>
              </w:rPr>
              <w:t>VTE risk assessment and reassessment is the fundamental building block for quality VTE prevention care and yet we know that not all hospitals are meeting the target of &gt;95% consistently.  We know that potentially preventable HATs still occur due to failure to reassess patients’ VTE risk when condition changes.  The VTE QS have provided a vital lever for VTE prevention leads to drive best practice in their Trusts where few other levers exist. Removing VTE risk assessment and reassessment would be a backwards step.  The previous VTE prevention QS also provided ideal audit criteria for Trusts to monitor compliance against.</w:t>
            </w:r>
          </w:p>
          <w:p w14:paraId="2423A784" w14:textId="77777777" w:rsidR="003A53A0" w:rsidRPr="003A53A0" w:rsidRDefault="003A53A0" w:rsidP="003A53A0">
            <w:pPr>
              <w:pStyle w:val="NICEnormal"/>
              <w:rPr>
                <w:rFonts w:cs="Arial"/>
                <w:sz w:val="20"/>
                <w:szCs w:val="20"/>
              </w:rPr>
            </w:pPr>
            <w:r w:rsidRPr="003A53A0">
              <w:rPr>
                <w:rFonts w:cs="Arial"/>
                <w:sz w:val="20"/>
                <w:szCs w:val="20"/>
              </w:rPr>
              <w:t>VTE patient information should also remain a quality standard as a VTE NNMN audit showed that compliance was poor, this was supported by the recent GIRFT findings.  We know that thromboprophylaxis is not always effective and with patients being discharged from hospital earlier, it is vital that they are aware of the signs and symptoms of VTE and what to do if they experience them.</w:t>
            </w:r>
          </w:p>
          <w:p w14:paraId="06DE483A" w14:textId="77777777" w:rsidR="003A53A0" w:rsidRPr="003A53A0" w:rsidRDefault="003A53A0" w:rsidP="003A53A0">
            <w:pPr>
              <w:pStyle w:val="NICEnormal"/>
              <w:rPr>
                <w:rFonts w:cs="Arial"/>
                <w:sz w:val="20"/>
                <w:szCs w:val="20"/>
              </w:rPr>
            </w:pPr>
            <w:r w:rsidRPr="003A53A0">
              <w:rPr>
                <w:rFonts w:cs="Arial"/>
                <w:sz w:val="20"/>
                <w:szCs w:val="20"/>
              </w:rPr>
              <w:t>Processes for RCA of HATs and dissemination of learning should be included since this is in the NHS Standard Contract-NICE should be consistent with this.</w:t>
            </w:r>
          </w:p>
          <w:p w14:paraId="4CC50CD2" w14:textId="091C3977" w:rsidR="003A53A0" w:rsidRPr="00BE46B5" w:rsidRDefault="003A53A0" w:rsidP="00BE46B5">
            <w:pPr>
              <w:pStyle w:val="NICEnormal"/>
              <w:rPr>
                <w:rFonts w:cs="Arial"/>
                <w:sz w:val="20"/>
                <w:szCs w:val="20"/>
              </w:rPr>
            </w:pPr>
            <w:r w:rsidRPr="003A53A0">
              <w:rPr>
                <w:rFonts w:cs="Arial"/>
                <w:sz w:val="20"/>
                <w:szCs w:val="20"/>
              </w:rPr>
              <w:t>The quality standard for investigation into occult cancer for unprovoked VTEs should remain a quality standard since this has important patient outcome implications.</w:t>
            </w:r>
          </w:p>
        </w:tc>
      </w:tr>
    </w:tbl>
    <w:p w14:paraId="0CD8C500" w14:textId="77777777" w:rsidR="00DE2054" w:rsidRDefault="004563DF" w:rsidP="00DE2054">
      <w:pPr>
        <w:pStyle w:val="Heading2"/>
      </w:pPr>
      <w:r>
        <w:lastRenderedPageBreak/>
        <w:t>Registered s</w:t>
      </w:r>
      <w:r w:rsidR="00DE2054">
        <w:t>takeholders who submitted comments at consultation</w:t>
      </w:r>
    </w:p>
    <w:p w14:paraId="6D8CDB7F" w14:textId="350903A4" w:rsidR="0089346D" w:rsidRDefault="00D77D94" w:rsidP="0089346D">
      <w:pPr>
        <w:pStyle w:val="Bulletleft1"/>
        <w:rPr>
          <w:lang w:eastAsia="en-GB"/>
        </w:rPr>
      </w:pPr>
      <w:r>
        <w:t>ALK Positive UK</w:t>
      </w:r>
    </w:p>
    <w:p w14:paraId="35DD683F" w14:textId="48B92207" w:rsidR="00D77D94" w:rsidRDefault="00D77D94" w:rsidP="0089346D">
      <w:pPr>
        <w:pStyle w:val="Bulletleft1"/>
        <w:rPr>
          <w:lang w:eastAsia="en-GB"/>
        </w:rPr>
      </w:pPr>
      <w:r w:rsidRPr="00D77D94">
        <w:rPr>
          <w:lang w:eastAsia="en-GB"/>
        </w:rPr>
        <w:t>All-Party Parliamentary Group on Vascular and Venous Disease</w:t>
      </w:r>
    </w:p>
    <w:p w14:paraId="015B48EE" w14:textId="659D9F1C" w:rsidR="00D77D94" w:rsidRDefault="00D77D94" w:rsidP="0089346D">
      <w:pPr>
        <w:pStyle w:val="Bulletleft1"/>
        <w:rPr>
          <w:lang w:eastAsia="en-GB"/>
        </w:rPr>
      </w:pPr>
      <w:r w:rsidRPr="00D77D94">
        <w:rPr>
          <w:lang w:eastAsia="en-GB"/>
        </w:rPr>
        <w:t>Anticoagulation UK</w:t>
      </w:r>
    </w:p>
    <w:p w14:paraId="22B8EFC2" w14:textId="6F0F1FA5" w:rsidR="00D77D94" w:rsidRDefault="00D77D94" w:rsidP="0089346D">
      <w:pPr>
        <w:pStyle w:val="Bulletleft1"/>
        <w:rPr>
          <w:lang w:eastAsia="en-GB"/>
        </w:rPr>
      </w:pPr>
      <w:r>
        <w:t>British Association of Day Surgery</w:t>
      </w:r>
    </w:p>
    <w:p w14:paraId="323DED43" w14:textId="490D4D03" w:rsidR="00D77D94" w:rsidRDefault="00D77D94" w:rsidP="0089346D">
      <w:pPr>
        <w:pStyle w:val="Bulletleft1"/>
        <w:rPr>
          <w:lang w:eastAsia="en-GB"/>
        </w:rPr>
      </w:pPr>
      <w:r w:rsidRPr="00D77D94">
        <w:rPr>
          <w:lang w:eastAsia="en-GB"/>
        </w:rPr>
        <w:t>British Geriatrics Society</w:t>
      </w:r>
    </w:p>
    <w:p w14:paraId="46355DE9" w14:textId="35A2AAB6" w:rsidR="00D77D94" w:rsidRDefault="00D77D94" w:rsidP="0089346D">
      <w:pPr>
        <w:pStyle w:val="Bulletleft1"/>
        <w:rPr>
          <w:lang w:eastAsia="en-GB"/>
        </w:rPr>
      </w:pPr>
      <w:r w:rsidRPr="00601202">
        <w:t>British Orthopaedic Association</w:t>
      </w:r>
    </w:p>
    <w:p w14:paraId="3C7BE21B" w14:textId="5541F9AF" w:rsidR="00D77D94" w:rsidRDefault="00D77D94" w:rsidP="0089346D">
      <w:pPr>
        <w:pStyle w:val="Bulletleft1"/>
        <w:rPr>
          <w:lang w:eastAsia="en-GB"/>
        </w:rPr>
      </w:pPr>
      <w:r w:rsidRPr="00F5636B">
        <w:t>British Thoracic Society</w:t>
      </w:r>
    </w:p>
    <w:p w14:paraId="5F1482B8" w14:textId="17EAE4E3" w:rsidR="00D77D94" w:rsidRDefault="00D77D94" w:rsidP="0089346D">
      <w:pPr>
        <w:pStyle w:val="Bulletleft1"/>
        <w:rPr>
          <w:lang w:eastAsia="en-GB"/>
        </w:rPr>
      </w:pPr>
      <w:r w:rsidRPr="000B01AF">
        <w:t>Chelsea and Westminster Hospital NHS Foundation Trust</w:t>
      </w:r>
    </w:p>
    <w:p w14:paraId="295B8D37" w14:textId="16AE252F" w:rsidR="00D77D94" w:rsidRDefault="00D77D94" w:rsidP="0089346D">
      <w:pPr>
        <w:pStyle w:val="Bulletleft1"/>
        <w:rPr>
          <w:lang w:eastAsia="en-GB"/>
        </w:rPr>
      </w:pPr>
      <w:r w:rsidRPr="00D77D94">
        <w:rPr>
          <w:lang w:eastAsia="en-GB"/>
        </w:rPr>
        <w:t>Clinical Leaders of Thrombosis</w:t>
      </w:r>
    </w:p>
    <w:p w14:paraId="6310BDF2" w14:textId="551BE4DC" w:rsidR="00D77D94" w:rsidRDefault="00D77D94" w:rsidP="0089346D">
      <w:pPr>
        <w:pStyle w:val="Bulletleft1"/>
        <w:rPr>
          <w:lang w:eastAsia="en-GB"/>
        </w:rPr>
      </w:pPr>
      <w:r w:rsidRPr="004A219B">
        <w:t>King’s College Hospital NHS Foundation Trust</w:t>
      </w:r>
    </w:p>
    <w:p w14:paraId="2A27A90F" w14:textId="0E915A54" w:rsidR="00D77D94" w:rsidRDefault="00D77D94" w:rsidP="0089346D">
      <w:pPr>
        <w:pStyle w:val="Bulletleft1"/>
        <w:rPr>
          <w:lang w:eastAsia="en-GB"/>
        </w:rPr>
      </w:pPr>
      <w:r w:rsidRPr="00D77D94">
        <w:rPr>
          <w:lang w:eastAsia="en-GB"/>
        </w:rPr>
        <w:t>LEO Pharma</w:t>
      </w:r>
    </w:p>
    <w:p w14:paraId="4D05DA70" w14:textId="7D382D23" w:rsidR="00D77D94" w:rsidRDefault="00D77D94" w:rsidP="0089346D">
      <w:pPr>
        <w:pStyle w:val="Bulletleft1"/>
        <w:rPr>
          <w:lang w:eastAsia="en-GB"/>
        </w:rPr>
      </w:pPr>
      <w:r w:rsidRPr="00D77D94">
        <w:rPr>
          <w:lang w:eastAsia="en-GB"/>
        </w:rPr>
        <w:t>NHS England and NHS Improvement</w:t>
      </w:r>
    </w:p>
    <w:p w14:paraId="6F289824" w14:textId="7EB2BA91" w:rsidR="00D77D94" w:rsidRDefault="00D77D94" w:rsidP="0089346D">
      <w:pPr>
        <w:pStyle w:val="Bulletleft1"/>
        <w:rPr>
          <w:lang w:eastAsia="en-GB"/>
        </w:rPr>
      </w:pPr>
      <w:r w:rsidRPr="00D77D94">
        <w:rPr>
          <w:lang w:eastAsia="en-GB"/>
        </w:rPr>
        <w:t>Royal College of Nursing</w:t>
      </w:r>
    </w:p>
    <w:p w14:paraId="29AC4DB4" w14:textId="3414AB6B" w:rsidR="00D77D94" w:rsidRDefault="00D77D94" w:rsidP="0089346D">
      <w:pPr>
        <w:pStyle w:val="Bulletleft1"/>
        <w:rPr>
          <w:lang w:eastAsia="en-GB"/>
        </w:rPr>
      </w:pPr>
      <w:r w:rsidRPr="00D77D94">
        <w:rPr>
          <w:lang w:eastAsia="en-GB"/>
        </w:rPr>
        <w:t>Royal College of Paediatrics and Child Health</w:t>
      </w:r>
    </w:p>
    <w:p w14:paraId="1800E4CA" w14:textId="55FAE3D7" w:rsidR="00D77D94" w:rsidRDefault="00D77D94" w:rsidP="0089346D">
      <w:pPr>
        <w:pStyle w:val="Bulletleft1"/>
        <w:rPr>
          <w:lang w:eastAsia="en-GB"/>
        </w:rPr>
      </w:pPr>
      <w:r w:rsidRPr="00D77D94">
        <w:rPr>
          <w:lang w:eastAsia="en-GB"/>
        </w:rPr>
        <w:t>Royal College of Physicians</w:t>
      </w:r>
    </w:p>
    <w:p w14:paraId="15038F51" w14:textId="4DDC2752" w:rsidR="00D77D94" w:rsidRDefault="00D77D94" w:rsidP="0089346D">
      <w:pPr>
        <w:pStyle w:val="Bulletleft1"/>
        <w:rPr>
          <w:lang w:eastAsia="en-GB"/>
        </w:rPr>
      </w:pPr>
      <w:r w:rsidRPr="00D77D94">
        <w:rPr>
          <w:lang w:eastAsia="en-GB"/>
        </w:rPr>
        <w:t>Society and College of Radiographers</w:t>
      </w:r>
    </w:p>
    <w:p w14:paraId="11DD6436" w14:textId="57DD5DC3" w:rsidR="00D77D94" w:rsidRDefault="00D77D94" w:rsidP="0089346D">
      <w:pPr>
        <w:pStyle w:val="Bulletleft1"/>
        <w:rPr>
          <w:lang w:eastAsia="en-GB"/>
        </w:rPr>
      </w:pPr>
      <w:r w:rsidRPr="00D77D94">
        <w:rPr>
          <w:lang w:eastAsia="en-GB"/>
        </w:rPr>
        <w:t>Society for Acute Medicine</w:t>
      </w:r>
    </w:p>
    <w:p w14:paraId="1C813B90" w14:textId="1F0A0CE0" w:rsidR="00D77D94" w:rsidRDefault="00D77D94" w:rsidP="0089346D">
      <w:pPr>
        <w:pStyle w:val="Bulletleft1"/>
        <w:rPr>
          <w:lang w:eastAsia="en-GB"/>
        </w:rPr>
      </w:pPr>
      <w:r w:rsidRPr="00D77D94">
        <w:rPr>
          <w:lang w:eastAsia="en-GB"/>
        </w:rPr>
        <w:t>Thrombosis UK</w:t>
      </w:r>
    </w:p>
    <w:p w14:paraId="11F176BA" w14:textId="5780FFB2" w:rsidR="00D77D94" w:rsidRDefault="00D77D94" w:rsidP="0089346D">
      <w:pPr>
        <w:pStyle w:val="Bulletleft1"/>
        <w:rPr>
          <w:lang w:eastAsia="en-GB"/>
        </w:rPr>
      </w:pPr>
      <w:r w:rsidRPr="00D77D94">
        <w:rPr>
          <w:lang w:eastAsia="en-GB"/>
        </w:rPr>
        <w:t>UK Clinical Pharmacy Association Haemostasis &amp; Thrombosis Committee</w:t>
      </w:r>
    </w:p>
    <w:p w14:paraId="0ADE2BAE" w14:textId="15511F3A" w:rsidR="00D77D94" w:rsidRDefault="00D77D94" w:rsidP="0089346D">
      <w:pPr>
        <w:pStyle w:val="Bulletleft1"/>
        <w:rPr>
          <w:lang w:eastAsia="en-GB"/>
        </w:rPr>
      </w:pPr>
      <w:r w:rsidRPr="00D77D94">
        <w:rPr>
          <w:lang w:eastAsia="en-GB"/>
        </w:rPr>
        <w:lastRenderedPageBreak/>
        <w:t>University Hospitals Birmingham NHS Foundation Trust Haematology Service</w:t>
      </w:r>
    </w:p>
    <w:p w14:paraId="7D3CE383" w14:textId="38255311" w:rsidR="00D77D94" w:rsidRDefault="00D77D94" w:rsidP="0089346D">
      <w:pPr>
        <w:pStyle w:val="Bulletleft1"/>
        <w:rPr>
          <w:lang w:eastAsia="en-GB"/>
        </w:rPr>
      </w:pPr>
      <w:r w:rsidRPr="00D77D94">
        <w:rPr>
          <w:lang w:eastAsia="en-GB"/>
        </w:rPr>
        <w:t>VTE National Network for Nursing and Midwifery</w:t>
      </w:r>
    </w:p>
    <w:p w14:paraId="555D55D1" w14:textId="77777777" w:rsidR="006A7CC2" w:rsidRPr="00660F4E" w:rsidRDefault="004563DF" w:rsidP="006A7CC2">
      <w:pPr>
        <w:pStyle w:val="Heading1"/>
      </w:pPr>
      <w:r>
        <w:br w:type="page"/>
      </w:r>
      <w:r w:rsidR="006A7CC2" w:rsidRPr="00FC11EC">
        <w:lastRenderedPageBreak/>
        <w:t xml:space="preserve">Appendix </w:t>
      </w:r>
      <w:r w:rsidR="006A7CC2">
        <w:t xml:space="preserve">2: </w:t>
      </w:r>
      <w:r w:rsidR="006A7CC2" w:rsidRPr="006A7CC2">
        <w:t>Quality standard consultation comments table – respondents with links to the tobacco industry</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1417"/>
        <w:gridCol w:w="10632"/>
      </w:tblGrid>
      <w:tr w:rsidR="006A7CC2" w:rsidRPr="00660F4E" w14:paraId="5F452A07" w14:textId="77777777" w:rsidTr="002A4C17">
        <w:trPr>
          <w:tblHeader/>
        </w:trPr>
        <w:tc>
          <w:tcPr>
            <w:tcW w:w="675" w:type="dxa"/>
            <w:shd w:val="clear" w:color="auto" w:fill="E6E6E6"/>
          </w:tcPr>
          <w:p w14:paraId="3773D94F" w14:textId="77777777" w:rsidR="006A7CC2" w:rsidRPr="00660F4E" w:rsidRDefault="006A7CC2" w:rsidP="002A4C17">
            <w:pPr>
              <w:pStyle w:val="TableText1"/>
              <w:rPr>
                <w:b/>
              </w:rPr>
            </w:pPr>
            <w:r w:rsidRPr="00660F4E">
              <w:rPr>
                <w:b/>
              </w:rPr>
              <w:t>ID</w:t>
            </w:r>
          </w:p>
        </w:tc>
        <w:tc>
          <w:tcPr>
            <w:tcW w:w="2552" w:type="dxa"/>
            <w:shd w:val="clear" w:color="auto" w:fill="E6E6E6"/>
          </w:tcPr>
          <w:p w14:paraId="72647979" w14:textId="77777777" w:rsidR="006A7CC2" w:rsidRPr="00660F4E" w:rsidRDefault="006A7CC2" w:rsidP="002A4C17">
            <w:pPr>
              <w:pStyle w:val="TableText1"/>
              <w:rPr>
                <w:b/>
              </w:rPr>
            </w:pPr>
            <w:r w:rsidRPr="00660F4E">
              <w:rPr>
                <w:b/>
              </w:rPr>
              <w:t>Stakeholder</w:t>
            </w:r>
          </w:p>
        </w:tc>
        <w:tc>
          <w:tcPr>
            <w:tcW w:w="1417" w:type="dxa"/>
            <w:shd w:val="clear" w:color="auto" w:fill="E6E6E6"/>
          </w:tcPr>
          <w:p w14:paraId="139505A1" w14:textId="7511078B" w:rsidR="006A7CC2" w:rsidRPr="00660F4E" w:rsidRDefault="00F17CA5" w:rsidP="002A4C17">
            <w:pPr>
              <w:pStyle w:val="TableText1"/>
              <w:rPr>
                <w:b/>
              </w:rPr>
            </w:pPr>
            <w:r>
              <w:rPr>
                <w:b/>
              </w:rPr>
              <w:t>Section</w:t>
            </w:r>
          </w:p>
        </w:tc>
        <w:tc>
          <w:tcPr>
            <w:tcW w:w="10632" w:type="dxa"/>
            <w:shd w:val="clear" w:color="auto" w:fill="E6E6E6"/>
          </w:tcPr>
          <w:p w14:paraId="1F7ED1D9" w14:textId="3D2EBF62" w:rsidR="006A7CC2" w:rsidRPr="00660F4E" w:rsidRDefault="006A7CC2" w:rsidP="002A4C17">
            <w:pPr>
              <w:pStyle w:val="TableText1"/>
              <w:rPr>
                <w:b/>
              </w:rPr>
            </w:pPr>
            <w:r w:rsidRPr="00660F4E">
              <w:rPr>
                <w:b/>
              </w:rPr>
              <w:t>Comments</w:t>
            </w:r>
            <w:r>
              <w:rPr>
                <w:rStyle w:val="FootnoteReference"/>
                <w:b/>
              </w:rPr>
              <w:footnoteReference w:id="2"/>
            </w:r>
          </w:p>
        </w:tc>
      </w:tr>
      <w:tr w:rsidR="003D0EF7" w:rsidRPr="00660F4E" w14:paraId="716E3AA2" w14:textId="77777777" w:rsidTr="003D0EF7">
        <w:tc>
          <w:tcPr>
            <w:tcW w:w="675" w:type="dxa"/>
            <w:tcBorders>
              <w:top w:val="single" w:sz="4" w:space="0" w:color="auto"/>
              <w:left w:val="single" w:sz="4" w:space="0" w:color="auto"/>
              <w:bottom w:val="single" w:sz="4" w:space="0" w:color="auto"/>
              <w:right w:val="single" w:sz="4" w:space="0" w:color="auto"/>
            </w:tcBorders>
          </w:tcPr>
          <w:p w14:paraId="564A8C23" w14:textId="196F5FAB" w:rsidR="003D0EF7" w:rsidRDefault="003D0EF7" w:rsidP="003D0EF7">
            <w:pPr>
              <w:pStyle w:val="TableText1"/>
            </w:pPr>
            <w:bookmarkStart w:id="6" w:name="_Hlk62202612"/>
            <w:r>
              <w:t>1</w:t>
            </w:r>
          </w:p>
        </w:tc>
        <w:tc>
          <w:tcPr>
            <w:tcW w:w="2552" w:type="dxa"/>
            <w:tcBorders>
              <w:top w:val="single" w:sz="4" w:space="0" w:color="auto"/>
              <w:left w:val="single" w:sz="4" w:space="0" w:color="auto"/>
              <w:bottom w:val="single" w:sz="4" w:space="0" w:color="auto"/>
              <w:right w:val="single" w:sz="4" w:space="0" w:color="auto"/>
            </w:tcBorders>
          </w:tcPr>
          <w:p w14:paraId="04EF01E5" w14:textId="77777777" w:rsidR="003D0EF7" w:rsidRPr="003D0EF7" w:rsidRDefault="003D0EF7" w:rsidP="003D0EF7">
            <w:pPr>
              <w:pStyle w:val="TableText1"/>
            </w:pPr>
            <w:r w:rsidRPr="003D0EF7">
              <w:t>Bayer</w:t>
            </w:r>
          </w:p>
        </w:tc>
        <w:tc>
          <w:tcPr>
            <w:tcW w:w="1417" w:type="dxa"/>
            <w:tcBorders>
              <w:top w:val="single" w:sz="4" w:space="0" w:color="auto"/>
              <w:left w:val="single" w:sz="4" w:space="0" w:color="auto"/>
              <w:bottom w:val="single" w:sz="4" w:space="0" w:color="auto"/>
              <w:right w:val="single" w:sz="4" w:space="0" w:color="auto"/>
            </w:tcBorders>
          </w:tcPr>
          <w:p w14:paraId="6028663C" w14:textId="77777777" w:rsidR="003D0EF7" w:rsidRPr="00F17CA5" w:rsidRDefault="003D0EF7" w:rsidP="003D0EF7">
            <w:pPr>
              <w:pStyle w:val="TableText1"/>
            </w:pPr>
            <w:r>
              <w:t>Disclosure</w:t>
            </w:r>
          </w:p>
        </w:tc>
        <w:tc>
          <w:tcPr>
            <w:tcW w:w="10632" w:type="dxa"/>
            <w:tcBorders>
              <w:top w:val="single" w:sz="4" w:space="0" w:color="auto"/>
              <w:left w:val="single" w:sz="4" w:space="0" w:color="auto"/>
              <w:bottom w:val="single" w:sz="4" w:space="0" w:color="auto"/>
              <w:right w:val="single" w:sz="4" w:space="0" w:color="auto"/>
            </w:tcBorders>
          </w:tcPr>
          <w:p w14:paraId="08E706E8" w14:textId="77777777" w:rsidR="003D0EF7" w:rsidRPr="003D0EF7" w:rsidRDefault="003D0EF7" w:rsidP="003D0EF7">
            <w:pPr>
              <w:pStyle w:val="Paragraphnonumbers"/>
              <w:rPr>
                <w:rFonts w:cs="Arial"/>
                <w:sz w:val="20"/>
                <w:szCs w:val="20"/>
              </w:rPr>
            </w:pPr>
            <w:r w:rsidRPr="003D0EF7">
              <w:rPr>
                <w:rFonts w:cs="Arial"/>
                <w:sz w:val="20"/>
                <w:szCs w:val="20"/>
              </w:rPr>
              <w:t>Current Situation</w:t>
            </w:r>
          </w:p>
          <w:p w14:paraId="2200B678" w14:textId="77777777" w:rsidR="003D0EF7" w:rsidRPr="003D0EF7" w:rsidRDefault="003D0EF7" w:rsidP="003D0EF7">
            <w:pPr>
              <w:pStyle w:val="Paragraphnonumbers"/>
              <w:rPr>
                <w:rFonts w:cs="Arial"/>
                <w:sz w:val="20"/>
                <w:szCs w:val="20"/>
              </w:rPr>
            </w:pPr>
            <w:r w:rsidRPr="003D0EF7">
              <w:rPr>
                <w:rFonts w:cs="Arial"/>
                <w:sz w:val="20"/>
                <w:szCs w:val="20"/>
              </w:rPr>
              <w:t>•</w:t>
            </w:r>
            <w:r w:rsidRPr="003D0EF7">
              <w:rPr>
                <w:rFonts w:cs="Arial"/>
                <w:sz w:val="20"/>
                <w:szCs w:val="20"/>
              </w:rPr>
              <w:tab/>
              <w:t xml:space="preserve">Bayer does not have direct or indirect links with, or funding from, manufacturers, distributors or sellers of smoking products but Bayer provides pesticides for crops, which would therefore include tobacco crops.  </w:t>
            </w:r>
          </w:p>
          <w:p w14:paraId="1064D850" w14:textId="77777777" w:rsidR="003D0EF7" w:rsidRPr="003D0EF7" w:rsidRDefault="003D0EF7" w:rsidP="003D0EF7">
            <w:pPr>
              <w:pStyle w:val="Paragraphnonumbers"/>
              <w:rPr>
                <w:rFonts w:cs="Arial"/>
                <w:sz w:val="20"/>
                <w:szCs w:val="20"/>
              </w:rPr>
            </w:pPr>
            <w:r w:rsidRPr="003D0EF7">
              <w:rPr>
                <w:rFonts w:cs="Arial"/>
                <w:sz w:val="20"/>
                <w:szCs w:val="20"/>
              </w:rPr>
              <w:t>•</w:t>
            </w:r>
            <w:r w:rsidRPr="003D0EF7">
              <w:rPr>
                <w:rFonts w:cs="Arial"/>
                <w:sz w:val="20"/>
                <w:szCs w:val="20"/>
              </w:rPr>
              <w:tab/>
              <w:t xml:space="preserve">Bayer is a member of the Cooperation Centre for Scientific Research Relative to Tobacco (CORESTA) (http://www.coresta.org/) within the scope of recommendations of pesticides used for protection of tobacco plants. </w:t>
            </w:r>
          </w:p>
          <w:p w14:paraId="07CB29D1" w14:textId="77777777" w:rsidR="003D0EF7" w:rsidRPr="003D0EF7" w:rsidRDefault="003D0EF7" w:rsidP="003D0EF7">
            <w:pPr>
              <w:pStyle w:val="Paragraphnonumbers"/>
              <w:rPr>
                <w:rFonts w:cs="Arial"/>
                <w:sz w:val="20"/>
                <w:szCs w:val="20"/>
              </w:rPr>
            </w:pPr>
            <w:r w:rsidRPr="003D0EF7">
              <w:rPr>
                <w:rFonts w:cs="Arial"/>
                <w:sz w:val="20"/>
                <w:szCs w:val="20"/>
              </w:rPr>
              <w:t>•</w:t>
            </w:r>
            <w:r w:rsidRPr="003D0EF7">
              <w:rPr>
                <w:rFonts w:cs="Arial"/>
                <w:sz w:val="20"/>
                <w:szCs w:val="20"/>
              </w:rPr>
              <w:tab/>
              <w:t xml:space="preserve">It is also a member of country and EU business federations such as the Confederation of British Industry (CBI) and ‘Business Europe’, which include tobacco companies. </w:t>
            </w:r>
          </w:p>
          <w:p w14:paraId="180FE59C" w14:textId="77777777" w:rsidR="003D0EF7" w:rsidRPr="003D0EF7" w:rsidRDefault="003D0EF7" w:rsidP="003D0EF7">
            <w:pPr>
              <w:pStyle w:val="Paragraphnonumbers"/>
              <w:rPr>
                <w:rFonts w:cs="Arial"/>
                <w:sz w:val="20"/>
                <w:szCs w:val="20"/>
              </w:rPr>
            </w:pPr>
          </w:p>
          <w:p w14:paraId="34E84B5E" w14:textId="77777777" w:rsidR="003D0EF7" w:rsidRPr="003D0EF7" w:rsidRDefault="003D0EF7" w:rsidP="003D0EF7">
            <w:pPr>
              <w:pStyle w:val="Paragraphnonumbers"/>
              <w:rPr>
                <w:rFonts w:cs="Arial"/>
                <w:sz w:val="20"/>
                <w:szCs w:val="20"/>
              </w:rPr>
            </w:pPr>
            <w:r w:rsidRPr="003D0EF7">
              <w:rPr>
                <w:rFonts w:cs="Arial"/>
                <w:sz w:val="20"/>
                <w:szCs w:val="20"/>
              </w:rPr>
              <w:t>Past Situation</w:t>
            </w:r>
          </w:p>
          <w:p w14:paraId="4EA029BE" w14:textId="77777777" w:rsidR="003D0EF7" w:rsidRPr="003D0EF7" w:rsidRDefault="003D0EF7" w:rsidP="003D0EF7">
            <w:pPr>
              <w:pStyle w:val="Paragraphnonumbers"/>
              <w:rPr>
                <w:rFonts w:cs="Arial"/>
                <w:sz w:val="20"/>
                <w:szCs w:val="20"/>
              </w:rPr>
            </w:pPr>
            <w:r w:rsidRPr="003D0EF7">
              <w:rPr>
                <w:rFonts w:cs="Arial"/>
                <w:sz w:val="20"/>
                <w:szCs w:val="20"/>
              </w:rPr>
              <w:t>In 2006, Bayer and its subsidiary Icon Genetics piloted a new process for producing biotech drugs in tobacco plants. Icon Genetics was acquired by Nomad Bioscience GmbH from Bayer in 2012.</w:t>
            </w:r>
          </w:p>
        </w:tc>
      </w:tr>
      <w:bookmarkEnd w:id="6"/>
      <w:tr w:rsidR="00F17CA5" w:rsidRPr="00660F4E" w14:paraId="2507FFD3" w14:textId="77777777" w:rsidTr="002A4C17">
        <w:tc>
          <w:tcPr>
            <w:tcW w:w="675" w:type="dxa"/>
          </w:tcPr>
          <w:p w14:paraId="7B6A3138" w14:textId="7F7383BC" w:rsidR="00F17CA5" w:rsidRPr="00660F4E" w:rsidRDefault="003D0EF7" w:rsidP="00F17CA5">
            <w:pPr>
              <w:pStyle w:val="TableText1"/>
            </w:pPr>
            <w:r>
              <w:t>2</w:t>
            </w:r>
          </w:p>
        </w:tc>
        <w:tc>
          <w:tcPr>
            <w:tcW w:w="2552" w:type="dxa"/>
          </w:tcPr>
          <w:p w14:paraId="33EF3A04" w14:textId="593D4DF4" w:rsidR="00F17CA5" w:rsidRDefault="00F17CA5" w:rsidP="00F17CA5">
            <w:pPr>
              <w:pStyle w:val="TableText1"/>
            </w:pPr>
            <w:r>
              <w:t>Bayer</w:t>
            </w:r>
          </w:p>
          <w:p w14:paraId="7B916AEA" w14:textId="77777777" w:rsidR="00F17CA5" w:rsidRPr="00660F4E" w:rsidRDefault="00F17CA5" w:rsidP="00F17CA5">
            <w:pPr>
              <w:pStyle w:val="TableText1"/>
            </w:pPr>
          </w:p>
        </w:tc>
        <w:tc>
          <w:tcPr>
            <w:tcW w:w="1417" w:type="dxa"/>
          </w:tcPr>
          <w:p w14:paraId="14BF8D72" w14:textId="4B78E64D" w:rsidR="00F17CA5" w:rsidRPr="00660F4E" w:rsidRDefault="00F17CA5" w:rsidP="00F17CA5">
            <w:pPr>
              <w:pStyle w:val="TableText1"/>
            </w:pPr>
            <w:r>
              <w:t>Question 3</w:t>
            </w:r>
          </w:p>
        </w:tc>
        <w:tc>
          <w:tcPr>
            <w:tcW w:w="10632" w:type="dxa"/>
          </w:tcPr>
          <w:p w14:paraId="76DDB3E2" w14:textId="77777777" w:rsidR="00F17CA5" w:rsidRPr="00F17CA5" w:rsidRDefault="00F17CA5" w:rsidP="00F17CA5">
            <w:pPr>
              <w:pStyle w:val="Paragraphnonumbers"/>
              <w:spacing w:after="0"/>
              <w:rPr>
                <w:rFonts w:cs="Arial"/>
                <w:sz w:val="20"/>
                <w:szCs w:val="20"/>
              </w:rPr>
            </w:pPr>
            <w:r w:rsidRPr="00F17CA5">
              <w:rPr>
                <w:rFonts w:cs="Arial"/>
                <w:sz w:val="20"/>
                <w:szCs w:val="20"/>
              </w:rPr>
              <w:t>Bayer welcomes the inclusion of the new quality statement 5:</w:t>
            </w:r>
          </w:p>
          <w:p w14:paraId="324ACFBA" w14:textId="77777777" w:rsidR="00F17CA5" w:rsidRPr="00F17CA5" w:rsidRDefault="00F17CA5" w:rsidP="00F17CA5">
            <w:pPr>
              <w:pStyle w:val="Paragraphnonumbers"/>
              <w:spacing w:after="0"/>
              <w:rPr>
                <w:rFonts w:cs="Arial"/>
                <w:sz w:val="20"/>
                <w:szCs w:val="20"/>
              </w:rPr>
            </w:pPr>
          </w:p>
          <w:p w14:paraId="7B0FD853" w14:textId="77777777" w:rsidR="00F17CA5" w:rsidRPr="00F17CA5" w:rsidRDefault="00F17CA5" w:rsidP="00F17CA5">
            <w:pPr>
              <w:pStyle w:val="Paragraphnonumbers"/>
              <w:spacing w:after="0"/>
              <w:rPr>
                <w:rFonts w:cs="Arial"/>
                <w:b/>
                <w:i/>
                <w:iCs/>
                <w:sz w:val="20"/>
                <w:szCs w:val="20"/>
              </w:rPr>
            </w:pPr>
            <w:r w:rsidRPr="00F17CA5">
              <w:rPr>
                <w:rFonts w:cs="Arial"/>
                <w:i/>
                <w:iCs/>
                <w:sz w:val="20"/>
                <w:szCs w:val="20"/>
              </w:rPr>
              <w:t xml:space="preserve">People aged 18 and over having outpatient treatment for suspected or confirmed low-risk pulmonary embolism (PE) have an agreed plan for monitoring and follow-up. </w:t>
            </w:r>
            <w:r w:rsidRPr="00F17CA5">
              <w:rPr>
                <w:rFonts w:cs="Arial"/>
                <w:b/>
                <w:i/>
                <w:iCs/>
                <w:sz w:val="20"/>
                <w:szCs w:val="20"/>
              </w:rPr>
              <w:t>[new 2021]</w:t>
            </w:r>
          </w:p>
          <w:p w14:paraId="29EAEC7A" w14:textId="77777777" w:rsidR="00F17CA5" w:rsidRPr="00F17CA5" w:rsidRDefault="00F17CA5" w:rsidP="00F17CA5">
            <w:pPr>
              <w:pStyle w:val="Paragraphnonumbers"/>
              <w:spacing w:after="0"/>
              <w:rPr>
                <w:rFonts w:cs="Arial"/>
                <w:b/>
                <w:i/>
                <w:iCs/>
                <w:sz w:val="20"/>
                <w:szCs w:val="20"/>
              </w:rPr>
            </w:pPr>
          </w:p>
          <w:p w14:paraId="347ED5C5" w14:textId="77777777" w:rsidR="00F17CA5" w:rsidRPr="00F17CA5" w:rsidRDefault="00F17CA5" w:rsidP="00F17CA5">
            <w:pPr>
              <w:pStyle w:val="Paragraphnonumbers"/>
              <w:spacing w:after="0"/>
              <w:rPr>
                <w:rFonts w:cs="Arial"/>
                <w:bCs/>
                <w:sz w:val="20"/>
                <w:szCs w:val="20"/>
              </w:rPr>
            </w:pPr>
            <w:r w:rsidRPr="00F17CA5">
              <w:rPr>
                <w:rFonts w:cs="Arial"/>
                <w:bCs/>
                <w:sz w:val="20"/>
                <w:szCs w:val="20"/>
              </w:rPr>
              <w:lastRenderedPageBreak/>
              <w:t xml:space="preserve">In the Home Treatment of Patients with Low-Risk Pulmonary Embolism with the Oral Factor Xa Inhibitor Rivaroxaban (HoT-PE) trial, the aim was to investigate the efficacy and safety of early transition from hospital to ambulatory treatment in low-risk acute PE, using the oral factor Xa inhibitor rivaroxaban. The study conclusion was that early discharge and home treatment with rivaroxaban is effective and safe in carefully selected patients with acute low-risk PE. The results of the trial support the selection of appropriate patients for ambulatory treatment of PE (1).   </w:t>
            </w:r>
          </w:p>
          <w:p w14:paraId="00DBAB0E" w14:textId="77777777" w:rsidR="00F17CA5" w:rsidRPr="00F17CA5" w:rsidRDefault="00F17CA5" w:rsidP="00F17CA5">
            <w:pPr>
              <w:pStyle w:val="Paragraphnonumbers"/>
              <w:spacing w:after="0"/>
              <w:rPr>
                <w:rFonts w:cs="Arial"/>
                <w:b/>
                <w:i/>
                <w:iCs/>
                <w:sz w:val="20"/>
                <w:szCs w:val="20"/>
              </w:rPr>
            </w:pPr>
          </w:p>
          <w:p w14:paraId="063DEC51" w14:textId="77777777" w:rsidR="00F17CA5" w:rsidRPr="00F17CA5" w:rsidRDefault="00F17CA5" w:rsidP="00F17CA5">
            <w:pPr>
              <w:autoSpaceDE w:val="0"/>
              <w:autoSpaceDN w:val="0"/>
              <w:adjustRightInd w:val="0"/>
              <w:rPr>
                <w:rFonts w:ascii="Arial" w:hAnsi="Arial" w:cs="Arial"/>
                <w:bCs/>
                <w:sz w:val="20"/>
              </w:rPr>
            </w:pPr>
            <w:r w:rsidRPr="00F17CA5">
              <w:rPr>
                <w:rFonts w:ascii="Arial" w:hAnsi="Arial" w:cs="Arial"/>
                <w:bCs/>
                <w:sz w:val="20"/>
              </w:rPr>
              <w:t xml:space="preserve">Regarding the consultation question 3: </w:t>
            </w:r>
            <w:r w:rsidRPr="00F17CA5">
              <w:rPr>
                <w:rFonts w:ascii="Arial" w:hAnsi="Arial" w:cs="Arial"/>
                <w:bCs/>
                <w:i/>
                <w:iCs/>
                <w:sz w:val="20"/>
              </w:rPr>
              <w:t xml:space="preserve">“….Please describe any potential cost savings or opportunities for disinvestment.”, </w:t>
            </w:r>
            <w:r w:rsidRPr="00F17CA5">
              <w:rPr>
                <w:rFonts w:ascii="Arial" w:hAnsi="Arial" w:cs="Arial"/>
                <w:bCs/>
                <w:sz w:val="20"/>
              </w:rPr>
              <w:t xml:space="preserve">it is to be expected that there will be cost-savings from introducing outpatient management of low risk PE (2). </w:t>
            </w:r>
          </w:p>
          <w:p w14:paraId="109F83B2" w14:textId="77777777" w:rsidR="00F17CA5" w:rsidRPr="00F17CA5" w:rsidRDefault="00F17CA5" w:rsidP="00F17CA5">
            <w:pPr>
              <w:autoSpaceDE w:val="0"/>
              <w:autoSpaceDN w:val="0"/>
              <w:adjustRightInd w:val="0"/>
              <w:rPr>
                <w:rFonts w:ascii="Arial" w:hAnsi="Arial" w:cs="Arial"/>
                <w:bCs/>
                <w:sz w:val="20"/>
              </w:rPr>
            </w:pPr>
          </w:p>
          <w:p w14:paraId="528BFF57" w14:textId="77777777" w:rsidR="00F17CA5" w:rsidRPr="00F17CA5" w:rsidRDefault="00F17CA5" w:rsidP="00F17CA5">
            <w:pPr>
              <w:autoSpaceDE w:val="0"/>
              <w:autoSpaceDN w:val="0"/>
              <w:adjustRightInd w:val="0"/>
              <w:rPr>
                <w:rFonts w:ascii="Arial" w:hAnsi="Arial" w:cs="Arial"/>
                <w:bCs/>
                <w:sz w:val="20"/>
              </w:rPr>
            </w:pPr>
            <w:r w:rsidRPr="00F17CA5">
              <w:rPr>
                <w:rFonts w:ascii="Arial" w:hAnsi="Arial" w:cs="Arial"/>
                <w:bCs/>
                <w:sz w:val="20"/>
              </w:rPr>
              <w:t>This study (2) conducted in Sweden, reported that the total cost per patient was 8293 EUR in the inpatient group, and 2176 EUR in the outpatient group (p &lt; 0.001).</w:t>
            </w:r>
          </w:p>
          <w:p w14:paraId="5FCF859A" w14:textId="77777777" w:rsidR="00F17CA5" w:rsidRPr="00F17CA5" w:rsidRDefault="00F17CA5" w:rsidP="00F17CA5">
            <w:pPr>
              <w:autoSpaceDE w:val="0"/>
              <w:autoSpaceDN w:val="0"/>
              <w:adjustRightInd w:val="0"/>
              <w:rPr>
                <w:rFonts w:ascii="Arial" w:hAnsi="Arial" w:cs="Arial"/>
                <w:bCs/>
                <w:sz w:val="20"/>
              </w:rPr>
            </w:pPr>
          </w:p>
          <w:p w14:paraId="37453E8F" w14:textId="77777777" w:rsidR="00F17CA5" w:rsidRPr="00F17CA5" w:rsidRDefault="00F17CA5" w:rsidP="00F17CA5">
            <w:pPr>
              <w:autoSpaceDE w:val="0"/>
              <w:autoSpaceDN w:val="0"/>
              <w:adjustRightInd w:val="0"/>
              <w:rPr>
                <w:rFonts w:ascii="Arial" w:hAnsi="Arial" w:cs="Arial"/>
                <w:i/>
                <w:iCs/>
                <w:sz w:val="20"/>
              </w:rPr>
            </w:pPr>
            <w:r w:rsidRPr="00F17CA5">
              <w:rPr>
                <w:rFonts w:ascii="Arial" w:hAnsi="Arial" w:cs="Arial"/>
                <w:bCs/>
                <w:sz w:val="20"/>
              </w:rPr>
              <w:t>Further, and taken directly from this publication (2): “</w:t>
            </w:r>
            <w:r w:rsidRPr="00F17CA5">
              <w:rPr>
                <w:rFonts w:ascii="Arial" w:hAnsi="Arial" w:cs="Arial"/>
                <w:i/>
                <w:iCs/>
                <w:sz w:val="20"/>
              </w:rPr>
              <w:t xml:space="preserve">The use of LMH injections during institution of warfarin treatment is associated with prolonged hospital stay. As this is not necessary for treatment with rivaroxaban or apixaban, use of these DOAC might potentially have further beneficial effects on costs. </w:t>
            </w:r>
          </w:p>
          <w:p w14:paraId="767DD714" w14:textId="77777777" w:rsidR="00F17CA5" w:rsidRPr="00F17CA5" w:rsidRDefault="00F17CA5" w:rsidP="00F17CA5">
            <w:pPr>
              <w:autoSpaceDE w:val="0"/>
              <w:autoSpaceDN w:val="0"/>
              <w:adjustRightInd w:val="0"/>
              <w:rPr>
                <w:rFonts w:ascii="Arial" w:hAnsi="Arial" w:cs="Arial"/>
                <w:i/>
                <w:iCs/>
                <w:sz w:val="20"/>
              </w:rPr>
            </w:pPr>
          </w:p>
          <w:p w14:paraId="54B10004" w14:textId="77777777" w:rsidR="00F17CA5" w:rsidRPr="00F17CA5" w:rsidRDefault="00F17CA5" w:rsidP="00F17CA5">
            <w:pPr>
              <w:autoSpaceDE w:val="0"/>
              <w:autoSpaceDN w:val="0"/>
              <w:adjustRightInd w:val="0"/>
              <w:rPr>
                <w:rFonts w:ascii="Arial" w:hAnsi="Arial" w:cs="Arial"/>
                <w:i/>
                <w:iCs/>
                <w:sz w:val="20"/>
              </w:rPr>
            </w:pPr>
            <w:r w:rsidRPr="00F17CA5">
              <w:rPr>
                <w:rFonts w:ascii="Arial" w:hAnsi="Arial" w:cs="Arial"/>
                <w:i/>
                <w:iCs/>
                <w:sz w:val="20"/>
              </w:rPr>
              <w:t xml:space="preserve">Coleman et al  showed that rivaroxaban use was associated with a 1.36-day shorter length of stay (LOS) and 2304 USD reduction in total costs compared to parenteral bridging during institution of warfarin. Furthermore, this cost reduction was achieved without increasing the short-term risk of readmission for VTE or major bleeding. </w:t>
            </w:r>
          </w:p>
          <w:p w14:paraId="255A8D12" w14:textId="77777777" w:rsidR="00F17CA5" w:rsidRPr="00F17CA5" w:rsidRDefault="00F17CA5" w:rsidP="00F17CA5">
            <w:pPr>
              <w:autoSpaceDE w:val="0"/>
              <w:autoSpaceDN w:val="0"/>
              <w:adjustRightInd w:val="0"/>
              <w:rPr>
                <w:rFonts w:ascii="Arial" w:hAnsi="Arial" w:cs="Arial"/>
                <w:i/>
                <w:iCs/>
                <w:sz w:val="20"/>
              </w:rPr>
            </w:pPr>
          </w:p>
          <w:p w14:paraId="1DE2A96F" w14:textId="77777777" w:rsidR="00F17CA5" w:rsidRPr="00F17CA5" w:rsidRDefault="00F17CA5" w:rsidP="00F17CA5">
            <w:pPr>
              <w:autoSpaceDE w:val="0"/>
              <w:autoSpaceDN w:val="0"/>
              <w:adjustRightInd w:val="0"/>
              <w:rPr>
                <w:rFonts w:ascii="Arial" w:hAnsi="Arial" w:cs="Arial"/>
                <w:i/>
                <w:iCs/>
                <w:sz w:val="20"/>
              </w:rPr>
            </w:pPr>
            <w:r w:rsidRPr="00F17CA5">
              <w:rPr>
                <w:rFonts w:ascii="Arial" w:hAnsi="Arial" w:cs="Arial"/>
                <w:i/>
                <w:iCs/>
                <w:sz w:val="20"/>
              </w:rPr>
              <w:t>Similarly, Bookhart and colleagues evaluated the impact of rivaroxaban on LOS among 321 hospitalized acute PE patients recruited into EINSTEIN PE in North America. In these patients, rivaroxaban use resulted in a 1.7-day mean reduction in LOS compared with enoxaparin and vitamin K antagonists, enabling a reduction of total hospital costs of 3000 USD per patient.”</w:t>
            </w:r>
          </w:p>
          <w:p w14:paraId="1B8ABC27" w14:textId="77777777" w:rsidR="00F17CA5" w:rsidRPr="00F17CA5" w:rsidRDefault="00F17CA5" w:rsidP="00F17CA5">
            <w:pPr>
              <w:pStyle w:val="Paragraphnonumbers"/>
              <w:rPr>
                <w:rFonts w:cs="Arial"/>
                <w:bCs/>
                <w:sz w:val="20"/>
                <w:szCs w:val="20"/>
              </w:rPr>
            </w:pPr>
          </w:p>
          <w:p w14:paraId="3460D9D1" w14:textId="77777777" w:rsidR="00F17CA5" w:rsidRPr="00F17CA5" w:rsidRDefault="00F17CA5" w:rsidP="00CC7094">
            <w:pPr>
              <w:pStyle w:val="Paragraphnonumbers"/>
              <w:numPr>
                <w:ilvl w:val="2"/>
                <w:numId w:val="24"/>
              </w:numPr>
              <w:rPr>
                <w:rFonts w:cs="Arial"/>
                <w:bCs/>
                <w:sz w:val="20"/>
                <w:szCs w:val="20"/>
              </w:rPr>
            </w:pPr>
            <w:r w:rsidRPr="00F17CA5">
              <w:rPr>
                <w:rFonts w:cs="Arial"/>
                <w:bCs/>
                <w:sz w:val="20"/>
                <w:szCs w:val="20"/>
              </w:rPr>
              <w:t>Barco S, et al. Early discharge and home treatment of patients with low-risk pulmonary embolism with the oral factor Xa inhibitor rivaroxaban: an international multicentre single-arm clinical trial, European Heart Journal, Volume 41, Issue 4, 21 January 2020, Pages 509–518</w:t>
            </w:r>
          </w:p>
          <w:p w14:paraId="029102DE" w14:textId="77777777" w:rsidR="00F17CA5" w:rsidRPr="00F17CA5" w:rsidRDefault="00F17CA5" w:rsidP="00CC7094">
            <w:pPr>
              <w:pStyle w:val="Paragraphnonumbers"/>
              <w:numPr>
                <w:ilvl w:val="2"/>
                <w:numId w:val="24"/>
              </w:numPr>
              <w:rPr>
                <w:rFonts w:cs="Arial"/>
                <w:bCs/>
                <w:sz w:val="20"/>
                <w:szCs w:val="20"/>
              </w:rPr>
            </w:pPr>
            <w:r w:rsidRPr="00F17CA5">
              <w:rPr>
                <w:rFonts w:cs="Arial"/>
                <w:bCs/>
                <w:sz w:val="20"/>
                <w:szCs w:val="20"/>
              </w:rPr>
              <w:lastRenderedPageBreak/>
              <w:t>Ghazvinian et al. Outpatient Treatment in Low-Risk Pulmonary Embolism Patients Receiving Direct Acting Oral Anticoagulants Is Associated With Cost Savings. Clinical and Applied Thrombosis/Hemostasis. 2020. Volume 26: 1-8. DOI: 10.1177/1076029620937352</w:t>
            </w:r>
          </w:p>
          <w:p w14:paraId="480FE66F" w14:textId="77777777" w:rsidR="00F17CA5" w:rsidRPr="00F17CA5" w:rsidRDefault="00F17CA5" w:rsidP="00F17CA5">
            <w:pPr>
              <w:pStyle w:val="TableText1"/>
              <w:rPr>
                <w:rFonts w:cs="Arial"/>
              </w:rPr>
            </w:pPr>
          </w:p>
        </w:tc>
      </w:tr>
      <w:tr w:rsidR="006A7CC2" w:rsidRPr="00660F4E" w14:paraId="18B024CD" w14:textId="77777777" w:rsidTr="002A4C17">
        <w:tc>
          <w:tcPr>
            <w:tcW w:w="675" w:type="dxa"/>
          </w:tcPr>
          <w:p w14:paraId="3EEE10C7" w14:textId="0D91B8DD" w:rsidR="006A7CC2" w:rsidRPr="00660F4E" w:rsidRDefault="003D0EF7" w:rsidP="002A4C17">
            <w:pPr>
              <w:pStyle w:val="TableText1"/>
            </w:pPr>
            <w:r>
              <w:lastRenderedPageBreak/>
              <w:t>3</w:t>
            </w:r>
          </w:p>
        </w:tc>
        <w:tc>
          <w:tcPr>
            <w:tcW w:w="2552" w:type="dxa"/>
          </w:tcPr>
          <w:p w14:paraId="7A3ED059" w14:textId="77777777" w:rsidR="00CC7094" w:rsidRDefault="00CC7094" w:rsidP="00CC7094">
            <w:pPr>
              <w:pStyle w:val="TableText1"/>
            </w:pPr>
            <w:r>
              <w:t>Bayer</w:t>
            </w:r>
          </w:p>
          <w:p w14:paraId="4E0674F0" w14:textId="77777777" w:rsidR="006A7CC2" w:rsidRPr="006A7CC2" w:rsidRDefault="006A7CC2" w:rsidP="006A7CC2">
            <w:pPr>
              <w:pStyle w:val="TableText1"/>
              <w:rPr>
                <w:highlight w:val="lightGray"/>
              </w:rPr>
            </w:pPr>
          </w:p>
        </w:tc>
        <w:tc>
          <w:tcPr>
            <w:tcW w:w="1417" w:type="dxa"/>
          </w:tcPr>
          <w:p w14:paraId="68C10270" w14:textId="037C16C8" w:rsidR="006A7CC2" w:rsidRPr="00F17CA5" w:rsidRDefault="00F17CA5" w:rsidP="002A4C17">
            <w:pPr>
              <w:pStyle w:val="TableText1"/>
            </w:pPr>
            <w:r w:rsidRPr="00F17CA5">
              <w:t>Statements 1, 4 and 5</w:t>
            </w:r>
          </w:p>
        </w:tc>
        <w:tc>
          <w:tcPr>
            <w:tcW w:w="10632" w:type="dxa"/>
          </w:tcPr>
          <w:p w14:paraId="16942B14" w14:textId="77777777" w:rsidR="00F17CA5" w:rsidRPr="00AC385B" w:rsidRDefault="00F17CA5" w:rsidP="00F17CA5">
            <w:pPr>
              <w:pStyle w:val="Paragraphnonumbers"/>
              <w:spacing w:after="0"/>
              <w:rPr>
                <w:rFonts w:cs="Arial"/>
                <w:sz w:val="20"/>
                <w:szCs w:val="20"/>
              </w:rPr>
            </w:pPr>
            <w:r w:rsidRPr="00AC385B">
              <w:rPr>
                <w:rFonts w:cs="Arial"/>
                <w:sz w:val="20"/>
                <w:szCs w:val="20"/>
              </w:rPr>
              <w:t>Bayer supports the inclusion of guidance for healthcare professionals to ensure that patients are given written and verbal information about their treatment. This is also in line with the principles of shared decision making (1).</w:t>
            </w:r>
          </w:p>
          <w:p w14:paraId="4D4551AA" w14:textId="77777777" w:rsidR="00F17CA5" w:rsidRPr="00AC385B" w:rsidRDefault="00F17CA5" w:rsidP="00F17CA5">
            <w:pPr>
              <w:pStyle w:val="Paragraphnonumbers"/>
              <w:spacing w:after="0"/>
              <w:rPr>
                <w:rFonts w:cs="Arial"/>
                <w:sz w:val="20"/>
                <w:szCs w:val="20"/>
              </w:rPr>
            </w:pPr>
          </w:p>
          <w:p w14:paraId="73169729" w14:textId="77777777" w:rsidR="00F17CA5" w:rsidRPr="00AC385B" w:rsidRDefault="00F17CA5" w:rsidP="00CC7094">
            <w:pPr>
              <w:pStyle w:val="Paragraphnonumbers"/>
              <w:numPr>
                <w:ilvl w:val="2"/>
                <w:numId w:val="25"/>
              </w:numPr>
              <w:spacing w:after="0"/>
              <w:rPr>
                <w:rFonts w:cs="Arial"/>
                <w:sz w:val="20"/>
                <w:szCs w:val="20"/>
              </w:rPr>
            </w:pPr>
            <w:r w:rsidRPr="00AC385B">
              <w:rPr>
                <w:rFonts w:cs="Arial"/>
                <w:sz w:val="20"/>
                <w:szCs w:val="20"/>
              </w:rPr>
              <w:t xml:space="preserve">NICE. Shared decision making. </w:t>
            </w:r>
            <w:hyperlink r:id="rId23" w:history="1">
              <w:r w:rsidRPr="00AC385B">
                <w:rPr>
                  <w:rStyle w:val="Hyperlink"/>
                  <w:rFonts w:cs="Arial"/>
                  <w:sz w:val="20"/>
                  <w:szCs w:val="20"/>
                </w:rPr>
                <w:t>https://www.nice.org.uk/about/what-we-do/our-programmes/nice-guidance/nice-guidelines/shared-decision-making</w:t>
              </w:r>
            </w:hyperlink>
          </w:p>
          <w:p w14:paraId="4F876811" w14:textId="77777777" w:rsidR="006A7CC2" w:rsidRPr="00660F4E" w:rsidRDefault="006A7CC2" w:rsidP="002A4C17">
            <w:pPr>
              <w:pStyle w:val="TableText1"/>
            </w:pPr>
          </w:p>
        </w:tc>
      </w:tr>
      <w:tr w:rsidR="00CC7094" w:rsidRPr="00660F4E" w14:paraId="0D48CD07" w14:textId="77777777" w:rsidTr="002A4C17">
        <w:tc>
          <w:tcPr>
            <w:tcW w:w="675" w:type="dxa"/>
          </w:tcPr>
          <w:p w14:paraId="1EAA0D1A" w14:textId="2A6DA99D" w:rsidR="00CC7094" w:rsidRDefault="003D0EF7" w:rsidP="002A4C17">
            <w:pPr>
              <w:pStyle w:val="TableText1"/>
            </w:pPr>
            <w:r>
              <w:t>4</w:t>
            </w:r>
          </w:p>
        </w:tc>
        <w:tc>
          <w:tcPr>
            <w:tcW w:w="2552" w:type="dxa"/>
          </w:tcPr>
          <w:p w14:paraId="56CBEDBA" w14:textId="77777777" w:rsidR="00CC7094" w:rsidRDefault="00CC7094" w:rsidP="00CC7094">
            <w:pPr>
              <w:pStyle w:val="TableText1"/>
            </w:pPr>
            <w:r>
              <w:t>Bayer</w:t>
            </w:r>
          </w:p>
          <w:p w14:paraId="7CC560AE" w14:textId="77777777" w:rsidR="00CC7094" w:rsidRPr="006A7CC2" w:rsidRDefault="00CC7094" w:rsidP="006A7CC2">
            <w:pPr>
              <w:pStyle w:val="TableText1"/>
              <w:rPr>
                <w:highlight w:val="lightGray"/>
              </w:rPr>
            </w:pPr>
          </w:p>
        </w:tc>
        <w:tc>
          <w:tcPr>
            <w:tcW w:w="1417" w:type="dxa"/>
          </w:tcPr>
          <w:p w14:paraId="3B1AE2EE" w14:textId="1C97E943" w:rsidR="00CC7094" w:rsidRPr="00F17CA5" w:rsidRDefault="00CC7094" w:rsidP="002A4C17">
            <w:pPr>
              <w:pStyle w:val="TableText1"/>
            </w:pPr>
            <w:r w:rsidRPr="00AC385B">
              <w:rPr>
                <w:rFonts w:cs="Arial"/>
              </w:rPr>
              <w:t>Statements 1-5</w:t>
            </w:r>
          </w:p>
        </w:tc>
        <w:tc>
          <w:tcPr>
            <w:tcW w:w="10632" w:type="dxa"/>
          </w:tcPr>
          <w:p w14:paraId="7480CBFF" w14:textId="77777777" w:rsidR="00CC7094" w:rsidRPr="00CC7094" w:rsidRDefault="00CC7094" w:rsidP="00CC7094">
            <w:pPr>
              <w:pStyle w:val="Paragraphnonumbers"/>
              <w:rPr>
                <w:rFonts w:cs="Arial"/>
                <w:sz w:val="20"/>
                <w:szCs w:val="20"/>
              </w:rPr>
            </w:pPr>
            <w:r w:rsidRPr="00CC7094">
              <w:rPr>
                <w:rFonts w:cs="Arial"/>
                <w:sz w:val="20"/>
                <w:szCs w:val="20"/>
              </w:rPr>
              <w:t>Bayer welcomes the inclusion of guidance for commissioners to:</w:t>
            </w:r>
          </w:p>
          <w:p w14:paraId="0C1EDD44" w14:textId="77777777" w:rsidR="00CC7094" w:rsidRPr="00CC7094" w:rsidRDefault="00CC7094" w:rsidP="00CC7094">
            <w:pPr>
              <w:pStyle w:val="Paragraphnonumbers"/>
              <w:rPr>
                <w:rFonts w:cs="Arial"/>
                <w:sz w:val="20"/>
                <w:szCs w:val="20"/>
              </w:rPr>
            </w:pPr>
            <w:r w:rsidRPr="00CC7094">
              <w:rPr>
                <w:rFonts w:cs="Arial"/>
                <w:sz w:val="20"/>
                <w:szCs w:val="20"/>
              </w:rPr>
              <w:t>•</w:t>
            </w:r>
            <w:r w:rsidRPr="00CC7094">
              <w:rPr>
                <w:rFonts w:cs="Arial"/>
                <w:sz w:val="20"/>
                <w:szCs w:val="20"/>
              </w:rPr>
              <w:tab/>
              <w:t xml:space="preserve">ensure that services have written clinical protocols/ referral pathways/ systems in place </w:t>
            </w:r>
          </w:p>
          <w:p w14:paraId="118097B6" w14:textId="466E0F97" w:rsidR="00CC7094" w:rsidRPr="00AC385B" w:rsidRDefault="00CC7094" w:rsidP="00CC7094">
            <w:pPr>
              <w:pStyle w:val="Paragraphnonumbers"/>
              <w:rPr>
                <w:rFonts w:cs="Arial"/>
                <w:sz w:val="20"/>
                <w:szCs w:val="20"/>
              </w:rPr>
            </w:pPr>
            <w:r w:rsidRPr="00CC7094">
              <w:rPr>
                <w:rFonts w:cs="Arial"/>
                <w:sz w:val="20"/>
                <w:szCs w:val="20"/>
              </w:rPr>
              <w:t>•</w:t>
            </w:r>
            <w:r w:rsidRPr="00CC7094">
              <w:rPr>
                <w:rFonts w:cs="Arial"/>
                <w:sz w:val="20"/>
                <w:szCs w:val="20"/>
              </w:rPr>
              <w:tab/>
              <w:t>ensure that services have prescribing systems, equipment, healthcare professionals, capacity and resources available to deliver the services.</w:t>
            </w:r>
          </w:p>
        </w:tc>
      </w:tr>
      <w:tr w:rsidR="006A7CC2" w:rsidRPr="00660F4E" w14:paraId="1BD75938" w14:textId="77777777" w:rsidTr="002A4C17">
        <w:tc>
          <w:tcPr>
            <w:tcW w:w="675" w:type="dxa"/>
          </w:tcPr>
          <w:p w14:paraId="38809108" w14:textId="4C10AFC5" w:rsidR="006A7CC2" w:rsidRPr="00660F4E" w:rsidRDefault="003D0EF7" w:rsidP="002A4C17">
            <w:pPr>
              <w:pStyle w:val="TableText1"/>
            </w:pPr>
            <w:r>
              <w:t>5</w:t>
            </w:r>
          </w:p>
        </w:tc>
        <w:tc>
          <w:tcPr>
            <w:tcW w:w="2552" w:type="dxa"/>
          </w:tcPr>
          <w:p w14:paraId="3748C177" w14:textId="29AE3993" w:rsidR="006A7CC2" w:rsidRPr="006A7CC2" w:rsidRDefault="00E46790" w:rsidP="002A4C17">
            <w:pPr>
              <w:pStyle w:val="TableText1"/>
              <w:rPr>
                <w:highlight w:val="lightGray"/>
              </w:rPr>
            </w:pPr>
            <w:r w:rsidRPr="00E46790">
              <w:t>Bayer</w:t>
            </w:r>
          </w:p>
        </w:tc>
        <w:tc>
          <w:tcPr>
            <w:tcW w:w="1417" w:type="dxa"/>
          </w:tcPr>
          <w:p w14:paraId="7D32B8BC" w14:textId="44C78B79" w:rsidR="006A7CC2" w:rsidRPr="006A7CC2" w:rsidRDefault="00F17CA5" w:rsidP="002A4C17">
            <w:pPr>
              <w:pStyle w:val="TableText1"/>
              <w:rPr>
                <w:highlight w:val="lightGray"/>
              </w:rPr>
            </w:pPr>
            <w:r w:rsidRPr="00F17CA5">
              <w:t>Statement 4</w:t>
            </w:r>
          </w:p>
        </w:tc>
        <w:tc>
          <w:tcPr>
            <w:tcW w:w="10632" w:type="dxa"/>
          </w:tcPr>
          <w:p w14:paraId="02DC0822" w14:textId="77777777" w:rsidR="00F17CA5" w:rsidRDefault="00F17CA5" w:rsidP="00F17CA5">
            <w:pPr>
              <w:pStyle w:val="TableText1"/>
            </w:pPr>
            <w:r>
              <w:t>•</w:t>
            </w:r>
            <w:r>
              <w:tab/>
              <w:t>People aged 18 and over taking anticoagulation treatment after a VTE have a review after 3 months and then at least once a year if they continue to take it long-term. [2013, updated 2021]</w:t>
            </w:r>
          </w:p>
          <w:p w14:paraId="4E30A4EB" w14:textId="77777777" w:rsidR="00F17CA5" w:rsidRDefault="00F17CA5" w:rsidP="00F17CA5">
            <w:pPr>
              <w:pStyle w:val="TableText1"/>
            </w:pPr>
          </w:p>
          <w:p w14:paraId="3B33976D" w14:textId="77777777" w:rsidR="00F17CA5" w:rsidRDefault="00F17CA5" w:rsidP="00F17CA5">
            <w:pPr>
              <w:pStyle w:val="TableText1"/>
            </w:pPr>
            <w:r>
              <w:t>Bayer welcome the quality statement advocating review of anticoagulant treatment after a VTE but consider there should be a review at 3 months, 6 months and then yearly if treatment is continued long-term. This is due to the need to potentially review the dose at 6 months. For example, the Xarelto summary of product characteristics (SPC) (1) states the following:</w:t>
            </w:r>
          </w:p>
          <w:p w14:paraId="45450917" w14:textId="77777777" w:rsidR="00F17CA5" w:rsidRDefault="00F17CA5" w:rsidP="00F17CA5">
            <w:pPr>
              <w:pStyle w:val="TableText1"/>
            </w:pPr>
          </w:p>
          <w:p w14:paraId="047A7EB1" w14:textId="77777777" w:rsidR="00F17CA5" w:rsidRDefault="00F17CA5" w:rsidP="00F17CA5">
            <w:pPr>
              <w:pStyle w:val="TableText1"/>
            </w:pPr>
            <w:r>
              <w:t xml:space="preserve">Treatment of DVT, treatment of PE and prevention of recurrent DVT and PE </w:t>
            </w:r>
          </w:p>
          <w:p w14:paraId="6A5AFCC7" w14:textId="77777777" w:rsidR="00F17CA5" w:rsidRDefault="00F17CA5" w:rsidP="00F17CA5">
            <w:pPr>
              <w:pStyle w:val="TableText1"/>
            </w:pPr>
            <w:r>
              <w:t xml:space="preserve">The recommended dose for the initial treatment of acute DVT or PE is 15 mg twice daily for the first three weeks followed by 20 mg once daily for the continued treatment and prevention of recurrent DVT and PE. </w:t>
            </w:r>
          </w:p>
          <w:p w14:paraId="3FA04C23" w14:textId="77777777" w:rsidR="00F17CA5" w:rsidRDefault="00F17CA5" w:rsidP="00F17CA5">
            <w:pPr>
              <w:pStyle w:val="TableText1"/>
            </w:pPr>
          </w:p>
          <w:p w14:paraId="0395BF7F" w14:textId="77777777" w:rsidR="00F17CA5" w:rsidRDefault="00F17CA5" w:rsidP="00F17CA5">
            <w:pPr>
              <w:pStyle w:val="TableText1"/>
            </w:pPr>
            <w:r>
              <w:t xml:space="preserve">Short duration of therapy (at least 3 months) should be considered in patients with DVT or PE provoked by major transient risk factors (i.e. recent major surgery or trauma). Longer duration of therapy should be considered in patients with provoked DVT or PE not related to major transient risk factors, unprovoked DVT or PE, or a history of recurrent DVT or PE. </w:t>
            </w:r>
          </w:p>
          <w:p w14:paraId="22E02A61" w14:textId="77777777" w:rsidR="00F17CA5" w:rsidRDefault="00F17CA5" w:rsidP="00F17CA5">
            <w:pPr>
              <w:pStyle w:val="TableText1"/>
            </w:pPr>
          </w:p>
          <w:p w14:paraId="0CC68A68" w14:textId="77777777" w:rsidR="00F17CA5" w:rsidRDefault="00F17CA5" w:rsidP="00F17CA5">
            <w:pPr>
              <w:pStyle w:val="TableText1"/>
            </w:pPr>
            <w:r>
              <w:t>When extended prevention of recurrent DVT and PE is indicated (following completion of at least 6 months therapy for DVT or PE), the recommended dose is 10 mg once daily. In patients in whom the risk of recurrent DVT or PE is considered high, such as those with complicated comorbidities, or who have developed recurrent DVT or PE on extended prevention with Xarelto 10 mg once daily, a dose of Xarelto 20 mg once daily should be considered</w:t>
            </w:r>
          </w:p>
          <w:p w14:paraId="37B86FFA" w14:textId="77777777" w:rsidR="00F17CA5" w:rsidRDefault="00F17CA5" w:rsidP="00F17CA5">
            <w:pPr>
              <w:pStyle w:val="TableText1"/>
            </w:pPr>
          </w:p>
          <w:p w14:paraId="39ACAC80" w14:textId="77777777" w:rsidR="00F17CA5" w:rsidRDefault="00F17CA5" w:rsidP="00F17CA5">
            <w:pPr>
              <w:pStyle w:val="TableText1"/>
            </w:pPr>
            <w:r>
              <w:t xml:space="preserve">There are dose adjustments recommended in other DOAC SPCs following completion of at least 6 months therapy for DVT or PE. </w:t>
            </w:r>
          </w:p>
          <w:p w14:paraId="30628CCF" w14:textId="77777777" w:rsidR="00F17CA5" w:rsidRDefault="00F17CA5" w:rsidP="00F17CA5">
            <w:pPr>
              <w:pStyle w:val="TableText1"/>
            </w:pPr>
          </w:p>
          <w:p w14:paraId="4FC0A0AA" w14:textId="77777777" w:rsidR="00F17CA5" w:rsidRDefault="00F17CA5" w:rsidP="00F17CA5">
            <w:pPr>
              <w:pStyle w:val="TableText1"/>
            </w:pPr>
          </w:p>
          <w:p w14:paraId="2BE06DD4" w14:textId="77777777" w:rsidR="00F17CA5" w:rsidRDefault="00F17CA5" w:rsidP="00F17CA5">
            <w:pPr>
              <w:pStyle w:val="TableText1"/>
            </w:pPr>
            <w:r>
              <w:t>1.</w:t>
            </w:r>
            <w:r>
              <w:tab/>
              <w:t>https://www.medicines.org.uk/emc/product/2793/smpc</w:t>
            </w:r>
          </w:p>
          <w:p w14:paraId="5BE23036" w14:textId="77777777" w:rsidR="00F17CA5" w:rsidRDefault="00F17CA5" w:rsidP="00F17CA5">
            <w:pPr>
              <w:pStyle w:val="TableText1"/>
            </w:pPr>
          </w:p>
          <w:p w14:paraId="1DE60194" w14:textId="77777777" w:rsidR="006A7CC2" w:rsidRPr="00660F4E" w:rsidRDefault="006A7CC2" w:rsidP="002A4C17">
            <w:pPr>
              <w:pStyle w:val="TableText1"/>
            </w:pPr>
          </w:p>
        </w:tc>
      </w:tr>
    </w:tbl>
    <w:p w14:paraId="334C4C2F" w14:textId="1C0227D0" w:rsidR="00DE1D71" w:rsidRPr="00FC11EC" w:rsidRDefault="00DE1D71" w:rsidP="00DE1D71">
      <w:pPr>
        <w:pStyle w:val="Heading1"/>
      </w:pPr>
    </w:p>
    <w:sectPr w:rsidR="00DE1D71" w:rsidRPr="00FC11EC"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F36A7" w14:textId="77777777" w:rsidR="0071228A" w:rsidRDefault="0071228A">
      <w:r>
        <w:separator/>
      </w:r>
    </w:p>
  </w:endnote>
  <w:endnote w:type="continuationSeparator" w:id="0">
    <w:p w14:paraId="01C4E85F" w14:textId="77777777" w:rsidR="0071228A" w:rsidRDefault="0071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1E08" w14:textId="77777777" w:rsidR="00812E31" w:rsidRDefault="00812E31">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0B5F23AD" w14:textId="77777777" w:rsidR="00812E31" w:rsidRDefault="00812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7D9B" w14:textId="77777777" w:rsidR="00812E31" w:rsidRPr="00523D57" w:rsidRDefault="00812E31">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20C37BA7" w14:textId="77777777" w:rsidR="00812E31" w:rsidRDefault="00812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FB78F" w14:textId="77777777" w:rsidR="0071228A" w:rsidRDefault="0071228A">
      <w:r>
        <w:separator/>
      </w:r>
    </w:p>
  </w:footnote>
  <w:footnote w:type="continuationSeparator" w:id="0">
    <w:p w14:paraId="11791185" w14:textId="77777777" w:rsidR="0071228A" w:rsidRDefault="0071228A">
      <w:r>
        <w:continuationSeparator/>
      </w:r>
    </w:p>
  </w:footnote>
  <w:footnote w:id="1">
    <w:p w14:paraId="60201949" w14:textId="77777777" w:rsidR="00812E31" w:rsidRDefault="00812E31">
      <w:pPr>
        <w:pStyle w:val="FootnoteText"/>
      </w:pPr>
      <w:r>
        <w:rPr>
          <w:rStyle w:val="FootnoteReference"/>
        </w:rPr>
        <w:footnoteRef/>
      </w:r>
      <w:r w:rsidRPr="0089346D">
        <w:rPr>
          <w:rFonts w:ascii="Arial" w:hAnsi="Arial" w:cs="Arial"/>
        </w:rPr>
        <w:t xml:space="preserve">PLEASE NOTE: Comments received in the course of consultations carried out by NICE are published in the interests of openness and transparency, and to promote understanding of how quality standards are developed. The comments are published as a record of the submissions that </w:t>
      </w:r>
      <w:r>
        <w:rPr>
          <w:rFonts w:ascii="Arial" w:hAnsi="Arial" w:cs="Arial"/>
        </w:rPr>
        <w:t>NICE</w:t>
      </w:r>
      <w:r w:rsidRPr="0089346D">
        <w:rPr>
          <w:rFonts w:ascii="Arial" w:hAnsi="Arial" w:cs="Arial"/>
        </w:rPr>
        <w:t xml:space="preserve"> has received, and are not endorsed by NICE, its </w:t>
      </w:r>
      <w:r>
        <w:rPr>
          <w:rFonts w:ascii="Arial" w:hAnsi="Arial" w:cs="Arial"/>
        </w:rPr>
        <w:t>staff</w:t>
      </w:r>
      <w:r w:rsidRPr="0089346D">
        <w:rPr>
          <w:rFonts w:ascii="Arial" w:hAnsi="Arial" w:cs="Arial"/>
        </w:rPr>
        <w:t xml:space="preserve"> or </w:t>
      </w:r>
      <w:r>
        <w:rPr>
          <w:rFonts w:ascii="Arial" w:hAnsi="Arial" w:cs="Arial"/>
        </w:rPr>
        <w:t xml:space="preserve">its </w:t>
      </w:r>
      <w:r w:rsidRPr="0089346D">
        <w:rPr>
          <w:rFonts w:ascii="Arial" w:hAnsi="Arial" w:cs="Arial"/>
        </w:rPr>
        <w:t>advisory committees.</w:t>
      </w:r>
    </w:p>
  </w:footnote>
  <w:footnote w:id="2">
    <w:p w14:paraId="4A76F157" w14:textId="77777777" w:rsidR="00812E31" w:rsidRDefault="00812E31" w:rsidP="006A7CC2">
      <w:pPr>
        <w:pStyle w:val="FootnoteText"/>
      </w:pPr>
      <w:r>
        <w:rPr>
          <w:rStyle w:val="FootnoteReference"/>
        </w:rPr>
        <w:footnoteRef/>
      </w:r>
      <w:r w:rsidRPr="0089346D">
        <w:rPr>
          <w:rFonts w:ascii="Arial" w:hAnsi="Arial" w:cs="Arial"/>
        </w:rPr>
        <w:t xml:space="preserve">PLEASE NOTE: Comments received in the course of consultations carried out by NICE are published in the interests of openness and transparency, and to promote understanding of how quality standards are developed. The comments are published as a record of the submissions that </w:t>
      </w:r>
      <w:r>
        <w:rPr>
          <w:rFonts w:ascii="Arial" w:hAnsi="Arial" w:cs="Arial"/>
        </w:rPr>
        <w:t>NICE</w:t>
      </w:r>
      <w:r w:rsidRPr="0089346D">
        <w:rPr>
          <w:rFonts w:ascii="Arial" w:hAnsi="Arial" w:cs="Arial"/>
        </w:rPr>
        <w:t xml:space="preserve"> has received, and are not endorsed by NICE, its </w:t>
      </w:r>
      <w:r>
        <w:rPr>
          <w:rFonts w:ascii="Arial" w:hAnsi="Arial" w:cs="Arial"/>
        </w:rPr>
        <w:t>staff</w:t>
      </w:r>
      <w:r w:rsidRPr="0089346D">
        <w:rPr>
          <w:rFonts w:ascii="Arial" w:hAnsi="Arial" w:cs="Arial"/>
        </w:rPr>
        <w:t xml:space="preserve"> or </w:t>
      </w:r>
      <w:r>
        <w:rPr>
          <w:rFonts w:ascii="Arial" w:hAnsi="Arial" w:cs="Arial"/>
        </w:rPr>
        <w:t xml:space="preserve">its </w:t>
      </w:r>
      <w:r w:rsidRPr="0089346D">
        <w:rPr>
          <w:rFonts w:ascii="Arial" w:hAnsi="Arial" w:cs="Arial"/>
        </w:rPr>
        <w:t>advisory committees.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1138" w14:textId="77777777" w:rsidR="00812E31" w:rsidRDefault="00812E31" w:rsidP="003754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BF145D"/>
    <w:multiLevelType w:val="multilevel"/>
    <w:tmpl w:val="D98A41F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decimal"/>
      <w:lvlText w:val="%3."/>
      <w:lvlJc w:val="left"/>
      <w:pPr>
        <w:tabs>
          <w:tab w:val="num" w:pos="851"/>
        </w:tabs>
        <w:ind w:left="851" w:hanging="284"/>
      </w:pPr>
      <w:rPr>
        <w:color w:val="auto"/>
      </w:r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lowerLetter"/>
      <w:lvlText w:val="%8."/>
      <w:lvlJc w:val="left"/>
      <w:pPr>
        <w:tabs>
          <w:tab w:val="num" w:pos="3164"/>
        </w:tabs>
        <w:ind w:left="3164" w:hanging="360"/>
      </w:pPr>
    </w:lvl>
    <w:lvl w:ilvl="8">
      <w:start w:val="1"/>
      <w:numFmt w:val="lowerRoman"/>
      <w:lvlText w:val="%9."/>
      <w:lvlJc w:val="left"/>
      <w:pPr>
        <w:tabs>
          <w:tab w:val="num" w:pos="3524"/>
        </w:tabs>
        <w:ind w:left="3524" w:hanging="360"/>
      </w:p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0D045C"/>
    <w:multiLevelType w:val="hybridMultilevel"/>
    <w:tmpl w:val="0EE000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8" w15:restartNumberingAfterBreak="0">
    <w:nsid w:val="3F5436C1"/>
    <w:multiLevelType w:val="multilevel"/>
    <w:tmpl w:val="D98A41F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decimal"/>
      <w:lvlText w:val="%3."/>
      <w:lvlJc w:val="left"/>
      <w:pPr>
        <w:tabs>
          <w:tab w:val="num" w:pos="851"/>
        </w:tabs>
        <w:ind w:left="851" w:hanging="284"/>
      </w:pPr>
      <w:rPr>
        <w:color w:val="auto"/>
      </w:r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lowerLetter"/>
      <w:lvlText w:val="%8."/>
      <w:lvlJc w:val="left"/>
      <w:pPr>
        <w:tabs>
          <w:tab w:val="num" w:pos="3164"/>
        </w:tabs>
        <w:ind w:left="3164" w:hanging="360"/>
      </w:pPr>
    </w:lvl>
    <w:lvl w:ilvl="8">
      <w:start w:val="1"/>
      <w:numFmt w:val="lowerRoman"/>
      <w:lvlText w:val="%9."/>
      <w:lvlJc w:val="left"/>
      <w:pPr>
        <w:tabs>
          <w:tab w:val="num" w:pos="3524"/>
        </w:tabs>
        <w:ind w:left="3524" w:hanging="360"/>
      </w:pPr>
    </w:lvl>
  </w:abstractNum>
  <w:abstractNum w:abstractNumId="19"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6CA37CF2"/>
    <w:multiLevelType w:val="hybridMultilevel"/>
    <w:tmpl w:val="E2E62E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FBC424D"/>
    <w:multiLevelType w:val="hybridMultilevel"/>
    <w:tmpl w:val="C090014C"/>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start w:val="1"/>
      <w:numFmt w:val="bullet"/>
      <w:lvlText w:val=""/>
      <w:lvlJc w:val="left"/>
      <w:pPr>
        <w:ind w:left="2926" w:hanging="360"/>
      </w:pPr>
      <w:rPr>
        <w:rFonts w:ascii="Symbol" w:hAnsi="Symbol" w:hint="default"/>
      </w:rPr>
    </w:lvl>
    <w:lvl w:ilvl="4" w:tplc="08090003">
      <w:start w:val="1"/>
      <w:numFmt w:val="bullet"/>
      <w:lvlText w:val="o"/>
      <w:lvlJc w:val="left"/>
      <w:pPr>
        <w:ind w:left="3646" w:hanging="360"/>
      </w:pPr>
      <w:rPr>
        <w:rFonts w:ascii="Courier New" w:hAnsi="Courier New" w:cs="Courier New" w:hint="default"/>
      </w:rPr>
    </w:lvl>
    <w:lvl w:ilvl="5" w:tplc="08090005">
      <w:start w:val="1"/>
      <w:numFmt w:val="bullet"/>
      <w:lvlText w:val=""/>
      <w:lvlJc w:val="left"/>
      <w:pPr>
        <w:ind w:left="4366" w:hanging="360"/>
      </w:pPr>
      <w:rPr>
        <w:rFonts w:ascii="Wingdings" w:hAnsi="Wingdings" w:hint="default"/>
      </w:rPr>
    </w:lvl>
    <w:lvl w:ilvl="6" w:tplc="08090001">
      <w:start w:val="1"/>
      <w:numFmt w:val="bullet"/>
      <w:lvlText w:val=""/>
      <w:lvlJc w:val="left"/>
      <w:pPr>
        <w:ind w:left="5086" w:hanging="360"/>
      </w:pPr>
      <w:rPr>
        <w:rFonts w:ascii="Symbol" w:hAnsi="Symbol" w:hint="default"/>
      </w:rPr>
    </w:lvl>
    <w:lvl w:ilvl="7" w:tplc="08090003">
      <w:start w:val="1"/>
      <w:numFmt w:val="bullet"/>
      <w:lvlText w:val="o"/>
      <w:lvlJc w:val="left"/>
      <w:pPr>
        <w:ind w:left="5806" w:hanging="360"/>
      </w:pPr>
      <w:rPr>
        <w:rFonts w:ascii="Courier New" w:hAnsi="Courier New" w:cs="Courier New" w:hint="default"/>
      </w:rPr>
    </w:lvl>
    <w:lvl w:ilvl="8" w:tplc="08090005">
      <w:start w:val="1"/>
      <w:numFmt w:val="bullet"/>
      <w:lvlText w:val=""/>
      <w:lvlJc w:val="left"/>
      <w:pPr>
        <w:ind w:left="6526" w:hanging="360"/>
      </w:pPr>
      <w:rPr>
        <w:rFonts w:ascii="Wingdings" w:hAnsi="Wingdings" w:hint="default"/>
      </w:rPr>
    </w:lvl>
  </w:abstractNum>
  <w:abstractNum w:abstractNumId="2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2"/>
  </w:num>
  <w:num w:numId="3">
    <w:abstractNumId w:val="26"/>
  </w:num>
  <w:num w:numId="4">
    <w:abstractNumId w:val="19"/>
  </w:num>
  <w:num w:numId="5">
    <w:abstractNumId w:val="20"/>
  </w:num>
  <w:num w:numId="6">
    <w:abstractNumId w:val="4"/>
  </w:num>
  <w:num w:numId="7">
    <w:abstractNumId w:val="7"/>
  </w:num>
  <w:num w:numId="8">
    <w:abstractNumId w:val="14"/>
  </w:num>
  <w:num w:numId="9">
    <w:abstractNumId w:val="16"/>
  </w:num>
  <w:num w:numId="10">
    <w:abstractNumId w:val="22"/>
  </w:num>
  <w:num w:numId="11">
    <w:abstractNumId w:val="6"/>
  </w:num>
  <w:num w:numId="12">
    <w:abstractNumId w:val="25"/>
  </w:num>
  <w:num w:numId="13">
    <w:abstractNumId w:val="12"/>
  </w:num>
  <w:num w:numId="14">
    <w:abstractNumId w:val="21"/>
  </w:num>
  <w:num w:numId="15">
    <w:abstractNumId w:val="24"/>
  </w:num>
  <w:num w:numId="16">
    <w:abstractNumId w:val="9"/>
  </w:num>
  <w:num w:numId="17">
    <w:abstractNumId w:val="13"/>
  </w:num>
  <w:num w:numId="18">
    <w:abstractNumId w:val="0"/>
  </w:num>
  <w:num w:numId="19">
    <w:abstractNumId w:val="1"/>
  </w:num>
  <w:num w:numId="20">
    <w:abstractNumId w:val="11"/>
  </w:num>
  <w:num w:numId="21">
    <w:abstractNumId w:val="15"/>
  </w:num>
  <w:num w:numId="22">
    <w:abstractNumId w:val="5"/>
  </w:num>
  <w:num w:numId="23">
    <w:abstractNumId w:val="17"/>
  </w:num>
  <w:num w:numId="2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4"/>
  </w:num>
  <w:num w:numId="28">
    <w:abstractNumId w:val="4"/>
  </w:num>
  <w:num w:numId="29">
    <w:abstractNumId w:val="7"/>
  </w:num>
  <w:num w:numId="30">
    <w:abstractNumId w:val="4"/>
  </w:num>
  <w:num w:numId="3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CC"/>
    <w:rsid w:val="000002FE"/>
    <w:rsid w:val="000119FB"/>
    <w:rsid w:val="000229A9"/>
    <w:rsid w:val="00042973"/>
    <w:rsid w:val="000530DB"/>
    <w:rsid w:val="00061639"/>
    <w:rsid w:val="00096246"/>
    <w:rsid w:val="000A1EC0"/>
    <w:rsid w:val="000A3866"/>
    <w:rsid w:val="000C6369"/>
    <w:rsid w:val="000D30EB"/>
    <w:rsid w:val="000E08D2"/>
    <w:rsid w:val="000E3A57"/>
    <w:rsid w:val="000F7264"/>
    <w:rsid w:val="00101D27"/>
    <w:rsid w:val="00101F34"/>
    <w:rsid w:val="0010223C"/>
    <w:rsid w:val="001152FF"/>
    <w:rsid w:val="0012136B"/>
    <w:rsid w:val="001361CB"/>
    <w:rsid w:val="00142A1F"/>
    <w:rsid w:val="001475A5"/>
    <w:rsid w:val="00153A69"/>
    <w:rsid w:val="00154179"/>
    <w:rsid w:val="00156577"/>
    <w:rsid w:val="00161AA0"/>
    <w:rsid w:val="00166A47"/>
    <w:rsid w:val="00170587"/>
    <w:rsid w:val="001A7CB0"/>
    <w:rsid w:val="001B0506"/>
    <w:rsid w:val="001B05F0"/>
    <w:rsid w:val="001C3CB6"/>
    <w:rsid w:val="001D2582"/>
    <w:rsid w:val="001E7CB4"/>
    <w:rsid w:val="001F5CAD"/>
    <w:rsid w:val="00213F04"/>
    <w:rsid w:val="00222C15"/>
    <w:rsid w:val="00235CAB"/>
    <w:rsid w:val="002362C1"/>
    <w:rsid w:val="00262891"/>
    <w:rsid w:val="00266A52"/>
    <w:rsid w:val="00274ACC"/>
    <w:rsid w:val="0028629C"/>
    <w:rsid w:val="002A4C17"/>
    <w:rsid w:val="002B2D34"/>
    <w:rsid w:val="00304F3B"/>
    <w:rsid w:val="003075C5"/>
    <w:rsid w:val="00307899"/>
    <w:rsid w:val="0031664C"/>
    <w:rsid w:val="0032423B"/>
    <w:rsid w:val="00326D88"/>
    <w:rsid w:val="003330E6"/>
    <w:rsid w:val="00352259"/>
    <w:rsid w:val="00362226"/>
    <w:rsid w:val="0037542E"/>
    <w:rsid w:val="0037659B"/>
    <w:rsid w:val="003870E5"/>
    <w:rsid w:val="003A53A0"/>
    <w:rsid w:val="003C36AC"/>
    <w:rsid w:val="003C7155"/>
    <w:rsid w:val="003D0EF7"/>
    <w:rsid w:val="003F6A21"/>
    <w:rsid w:val="00404DCD"/>
    <w:rsid w:val="00404F31"/>
    <w:rsid w:val="004465A8"/>
    <w:rsid w:val="004519B2"/>
    <w:rsid w:val="004563DF"/>
    <w:rsid w:val="004615CF"/>
    <w:rsid w:val="00461997"/>
    <w:rsid w:val="00463F59"/>
    <w:rsid w:val="00467DA1"/>
    <w:rsid w:val="004820E9"/>
    <w:rsid w:val="0048361F"/>
    <w:rsid w:val="00486EC1"/>
    <w:rsid w:val="004A5292"/>
    <w:rsid w:val="004B514C"/>
    <w:rsid w:val="004C3092"/>
    <w:rsid w:val="004F0733"/>
    <w:rsid w:val="004F53D6"/>
    <w:rsid w:val="004F62A4"/>
    <w:rsid w:val="00514A82"/>
    <w:rsid w:val="00526C07"/>
    <w:rsid w:val="0053387C"/>
    <w:rsid w:val="00537FDB"/>
    <w:rsid w:val="00571A42"/>
    <w:rsid w:val="005813C7"/>
    <w:rsid w:val="005860F4"/>
    <w:rsid w:val="005B1FCC"/>
    <w:rsid w:val="005B7567"/>
    <w:rsid w:val="005C051F"/>
    <w:rsid w:val="005C762E"/>
    <w:rsid w:val="005C7BC0"/>
    <w:rsid w:val="005D098C"/>
    <w:rsid w:val="005D5661"/>
    <w:rsid w:val="005E6525"/>
    <w:rsid w:val="00603E56"/>
    <w:rsid w:val="0060662A"/>
    <w:rsid w:val="006120E4"/>
    <w:rsid w:val="00614BDA"/>
    <w:rsid w:val="0062543D"/>
    <w:rsid w:val="00630FA4"/>
    <w:rsid w:val="00631281"/>
    <w:rsid w:val="006331B4"/>
    <w:rsid w:val="006343F3"/>
    <w:rsid w:val="0063555B"/>
    <w:rsid w:val="00636D5C"/>
    <w:rsid w:val="00642906"/>
    <w:rsid w:val="006477DF"/>
    <w:rsid w:val="00663B46"/>
    <w:rsid w:val="00674028"/>
    <w:rsid w:val="00675D26"/>
    <w:rsid w:val="006A721F"/>
    <w:rsid w:val="006A7CC2"/>
    <w:rsid w:val="006D73F1"/>
    <w:rsid w:val="006E1AC2"/>
    <w:rsid w:val="00704948"/>
    <w:rsid w:val="00704E78"/>
    <w:rsid w:val="0071060B"/>
    <w:rsid w:val="0071228A"/>
    <w:rsid w:val="00721452"/>
    <w:rsid w:val="007274DE"/>
    <w:rsid w:val="00732519"/>
    <w:rsid w:val="00764A0F"/>
    <w:rsid w:val="00777CE7"/>
    <w:rsid w:val="00791B5C"/>
    <w:rsid w:val="007A174B"/>
    <w:rsid w:val="007A4EEE"/>
    <w:rsid w:val="007C2475"/>
    <w:rsid w:val="007D2929"/>
    <w:rsid w:val="007D316B"/>
    <w:rsid w:val="007D6569"/>
    <w:rsid w:val="007F073D"/>
    <w:rsid w:val="007F6A94"/>
    <w:rsid w:val="00804FDB"/>
    <w:rsid w:val="00812E31"/>
    <w:rsid w:val="00817840"/>
    <w:rsid w:val="00820072"/>
    <w:rsid w:val="008505C3"/>
    <w:rsid w:val="00860ECC"/>
    <w:rsid w:val="00862C0C"/>
    <w:rsid w:val="008708F7"/>
    <w:rsid w:val="00874D41"/>
    <w:rsid w:val="00886F8E"/>
    <w:rsid w:val="0089346D"/>
    <w:rsid w:val="00896D0F"/>
    <w:rsid w:val="008A4299"/>
    <w:rsid w:val="008A7869"/>
    <w:rsid w:val="008C4AF4"/>
    <w:rsid w:val="008D0A2D"/>
    <w:rsid w:val="008D176E"/>
    <w:rsid w:val="008D6069"/>
    <w:rsid w:val="008E2226"/>
    <w:rsid w:val="008E7585"/>
    <w:rsid w:val="00932CD6"/>
    <w:rsid w:val="0094366C"/>
    <w:rsid w:val="00953ADF"/>
    <w:rsid w:val="00962D6D"/>
    <w:rsid w:val="009731F0"/>
    <w:rsid w:val="00975E2D"/>
    <w:rsid w:val="009A39DD"/>
    <w:rsid w:val="009B621A"/>
    <w:rsid w:val="009C45D9"/>
    <w:rsid w:val="009C6564"/>
    <w:rsid w:val="009D72B5"/>
    <w:rsid w:val="009F2FE3"/>
    <w:rsid w:val="009F4BDF"/>
    <w:rsid w:val="00A06657"/>
    <w:rsid w:val="00A07F72"/>
    <w:rsid w:val="00A23712"/>
    <w:rsid w:val="00A2399B"/>
    <w:rsid w:val="00A320F3"/>
    <w:rsid w:val="00A406A6"/>
    <w:rsid w:val="00A45DCD"/>
    <w:rsid w:val="00A46833"/>
    <w:rsid w:val="00A502E7"/>
    <w:rsid w:val="00A86D3D"/>
    <w:rsid w:val="00A870DE"/>
    <w:rsid w:val="00A874AC"/>
    <w:rsid w:val="00A97FCE"/>
    <w:rsid w:val="00AB2948"/>
    <w:rsid w:val="00AB39FA"/>
    <w:rsid w:val="00AC13A7"/>
    <w:rsid w:val="00AC2051"/>
    <w:rsid w:val="00AD5B04"/>
    <w:rsid w:val="00AD6933"/>
    <w:rsid w:val="00AD6B7B"/>
    <w:rsid w:val="00AE3A05"/>
    <w:rsid w:val="00AE5436"/>
    <w:rsid w:val="00B014B3"/>
    <w:rsid w:val="00B41559"/>
    <w:rsid w:val="00B467AE"/>
    <w:rsid w:val="00B513C3"/>
    <w:rsid w:val="00B60D70"/>
    <w:rsid w:val="00B61109"/>
    <w:rsid w:val="00B63ECB"/>
    <w:rsid w:val="00B8539D"/>
    <w:rsid w:val="00B914F1"/>
    <w:rsid w:val="00BB047B"/>
    <w:rsid w:val="00BB6398"/>
    <w:rsid w:val="00BC0E86"/>
    <w:rsid w:val="00BD0372"/>
    <w:rsid w:val="00BE094F"/>
    <w:rsid w:val="00BE46B5"/>
    <w:rsid w:val="00BF791F"/>
    <w:rsid w:val="00C139CA"/>
    <w:rsid w:val="00C15069"/>
    <w:rsid w:val="00C51429"/>
    <w:rsid w:val="00C77D52"/>
    <w:rsid w:val="00C86DA1"/>
    <w:rsid w:val="00CA3397"/>
    <w:rsid w:val="00CC6B50"/>
    <w:rsid w:val="00CC7094"/>
    <w:rsid w:val="00CE1BFA"/>
    <w:rsid w:val="00CE31A4"/>
    <w:rsid w:val="00D17173"/>
    <w:rsid w:val="00D30047"/>
    <w:rsid w:val="00D3612A"/>
    <w:rsid w:val="00D37703"/>
    <w:rsid w:val="00D37F25"/>
    <w:rsid w:val="00D43CEE"/>
    <w:rsid w:val="00D76420"/>
    <w:rsid w:val="00D77D94"/>
    <w:rsid w:val="00DC0120"/>
    <w:rsid w:val="00DC3DF1"/>
    <w:rsid w:val="00DD552B"/>
    <w:rsid w:val="00DD5706"/>
    <w:rsid w:val="00DE1D71"/>
    <w:rsid w:val="00DE2054"/>
    <w:rsid w:val="00DE643F"/>
    <w:rsid w:val="00DE6F78"/>
    <w:rsid w:val="00DF553E"/>
    <w:rsid w:val="00DF6226"/>
    <w:rsid w:val="00E05BB5"/>
    <w:rsid w:val="00E2496D"/>
    <w:rsid w:val="00E356FB"/>
    <w:rsid w:val="00E4622C"/>
    <w:rsid w:val="00E46571"/>
    <w:rsid w:val="00E46790"/>
    <w:rsid w:val="00E51FFB"/>
    <w:rsid w:val="00E85F0F"/>
    <w:rsid w:val="00E9263F"/>
    <w:rsid w:val="00EA7049"/>
    <w:rsid w:val="00EB11E0"/>
    <w:rsid w:val="00EE2567"/>
    <w:rsid w:val="00EE685E"/>
    <w:rsid w:val="00EF43EE"/>
    <w:rsid w:val="00F123BE"/>
    <w:rsid w:val="00F17CA5"/>
    <w:rsid w:val="00F2083A"/>
    <w:rsid w:val="00F21526"/>
    <w:rsid w:val="00F26A9F"/>
    <w:rsid w:val="00F26E68"/>
    <w:rsid w:val="00F41688"/>
    <w:rsid w:val="00F46881"/>
    <w:rsid w:val="00F60DF7"/>
    <w:rsid w:val="00F649F2"/>
    <w:rsid w:val="00F7261F"/>
    <w:rsid w:val="00F83CD4"/>
    <w:rsid w:val="00F84641"/>
    <w:rsid w:val="00F91718"/>
    <w:rsid w:val="00F94FA8"/>
    <w:rsid w:val="00F95773"/>
    <w:rsid w:val="00FB6BB5"/>
    <w:rsid w:val="00FC7BA5"/>
    <w:rsid w:val="00FE0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8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17"/>
      </w:numPr>
    </w:pPr>
    <w:rPr>
      <w:szCs w:val="24"/>
    </w:rPr>
  </w:style>
  <w:style w:type="paragraph" w:customStyle="1" w:styleId="Numberedheading2">
    <w:name w:val="Numbered heading 2"/>
    <w:basedOn w:val="Heading2"/>
    <w:next w:val="NICEnormal"/>
    <w:link w:val="Numberedheading2Char"/>
    <w:qFormat/>
    <w:rsid w:val="00F26E68"/>
    <w:pPr>
      <w:numPr>
        <w:ilvl w:val="1"/>
        <w:numId w:val="17"/>
      </w:numPr>
      <w:tabs>
        <w:tab w:val="clear" w:pos="1134"/>
        <w:tab w:val="num" w:pos="567"/>
      </w:tabs>
      <w:ind w:left="567" w:hanging="283"/>
    </w:pPr>
  </w:style>
  <w:style w:type="paragraph" w:customStyle="1" w:styleId="Numberedheading3">
    <w:name w:val="Numbered heading 3"/>
    <w:basedOn w:val="Heading3"/>
    <w:next w:val="NICEnormal"/>
    <w:rsid w:val="00F26E68"/>
    <w:pPr>
      <w:numPr>
        <w:ilvl w:val="2"/>
        <w:numId w:val="17"/>
      </w:numPr>
    </w:pPr>
    <w:rPr>
      <w:sz w:val="26"/>
    </w:rPr>
  </w:style>
  <w:style w:type="paragraph" w:customStyle="1" w:styleId="Numberedlevel4text">
    <w:name w:val="Numbered level 4 text"/>
    <w:basedOn w:val="NICEnormal"/>
    <w:next w:val="NICEnormal"/>
    <w:rsid w:val="00F26E68"/>
    <w:pPr>
      <w:numPr>
        <w:ilvl w:val="3"/>
        <w:numId w:val="1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uiPriority w:val="99"/>
    <w:rsid w:val="00D37F25"/>
    <w:pPr>
      <w:numPr>
        <w:numId w:val="6"/>
      </w:numPr>
      <w:spacing w:after="0"/>
    </w:pPr>
  </w:style>
  <w:style w:type="paragraph" w:customStyle="1" w:styleId="Bulletleft2">
    <w:name w:val="Bullet left 2"/>
    <w:basedOn w:val="NICEnormal"/>
    <w:rsid w:val="008505C3"/>
    <w:pPr>
      <w:numPr>
        <w:ilvl w:val="1"/>
        <w:numId w:val="2"/>
      </w:numPr>
      <w:spacing w:after="0"/>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tabs>
        <w:tab w:val="clear" w:pos="1418"/>
      </w:tabs>
      <w:spacing w:after="0"/>
      <w:ind w:left="766" w:hanging="36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5"/>
      </w:numPr>
      <w:tabs>
        <w:tab w:val="clear" w:pos="1985"/>
        <w:tab w:val="num" w:pos="2520"/>
      </w:tabs>
      <w:spacing w:after="0"/>
      <w:ind w:left="2520" w:hanging="36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4"/>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paragraph" w:customStyle="1" w:styleId="Paragraphnonumbers">
    <w:name w:val="Paragraph no numbers"/>
    <w:basedOn w:val="Normal"/>
    <w:uiPriority w:val="99"/>
    <w:qFormat/>
    <w:rsid w:val="00F17CA5"/>
    <w:pPr>
      <w:spacing w:after="240" w:line="276" w:lineRule="auto"/>
    </w:pPr>
    <w:rPr>
      <w:rFonts w:ascii="Arial" w:hAnsi="Arial"/>
      <w:lang w:eastAsia="en-GB"/>
    </w:rPr>
  </w:style>
  <w:style w:type="paragraph" w:customStyle="1" w:styleId="Default">
    <w:name w:val="Default"/>
    <w:rsid w:val="002A4C17"/>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F60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5295">
      <w:bodyDiv w:val="1"/>
      <w:marLeft w:val="0"/>
      <w:marRight w:val="0"/>
      <w:marTop w:val="0"/>
      <w:marBottom w:val="0"/>
      <w:divBdr>
        <w:top w:val="none" w:sz="0" w:space="0" w:color="auto"/>
        <w:left w:val="none" w:sz="0" w:space="0" w:color="auto"/>
        <w:bottom w:val="none" w:sz="0" w:space="0" w:color="auto"/>
        <w:right w:val="none" w:sz="0" w:space="0" w:color="auto"/>
      </w:divBdr>
    </w:div>
    <w:div w:id="16478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13" Type="http://schemas.openxmlformats.org/officeDocument/2006/relationships/hyperlink" Target="https://www.nice.org.uk/guidance/ng89/chapter/Recommendations" TargetMode="External"/><Relationship Id="rId18" Type="http://schemas.openxmlformats.org/officeDocument/2006/relationships/hyperlink" Target="https://anticoagulationuk.org/news/2020-12-01-anticoagulation-uk-and-imperial-college-london-students-produce-leaflet-for-patients-currently-taking-direct-oral-anticoagulants-doacs" TargetMode="External"/><Relationship Id="rId3" Type="http://schemas.openxmlformats.org/officeDocument/2006/relationships/styles" Target="styles.xml"/><Relationship Id="rId21" Type="http://schemas.openxmlformats.org/officeDocument/2006/relationships/hyperlink" Target="https://www.youtube.com/watch?v=MWln33e_LEU&amp;feature=youtu.be" TargetMode="External"/><Relationship Id="rId7" Type="http://schemas.openxmlformats.org/officeDocument/2006/relationships/endnotes" Target="endnotes.xml"/><Relationship Id="rId12" Type="http://schemas.openxmlformats.org/officeDocument/2006/relationships/hyperlink" Target="https://pubmed.ncbi.nlm.nih.gov/32311448/" TargetMode="External"/><Relationship Id="rId17" Type="http://schemas.openxmlformats.org/officeDocument/2006/relationships/hyperlink" Target="https://www.sor.org/sites/default/files/document-versions/ultrasound_workforce_uk_census_2019.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ngland.nhs.uk/wp-content/uploads/2020/10/BM2025Pu-item-5-diagnostics-recovery-and-renewal.pdf" TargetMode="External"/><Relationship Id="rId20" Type="http://schemas.openxmlformats.org/officeDocument/2006/relationships/hyperlink" Target="https://bmjopen.bmj.com/content/9/2/e0248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mj.com/content/369/bmj.m1309" TargetMode="External"/><Relationship Id="rId23" Type="http://schemas.openxmlformats.org/officeDocument/2006/relationships/hyperlink" Target="https://www.nice.org.uk/about/what-we-do/our-programmes/nice-guidance/nice-guidelines/shared-decision-making" TargetMode="External"/><Relationship Id="rId10" Type="http://schemas.openxmlformats.org/officeDocument/2006/relationships/footer" Target="footer1.xml"/><Relationship Id="rId19" Type="http://schemas.openxmlformats.org/officeDocument/2006/relationships/hyperlink" Target="https://www.nice.org.uk/guidance/ng15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bmj.com/content/369/bmj.m1309" TargetMode="External"/><Relationship Id="rId22" Type="http://schemas.openxmlformats.org/officeDocument/2006/relationships/hyperlink" Target="https://www.ncbi.nlm.nih.gov/pmc/articles/PMC3987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11728</Words>
  <Characters>72362</Characters>
  <Application>Microsoft Office Word</Application>
  <DocSecurity>0</DocSecurity>
  <Lines>4824</Lines>
  <Paragraphs>1828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2021-08-09T09:07:00Z</dcterms:created>
  <dcterms:modified xsi:type="dcterms:W3CDTF">2021-08-20T12:41:00Z</dcterms:modified>
</cp:coreProperties>
</file>