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38D80" w14:textId="2661E2AF" w:rsidR="00DE6F78" w:rsidRPr="00712CAA" w:rsidRDefault="00DE6F78" w:rsidP="00DE6F78">
      <w:pPr>
        <w:pStyle w:val="Title"/>
      </w:pPr>
      <w:bookmarkStart w:id="0" w:name="_Toc357694774"/>
      <w:r>
        <w:t xml:space="preserve">NATIONAL INSTITUTE FOR </w:t>
      </w:r>
      <w:proofErr w:type="gramStart"/>
      <w:r>
        <w:t xml:space="preserve">HEALTH </w:t>
      </w:r>
      <w:r w:rsidR="597041DA">
        <w:t xml:space="preserve"> </w:t>
      </w:r>
      <w:r>
        <w:t>AND</w:t>
      </w:r>
      <w:proofErr w:type="gramEnd"/>
      <w:r>
        <w:t xml:space="preserve"> </w:t>
      </w:r>
      <w:r>
        <w:br/>
        <w:t>CARE EXCELLENCE</w:t>
      </w:r>
    </w:p>
    <w:p w14:paraId="43C84D8D" w14:textId="77777777" w:rsidR="003C514C" w:rsidRDefault="0009123A" w:rsidP="00DE6F78">
      <w:pPr>
        <w:pStyle w:val="Title"/>
      </w:pPr>
      <w:r w:rsidRPr="00712CAA">
        <w:t>Q</w:t>
      </w:r>
      <w:r>
        <w:t>uality standard</w:t>
      </w:r>
      <w:r w:rsidR="003C514C">
        <w:t>s</w:t>
      </w:r>
    </w:p>
    <w:p w14:paraId="76540332" w14:textId="77777777" w:rsidR="00DE6F78" w:rsidRPr="00712CAA" w:rsidRDefault="00E14ED8" w:rsidP="003C514C">
      <w:pPr>
        <w:pStyle w:val="Title"/>
        <w:rPr>
          <w:b w:val="0"/>
          <w:bCs w:val="0"/>
          <w:sz w:val="32"/>
        </w:rPr>
      </w:pPr>
      <w:r>
        <w:t>S</w:t>
      </w:r>
      <w:r w:rsidR="0009123A">
        <w:t>ummary report</w:t>
      </w:r>
      <w:r w:rsidR="004A1476">
        <w:t xml:space="preserve">: </w:t>
      </w:r>
      <w:r>
        <w:t xml:space="preserve">Ectopic pregnancy and </w:t>
      </w:r>
      <w:r w:rsidR="00BC4E1B">
        <w:t>miscarriage (update)</w:t>
      </w:r>
      <w:r w:rsidR="0049727C">
        <w:t xml:space="preserve"> </w:t>
      </w:r>
    </w:p>
    <w:p w14:paraId="100B815D" w14:textId="77777777" w:rsidR="00DE6F78" w:rsidRPr="003C514C" w:rsidRDefault="003C514C" w:rsidP="003C514C">
      <w:pPr>
        <w:pStyle w:val="Paragraph"/>
      </w:pPr>
      <w:r w:rsidRPr="003C514C">
        <w:rPr>
          <w:rStyle w:val="Addbold"/>
        </w:rPr>
        <w:t>Quality Standards Advisory Committee post-consultation meeting:</w:t>
      </w:r>
      <w:r w:rsidRPr="003C514C">
        <w:t xml:space="preserve"> </w:t>
      </w:r>
      <w:r w:rsidR="00BC4E1B">
        <w:t>2 April 2026</w:t>
      </w:r>
    </w:p>
    <w:p w14:paraId="246E8B5A" w14:textId="77777777" w:rsidR="00DE6F78" w:rsidRPr="00712CAA" w:rsidRDefault="00DE6F78" w:rsidP="00DE6F78">
      <w:pPr>
        <w:pStyle w:val="Numberedheading1"/>
        <w:numPr>
          <w:ilvl w:val="0"/>
          <w:numId w:val="1"/>
        </w:numPr>
      </w:pPr>
      <w:r w:rsidRPr="00712CAA">
        <w:t>Introduction</w:t>
      </w:r>
    </w:p>
    <w:p w14:paraId="3FE4C8DF" w14:textId="4B395B1E" w:rsidR="00BC4E1B" w:rsidRDefault="5B7C8BD2" w:rsidP="00BC4E1B">
      <w:pPr>
        <w:pStyle w:val="NICEnormal"/>
      </w:pPr>
      <w:r>
        <w:t xml:space="preserve">The </w:t>
      </w:r>
      <w:hyperlink r:id="rId8">
        <w:r w:rsidRPr="357E4408">
          <w:rPr>
            <w:rStyle w:val="Hyperlink"/>
          </w:rPr>
          <w:t>NICE quality standard on ectopic pregnancy and miscarriage (QS69)</w:t>
        </w:r>
      </w:hyperlink>
      <w:r>
        <w:t xml:space="preserve"> published in September 2014</w:t>
      </w:r>
      <w:r w:rsidR="4441E747">
        <w:t xml:space="preserve"> and</w:t>
      </w:r>
      <w:r>
        <w:t xml:space="preserve"> has 3 quality statements. </w:t>
      </w:r>
    </w:p>
    <w:p w14:paraId="46FAF04C" w14:textId="77777777" w:rsidR="00BC4E1B" w:rsidRDefault="00BC4E1B" w:rsidP="00BC4E1B">
      <w:pPr>
        <w:pStyle w:val="NICEnormal"/>
      </w:pPr>
      <w:r>
        <w:t xml:space="preserve">The </w:t>
      </w:r>
      <w:hyperlink r:id="rId9" w:history="1">
        <w:r w:rsidRPr="00BE4BC7">
          <w:rPr>
            <w:rStyle w:val="Hyperlink"/>
          </w:rPr>
          <w:t>NICE guideline on ectopic pregnancy and miscarriage NG</w:t>
        </w:r>
        <w:r w:rsidR="00BE4BC7" w:rsidRPr="00BE4BC7">
          <w:rPr>
            <w:rStyle w:val="Hyperlink"/>
          </w:rPr>
          <w:t>126</w:t>
        </w:r>
      </w:hyperlink>
      <w:r>
        <w:t xml:space="preserve"> is currently being updated</w:t>
      </w:r>
      <w:r w:rsidR="005640DC">
        <w:t xml:space="preserve"> to include new recommendations on the use of Anti-D prophylaxis to address</w:t>
      </w:r>
      <w:r w:rsidR="003835ED">
        <w:t xml:space="preserve"> </w:t>
      </w:r>
      <w:r w:rsidR="005640DC">
        <w:t>current inconsistent practice</w:t>
      </w:r>
      <w:r>
        <w:t xml:space="preserve">. As part of this work, an opportunity to include a single new statement in this quality standard has arisen. </w:t>
      </w:r>
    </w:p>
    <w:p w14:paraId="23E172EC" w14:textId="77777777" w:rsidR="00BC4E1B" w:rsidRDefault="00BC4E1B" w:rsidP="00BC4E1B">
      <w:pPr>
        <w:pStyle w:val="NICEnormal"/>
      </w:pPr>
      <w:r>
        <w:t xml:space="preserve">The guideline committee have advocated for the inclusion of a new statement focused on </w:t>
      </w:r>
      <w:r w:rsidR="005640DC">
        <w:t>the use of</w:t>
      </w:r>
      <w:r>
        <w:t xml:space="preserve"> Anti-D prophylaxis in people with an ectopic pregnancy or miscarriage up to 11+6 weeks. </w:t>
      </w:r>
    </w:p>
    <w:p w14:paraId="1B027D03" w14:textId="4B1E5672" w:rsidR="00BC4E1B" w:rsidRDefault="00BC4E1B" w:rsidP="00BC4E1B">
      <w:pPr>
        <w:pStyle w:val="NICEnormal"/>
      </w:pPr>
      <w:r>
        <w:t xml:space="preserve">As the existing quality standard only has 3 statements, there is no need to consider removing any quality statements to include this </w:t>
      </w:r>
      <w:r w:rsidR="00D633E0">
        <w:t>proposed</w:t>
      </w:r>
      <w:r w:rsidR="009A5C41">
        <w:t xml:space="preserve"> </w:t>
      </w:r>
      <w:r>
        <w:t xml:space="preserve">new area. </w:t>
      </w:r>
    </w:p>
    <w:p w14:paraId="4982952F" w14:textId="64189224" w:rsidR="00BC4E1B" w:rsidRDefault="00BC4E1B" w:rsidP="00BC4E1B">
      <w:pPr>
        <w:pStyle w:val="NICEnormal"/>
      </w:pPr>
      <w:r>
        <w:t xml:space="preserve">The updated sections of the guideline, </w:t>
      </w:r>
      <w:r w:rsidR="009A5C41">
        <w:t xml:space="preserve">and </w:t>
      </w:r>
      <w:r>
        <w:t xml:space="preserve">a new proposed quality statement on Anti-D prophylaxis, went to </w:t>
      </w:r>
      <w:r w:rsidR="007469A9">
        <w:t xml:space="preserve">a joint </w:t>
      </w:r>
      <w:r w:rsidR="008A7F05">
        <w:t xml:space="preserve">stakeholder </w:t>
      </w:r>
      <w:r>
        <w:t xml:space="preserve">consultation </w:t>
      </w:r>
      <w:r w:rsidR="003835ED" w:rsidRPr="003835ED">
        <w:t>04 February 2026 - 17 February 2026</w:t>
      </w:r>
      <w:r>
        <w:t>.</w:t>
      </w:r>
      <w:r w:rsidR="00BE4BC7">
        <w:t xml:space="preserve"> The consultation document</w:t>
      </w:r>
      <w:r w:rsidR="008C433D">
        <w:t xml:space="preserve"> is attached with the papers. </w:t>
      </w:r>
      <w:r w:rsidR="00F56BB1">
        <w:t xml:space="preserve">The plan is for the updated guideline and quality standard to publish in </w:t>
      </w:r>
      <w:r w:rsidR="001018EB">
        <w:t xml:space="preserve">June </w:t>
      </w:r>
      <w:r w:rsidR="00F56BB1">
        <w:t>2026.</w:t>
      </w:r>
    </w:p>
    <w:p w14:paraId="31A215A6" w14:textId="77777777" w:rsidR="00DE6F78" w:rsidRDefault="00F56BB1" w:rsidP="00BC4E1B">
      <w:pPr>
        <w:pStyle w:val="NICEnormal"/>
      </w:pPr>
      <w:r>
        <w:t>At consultation, r</w:t>
      </w:r>
      <w:r w:rsidR="00DE6F78" w:rsidRPr="000B484F">
        <w:t xml:space="preserve">egistered stakeholders were notified by email and invited to submit consultation comments on the </w:t>
      </w:r>
      <w:r w:rsidR="003835ED">
        <w:t>draft</w:t>
      </w:r>
      <w:r>
        <w:t xml:space="preserve"> guideline</w:t>
      </w:r>
      <w:r w:rsidR="003835ED">
        <w:t xml:space="preserve"> recommendations</w:t>
      </w:r>
      <w:r>
        <w:t xml:space="preserve"> and the </w:t>
      </w:r>
      <w:r w:rsidR="00DE6F78" w:rsidRPr="000B484F">
        <w:t xml:space="preserve">draft quality </w:t>
      </w:r>
      <w:r w:rsidR="00DE6F78" w:rsidRPr="000B484F">
        <w:lastRenderedPageBreak/>
        <w:t>sta</w:t>
      </w:r>
      <w:r>
        <w:t>tement</w:t>
      </w:r>
      <w:r w:rsidR="00DE6F78" w:rsidRPr="000B484F">
        <w:t xml:space="preserve">. </w:t>
      </w:r>
      <w:r>
        <w:t xml:space="preserve">For the quality standard, feedback was invited only for the proposed new quality statement. </w:t>
      </w:r>
    </w:p>
    <w:p w14:paraId="32255886" w14:textId="65C9C377" w:rsidR="001774F4" w:rsidRDefault="00370987" w:rsidP="004A1476">
      <w:pPr>
        <w:pStyle w:val="NICEnormal"/>
        <w:rPr>
          <w:rFonts w:cs="Arial"/>
        </w:rPr>
      </w:pPr>
      <w:r>
        <w:t>Stakeholder responses to</w:t>
      </w:r>
      <w:r w:rsidR="002A30FD">
        <w:t xml:space="preserve"> the joint consultation </w:t>
      </w:r>
      <w:r w:rsidR="00DE6F78">
        <w:t xml:space="preserve">were </w:t>
      </w:r>
      <w:r w:rsidR="00DE6F78" w:rsidRPr="00D66484">
        <w:t xml:space="preserve">received from </w:t>
      </w:r>
      <w:r w:rsidR="007826A1" w:rsidRPr="00D66484">
        <w:t>9</w:t>
      </w:r>
      <w:r w:rsidR="00DE6F78" w:rsidRPr="00D66484">
        <w:t xml:space="preserve"> organisations,</w:t>
      </w:r>
      <w:r w:rsidR="00DE6F78">
        <w:t xml:space="preserve"> which included</w:t>
      </w:r>
      <w:r w:rsidR="00DE6F78" w:rsidRPr="00632B2B">
        <w:t xml:space="preserve"> </w:t>
      </w:r>
      <w:r w:rsidR="00DE6F78" w:rsidRPr="00632B2B">
        <w:rPr>
          <w:rFonts w:cs="Arial"/>
          <w:color w:val="000000"/>
          <w:kern w:val="24"/>
          <w:lang w:eastAsia="en-GB"/>
        </w:rPr>
        <w:t xml:space="preserve">national organisations, professional bodies and </w:t>
      </w:r>
      <w:r w:rsidR="002A30FD">
        <w:rPr>
          <w:rFonts w:cs="Arial"/>
          <w:color w:val="000000"/>
          <w:kern w:val="24"/>
          <w:lang w:eastAsia="en-GB"/>
        </w:rPr>
        <w:t>a patient organisation</w:t>
      </w:r>
      <w:r w:rsidR="00DE6F78">
        <w:rPr>
          <w:rFonts w:cs="Arial"/>
          <w:color w:val="000000"/>
          <w:kern w:val="24"/>
          <w:lang w:eastAsia="en-GB"/>
        </w:rPr>
        <w:t>.</w:t>
      </w:r>
      <w:r w:rsidR="00DE6F78" w:rsidRPr="00712CAA">
        <w:rPr>
          <w:rFonts w:cs="Arial"/>
        </w:rPr>
        <w:t xml:space="preserve"> </w:t>
      </w:r>
      <w:r w:rsidR="00F26320">
        <w:rPr>
          <w:rFonts w:cs="Arial"/>
        </w:rPr>
        <w:t xml:space="preserve">Seven </w:t>
      </w:r>
      <w:r w:rsidR="007826A1">
        <w:rPr>
          <w:rFonts w:cs="Arial"/>
        </w:rPr>
        <w:t xml:space="preserve">of these organisations provided comments and the other 2 advised they had no comment to make. </w:t>
      </w:r>
    </w:p>
    <w:p w14:paraId="4DEC87E4" w14:textId="279A7503" w:rsidR="005F778D" w:rsidRDefault="00C70BE9" w:rsidP="004A1476">
      <w:pPr>
        <w:pStyle w:val="NICEnormal"/>
        <w:rPr>
          <w:rFonts w:cs="Arial"/>
          <w:b/>
          <w:bCs/>
        </w:rPr>
      </w:pPr>
      <w:r>
        <w:rPr>
          <w:rFonts w:cs="Arial"/>
        </w:rPr>
        <w:t xml:space="preserve">Four </w:t>
      </w:r>
      <w:r w:rsidR="005F778D">
        <w:rPr>
          <w:rFonts w:cs="Arial"/>
        </w:rPr>
        <w:t xml:space="preserve">key stakeholders were subsequently contacted directly to confirm whether they agreed with the addition of the quality statement. Responses were received from </w:t>
      </w:r>
      <w:r w:rsidR="7AC47145" w:rsidRPr="10E796E4">
        <w:rPr>
          <w:rFonts w:cs="Arial"/>
        </w:rPr>
        <w:t>three</w:t>
      </w:r>
      <w:r w:rsidR="005F778D">
        <w:rPr>
          <w:rFonts w:cs="Arial"/>
        </w:rPr>
        <w:t xml:space="preserve"> </w:t>
      </w:r>
      <w:r w:rsidR="009A2773">
        <w:rPr>
          <w:rFonts w:cs="Arial"/>
        </w:rPr>
        <w:t>organisations.</w:t>
      </w:r>
    </w:p>
    <w:p w14:paraId="5DC1D0A3" w14:textId="77777777" w:rsidR="00DE6F78" w:rsidRPr="00B42813" w:rsidRDefault="00DE6F78" w:rsidP="00DE6F78">
      <w:pPr>
        <w:pStyle w:val="NICEnormal"/>
      </w:pPr>
      <w:r w:rsidRPr="00B42813">
        <w:t xml:space="preserve">This report provides a basis for discussion by the </w:t>
      </w:r>
      <w:r w:rsidR="00B42813" w:rsidRPr="00B42813">
        <w:t xml:space="preserve">quality standards advisory </w:t>
      </w:r>
      <w:r w:rsidR="00CE1BFA" w:rsidRPr="00B42813">
        <w:t>c</w:t>
      </w:r>
      <w:r w:rsidRPr="00B42813">
        <w:t xml:space="preserve">ommittee as part of the </w:t>
      </w:r>
      <w:r w:rsidR="001F5DD5">
        <w:t>post-consultation</w:t>
      </w:r>
      <w:r w:rsidR="001F5DD5" w:rsidRPr="00B42813">
        <w:t xml:space="preserve"> </w:t>
      </w:r>
      <w:r w:rsidRPr="00B42813">
        <w:t xml:space="preserve">meeting where the </w:t>
      </w:r>
      <w:r w:rsidR="00CE1BFA" w:rsidRPr="00B42813">
        <w:t>c</w:t>
      </w:r>
      <w:r w:rsidRPr="00B42813">
        <w:t xml:space="preserve">ommittee will consider </w:t>
      </w:r>
      <w:r w:rsidR="001F5DD5">
        <w:t>stakeholder</w:t>
      </w:r>
      <w:r w:rsidR="001F5DD5" w:rsidRPr="00B42813">
        <w:t xml:space="preserve"> </w:t>
      </w:r>
      <w:r w:rsidRPr="00B42813">
        <w:t>comments</w:t>
      </w:r>
      <w:r w:rsidR="00B42813" w:rsidRPr="00B42813">
        <w:t xml:space="preserve"> and the draft quality statement</w:t>
      </w:r>
      <w:r w:rsidRPr="00B42813">
        <w:t xml:space="preserve">. Where appropriate the quality standard will be refined with input from the </w:t>
      </w:r>
      <w:r w:rsidR="00CE1BFA" w:rsidRPr="00B42813">
        <w:t>c</w:t>
      </w:r>
      <w:r w:rsidRPr="00B42813">
        <w:t xml:space="preserve">ommittee. </w:t>
      </w:r>
    </w:p>
    <w:p w14:paraId="6F6DF3C0" w14:textId="3D74C3D5" w:rsidR="00DE6F78" w:rsidRPr="00487D08" w:rsidRDefault="00B42813" w:rsidP="00DE6F78">
      <w:pPr>
        <w:pStyle w:val="NICEnormal"/>
      </w:pPr>
      <w:r w:rsidRPr="00B42813">
        <w:t>T</w:t>
      </w:r>
      <w:r w:rsidR="00DE6F78" w:rsidRPr="00B42813">
        <w:t xml:space="preserve">he </w:t>
      </w:r>
      <w:r w:rsidR="00CE1BFA" w:rsidRPr="00B42813">
        <w:t>c</w:t>
      </w:r>
      <w:r w:rsidR="00DE6F78" w:rsidRPr="00B42813">
        <w:t xml:space="preserve">ommittee should read this </w:t>
      </w:r>
      <w:r w:rsidRPr="00B42813">
        <w:t>paper</w:t>
      </w:r>
      <w:r w:rsidR="00DE6F78" w:rsidRPr="00B42813">
        <w:t xml:space="preserve"> alongside the full set of consultation comments</w:t>
      </w:r>
      <w:r w:rsidR="00404DCD" w:rsidRPr="00B42813">
        <w:t>,</w:t>
      </w:r>
      <w:r w:rsidR="00DE6F78" w:rsidRPr="00B42813">
        <w:t xml:space="preserve"> which are provided in appendi</w:t>
      </w:r>
      <w:r w:rsidRPr="00B42813">
        <w:t xml:space="preserve">x </w:t>
      </w:r>
      <w:r w:rsidR="00C0204D">
        <w:t>2</w:t>
      </w:r>
      <w:r w:rsidRPr="00B42813">
        <w:t>.</w:t>
      </w:r>
    </w:p>
    <w:p w14:paraId="5DE8CAD1" w14:textId="422A3F3B" w:rsidR="13AB532E" w:rsidRDefault="13AB532E" w:rsidP="7E1C994B">
      <w:pPr>
        <w:pStyle w:val="Heading3"/>
      </w:pPr>
      <w:r>
        <w:t xml:space="preserve">Rhesus disease and anti-D immunoglobin </w:t>
      </w:r>
    </w:p>
    <w:p w14:paraId="0CA36491" w14:textId="02643362" w:rsidR="006C7C32" w:rsidRDefault="00802D7E" w:rsidP="7E1C994B">
      <w:pPr>
        <w:pStyle w:val="NICEnormal"/>
      </w:pPr>
      <w:r>
        <w:t xml:space="preserve">Rhesus disease is a condition where antibodies in a pregnant </w:t>
      </w:r>
      <w:r w:rsidR="0026614F">
        <w:t>person’s</w:t>
      </w:r>
      <w:r>
        <w:t xml:space="preserve"> blood destroy </w:t>
      </w:r>
      <w:r w:rsidR="40C815EC">
        <w:t>the</w:t>
      </w:r>
      <w:r>
        <w:t xml:space="preserve"> baby's blood cells.</w:t>
      </w:r>
      <w:r w:rsidR="008B09FC">
        <w:t xml:space="preserve"> Rhesus disease doesn't harm the </w:t>
      </w:r>
      <w:r w:rsidR="00446A68">
        <w:t>pregnant person</w:t>
      </w:r>
      <w:r w:rsidR="008B09FC">
        <w:t>, but it can cause the baby to become anaemic and develop newborn jaundice.</w:t>
      </w:r>
    </w:p>
    <w:p w14:paraId="635B4D2E" w14:textId="329B589E" w:rsidR="7090B9A6" w:rsidRDefault="7090B9A6" w:rsidP="7E1C994B">
      <w:pPr>
        <w:pStyle w:val="NICEnormal"/>
      </w:pPr>
      <w:r w:rsidRPr="7E1C994B">
        <w:t>Rhesus disease only happens when the pregnant person has rhesus negative blood (RhD negative) and their unborn baby has rhesus positive blood (RhD positive). The pregnant person must have also been previously sensitised to RhD positive blood.</w:t>
      </w:r>
    </w:p>
    <w:p w14:paraId="6F89729F" w14:textId="7DE0268E" w:rsidR="7090B9A6" w:rsidRDefault="7090B9A6" w:rsidP="7E1C994B">
      <w:pPr>
        <w:pStyle w:val="NICEnormal"/>
      </w:pPr>
      <w:r w:rsidRPr="7E1C994B">
        <w:t xml:space="preserve">Sensitisation happens when a </w:t>
      </w:r>
      <w:r w:rsidR="06AC8592" w:rsidRPr="7E1C994B">
        <w:t>person</w:t>
      </w:r>
      <w:r w:rsidRPr="7E1C994B">
        <w:t xml:space="preserve"> with RhD negative blood is exposed to RhD positive blood, usually during a previous pregnancy with an RhD positive baby. The</w:t>
      </w:r>
      <w:r w:rsidR="227EFF01" w:rsidRPr="7E1C994B">
        <w:t>ir</w:t>
      </w:r>
      <w:r w:rsidRPr="7E1C994B">
        <w:t xml:space="preserve"> body responds to the RhD positive blood by producing antibodies that recognise the foreign blood cells and destroy them.</w:t>
      </w:r>
      <w:r w:rsidR="78E4177A" w:rsidRPr="7E1C994B">
        <w:t xml:space="preserve"> </w:t>
      </w:r>
      <w:r w:rsidRPr="7E1C994B">
        <w:t xml:space="preserve">If sensitisation occurs, the next time the </w:t>
      </w:r>
      <w:r w:rsidR="6DCC24C6" w:rsidRPr="7E1C994B">
        <w:t>person</w:t>
      </w:r>
      <w:r w:rsidRPr="7E1C994B">
        <w:t xml:space="preserve"> is exposed to RhD positive blood,</w:t>
      </w:r>
      <w:r w:rsidR="243A64D9" w:rsidRPr="7E1C994B">
        <w:t xml:space="preserve"> thei</w:t>
      </w:r>
      <w:r w:rsidRPr="7E1C994B">
        <w:t xml:space="preserve">r body produces antibodies immediately. If </w:t>
      </w:r>
      <w:r w:rsidR="68E56AE5" w:rsidRPr="7E1C994B">
        <w:t>they are</w:t>
      </w:r>
      <w:r w:rsidRPr="7E1C994B">
        <w:t xml:space="preserve"> pregnant with an RhD positive baby, the antibodies can cross the placenta, </w:t>
      </w:r>
      <w:r w:rsidRPr="7E1C994B">
        <w:lastRenderedPageBreak/>
        <w:t xml:space="preserve">causing rhesus disease in the unborn baby. The antibodies can continue attacking the baby's red blood cells for a few months after birth. </w:t>
      </w:r>
    </w:p>
    <w:p w14:paraId="2B620A12" w14:textId="48639F70" w:rsidR="13AB532E" w:rsidRDefault="13AB532E" w:rsidP="7E1C994B">
      <w:pPr>
        <w:pStyle w:val="NICEnormal"/>
      </w:pPr>
      <w:r w:rsidRPr="7E1C994B">
        <w:t>Rhesus disease can be prevented by having an injection of a medication called anti-D immunoglobulin.</w:t>
      </w:r>
      <w:r w:rsidR="160C5703" w:rsidRPr="7E1C994B">
        <w:t xml:space="preserve"> </w:t>
      </w:r>
      <w:r w:rsidRPr="7E1C994B">
        <w:t xml:space="preserve">The anti-D immunoglobulin neutralises any RhD positive antigens that may have entered the </w:t>
      </w:r>
      <w:r w:rsidR="7DF36D14" w:rsidRPr="7E1C994B">
        <w:t>person</w:t>
      </w:r>
      <w:r w:rsidRPr="7E1C994B">
        <w:t>'s blood during pregnancy. If the antigens have been neutralised, the</w:t>
      </w:r>
      <w:r w:rsidR="7BF852E2" w:rsidRPr="7E1C994B">
        <w:t>ir</w:t>
      </w:r>
      <w:r w:rsidRPr="7E1C994B">
        <w:t xml:space="preserve"> blood won't produce antibodies.</w:t>
      </w:r>
    </w:p>
    <w:p w14:paraId="32F7EDBF" w14:textId="41A46FFB" w:rsidR="73A30F9D" w:rsidRDefault="73A30F9D" w:rsidP="7E1C994B">
      <w:pPr>
        <w:pStyle w:val="NICEnormal"/>
      </w:pPr>
      <w:r w:rsidRPr="7E1C994B">
        <w:t xml:space="preserve">People are </w:t>
      </w:r>
      <w:r w:rsidR="13AB532E" w:rsidRPr="7E1C994B">
        <w:t xml:space="preserve">offered anti-D immunoglobulin if it's thought there's a risk that RhD antigens from </w:t>
      </w:r>
      <w:r w:rsidR="57E71CA0" w:rsidRPr="7E1C994B">
        <w:t>thei</w:t>
      </w:r>
      <w:r w:rsidR="13AB532E" w:rsidRPr="7E1C994B">
        <w:t xml:space="preserve">r baby have entered </w:t>
      </w:r>
      <w:r w:rsidR="7EB4DB80" w:rsidRPr="7E1C994B">
        <w:t>their</w:t>
      </w:r>
      <w:r w:rsidR="13AB532E" w:rsidRPr="7E1C994B">
        <w:t xml:space="preserve"> blood</w:t>
      </w:r>
      <w:r w:rsidR="1070A833" w:rsidRPr="7E1C994B">
        <w:t xml:space="preserve">, </w:t>
      </w:r>
      <w:r w:rsidR="13AB532E" w:rsidRPr="7E1C994B">
        <w:t xml:space="preserve">for example, if </w:t>
      </w:r>
      <w:r w:rsidR="302C9B0E" w:rsidRPr="7E1C994B">
        <w:t>they</w:t>
      </w:r>
      <w:r w:rsidR="13AB532E" w:rsidRPr="7E1C994B">
        <w:t xml:space="preserve"> experience any bleeding</w:t>
      </w:r>
      <w:r w:rsidR="0A9477B9" w:rsidRPr="7E1C994B">
        <w:t xml:space="preserve">. </w:t>
      </w:r>
    </w:p>
    <w:p w14:paraId="7E11AE98" w14:textId="7F9AEB5D" w:rsidR="55DA9EDA" w:rsidRDefault="55DA9EDA" w:rsidP="7E1C994B">
      <w:pPr>
        <w:pStyle w:val="NICEnormal"/>
      </w:pPr>
      <w:r w:rsidRPr="7E1C994B">
        <w:t>During the guideline update, the guideline committee noted that there is a lack of evidence to suggest a benefit of providing anti-D immunoglobulin prophylaxis for women, tr</w:t>
      </w:r>
      <w:r w:rsidR="544D9277" w:rsidRPr="7E1C994B">
        <w:t>a</w:t>
      </w:r>
      <w:r w:rsidRPr="7E1C994B">
        <w:t>ns men and non-binary people with an</w:t>
      </w:r>
      <w:r w:rsidR="78F93A71" w:rsidRPr="7E1C994B">
        <w:t xml:space="preserve"> ectopic pregnancy or miscarriage at </w:t>
      </w:r>
      <w:r w:rsidRPr="7E1C994B">
        <w:t>under 12 weeks</w:t>
      </w:r>
      <w:r w:rsidR="06D53FD8" w:rsidRPr="7E1C994B">
        <w:t xml:space="preserve"> of pregnancy.</w:t>
      </w:r>
    </w:p>
    <w:p w14:paraId="1FA22911" w14:textId="44C18A01" w:rsidR="00DE6F78" w:rsidRDefault="419B4410" w:rsidP="357E4408">
      <w:pPr>
        <w:pStyle w:val="Numberedheading1"/>
      </w:pPr>
      <w:r>
        <w:t>C</w:t>
      </w:r>
      <w:r w:rsidR="1CEFE90F">
        <w:t>omments</w:t>
      </w:r>
      <w:r w:rsidR="00C57EEB">
        <w:t xml:space="preserve"> outside the scope of consultation</w:t>
      </w:r>
    </w:p>
    <w:p w14:paraId="2B0E3C68" w14:textId="24930B03" w:rsidR="00DE6F78" w:rsidRPr="00293375" w:rsidRDefault="00B42813" w:rsidP="00B42813">
      <w:pPr>
        <w:pStyle w:val="Bulletleft1"/>
        <w:numPr>
          <w:ilvl w:val="0"/>
          <w:numId w:val="0"/>
        </w:numPr>
        <w:jc w:val="both"/>
      </w:pPr>
      <w:r w:rsidRPr="3B2CF31A">
        <w:rPr>
          <w:rStyle w:val="NICEnormalChar"/>
        </w:rPr>
        <w:t xml:space="preserve">One stakeholder commented </w:t>
      </w:r>
      <w:r w:rsidR="006B4530" w:rsidRPr="3B2CF31A">
        <w:rPr>
          <w:rStyle w:val="NICEnormalChar"/>
        </w:rPr>
        <w:t xml:space="preserve">on quality statement 1. This was not part of the consultation </w:t>
      </w:r>
      <w:r w:rsidR="0CAF8CEF" w:rsidRPr="3B2CF31A">
        <w:rPr>
          <w:rStyle w:val="NICEnormalChar"/>
        </w:rPr>
        <w:t xml:space="preserve">but has been reviewed by the NICE team and no change is considered necessary at this time. </w:t>
      </w:r>
    </w:p>
    <w:p w14:paraId="5C302358" w14:textId="77777777" w:rsidR="00DE6F78" w:rsidRPr="00712CAA" w:rsidRDefault="00B42813" w:rsidP="00DE6F78">
      <w:pPr>
        <w:pStyle w:val="Numberedheading1"/>
        <w:numPr>
          <w:ilvl w:val="0"/>
          <w:numId w:val="1"/>
        </w:numPr>
      </w:pPr>
      <w:r>
        <w:t>Discussion areas for quality statement 4</w:t>
      </w:r>
    </w:p>
    <w:p w14:paraId="3DC8BE56" w14:textId="2B0F9CE1" w:rsidR="00DE6F78" w:rsidRDefault="00DE6F78" w:rsidP="004A1476">
      <w:pPr>
        <w:pStyle w:val="Numberedheading2"/>
      </w:pPr>
      <w:r>
        <w:t xml:space="preserve">Draft statement </w:t>
      </w:r>
      <w:r w:rsidR="009A1806">
        <w:t>at consultation</w:t>
      </w:r>
    </w:p>
    <w:p w14:paraId="593ABB23" w14:textId="77777777" w:rsidR="00DE6F78" w:rsidRDefault="00F56BB1" w:rsidP="00F56BB1">
      <w:pPr>
        <w:pStyle w:val="NICEnormal"/>
      </w:pPr>
      <w:r>
        <w:t xml:space="preserve">People who are </w:t>
      </w:r>
      <w:proofErr w:type="spellStart"/>
      <w:r>
        <w:t>RhD</w:t>
      </w:r>
      <w:proofErr w:type="spellEnd"/>
      <w:r>
        <w:t xml:space="preserve"> negative with an ectopic pregnancy or miscarriage up to and including 11+6 weeks of pregnancy are not prescribed anti-D immunoglobulin prophylaxis.</w:t>
      </w:r>
    </w:p>
    <w:p w14:paraId="3D2A1C03" w14:textId="77777777" w:rsidR="00DE6F78" w:rsidRDefault="00DE6F78" w:rsidP="00DE6F78">
      <w:pPr>
        <w:pStyle w:val="Heading3"/>
      </w:pPr>
      <w:r w:rsidRPr="00F56503">
        <w:t xml:space="preserve">Consultation </w:t>
      </w:r>
      <w:r w:rsidRPr="00660F4E">
        <w:t>comments</w:t>
      </w:r>
    </w:p>
    <w:p w14:paraId="203F494F" w14:textId="0300FFC9" w:rsidR="00B91B6F" w:rsidRDefault="00B91B6F" w:rsidP="00B91B6F">
      <w:pPr>
        <w:pStyle w:val="NICEnormal"/>
      </w:pPr>
      <w:r>
        <w:t xml:space="preserve">Stakeholders did not make any comments specific to the proposed inclusion of this quality statement during </w:t>
      </w:r>
      <w:proofErr w:type="gramStart"/>
      <w:r>
        <w:t>consultation,</w:t>
      </w:r>
      <w:proofErr w:type="gramEnd"/>
      <w:r>
        <w:t xml:space="preserve"> however, they were generally supportive of the underpinning recommendation for this quality statement:</w:t>
      </w:r>
    </w:p>
    <w:p w14:paraId="36EC18C4" w14:textId="77777777" w:rsidR="00B91B6F" w:rsidRDefault="00B91B6F" w:rsidP="00B91B6F">
      <w:pPr>
        <w:pStyle w:val="NICEnormal"/>
      </w:pPr>
      <w:r>
        <w:lastRenderedPageBreak/>
        <w:t xml:space="preserve">1.7.1 Do </w:t>
      </w:r>
      <w:proofErr w:type="gramStart"/>
      <w:r>
        <w:t>not offer</w:t>
      </w:r>
      <w:proofErr w:type="gramEnd"/>
      <w:r>
        <w:t xml:space="preserve"> anti-D immunoglobulin prophylaxis to women, trans men and non-binary people who are </w:t>
      </w:r>
      <w:proofErr w:type="spellStart"/>
      <w:r>
        <w:t>RhD</w:t>
      </w:r>
      <w:proofErr w:type="spellEnd"/>
      <w:r>
        <w:t xml:space="preserve"> negative up to and including 11+6 weeks of pregnancy. [2026]</w:t>
      </w:r>
    </w:p>
    <w:p w14:paraId="6F10E9FA" w14:textId="49CEF04D" w:rsidR="00315A54" w:rsidRDefault="00975742" w:rsidP="00DE6F78">
      <w:pPr>
        <w:pStyle w:val="NICEnormal"/>
      </w:pPr>
      <w:r>
        <w:t xml:space="preserve">As stakeholders did not make </w:t>
      </w:r>
      <w:r w:rsidR="008D4A0A">
        <w:t xml:space="preserve">any comments specific to the proposed inclusion of the quality statement at consultation, </w:t>
      </w:r>
      <w:r>
        <w:t xml:space="preserve">4 key stakeholders were contacted to confirm whether they agree with the addition of this quality </w:t>
      </w:r>
      <w:r w:rsidRPr="00D53CC8">
        <w:t>statement</w:t>
      </w:r>
      <w:r w:rsidR="008D4A0A" w:rsidRPr="00D53CC8">
        <w:t>.</w:t>
      </w:r>
      <w:r w:rsidR="003C2230" w:rsidRPr="00D53CC8">
        <w:t xml:space="preserve"> </w:t>
      </w:r>
      <w:r w:rsidR="00D53CC8" w:rsidRPr="00D53CC8">
        <w:t xml:space="preserve">Responses were received from three of these stakeholders and their responses were: </w:t>
      </w:r>
    </w:p>
    <w:p w14:paraId="4919FBA9" w14:textId="01E753B0" w:rsidR="00975742" w:rsidRDefault="00E42F91" w:rsidP="00E42F91">
      <w:pPr>
        <w:pStyle w:val="NICEnormal"/>
        <w:numPr>
          <w:ilvl w:val="0"/>
          <w:numId w:val="32"/>
        </w:numPr>
        <w:ind w:left="284" w:hanging="284"/>
      </w:pPr>
      <w:r>
        <w:t>s</w:t>
      </w:r>
      <w:r w:rsidR="00336F9F">
        <w:t>ugges</w:t>
      </w:r>
      <w:r w:rsidR="005D3EEE">
        <w:t xml:space="preserve">tion to </w:t>
      </w:r>
      <w:r w:rsidR="00336F9F">
        <w:t>amend</w:t>
      </w:r>
      <w:r w:rsidR="005D3EEE">
        <w:t xml:space="preserve"> </w:t>
      </w:r>
      <w:r w:rsidR="00336F9F">
        <w:t>the statement wording to ‘</w:t>
      </w:r>
      <w:r w:rsidR="00315A54">
        <w:t xml:space="preserve">should not be prescribed’ </w:t>
      </w:r>
    </w:p>
    <w:p w14:paraId="2957D27E" w14:textId="228241D5" w:rsidR="001D79A9" w:rsidRDefault="003C2230" w:rsidP="00DE4767">
      <w:pPr>
        <w:pStyle w:val="NICEnormal"/>
        <w:numPr>
          <w:ilvl w:val="0"/>
          <w:numId w:val="32"/>
        </w:numPr>
        <w:ind w:left="284" w:hanging="284"/>
      </w:pPr>
      <w:r>
        <w:t>a</w:t>
      </w:r>
      <w:r w:rsidR="001D79A9">
        <w:t xml:space="preserve">greement with </w:t>
      </w:r>
      <w:r>
        <w:t>including the quality statement in the quality standard</w:t>
      </w:r>
    </w:p>
    <w:p w14:paraId="7007118B" w14:textId="27CBAAF8" w:rsidR="00491534" w:rsidRPr="00B131B6" w:rsidRDefault="00491534" w:rsidP="00DE4767">
      <w:pPr>
        <w:pStyle w:val="TableText1"/>
        <w:numPr>
          <w:ilvl w:val="0"/>
          <w:numId w:val="32"/>
        </w:numPr>
        <w:spacing w:after="240" w:line="360" w:lineRule="auto"/>
        <w:ind w:left="284" w:hanging="284"/>
        <w:rPr>
          <w:sz w:val="24"/>
          <w:lang w:val="en-GB"/>
        </w:rPr>
      </w:pPr>
      <w:r w:rsidRPr="00B131B6">
        <w:rPr>
          <w:sz w:val="24"/>
          <w:lang w:val="en-GB"/>
        </w:rPr>
        <w:t xml:space="preserve">no objection to the quality statement but noting that </w:t>
      </w:r>
      <w:r w:rsidR="00B131B6" w:rsidRPr="00B131B6">
        <w:rPr>
          <w:sz w:val="24"/>
          <w:lang w:val="en-GB"/>
        </w:rPr>
        <w:t xml:space="preserve">it was not within the scope of that stakeholder’s expertise </w:t>
      </w:r>
      <w:r w:rsidRPr="00B131B6">
        <w:rPr>
          <w:sz w:val="24"/>
          <w:lang w:val="en-GB"/>
        </w:rPr>
        <w:t xml:space="preserve">to comment on the clinical appropriateness.  </w:t>
      </w:r>
    </w:p>
    <w:p w14:paraId="4451D8BB" w14:textId="142EA080" w:rsidR="00DB11C5" w:rsidRDefault="3869B8E9" w:rsidP="005D7E50">
      <w:pPr>
        <w:pStyle w:val="Heading3"/>
      </w:pPr>
      <w:r>
        <w:t>For information</w:t>
      </w:r>
      <w:r w:rsidR="4DB8C91A">
        <w:t xml:space="preserve"> </w:t>
      </w:r>
    </w:p>
    <w:p w14:paraId="20C0FA18" w14:textId="03BF00A0" w:rsidR="001F0224" w:rsidRPr="00B413F2" w:rsidRDefault="001F0224" w:rsidP="001F0224">
      <w:pPr>
        <w:pStyle w:val="Heading4"/>
      </w:pPr>
      <w:r>
        <w:t>Gender language in the quality standard</w:t>
      </w:r>
      <w:r w:rsidRPr="00A6218A">
        <w:t>:</w:t>
      </w:r>
    </w:p>
    <w:p w14:paraId="26471D4C" w14:textId="3A655F95" w:rsidR="001F0224" w:rsidRDefault="001F0224" w:rsidP="001F0224">
      <w:pPr>
        <w:pStyle w:val="Bulletleft1"/>
      </w:pPr>
      <w:r>
        <w:t xml:space="preserve">The gender language in the </w:t>
      </w:r>
      <w:r w:rsidR="009565FA">
        <w:t xml:space="preserve">proposed </w:t>
      </w:r>
      <w:r>
        <w:t xml:space="preserve">quality statement will </w:t>
      </w:r>
      <w:r w:rsidR="2DB54316">
        <w:t>state</w:t>
      </w:r>
      <w:r>
        <w:t xml:space="preserve"> ‘Women, trans men and non-binary people’ to match the wording of the recommendation. </w:t>
      </w:r>
    </w:p>
    <w:p w14:paraId="113BB764" w14:textId="553F5BDB" w:rsidR="001F0224" w:rsidRDefault="001F0224" w:rsidP="001F0224">
      <w:pPr>
        <w:pStyle w:val="Bulletleft1"/>
      </w:pPr>
      <w:r>
        <w:t xml:space="preserve">Note: the gender language will not be updated for the existing quality statements following discussions with the </w:t>
      </w:r>
      <w:r w:rsidR="1B86B0F3">
        <w:t>NICE publishing team</w:t>
      </w:r>
      <w:r>
        <w:t xml:space="preserve">. </w:t>
      </w:r>
    </w:p>
    <w:p w14:paraId="7AC99F61" w14:textId="011B5174" w:rsidR="00EE5C7B" w:rsidRDefault="00EE5C7B" w:rsidP="001F0224">
      <w:pPr>
        <w:pStyle w:val="Bulletleft1"/>
      </w:pPr>
      <w:r>
        <w:t xml:space="preserve">The </w:t>
      </w:r>
      <w:r w:rsidR="5004120D">
        <w:t>NICE publishing team</w:t>
      </w:r>
      <w:r w:rsidR="001C75BB">
        <w:t xml:space="preserve"> have confirmed that the </w:t>
      </w:r>
      <w:r>
        <w:t xml:space="preserve">mix of terminology </w:t>
      </w:r>
      <w:r w:rsidR="0E1BC0FB">
        <w:t xml:space="preserve">in the guideline </w:t>
      </w:r>
      <w:r>
        <w:t xml:space="preserve">reflects the different times parts of the guideline were developed and the NICE style in use at that time. For the content reviewed as part of this update, inclusive language covering wider populations - which is now standard NICE style - was used from the start of development. As such the evidence was reviewed and expert opinion given with this in mind, so </w:t>
      </w:r>
      <w:r w:rsidR="6D6F21CF">
        <w:t>NICE is</w:t>
      </w:r>
      <w:r>
        <w:t xml:space="preserve"> confident the </w:t>
      </w:r>
      <w:r w:rsidR="002C64B7">
        <w:t xml:space="preserve">new </w:t>
      </w:r>
      <w:r>
        <w:t>recommendations apply to all population groups</w:t>
      </w:r>
      <w:r w:rsidR="00172B76">
        <w:t xml:space="preserve"> that are mentioned</w:t>
      </w:r>
      <w:r>
        <w:t>. For content not being reviewed as part of this update the wording</w:t>
      </w:r>
      <w:r w:rsidR="4601E95B">
        <w:t xml:space="preserve"> has not been amended</w:t>
      </w:r>
      <w:r>
        <w:t xml:space="preserve">, as there may be reasons why it would not be appropriate or correct to do this and </w:t>
      </w:r>
      <w:r w:rsidR="63022F7E">
        <w:t>NICE</w:t>
      </w:r>
      <w:r>
        <w:t xml:space="preserve"> cannot be sure the recommendations would be applicable without expert </w:t>
      </w:r>
      <w:r>
        <w:lastRenderedPageBreak/>
        <w:t xml:space="preserve">input or an evidence review. If other sections are updated or if the guideline is reviewed as a whole, the </w:t>
      </w:r>
      <w:r w:rsidR="00B91B6F">
        <w:t>wording</w:t>
      </w:r>
      <w:r>
        <w:t xml:space="preserve"> in those sections may be reviewed at that time.</w:t>
      </w:r>
    </w:p>
    <w:p w14:paraId="31D50BB4" w14:textId="77777777" w:rsidR="00B91B6F" w:rsidRPr="00B91B6F" w:rsidRDefault="001C75BB" w:rsidP="001F0224">
      <w:pPr>
        <w:pStyle w:val="Bulletleft1"/>
      </w:pPr>
      <w:r>
        <w:t>There is a note at the beginning of the quality standard</w:t>
      </w:r>
      <w:r w:rsidR="38F30CAB">
        <w:t>:</w:t>
      </w:r>
      <w:r w:rsidR="00B91B6F">
        <w:t xml:space="preserve"> </w:t>
      </w:r>
      <w:r w:rsidR="6E1AECF5" w:rsidRPr="00D53CC8">
        <w:rPr>
          <w:rFonts w:eastAsia="Arial" w:cs="Arial"/>
          <w:color w:val="000000" w:themeColor="text1"/>
        </w:rPr>
        <w:t>In this quality standard, we use the terms ‘woman’ and ‘women', based on the evidence used in its development. The standard</w:t>
      </w:r>
      <w:r w:rsidR="00B91B6F">
        <w:rPr>
          <w:rFonts w:eastAsia="Arial" w:cs="Arial"/>
          <w:color w:val="000000" w:themeColor="text1"/>
        </w:rPr>
        <w:t xml:space="preserve"> can</w:t>
      </w:r>
      <w:r w:rsidR="6E1AECF5" w:rsidRPr="00D53CC8">
        <w:rPr>
          <w:rFonts w:eastAsia="Arial" w:cs="Arial"/>
          <w:color w:val="000000" w:themeColor="text1"/>
        </w:rPr>
        <w:t xml:space="preserve"> also apply to</w:t>
      </w:r>
      <w:r w:rsidR="00B91B6F">
        <w:rPr>
          <w:rFonts w:eastAsia="Arial" w:cs="Arial"/>
          <w:color w:val="000000" w:themeColor="text1"/>
        </w:rPr>
        <w:t xml:space="preserve"> trans men and non-binary people who are pregnant</w:t>
      </w:r>
      <w:r w:rsidR="00B91B6F">
        <w:rPr>
          <w:rFonts w:eastAsia="Arial" w:cs="Arial"/>
          <w:color w:val="C82613"/>
        </w:rPr>
        <w:t>.</w:t>
      </w:r>
    </w:p>
    <w:p w14:paraId="08CF53A6" w14:textId="02EBF9A6" w:rsidR="001C75BB" w:rsidRDefault="001C75BB" w:rsidP="001F0224">
      <w:pPr>
        <w:pStyle w:val="Bulletleft1"/>
      </w:pPr>
      <w:r>
        <w:t>If a full update is carried out on this topic in the future, the gender language will be reviewed at that stage.</w:t>
      </w:r>
    </w:p>
    <w:p w14:paraId="12F4475E" w14:textId="77777777" w:rsidR="00DB11C5" w:rsidRPr="00B413F2" w:rsidRDefault="00DB11C5" w:rsidP="005D7E50">
      <w:pPr>
        <w:pStyle w:val="Heading4"/>
      </w:pPr>
      <w:r w:rsidRPr="00A6218A">
        <w:t>For discussion:</w:t>
      </w:r>
    </w:p>
    <w:p w14:paraId="676F060F" w14:textId="77777777" w:rsidR="00712C4F" w:rsidRPr="005D7E50" w:rsidRDefault="00712C4F" w:rsidP="005D7E50">
      <w:pPr>
        <w:pStyle w:val="Bulletleft1"/>
      </w:pPr>
      <w:r w:rsidRPr="00712C4F">
        <w:t>Note: no current practice data has been identified.</w:t>
      </w:r>
    </w:p>
    <w:p w14:paraId="5518F2BD" w14:textId="77777777" w:rsidR="00EE5C7B" w:rsidRDefault="00D11925" w:rsidP="00EF191A">
      <w:pPr>
        <w:pStyle w:val="Bulletleft1last"/>
        <w:spacing w:after="120" w:line="276" w:lineRule="auto"/>
      </w:pPr>
      <w:r>
        <w:t>Committee views on</w:t>
      </w:r>
      <w:r w:rsidR="00EE5C7B">
        <w:t>:</w:t>
      </w:r>
    </w:p>
    <w:p w14:paraId="5E10E75A" w14:textId="77777777" w:rsidR="00EE5C7B" w:rsidRDefault="00D11925" w:rsidP="007349DF">
      <w:pPr>
        <w:pStyle w:val="Bulletleft1last"/>
        <w:numPr>
          <w:ilvl w:val="1"/>
          <w:numId w:val="33"/>
        </w:numPr>
        <w:spacing w:line="276" w:lineRule="auto"/>
      </w:pPr>
      <w:r>
        <w:t>q</w:t>
      </w:r>
      <w:r w:rsidR="00B42813">
        <w:t>uality statement</w:t>
      </w:r>
    </w:p>
    <w:p w14:paraId="71DBBF51" w14:textId="77777777" w:rsidR="007349DF" w:rsidRDefault="00EA49A9" w:rsidP="007349DF">
      <w:pPr>
        <w:pStyle w:val="Bulletleft1last"/>
        <w:numPr>
          <w:ilvl w:val="1"/>
          <w:numId w:val="33"/>
        </w:numPr>
        <w:spacing w:line="276" w:lineRule="auto"/>
      </w:pPr>
      <w:r>
        <w:t>supporting information: rationale, measure, audience descriptors, definitions</w:t>
      </w:r>
    </w:p>
    <w:p w14:paraId="2948638A" w14:textId="6C70773B" w:rsidR="00DB11C5" w:rsidRDefault="00EA49A9" w:rsidP="007349DF">
      <w:pPr>
        <w:pStyle w:val="Bulletleft1last"/>
        <w:numPr>
          <w:ilvl w:val="1"/>
          <w:numId w:val="33"/>
        </w:numPr>
        <w:spacing w:line="276" w:lineRule="auto"/>
      </w:pPr>
      <w:r>
        <w:t>equality and diversity considerations.</w:t>
      </w:r>
    </w:p>
    <w:p w14:paraId="591F62CC" w14:textId="77777777" w:rsidR="00DB11C5" w:rsidRDefault="00DB11C5" w:rsidP="005D7E50">
      <w:pPr>
        <w:pStyle w:val="Heading4"/>
      </w:pPr>
      <w:r w:rsidRPr="00A65BD8">
        <w:t>For decision:</w:t>
      </w:r>
    </w:p>
    <w:p w14:paraId="241E18C2" w14:textId="77777777" w:rsidR="001547DC" w:rsidRPr="001547DC" w:rsidRDefault="001547DC" w:rsidP="001547DC">
      <w:pPr>
        <w:pStyle w:val="Bulletleft1"/>
      </w:pPr>
      <w:r w:rsidRPr="001547DC">
        <w:t>Should this quality statement be included in the existing quality standard?</w:t>
      </w:r>
    </w:p>
    <w:p w14:paraId="31A88C7D" w14:textId="77777777" w:rsidR="00DB11C5" w:rsidRPr="00674028" w:rsidRDefault="00DB11C5" w:rsidP="001547DC">
      <w:pPr>
        <w:pStyle w:val="Bulletleft1last"/>
        <w:numPr>
          <w:ilvl w:val="0"/>
          <w:numId w:val="0"/>
        </w:numPr>
        <w:ind w:left="284"/>
      </w:pPr>
    </w:p>
    <w:bookmarkEnd w:id="0"/>
    <w:p w14:paraId="2A22723A" w14:textId="77777777" w:rsidR="006B4135" w:rsidRDefault="00B63ECB" w:rsidP="00B63ECB">
      <w:pPr>
        <w:rPr>
          <w:rStyle w:val="NICEnormalChar"/>
        </w:rPr>
      </w:pPr>
      <w:r w:rsidRPr="00EA3805">
        <w:rPr>
          <w:rStyle w:val="NICEnormalChar"/>
        </w:rPr>
        <w:t xml:space="preserve">© NICE </w:t>
      </w:r>
      <w:r w:rsidR="00B42813">
        <w:rPr>
          <w:rStyle w:val="NICEnormalChar"/>
        </w:rPr>
        <w:t>2</w:t>
      </w:r>
      <w:r w:rsidR="00EA49A9">
        <w:rPr>
          <w:rStyle w:val="NICEnormalChar"/>
        </w:rPr>
        <w:t>026</w:t>
      </w:r>
      <w:r w:rsidRPr="00EA3805">
        <w:rPr>
          <w:rStyle w:val="NICEnormalChar"/>
        </w:rPr>
        <w:t>. All rights reserved</w:t>
      </w:r>
      <w:r w:rsidRPr="00EA3805">
        <w:rPr>
          <w:rStyle w:val="NICEnormalChar"/>
          <w:rFonts w:cs="Arial"/>
        </w:rPr>
        <w:t xml:space="preserve">. </w:t>
      </w:r>
      <w:r w:rsidR="00DD5706" w:rsidRPr="00C35831">
        <w:rPr>
          <w:rStyle w:val="NICEnormalChar"/>
          <w:rFonts w:cs="Arial"/>
        </w:rPr>
        <w:t xml:space="preserve">Subject to </w:t>
      </w:r>
      <w:hyperlink r:id="rId10" w:anchor="notice-of-rights" w:history="1">
        <w:r w:rsidR="00DD5706">
          <w:rPr>
            <w:rStyle w:val="Hyperlink"/>
            <w:rFonts w:ascii="Arial" w:hAnsi="Arial" w:cs="Arial"/>
          </w:rPr>
          <w:t>Notice of rights</w:t>
        </w:r>
      </w:hyperlink>
      <w:r w:rsidRPr="00EA3805">
        <w:rPr>
          <w:rStyle w:val="NICEnormalChar"/>
        </w:rPr>
        <w:t>.</w:t>
      </w:r>
    </w:p>
    <w:p w14:paraId="0684D43F" w14:textId="77777777" w:rsidR="006B4135" w:rsidRDefault="006B4135">
      <w:pPr>
        <w:rPr>
          <w:rStyle w:val="NICEnormalChar"/>
        </w:rPr>
      </w:pPr>
      <w:r>
        <w:rPr>
          <w:rStyle w:val="NICEnormalChar"/>
        </w:rPr>
        <w:br w:type="page"/>
      </w:r>
    </w:p>
    <w:p w14:paraId="4B55B7C8" w14:textId="77777777" w:rsidR="00177ACD" w:rsidRPr="0001392D" w:rsidRDefault="00177ACD" w:rsidP="00DE6F78">
      <w:pPr>
        <w:pStyle w:val="Paragraph"/>
        <w:sectPr w:rsidR="00177ACD" w:rsidRPr="0001392D" w:rsidSect="0037542E">
          <w:headerReference w:type="default"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pPr>
    </w:p>
    <w:p w14:paraId="327848DA" w14:textId="384F7D22" w:rsidR="004726D7" w:rsidRDefault="00DE6F78" w:rsidP="004726D7">
      <w:pPr>
        <w:pStyle w:val="Heading1"/>
      </w:pPr>
      <w:bookmarkStart w:id="1" w:name="_Toc357694781"/>
      <w:r w:rsidRPr="00FC11EC">
        <w:lastRenderedPageBreak/>
        <w:t xml:space="preserve">Appendix </w:t>
      </w:r>
      <w:r w:rsidR="00C0204D">
        <w:t>1</w:t>
      </w:r>
      <w:r>
        <w:t xml:space="preserve">: </w:t>
      </w:r>
      <w:bookmarkEnd w:id="1"/>
      <w:r w:rsidR="00C0204D">
        <w:t>S</w:t>
      </w:r>
      <w:r w:rsidR="004726D7">
        <w:t>takeholder comments on quality statement inclusion</w:t>
      </w:r>
    </w:p>
    <w:tbl>
      <w:tblPr>
        <w:tblW w:w="13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552"/>
        <w:gridCol w:w="10632"/>
      </w:tblGrid>
      <w:tr w:rsidR="004726D7" w:rsidRPr="00660F4E" w14:paraId="5232C361" w14:textId="77777777" w:rsidTr="2996120E">
        <w:trPr>
          <w:tblHeader/>
        </w:trPr>
        <w:tc>
          <w:tcPr>
            <w:tcW w:w="675" w:type="dxa"/>
            <w:shd w:val="clear" w:color="auto" w:fill="E6E6E6"/>
          </w:tcPr>
          <w:p w14:paraId="4B8F9AD4" w14:textId="77777777" w:rsidR="004726D7" w:rsidRPr="00660F4E" w:rsidRDefault="004726D7">
            <w:pPr>
              <w:pStyle w:val="Tabletitle"/>
            </w:pPr>
            <w:r w:rsidRPr="00660F4E">
              <w:t>ID</w:t>
            </w:r>
          </w:p>
        </w:tc>
        <w:tc>
          <w:tcPr>
            <w:tcW w:w="2552" w:type="dxa"/>
            <w:shd w:val="clear" w:color="auto" w:fill="E6E6E6"/>
          </w:tcPr>
          <w:p w14:paraId="5F33835E" w14:textId="77777777" w:rsidR="004726D7" w:rsidRPr="00660F4E" w:rsidRDefault="004726D7">
            <w:pPr>
              <w:pStyle w:val="Tabletitle"/>
            </w:pPr>
            <w:r w:rsidRPr="00660F4E">
              <w:t>Stakeholder</w:t>
            </w:r>
          </w:p>
        </w:tc>
        <w:tc>
          <w:tcPr>
            <w:tcW w:w="10632" w:type="dxa"/>
            <w:shd w:val="clear" w:color="auto" w:fill="E6E6E6"/>
          </w:tcPr>
          <w:p w14:paraId="56438A82" w14:textId="77777777" w:rsidR="004726D7" w:rsidRPr="00660F4E" w:rsidRDefault="004726D7">
            <w:pPr>
              <w:pStyle w:val="Tabletitle"/>
            </w:pPr>
            <w:r w:rsidRPr="00660F4E">
              <w:t>Comments</w:t>
            </w:r>
          </w:p>
          <w:p w14:paraId="78258380" w14:textId="77777777" w:rsidR="004726D7" w:rsidRPr="00660F4E" w:rsidRDefault="004726D7">
            <w:pPr>
              <w:pStyle w:val="Tabletitle"/>
            </w:pPr>
          </w:p>
        </w:tc>
      </w:tr>
      <w:tr w:rsidR="004726D7" w:rsidRPr="00B42813" w14:paraId="57EA9C0F" w14:textId="77777777" w:rsidTr="2996120E">
        <w:tc>
          <w:tcPr>
            <w:tcW w:w="675" w:type="dxa"/>
          </w:tcPr>
          <w:p w14:paraId="007E4013" w14:textId="77777777" w:rsidR="004726D7" w:rsidRPr="00B42813" w:rsidRDefault="004726D7">
            <w:pPr>
              <w:pStyle w:val="TableText1"/>
              <w:rPr>
                <w:rFonts w:cs="Arial"/>
                <w:sz w:val="22"/>
                <w:szCs w:val="22"/>
              </w:rPr>
            </w:pPr>
            <w:r w:rsidRPr="00B42813">
              <w:rPr>
                <w:rFonts w:cs="Arial"/>
                <w:sz w:val="22"/>
                <w:szCs w:val="22"/>
              </w:rPr>
              <w:t>1</w:t>
            </w:r>
          </w:p>
        </w:tc>
        <w:tc>
          <w:tcPr>
            <w:tcW w:w="2552" w:type="dxa"/>
          </w:tcPr>
          <w:p w14:paraId="066CD898" w14:textId="77777777" w:rsidR="004726D7" w:rsidRPr="00B42813" w:rsidRDefault="004726D7">
            <w:pPr>
              <w:pStyle w:val="TableText1"/>
              <w:rPr>
                <w:rFonts w:cs="Arial"/>
                <w:sz w:val="22"/>
                <w:szCs w:val="22"/>
              </w:rPr>
            </w:pPr>
            <w:r>
              <w:rPr>
                <w:rFonts w:cs="Arial"/>
                <w:sz w:val="22"/>
                <w:szCs w:val="22"/>
              </w:rPr>
              <w:t>The Miscarriage Association</w:t>
            </w:r>
          </w:p>
        </w:tc>
        <w:tc>
          <w:tcPr>
            <w:tcW w:w="10632" w:type="dxa"/>
          </w:tcPr>
          <w:p w14:paraId="18BE01D5" w14:textId="77777777" w:rsidR="008B08EA" w:rsidRPr="008B08EA" w:rsidRDefault="008B08EA" w:rsidP="008B08EA">
            <w:pPr>
              <w:pStyle w:val="TableText1"/>
              <w:rPr>
                <w:rFonts w:cs="Arial"/>
                <w:sz w:val="22"/>
                <w:szCs w:val="22"/>
              </w:rPr>
            </w:pPr>
            <w:r w:rsidRPr="008B08EA">
              <w:rPr>
                <w:rFonts w:cs="Arial"/>
                <w:sz w:val="22"/>
                <w:szCs w:val="22"/>
              </w:rPr>
              <w:t xml:space="preserve">We have no objection to the quality statement on the basis on which it is being proposed, but it’s also outside our scope of expertise to comment on the clinical appropriateness.  </w:t>
            </w:r>
          </w:p>
          <w:p w14:paraId="4C5919B5" w14:textId="77777777" w:rsidR="008B08EA" w:rsidRPr="008B08EA" w:rsidRDefault="008B08EA" w:rsidP="008B08EA">
            <w:pPr>
              <w:pStyle w:val="TableText1"/>
              <w:rPr>
                <w:rFonts w:cs="Arial"/>
                <w:sz w:val="22"/>
                <w:szCs w:val="22"/>
              </w:rPr>
            </w:pPr>
          </w:p>
          <w:p w14:paraId="113C20B6" w14:textId="77777777" w:rsidR="008B08EA" w:rsidRPr="008B08EA" w:rsidRDefault="008B08EA" w:rsidP="008B08EA">
            <w:pPr>
              <w:pStyle w:val="TableText1"/>
              <w:rPr>
                <w:rFonts w:cs="Arial"/>
                <w:sz w:val="22"/>
                <w:szCs w:val="22"/>
              </w:rPr>
            </w:pPr>
            <w:r w:rsidRPr="008B08EA">
              <w:rPr>
                <w:rFonts w:cs="Arial"/>
                <w:sz w:val="22"/>
                <w:szCs w:val="22"/>
              </w:rPr>
              <w:t xml:space="preserve">As a patient </w:t>
            </w:r>
            <w:proofErr w:type="spellStart"/>
            <w:r w:rsidRPr="008B08EA">
              <w:rPr>
                <w:rFonts w:cs="Arial"/>
                <w:sz w:val="22"/>
                <w:szCs w:val="22"/>
              </w:rPr>
              <w:t>organisation</w:t>
            </w:r>
            <w:proofErr w:type="spellEnd"/>
            <w:r w:rsidRPr="008B08EA">
              <w:rPr>
                <w:rFonts w:cs="Arial"/>
                <w:sz w:val="22"/>
                <w:szCs w:val="22"/>
              </w:rPr>
              <w:t xml:space="preserve">, we provide practical information and emotional support for patients through pregnancy loss, but we defer to the experts for medical expertise. We are always happy to provide </w:t>
            </w:r>
            <w:proofErr w:type="gramStart"/>
            <w:r w:rsidRPr="008B08EA">
              <w:rPr>
                <w:rFonts w:cs="Arial"/>
                <w:sz w:val="22"/>
                <w:szCs w:val="22"/>
              </w:rPr>
              <w:t>comment</w:t>
            </w:r>
            <w:proofErr w:type="gramEnd"/>
            <w:r w:rsidRPr="008B08EA">
              <w:rPr>
                <w:rFonts w:cs="Arial"/>
                <w:sz w:val="22"/>
                <w:szCs w:val="22"/>
              </w:rPr>
              <w:t xml:space="preserve"> on patient experience and communications, but we don’t have the knowledge to comment on medical interventions. </w:t>
            </w:r>
          </w:p>
          <w:p w14:paraId="4ABF97A5" w14:textId="77777777" w:rsidR="008B08EA" w:rsidRPr="008B08EA" w:rsidRDefault="008B08EA" w:rsidP="008B08EA">
            <w:pPr>
              <w:pStyle w:val="TableText1"/>
              <w:rPr>
                <w:rFonts w:cs="Arial"/>
                <w:sz w:val="22"/>
                <w:szCs w:val="22"/>
              </w:rPr>
            </w:pPr>
          </w:p>
          <w:p w14:paraId="33297141" w14:textId="77777777" w:rsidR="004726D7" w:rsidRPr="00B42813" w:rsidRDefault="008B08EA">
            <w:pPr>
              <w:pStyle w:val="TableText1"/>
              <w:rPr>
                <w:rFonts w:cs="Arial"/>
                <w:sz w:val="22"/>
                <w:szCs w:val="22"/>
              </w:rPr>
            </w:pPr>
            <w:r w:rsidRPr="008B08EA">
              <w:rPr>
                <w:rFonts w:cs="Arial"/>
                <w:sz w:val="22"/>
                <w:szCs w:val="22"/>
              </w:rPr>
              <w:t xml:space="preserve">I hope that helps and explains our position. </w:t>
            </w:r>
          </w:p>
        </w:tc>
      </w:tr>
      <w:tr w:rsidR="004726D7" w:rsidRPr="00B42813" w14:paraId="11310414" w14:textId="77777777" w:rsidTr="2996120E">
        <w:tc>
          <w:tcPr>
            <w:tcW w:w="675" w:type="dxa"/>
          </w:tcPr>
          <w:p w14:paraId="5E71D64C" w14:textId="77777777" w:rsidR="004726D7" w:rsidRPr="00B42813" w:rsidRDefault="004726D7">
            <w:pPr>
              <w:pStyle w:val="TableText1"/>
              <w:rPr>
                <w:rFonts w:cs="Arial"/>
                <w:sz w:val="22"/>
                <w:szCs w:val="22"/>
              </w:rPr>
            </w:pPr>
            <w:r w:rsidRPr="00B42813">
              <w:rPr>
                <w:rFonts w:cs="Arial"/>
                <w:sz w:val="22"/>
                <w:szCs w:val="22"/>
              </w:rPr>
              <w:t>2</w:t>
            </w:r>
          </w:p>
        </w:tc>
        <w:tc>
          <w:tcPr>
            <w:tcW w:w="2552" w:type="dxa"/>
          </w:tcPr>
          <w:p w14:paraId="5036FC32" w14:textId="4555FDD9" w:rsidR="004726D7" w:rsidRPr="00B42813" w:rsidRDefault="008B08EA">
            <w:pPr>
              <w:pStyle w:val="TableText1"/>
              <w:rPr>
                <w:rFonts w:cs="Arial"/>
                <w:sz w:val="22"/>
                <w:szCs w:val="22"/>
              </w:rPr>
            </w:pPr>
            <w:r w:rsidRPr="3C9CB418">
              <w:rPr>
                <w:rFonts w:cs="Arial"/>
                <w:sz w:val="22"/>
                <w:szCs w:val="22"/>
              </w:rPr>
              <w:t>R</w:t>
            </w:r>
            <w:r w:rsidR="5F2DD16E" w:rsidRPr="3C9CB418">
              <w:rPr>
                <w:rFonts w:cs="Arial"/>
                <w:sz w:val="22"/>
                <w:szCs w:val="22"/>
              </w:rPr>
              <w:t>oyal college of GPs (RCGP)</w:t>
            </w:r>
          </w:p>
        </w:tc>
        <w:tc>
          <w:tcPr>
            <w:tcW w:w="10632" w:type="dxa"/>
          </w:tcPr>
          <w:p w14:paraId="7C166A8C" w14:textId="77777777" w:rsidR="00A72823" w:rsidRPr="00A72823" w:rsidRDefault="00A72823" w:rsidP="00A72823">
            <w:pPr>
              <w:pStyle w:val="TableText1"/>
              <w:rPr>
                <w:rFonts w:cs="Arial"/>
                <w:sz w:val="22"/>
                <w:szCs w:val="22"/>
              </w:rPr>
            </w:pPr>
            <w:r w:rsidRPr="00A72823">
              <w:rPr>
                <w:rFonts w:cs="Arial"/>
                <w:sz w:val="22"/>
                <w:szCs w:val="22"/>
              </w:rPr>
              <w:t>I can confirm that we support the inclusion of the following statement:</w:t>
            </w:r>
          </w:p>
          <w:p w14:paraId="6875FB27" w14:textId="10D26895" w:rsidR="004726D7" w:rsidRPr="00B42813" w:rsidRDefault="00A72823" w:rsidP="00A72823">
            <w:pPr>
              <w:pStyle w:val="TableText1"/>
              <w:rPr>
                <w:rFonts w:cs="Arial"/>
                <w:sz w:val="22"/>
                <w:szCs w:val="22"/>
              </w:rPr>
            </w:pPr>
            <w:r w:rsidRPr="00A72823">
              <w:rPr>
                <w:rFonts w:cs="Arial"/>
                <w:sz w:val="22"/>
                <w:szCs w:val="22"/>
              </w:rPr>
              <w:t>•</w:t>
            </w:r>
            <w:r w:rsidRPr="00A72823">
              <w:rPr>
                <w:rFonts w:cs="Arial"/>
                <w:sz w:val="22"/>
                <w:szCs w:val="22"/>
              </w:rPr>
              <w:tab/>
              <w:t xml:space="preserve">People who are </w:t>
            </w:r>
            <w:proofErr w:type="spellStart"/>
            <w:r w:rsidRPr="00A72823">
              <w:rPr>
                <w:rFonts w:cs="Arial"/>
                <w:sz w:val="22"/>
                <w:szCs w:val="22"/>
              </w:rPr>
              <w:t>RhD</w:t>
            </w:r>
            <w:proofErr w:type="spellEnd"/>
            <w:r w:rsidRPr="00A72823">
              <w:rPr>
                <w:rFonts w:cs="Arial"/>
                <w:sz w:val="22"/>
                <w:szCs w:val="22"/>
              </w:rPr>
              <w:t xml:space="preserve"> negative with an ectopic pregnancy or miscarriage up to and including 11+6 weeks of pregnancy are not prescribed anti-D immunoglobulin prophylaxis.</w:t>
            </w:r>
          </w:p>
        </w:tc>
      </w:tr>
      <w:tr w:rsidR="008B08EA" w:rsidRPr="00B42813" w14:paraId="430D8805" w14:textId="77777777" w:rsidTr="2996120E">
        <w:tc>
          <w:tcPr>
            <w:tcW w:w="675" w:type="dxa"/>
          </w:tcPr>
          <w:p w14:paraId="20761EE0" w14:textId="77777777" w:rsidR="008B08EA" w:rsidRPr="00B42813" w:rsidRDefault="285C8C93" w:rsidP="2996120E">
            <w:pPr>
              <w:pStyle w:val="TableText1"/>
              <w:rPr>
                <w:rFonts w:cs="Arial"/>
                <w:sz w:val="22"/>
                <w:szCs w:val="22"/>
              </w:rPr>
            </w:pPr>
            <w:r w:rsidRPr="2996120E">
              <w:rPr>
                <w:rFonts w:cs="Arial"/>
                <w:sz w:val="22"/>
                <w:szCs w:val="22"/>
              </w:rPr>
              <w:t>3</w:t>
            </w:r>
          </w:p>
        </w:tc>
        <w:tc>
          <w:tcPr>
            <w:tcW w:w="2552" w:type="dxa"/>
          </w:tcPr>
          <w:p w14:paraId="6E8B4646" w14:textId="77777777" w:rsidR="008B08EA" w:rsidRDefault="285C8C93" w:rsidP="2996120E">
            <w:pPr>
              <w:pStyle w:val="TableText1"/>
              <w:rPr>
                <w:rFonts w:cs="Arial"/>
                <w:sz w:val="22"/>
                <w:szCs w:val="22"/>
              </w:rPr>
            </w:pPr>
            <w:r w:rsidRPr="2996120E">
              <w:rPr>
                <w:rFonts w:cs="Arial"/>
                <w:sz w:val="22"/>
                <w:szCs w:val="22"/>
              </w:rPr>
              <w:t>RCN</w:t>
            </w:r>
          </w:p>
        </w:tc>
        <w:tc>
          <w:tcPr>
            <w:tcW w:w="10632" w:type="dxa"/>
          </w:tcPr>
          <w:p w14:paraId="7013CF88" w14:textId="4C74DA99" w:rsidR="008B08EA" w:rsidRPr="00B42813" w:rsidRDefault="38AB390E" w:rsidP="2996120E">
            <w:pPr>
              <w:pStyle w:val="TableText1"/>
              <w:rPr>
                <w:rFonts w:cs="Arial"/>
                <w:sz w:val="22"/>
                <w:szCs w:val="22"/>
              </w:rPr>
            </w:pPr>
            <w:r w:rsidRPr="2996120E">
              <w:rPr>
                <w:rFonts w:cs="Arial"/>
                <w:sz w:val="22"/>
                <w:szCs w:val="22"/>
              </w:rPr>
              <w:t xml:space="preserve">No response </w:t>
            </w:r>
            <w:proofErr w:type="gramStart"/>
            <w:r w:rsidRPr="2996120E">
              <w:rPr>
                <w:rFonts w:cs="Arial"/>
                <w:sz w:val="22"/>
                <w:szCs w:val="22"/>
              </w:rPr>
              <w:t>received</w:t>
            </w:r>
            <w:proofErr w:type="gramEnd"/>
            <w:r w:rsidRPr="2996120E">
              <w:rPr>
                <w:rFonts w:cs="Arial"/>
                <w:sz w:val="22"/>
                <w:szCs w:val="22"/>
              </w:rPr>
              <w:t xml:space="preserve">. </w:t>
            </w:r>
          </w:p>
        </w:tc>
      </w:tr>
      <w:tr w:rsidR="008B08EA" w:rsidRPr="00B42813" w14:paraId="007A2004" w14:textId="77777777" w:rsidTr="2996120E">
        <w:tc>
          <w:tcPr>
            <w:tcW w:w="675" w:type="dxa"/>
          </w:tcPr>
          <w:p w14:paraId="79280C24" w14:textId="77777777" w:rsidR="008B08EA" w:rsidRDefault="285C8C93">
            <w:pPr>
              <w:pStyle w:val="TableText1"/>
              <w:rPr>
                <w:rFonts w:cs="Arial"/>
                <w:sz w:val="22"/>
                <w:szCs w:val="22"/>
              </w:rPr>
            </w:pPr>
            <w:r w:rsidRPr="2996120E">
              <w:rPr>
                <w:rFonts w:cs="Arial"/>
                <w:sz w:val="22"/>
                <w:szCs w:val="22"/>
              </w:rPr>
              <w:t>4</w:t>
            </w:r>
          </w:p>
        </w:tc>
        <w:tc>
          <w:tcPr>
            <w:tcW w:w="2552" w:type="dxa"/>
          </w:tcPr>
          <w:p w14:paraId="1066C99A" w14:textId="6A5377EB" w:rsidR="008B08EA" w:rsidRDefault="39923828">
            <w:pPr>
              <w:pStyle w:val="TableText1"/>
              <w:rPr>
                <w:rFonts w:cs="Arial"/>
                <w:sz w:val="22"/>
                <w:szCs w:val="22"/>
              </w:rPr>
            </w:pPr>
            <w:r w:rsidRPr="2996120E">
              <w:rPr>
                <w:rFonts w:cs="Arial"/>
                <w:sz w:val="22"/>
                <w:szCs w:val="22"/>
              </w:rPr>
              <w:t>Royal College of Obstetricians and Gynaecologists</w:t>
            </w:r>
            <w:r w:rsidR="2DEA5774" w:rsidRPr="2996120E">
              <w:rPr>
                <w:rFonts w:cs="Arial"/>
                <w:sz w:val="22"/>
                <w:szCs w:val="22"/>
              </w:rPr>
              <w:t xml:space="preserve"> (RCOG)</w:t>
            </w:r>
          </w:p>
        </w:tc>
        <w:tc>
          <w:tcPr>
            <w:tcW w:w="10632" w:type="dxa"/>
          </w:tcPr>
          <w:p w14:paraId="5250CA9F" w14:textId="09753A6E" w:rsidR="008B08EA" w:rsidRPr="00B42813" w:rsidRDefault="52F8DF5F">
            <w:pPr>
              <w:pStyle w:val="TableText1"/>
              <w:rPr>
                <w:rFonts w:cs="Arial"/>
                <w:sz w:val="22"/>
                <w:szCs w:val="22"/>
              </w:rPr>
            </w:pPr>
            <w:r w:rsidRPr="2996120E">
              <w:rPr>
                <w:rFonts w:cs="Arial"/>
                <w:sz w:val="22"/>
                <w:szCs w:val="22"/>
                <w:lang w:val="en-GB"/>
              </w:rPr>
              <w:t>We had one very minor comment from a member on the RCOG Guidelines Committee which was “Should it not read (of pregnancy SHOULD not BE prescribed antiD immunoglobulin prophylaxis)</w:t>
            </w:r>
            <w:r w:rsidR="00336F9F" w:rsidRPr="2996120E">
              <w:rPr>
                <w:rFonts w:cs="Arial"/>
                <w:sz w:val="22"/>
                <w:szCs w:val="22"/>
                <w:lang w:val="en-GB"/>
              </w:rPr>
              <w:t>?</w:t>
            </w:r>
          </w:p>
        </w:tc>
      </w:tr>
    </w:tbl>
    <w:p w14:paraId="682ADC4B" w14:textId="77777777" w:rsidR="004726D7" w:rsidRPr="004726D7" w:rsidRDefault="004726D7" w:rsidP="004726D7">
      <w:pPr>
        <w:pStyle w:val="NICEnormal"/>
      </w:pPr>
    </w:p>
    <w:p w14:paraId="7F8652A4" w14:textId="77777777" w:rsidR="00B91B6F" w:rsidRDefault="00B91B6F">
      <w:pPr>
        <w:rPr>
          <w:rFonts w:ascii="Arial" w:hAnsi="Arial" w:cs="Arial"/>
          <w:b/>
          <w:bCs/>
          <w:kern w:val="32"/>
          <w:sz w:val="32"/>
          <w:szCs w:val="32"/>
        </w:rPr>
      </w:pPr>
      <w:r>
        <w:br w:type="page"/>
      </w:r>
    </w:p>
    <w:p w14:paraId="4F5214D8" w14:textId="440BFA5E" w:rsidR="004726D7" w:rsidRDefault="004726D7" w:rsidP="004726D7">
      <w:pPr>
        <w:pStyle w:val="Heading1"/>
      </w:pPr>
      <w:r w:rsidRPr="00FC11EC">
        <w:lastRenderedPageBreak/>
        <w:t xml:space="preserve">Appendix </w:t>
      </w:r>
      <w:r w:rsidR="00C0204D">
        <w:t>2</w:t>
      </w:r>
      <w:r>
        <w:t>: Guideline and quality standard</w:t>
      </w:r>
      <w:r w:rsidRPr="00660F4E">
        <w:t xml:space="preserve"> </w:t>
      </w:r>
      <w:r w:rsidR="00010FD3">
        <w:t xml:space="preserve">joint </w:t>
      </w:r>
      <w:r>
        <w:t>c</w:t>
      </w:r>
      <w:r w:rsidRPr="00660F4E">
        <w:t xml:space="preserve">onsultation </w:t>
      </w:r>
      <w:r>
        <w:t>c</w:t>
      </w:r>
      <w:r w:rsidRPr="00660F4E">
        <w:t xml:space="preserve">omments </w:t>
      </w:r>
      <w:r>
        <w:t>t</w:t>
      </w:r>
      <w:r w:rsidRPr="00660F4E">
        <w:t>able</w:t>
      </w:r>
      <w:r>
        <w:t xml:space="preserve"> – registered stakeholders</w:t>
      </w:r>
    </w:p>
    <w:p w14:paraId="1AF6817B" w14:textId="77777777" w:rsidR="00AE5436" w:rsidRPr="00CE1BFA" w:rsidRDefault="00AE5436" w:rsidP="00CE1BFA">
      <w:pPr>
        <w:pStyle w:val="TableText1"/>
        <w:rPr>
          <w:highlight w:val="cyan"/>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Quality standard consultation comments table – registered stakeholders"/>
        <w:tblDescription w:val="All comments from registered stakeholders received during quality standard consultation."/>
      </w:tblPr>
      <w:tblGrid>
        <w:gridCol w:w="675"/>
        <w:gridCol w:w="2552"/>
        <w:gridCol w:w="1417"/>
        <w:gridCol w:w="10632"/>
      </w:tblGrid>
      <w:tr w:rsidR="00DE6F78" w:rsidRPr="00660F4E" w14:paraId="3D6A10C9" w14:textId="77777777" w:rsidTr="00E356FB">
        <w:trPr>
          <w:tblHeader/>
        </w:trPr>
        <w:tc>
          <w:tcPr>
            <w:tcW w:w="675" w:type="dxa"/>
            <w:shd w:val="clear" w:color="auto" w:fill="E6E6E6"/>
          </w:tcPr>
          <w:p w14:paraId="7DD20B72" w14:textId="77777777" w:rsidR="00DE6F78" w:rsidRPr="00660F4E" w:rsidRDefault="00DE6F78" w:rsidP="006B4135">
            <w:pPr>
              <w:pStyle w:val="Tabletitle"/>
            </w:pPr>
            <w:r w:rsidRPr="00660F4E">
              <w:t>ID</w:t>
            </w:r>
          </w:p>
        </w:tc>
        <w:tc>
          <w:tcPr>
            <w:tcW w:w="2552" w:type="dxa"/>
            <w:shd w:val="clear" w:color="auto" w:fill="E6E6E6"/>
          </w:tcPr>
          <w:p w14:paraId="7E0E045A" w14:textId="77777777" w:rsidR="00DE6F78" w:rsidRPr="00660F4E" w:rsidRDefault="00DE6F78" w:rsidP="006B4135">
            <w:pPr>
              <w:pStyle w:val="Tabletitle"/>
            </w:pPr>
            <w:r w:rsidRPr="00660F4E">
              <w:t>Stakeholder</w:t>
            </w:r>
          </w:p>
        </w:tc>
        <w:tc>
          <w:tcPr>
            <w:tcW w:w="1417" w:type="dxa"/>
            <w:shd w:val="clear" w:color="auto" w:fill="E6E6E6"/>
          </w:tcPr>
          <w:p w14:paraId="7AC9FF48" w14:textId="77777777" w:rsidR="00DE6F78" w:rsidRPr="00660F4E" w:rsidRDefault="00066D70" w:rsidP="006B4135">
            <w:pPr>
              <w:pStyle w:val="Tabletitle"/>
            </w:pPr>
            <w:r>
              <w:t>Guideline/ quality standard</w:t>
            </w:r>
          </w:p>
        </w:tc>
        <w:tc>
          <w:tcPr>
            <w:tcW w:w="10632" w:type="dxa"/>
            <w:shd w:val="clear" w:color="auto" w:fill="E6E6E6"/>
          </w:tcPr>
          <w:p w14:paraId="32536079" w14:textId="77777777" w:rsidR="00DE6F78" w:rsidRPr="00660F4E" w:rsidRDefault="00DE6F78" w:rsidP="006B4135">
            <w:pPr>
              <w:pStyle w:val="Tabletitle"/>
            </w:pPr>
            <w:r w:rsidRPr="00660F4E">
              <w:t>Comments</w:t>
            </w:r>
          </w:p>
          <w:p w14:paraId="43A8CA6A" w14:textId="77777777" w:rsidR="00DE6F78" w:rsidRPr="00660F4E" w:rsidRDefault="00DE6F78" w:rsidP="006B4135">
            <w:pPr>
              <w:pStyle w:val="Tabletitle"/>
            </w:pPr>
          </w:p>
        </w:tc>
      </w:tr>
      <w:tr w:rsidR="00066D70" w:rsidRPr="00660F4E" w14:paraId="7E6CDE9F" w14:textId="77777777" w:rsidTr="00E356FB">
        <w:tc>
          <w:tcPr>
            <w:tcW w:w="675" w:type="dxa"/>
          </w:tcPr>
          <w:p w14:paraId="2912C56A" w14:textId="77777777" w:rsidR="00066D70" w:rsidRPr="00B42813" w:rsidRDefault="00066D70" w:rsidP="00066D70">
            <w:pPr>
              <w:pStyle w:val="TableText1"/>
              <w:rPr>
                <w:rFonts w:cs="Arial"/>
                <w:sz w:val="22"/>
                <w:szCs w:val="22"/>
              </w:rPr>
            </w:pPr>
            <w:r w:rsidRPr="00B42813">
              <w:rPr>
                <w:rFonts w:cs="Arial"/>
                <w:sz w:val="22"/>
                <w:szCs w:val="22"/>
              </w:rPr>
              <w:t>1</w:t>
            </w:r>
          </w:p>
        </w:tc>
        <w:tc>
          <w:tcPr>
            <w:tcW w:w="2552" w:type="dxa"/>
          </w:tcPr>
          <w:p w14:paraId="502C378B" w14:textId="77777777" w:rsidR="00066D70" w:rsidRPr="00B42813" w:rsidRDefault="00066D70" w:rsidP="00066D70">
            <w:pPr>
              <w:pStyle w:val="TableText1"/>
              <w:rPr>
                <w:rFonts w:cs="Arial"/>
                <w:sz w:val="22"/>
                <w:szCs w:val="22"/>
              </w:rPr>
            </w:pPr>
            <w:r w:rsidRPr="00B42813">
              <w:rPr>
                <w:rFonts w:cs="Arial"/>
                <w:sz w:val="22"/>
                <w:szCs w:val="22"/>
              </w:rPr>
              <w:t>British Society of Abortion Care Providers (BSACP)</w:t>
            </w:r>
          </w:p>
        </w:tc>
        <w:tc>
          <w:tcPr>
            <w:tcW w:w="1417" w:type="dxa"/>
          </w:tcPr>
          <w:p w14:paraId="4B5BA6A3" w14:textId="77777777" w:rsidR="00066D70" w:rsidRPr="00B42813" w:rsidRDefault="00066D70" w:rsidP="00066D70">
            <w:pPr>
              <w:pStyle w:val="TableText1"/>
              <w:rPr>
                <w:rFonts w:cs="Arial"/>
                <w:sz w:val="22"/>
                <w:szCs w:val="22"/>
              </w:rPr>
            </w:pPr>
            <w:r w:rsidRPr="00B42813">
              <w:rPr>
                <w:rFonts w:cs="Arial"/>
                <w:sz w:val="22"/>
                <w:szCs w:val="22"/>
              </w:rPr>
              <w:t>Guideline</w:t>
            </w:r>
          </w:p>
        </w:tc>
        <w:tc>
          <w:tcPr>
            <w:tcW w:w="10632" w:type="dxa"/>
          </w:tcPr>
          <w:p w14:paraId="16149E93" w14:textId="77777777" w:rsidR="00066D70" w:rsidRPr="00B42813" w:rsidRDefault="00066D70" w:rsidP="00066D70">
            <w:pPr>
              <w:rPr>
                <w:rFonts w:ascii="Arial" w:hAnsi="Arial" w:cs="Arial"/>
                <w:sz w:val="22"/>
                <w:szCs w:val="22"/>
              </w:rPr>
            </w:pPr>
            <w:r w:rsidRPr="00B42813">
              <w:rPr>
                <w:rFonts w:ascii="Arial" w:hAnsi="Arial" w:cs="Arial"/>
                <w:sz w:val="22"/>
                <w:szCs w:val="22"/>
              </w:rPr>
              <w:t xml:space="preserve">For both recommendations 1.7.2 and 1.7.3 – the dose recommendation of 250international units may be the </w:t>
            </w:r>
            <w:proofErr w:type="gramStart"/>
            <w:r w:rsidRPr="00B42813">
              <w:rPr>
                <w:rFonts w:ascii="Arial" w:hAnsi="Arial" w:cs="Arial"/>
                <w:sz w:val="22"/>
                <w:szCs w:val="22"/>
              </w:rPr>
              <w:t>evidence based</w:t>
            </w:r>
            <w:proofErr w:type="gramEnd"/>
            <w:r w:rsidRPr="00B42813">
              <w:rPr>
                <w:rFonts w:ascii="Arial" w:hAnsi="Arial" w:cs="Arial"/>
                <w:sz w:val="22"/>
                <w:szCs w:val="22"/>
              </w:rPr>
              <w:t xml:space="preserve"> dose, however, this dose is not available commonly in the UK and appears to have been discontinued by manufacturers. </w:t>
            </w:r>
            <w:proofErr w:type="gramStart"/>
            <w:r w:rsidRPr="00B42813">
              <w:rPr>
                <w:rFonts w:ascii="Arial" w:hAnsi="Arial" w:cs="Arial"/>
                <w:sz w:val="22"/>
                <w:szCs w:val="22"/>
              </w:rPr>
              <w:t>Indeed</w:t>
            </w:r>
            <w:proofErr w:type="gramEnd"/>
            <w:r w:rsidRPr="00B42813">
              <w:rPr>
                <w:rFonts w:ascii="Arial" w:hAnsi="Arial" w:cs="Arial"/>
                <w:sz w:val="22"/>
                <w:szCs w:val="22"/>
              </w:rPr>
              <w:t xml:space="preserve"> the only preparations listed on the BNF are for 500 or 1500 units and these are the preparations you have included for cost impact analysis. We are of the understanding that doses of Anti-D cannot be ‘split’ due to the non-homogenous nature of Anti-D immunoglobulin (i.e. half the volume of a </w:t>
            </w:r>
            <w:proofErr w:type="gramStart"/>
            <w:r w:rsidRPr="00B42813">
              <w:rPr>
                <w:rFonts w:ascii="Arial" w:hAnsi="Arial" w:cs="Arial"/>
                <w:sz w:val="22"/>
                <w:szCs w:val="22"/>
              </w:rPr>
              <w:t>500 unit</w:t>
            </w:r>
            <w:proofErr w:type="gramEnd"/>
            <w:r w:rsidRPr="00B42813">
              <w:rPr>
                <w:rFonts w:ascii="Arial" w:hAnsi="Arial" w:cs="Arial"/>
                <w:sz w:val="22"/>
                <w:szCs w:val="22"/>
              </w:rPr>
              <w:t xml:space="preserve"> ampoule does not reliably provide 250 units).</w:t>
            </w:r>
          </w:p>
          <w:p w14:paraId="30141B56" w14:textId="77777777" w:rsidR="00066D70" w:rsidRPr="00B42813" w:rsidRDefault="00066D70" w:rsidP="00066D70">
            <w:pPr>
              <w:rPr>
                <w:rFonts w:ascii="Arial" w:hAnsi="Arial" w:cs="Arial"/>
                <w:sz w:val="22"/>
                <w:szCs w:val="22"/>
              </w:rPr>
            </w:pPr>
          </w:p>
          <w:p w14:paraId="0E6972FC" w14:textId="77777777" w:rsidR="00066D70" w:rsidRPr="00B42813" w:rsidRDefault="00066D70" w:rsidP="00066D70">
            <w:pPr>
              <w:pStyle w:val="TableText1"/>
              <w:rPr>
                <w:rFonts w:cs="Arial"/>
                <w:sz w:val="22"/>
                <w:szCs w:val="22"/>
              </w:rPr>
            </w:pPr>
            <w:proofErr w:type="gramStart"/>
            <w:r w:rsidRPr="00B42813">
              <w:rPr>
                <w:rFonts w:cs="Arial"/>
                <w:sz w:val="22"/>
                <w:szCs w:val="22"/>
              </w:rPr>
              <w:t>In order to</w:t>
            </w:r>
            <w:proofErr w:type="gramEnd"/>
            <w:r w:rsidRPr="00B42813">
              <w:rPr>
                <w:rFonts w:cs="Arial"/>
                <w:sz w:val="22"/>
                <w:szCs w:val="22"/>
              </w:rPr>
              <w:t xml:space="preserve"> make the recommendations practicable, we suggest noting that 250IU preparations may not be available due to supply chain issues and so that 500 units could be administered instead. Or perhaps wording as a ‘minimum 250IU dose’.</w:t>
            </w:r>
          </w:p>
        </w:tc>
      </w:tr>
      <w:tr w:rsidR="00066D70" w:rsidRPr="00660F4E" w14:paraId="4F4CF2F5" w14:textId="77777777" w:rsidTr="00E356FB">
        <w:tc>
          <w:tcPr>
            <w:tcW w:w="675" w:type="dxa"/>
          </w:tcPr>
          <w:p w14:paraId="31A578FE" w14:textId="77777777" w:rsidR="00066D70" w:rsidRPr="00B42813" w:rsidRDefault="00066D70" w:rsidP="00066D70">
            <w:pPr>
              <w:pStyle w:val="TableText1"/>
              <w:rPr>
                <w:rFonts w:cs="Arial"/>
                <w:sz w:val="22"/>
                <w:szCs w:val="22"/>
              </w:rPr>
            </w:pPr>
            <w:r w:rsidRPr="00B42813">
              <w:rPr>
                <w:rFonts w:cs="Arial"/>
                <w:sz w:val="22"/>
                <w:szCs w:val="22"/>
              </w:rPr>
              <w:t>2</w:t>
            </w:r>
          </w:p>
        </w:tc>
        <w:tc>
          <w:tcPr>
            <w:tcW w:w="2552" w:type="dxa"/>
          </w:tcPr>
          <w:p w14:paraId="341F6C3C" w14:textId="77777777" w:rsidR="00066D70" w:rsidRPr="00B42813" w:rsidRDefault="00066D70" w:rsidP="00066D70">
            <w:pPr>
              <w:pStyle w:val="TableText1"/>
              <w:rPr>
                <w:rFonts w:cs="Arial"/>
                <w:sz w:val="22"/>
                <w:szCs w:val="22"/>
                <w:highlight w:val="lightGray"/>
              </w:rPr>
            </w:pPr>
            <w:r w:rsidRPr="00B42813">
              <w:rPr>
                <w:rFonts w:cs="Arial"/>
                <w:sz w:val="22"/>
                <w:szCs w:val="22"/>
              </w:rPr>
              <w:t>British Society of Abortion Care Providers (BSACP)</w:t>
            </w:r>
          </w:p>
        </w:tc>
        <w:tc>
          <w:tcPr>
            <w:tcW w:w="1417" w:type="dxa"/>
          </w:tcPr>
          <w:p w14:paraId="348809F9" w14:textId="77777777" w:rsidR="00066D70" w:rsidRPr="00B42813" w:rsidRDefault="00B42813" w:rsidP="00066D70">
            <w:pPr>
              <w:pStyle w:val="TableText1"/>
              <w:rPr>
                <w:rFonts w:cs="Arial"/>
                <w:sz w:val="22"/>
                <w:szCs w:val="22"/>
                <w:highlight w:val="lightGray"/>
              </w:rPr>
            </w:pPr>
            <w:r w:rsidRPr="00B42813">
              <w:rPr>
                <w:rFonts w:cs="Arial"/>
                <w:sz w:val="22"/>
                <w:szCs w:val="22"/>
              </w:rPr>
              <w:t>Guideline</w:t>
            </w:r>
          </w:p>
        </w:tc>
        <w:tc>
          <w:tcPr>
            <w:tcW w:w="10632" w:type="dxa"/>
          </w:tcPr>
          <w:p w14:paraId="61F35691" w14:textId="77777777" w:rsidR="00066D70" w:rsidRPr="00B42813" w:rsidRDefault="00066D70" w:rsidP="00066D70">
            <w:pPr>
              <w:pStyle w:val="TableText1"/>
              <w:rPr>
                <w:rFonts w:cs="Arial"/>
                <w:sz w:val="22"/>
                <w:szCs w:val="22"/>
              </w:rPr>
            </w:pPr>
            <w:r w:rsidRPr="00B42813">
              <w:rPr>
                <w:rFonts w:cs="Arial"/>
                <w:sz w:val="22"/>
                <w:szCs w:val="22"/>
              </w:rPr>
              <w:t xml:space="preserve">We endorse the amendments to the guidance as drafted for patients with pregnancies of less than 12 weeks’ gestation </w:t>
            </w:r>
          </w:p>
        </w:tc>
      </w:tr>
      <w:tr w:rsidR="00066D70" w:rsidRPr="00660F4E" w14:paraId="40C5D391" w14:textId="77777777" w:rsidTr="00E356FB">
        <w:tc>
          <w:tcPr>
            <w:tcW w:w="675" w:type="dxa"/>
          </w:tcPr>
          <w:p w14:paraId="56118BA0" w14:textId="77777777" w:rsidR="00066D70" w:rsidRPr="00B42813" w:rsidRDefault="00066D70" w:rsidP="00066D70">
            <w:pPr>
              <w:pStyle w:val="TableText1"/>
              <w:rPr>
                <w:rFonts w:cs="Arial"/>
                <w:sz w:val="22"/>
                <w:szCs w:val="22"/>
              </w:rPr>
            </w:pPr>
            <w:r w:rsidRPr="00B42813">
              <w:rPr>
                <w:rFonts w:cs="Arial"/>
                <w:sz w:val="22"/>
                <w:szCs w:val="22"/>
              </w:rPr>
              <w:t>3</w:t>
            </w:r>
          </w:p>
        </w:tc>
        <w:tc>
          <w:tcPr>
            <w:tcW w:w="2552" w:type="dxa"/>
          </w:tcPr>
          <w:p w14:paraId="7A26652B" w14:textId="77777777" w:rsidR="00066D70" w:rsidRPr="00B42813" w:rsidRDefault="00066D70" w:rsidP="00066D70">
            <w:pPr>
              <w:pStyle w:val="TableText1"/>
              <w:rPr>
                <w:rFonts w:cs="Arial"/>
                <w:sz w:val="22"/>
                <w:szCs w:val="22"/>
                <w:highlight w:val="lightGray"/>
              </w:rPr>
            </w:pPr>
            <w:r w:rsidRPr="00B42813">
              <w:rPr>
                <w:rFonts w:cs="Arial"/>
                <w:sz w:val="22"/>
                <w:szCs w:val="22"/>
              </w:rPr>
              <w:t>British Society of Abortion Care Providers (BSACP)</w:t>
            </w:r>
          </w:p>
        </w:tc>
        <w:tc>
          <w:tcPr>
            <w:tcW w:w="1417" w:type="dxa"/>
          </w:tcPr>
          <w:p w14:paraId="2E041FFA" w14:textId="77777777" w:rsidR="00066D70" w:rsidRPr="00B42813" w:rsidRDefault="00B42813" w:rsidP="00066D70">
            <w:pPr>
              <w:pStyle w:val="TableText1"/>
              <w:rPr>
                <w:rFonts w:cs="Arial"/>
                <w:sz w:val="22"/>
                <w:szCs w:val="22"/>
                <w:highlight w:val="lightGray"/>
              </w:rPr>
            </w:pPr>
            <w:r w:rsidRPr="00B42813">
              <w:rPr>
                <w:rFonts w:cs="Arial"/>
                <w:sz w:val="22"/>
                <w:szCs w:val="22"/>
              </w:rPr>
              <w:t>Guideline</w:t>
            </w:r>
          </w:p>
        </w:tc>
        <w:tc>
          <w:tcPr>
            <w:tcW w:w="10632" w:type="dxa"/>
          </w:tcPr>
          <w:p w14:paraId="6F4B8F50" w14:textId="77777777" w:rsidR="00066D70" w:rsidRPr="00B42813" w:rsidRDefault="00066D70" w:rsidP="00066D70">
            <w:pPr>
              <w:pStyle w:val="TableText1"/>
              <w:rPr>
                <w:rFonts w:cs="Arial"/>
                <w:sz w:val="22"/>
                <w:szCs w:val="22"/>
              </w:rPr>
            </w:pPr>
            <w:r w:rsidRPr="00B42813">
              <w:rPr>
                <w:rFonts w:cs="Arial"/>
                <w:sz w:val="22"/>
                <w:szCs w:val="22"/>
              </w:rPr>
              <w:t>We endorse and welcome the use of gender-expansive language in the drafted guidance</w:t>
            </w:r>
          </w:p>
        </w:tc>
      </w:tr>
      <w:tr w:rsidR="00066D70" w:rsidRPr="00660F4E" w14:paraId="747201D4" w14:textId="77777777" w:rsidTr="00E356FB">
        <w:tc>
          <w:tcPr>
            <w:tcW w:w="675" w:type="dxa"/>
          </w:tcPr>
          <w:p w14:paraId="005243E9" w14:textId="77777777" w:rsidR="00066D70" w:rsidRPr="00B42813" w:rsidRDefault="00066D70" w:rsidP="00066D70">
            <w:pPr>
              <w:pStyle w:val="TableText1"/>
              <w:rPr>
                <w:rFonts w:cs="Arial"/>
                <w:sz w:val="22"/>
                <w:szCs w:val="22"/>
              </w:rPr>
            </w:pPr>
            <w:r w:rsidRPr="00B42813">
              <w:rPr>
                <w:rFonts w:cs="Arial"/>
                <w:sz w:val="22"/>
                <w:szCs w:val="22"/>
              </w:rPr>
              <w:t>4</w:t>
            </w:r>
          </w:p>
        </w:tc>
        <w:tc>
          <w:tcPr>
            <w:tcW w:w="2552" w:type="dxa"/>
          </w:tcPr>
          <w:p w14:paraId="6F03FA23" w14:textId="77777777" w:rsidR="00066D70" w:rsidRPr="00B42813" w:rsidRDefault="00066D70" w:rsidP="00066D70">
            <w:pPr>
              <w:pStyle w:val="TableText1"/>
              <w:rPr>
                <w:rFonts w:cs="Arial"/>
                <w:sz w:val="22"/>
                <w:szCs w:val="22"/>
                <w:highlight w:val="lightGray"/>
              </w:rPr>
            </w:pPr>
            <w:r w:rsidRPr="00B42813">
              <w:rPr>
                <w:rFonts w:cs="Arial"/>
                <w:sz w:val="22"/>
                <w:szCs w:val="22"/>
              </w:rPr>
              <w:t>British Society of Abortion Care Providers (BSACP)</w:t>
            </w:r>
          </w:p>
        </w:tc>
        <w:tc>
          <w:tcPr>
            <w:tcW w:w="1417" w:type="dxa"/>
          </w:tcPr>
          <w:p w14:paraId="06A00F46" w14:textId="77777777" w:rsidR="00066D70" w:rsidRPr="00B42813" w:rsidRDefault="00B42813" w:rsidP="00066D70">
            <w:pPr>
              <w:pStyle w:val="TableText1"/>
              <w:rPr>
                <w:rFonts w:cs="Arial"/>
                <w:sz w:val="22"/>
                <w:szCs w:val="22"/>
                <w:highlight w:val="lightGray"/>
              </w:rPr>
            </w:pPr>
            <w:r w:rsidRPr="00B42813">
              <w:rPr>
                <w:rFonts w:cs="Arial"/>
                <w:sz w:val="22"/>
                <w:szCs w:val="22"/>
              </w:rPr>
              <w:t>Guideline</w:t>
            </w:r>
          </w:p>
        </w:tc>
        <w:tc>
          <w:tcPr>
            <w:tcW w:w="10632" w:type="dxa"/>
          </w:tcPr>
          <w:p w14:paraId="4576AA59" w14:textId="77777777" w:rsidR="00066D70" w:rsidRPr="00B42813" w:rsidRDefault="00066D70" w:rsidP="00066D70">
            <w:pPr>
              <w:pStyle w:val="TableText1"/>
              <w:rPr>
                <w:rFonts w:cs="Arial"/>
                <w:sz w:val="22"/>
                <w:szCs w:val="22"/>
              </w:rPr>
            </w:pPr>
            <w:r w:rsidRPr="00B42813">
              <w:rPr>
                <w:rFonts w:cs="Arial"/>
                <w:sz w:val="22"/>
                <w:szCs w:val="22"/>
              </w:rPr>
              <w:t>We endorse and welcome recommendations advising that risks of anti-D administration, as well as benefits, should be discussed with patients prior to initiating treatment.</w:t>
            </w:r>
          </w:p>
        </w:tc>
      </w:tr>
      <w:tr w:rsidR="00B664F7" w:rsidRPr="00660F4E" w14:paraId="153D15B5" w14:textId="77777777" w:rsidTr="00E356FB">
        <w:tc>
          <w:tcPr>
            <w:tcW w:w="675" w:type="dxa"/>
          </w:tcPr>
          <w:p w14:paraId="7C09A7DA" w14:textId="081F6504" w:rsidR="00B664F7" w:rsidRPr="00B42813" w:rsidRDefault="00B664F7" w:rsidP="00B664F7">
            <w:pPr>
              <w:pStyle w:val="TableText1"/>
              <w:rPr>
                <w:rFonts w:cs="Arial"/>
                <w:sz w:val="22"/>
                <w:szCs w:val="22"/>
              </w:rPr>
            </w:pPr>
            <w:r>
              <w:rPr>
                <w:rFonts w:cs="Arial"/>
                <w:sz w:val="22"/>
                <w:szCs w:val="22"/>
              </w:rPr>
              <w:t>5</w:t>
            </w:r>
          </w:p>
        </w:tc>
        <w:tc>
          <w:tcPr>
            <w:tcW w:w="2552" w:type="dxa"/>
          </w:tcPr>
          <w:p w14:paraId="19795C65" w14:textId="501E5239" w:rsidR="00B664F7" w:rsidRPr="00B42813" w:rsidRDefault="00B664F7" w:rsidP="00B664F7">
            <w:pPr>
              <w:pStyle w:val="TableText1"/>
              <w:rPr>
                <w:rFonts w:cs="Arial"/>
                <w:sz w:val="22"/>
                <w:szCs w:val="22"/>
              </w:rPr>
            </w:pPr>
            <w:r w:rsidRPr="004726D7">
              <w:rPr>
                <w:sz w:val="22"/>
                <w:szCs w:val="22"/>
              </w:rPr>
              <w:t xml:space="preserve">British Society for </w:t>
            </w:r>
            <w:proofErr w:type="spellStart"/>
            <w:r w:rsidRPr="004726D7">
              <w:rPr>
                <w:sz w:val="22"/>
                <w:szCs w:val="22"/>
              </w:rPr>
              <w:t>Haematology</w:t>
            </w:r>
            <w:proofErr w:type="spellEnd"/>
            <w:r w:rsidRPr="004726D7">
              <w:rPr>
                <w:sz w:val="22"/>
                <w:szCs w:val="22"/>
              </w:rPr>
              <w:t xml:space="preserve">  </w:t>
            </w:r>
          </w:p>
        </w:tc>
        <w:tc>
          <w:tcPr>
            <w:tcW w:w="1417" w:type="dxa"/>
          </w:tcPr>
          <w:p w14:paraId="5FDA4E74" w14:textId="364529FA" w:rsidR="00B664F7" w:rsidRPr="00B42813" w:rsidRDefault="00B664F7" w:rsidP="00B664F7">
            <w:pPr>
              <w:pStyle w:val="TableText1"/>
              <w:rPr>
                <w:rFonts w:cs="Arial"/>
                <w:sz w:val="22"/>
                <w:szCs w:val="22"/>
              </w:rPr>
            </w:pPr>
            <w:r w:rsidRPr="00B42813">
              <w:rPr>
                <w:rFonts w:cs="Arial"/>
                <w:sz w:val="22"/>
                <w:szCs w:val="22"/>
              </w:rPr>
              <w:t>Guideline</w:t>
            </w:r>
          </w:p>
        </w:tc>
        <w:tc>
          <w:tcPr>
            <w:tcW w:w="10632" w:type="dxa"/>
          </w:tcPr>
          <w:p w14:paraId="5500A815" w14:textId="16682A6C" w:rsidR="00B664F7" w:rsidRPr="00B42813" w:rsidRDefault="00B664F7" w:rsidP="00B664F7">
            <w:pPr>
              <w:pStyle w:val="TableText1"/>
              <w:rPr>
                <w:rFonts w:cs="Arial"/>
                <w:sz w:val="22"/>
                <w:szCs w:val="22"/>
              </w:rPr>
            </w:pPr>
            <w:r w:rsidRPr="004726D7">
              <w:rPr>
                <w:rStyle w:val="normaltextrun"/>
                <w:rFonts w:cs="Arial"/>
                <w:sz w:val="22"/>
                <w:szCs w:val="22"/>
              </w:rPr>
              <w:t>1.7.2 There is no available dose of 250 I.U. This may cause confusion. The wording should be amended to something like "…at a dose of at least 250IU (</w:t>
            </w:r>
            <w:proofErr w:type="spellStart"/>
            <w:r w:rsidRPr="004726D7">
              <w:rPr>
                <w:rStyle w:val="normaltextrun"/>
                <w:rFonts w:cs="Arial"/>
                <w:sz w:val="22"/>
                <w:szCs w:val="22"/>
              </w:rPr>
              <w:t>eg</w:t>
            </w:r>
            <w:proofErr w:type="spellEnd"/>
            <w:r w:rsidRPr="004726D7">
              <w:rPr>
                <w:rStyle w:val="normaltextrun"/>
                <w:rFonts w:cs="Arial"/>
                <w:sz w:val="22"/>
                <w:szCs w:val="22"/>
              </w:rPr>
              <w:t> 500IU or 1500IU depending on the preparation available)</w:t>
            </w:r>
            <w:r w:rsidRPr="004726D7">
              <w:rPr>
                <w:rStyle w:val="eop"/>
                <w:rFonts w:cs="Arial"/>
                <w:sz w:val="22"/>
                <w:szCs w:val="22"/>
              </w:rPr>
              <w:t> </w:t>
            </w:r>
          </w:p>
        </w:tc>
      </w:tr>
      <w:tr w:rsidR="00B664F7" w:rsidRPr="00660F4E" w14:paraId="66192CCC" w14:textId="77777777" w:rsidTr="00E356FB">
        <w:tc>
          <w:tcPr>
            <w:tcW w:w="675" w:type="dxa"/>
          </w:tcPr>
          <w:p w14:paraId="1EC441F4" w14:textId="536A2F47" w:rsidR="00B664F7" w:rsidRPr="00B42813" w:rsidRDefault="00B664F7" w:rsidP="00B664F7">
            <w:pPr>
              <w:pStyle w:val="TableText1"/>
              <w:rPr>
                <w:rFonts w:cs="Arial"/>
                <w:sz w:val="22"/>
                <w:szCs w:val="22"/>
              </w:rPr>
            </w:pPr>
            <w:r>
              <w:rPr>
                <w:rFonts w:cs="Arial"/>
                <w:sz w:val="22"/>
                <w:szCs w:val="22"/>
              </w:rPr>
              <w:t>6</w:t>
            </w:r>
          </w:p>
        </w:tc>
        <w:tc>
          <w:tcPr>
            <w:tcW w:w="2552" w:type="dxa"/>
          </w:tcPr>
          <w:p w14:paraId="6A22F725" w14:textId="161967F8" w:rsidR="00B664F7" w:rsidRPr="00B42813" w:rsidRDefault="00B664F7" w:rsidP="00B664F7">
            <w:pPr>
              <w:pStyle w:val="TableText1"/>
              <w:rPr>
                <w:rFonts w:cs="Arial"/>
                <w:sz w:val="22"/>
                <w:szCs w:val="22"/>
              </w:rPr>
            </w:pPr>
            <w:r w:rsidRPr="004726D7">
              <w:rPr>
                <w:sz w:val="22"/>
                <w:szCs w:val="22"/>
              </w:rPr>
              <w:t xml:space="preserve">British Society for </w:t>
            </w:r>
            <w:proofErr w:type="spellStart"/>
            <w:r w:rsidRPr="004726D7">
              <w:rPr>
                <w:sz w:val="22"/>
                <w:szCs w:val="22"/>
              </w:rPr>
              <w:t>Haematology</w:t>
            </w:r>
            <w:proofErr w:type="spellEnd"/>
            <w:r w:rsidRPr="004726D7">
              <w:rPr>
                <w:sz w:val="22"/>
                <w:szCs w:val="22"/>
              </w:rPr>
              <w:t xml:space="preserve">  </w:t>
            </w:r>
          </w:p>
        </w:tc>
        <w:tc>
          <w:tcPr>
            <w:tcW w:w="1417" w:type="dxa"/>
          </w:tcPr>
          <w:p w14:paraId="5A70278C" w14:textId="67B6517C" w:rsidR="00B664F7" w:rsidRPr="00B42813" w:rsidRDefault="00B664F7" w:rsidP="00B664F7">
            <w:pPr>
              <w:pStyle w:val="TableText1"/>
              <w:rPr>
                <w:rFonts w:cs="Arial"/>
                <w:sz w:val="22"/>
                <w:szCs w:val="22"/>
              </w:rPr>
            </w:pPr>
            <w:r w:rsidRPr="00B42813">
              <w:rPr>
                <w:rFonts w:cs="Arial"/>
                <w:sz w:val="22"/>
                <w:szCs w:val="22"/>
              </w:rPr>
              <w:t>Guideline</w:t>
            </w:r>
          </w:p>
        </w:tc>
        <w:tc>
          <w:tcPr>
            <w:tcW w:w="10632" w:type="dxa"/>
          </w:tcPr>
          <w:p w14:paraId="1BAA0F49" w14:textId="5860EB52" w:rsidR="00B664F7" w:rsidRPr="00B42813" w:rsidRDefault="00B664F7" w:rsidP="00B664F7">
            <w:pPr>
              <w:pStyle w:val="TableText1"/>
              <w:rPr>
                <w:rFonts w:cs="Arial"/>
                <w:sz w:val="22"/>
                <w:szCs w:val="22"/>
              </w:rPr>
            </w:pPr>
            <w:r w:rsidRPr="004726D7">
              <w:rPr>
                <w:rStyle w:val="normaltextrun"/>
                <w:rFonts w:cs="Arial"/>
                <w:sz w:val="22"/>
                <w:szCs w:val="22"/>
              </w:rPr>
              <w:t>1.7.3 Same point as comment 1</w:t>
            </w:r>
            <w:r w:rsidRPr="004726D7">
              <w:rPr>
                <w:rStyle w:val="eop"/>
                <w:rFonts w:cs="Arial"/>
                <w:sz w:val="22"/>
                <w:szCs w:val="22"/>
              </w:rPr>
              <w:t> </w:t>
            </w:r>
          </w:p>
        </w:tc>
      </w:tr>
      <w:tr w:rsidR="00B664F7" w:rsidRPr="00660F4E" w14:paraId="229808D4" w14:textId="77777777" w:rsidTr="00E356FB">
        <w:tc>
          <w:tcPr>
            <w:tcW w:w="675" w:type="dxa"/>
          </w:tcPr>
          <w:p w14:paraId="35D6BEF8" w14:textId="62591384" w:rsidR="00B664F7" w:rsidRPr="00B42813" w:rsidRDefault="00B664F7" w:rsidP="00B664F7">
            <w:pPr>
              <w:pStyle w:val="TableText1"/>
              <w:rPr>
                <w:rFonts w:cs="Arial"/>
                <w:sz w:val="22"/>
                <w:szCs w:val="22"/>
              </w:rPr>
            </w:pPr>
            <w:r>
              <w:rPr>
                <w:rFonts w:cs="Arial"/>
                <w:sz w:val="22"/>
                <w:szCs w:val="22"/>
              </w:rPr>
              <w:lastRenderedPageBreak/>
              <w:t>7</w:t>
            </w:r>
          </w:p>
        </w:tc>
        <w:tc>
          <w:tcPr>
            <w:tcW w:w="2552" w:type="dxa"/>
          </w:tcPr>
          <w:p w14:paraId="0A68EDB0" w14:textId="763DFE94" w:rsidR="00B664F7" w:rsidRPr="00B42813" w:rsidRDefault="00B664F7" w:rsidP="00B664F7">
            <w:pPr>
              <w:pStyle w:val="TableText1"/>
              <w:rPr>
                <w:rFonts w:cs="Arial"/>
                <w:sz w:val="22"/>
                <w:szCs w:val="22"/>
              </w:rPr>
            </w:pPr>
            <w:r w:rsidRPr="004726D7">
              <w:rPr>
                <w:sz w:val="22"/>
                <w:szCs w:val="22"/>
              </w:rPr>
              <w:t xml:space="preserve">British Society for </w:t>
            </w:r>
            <w:proofErr w:type="spellStart"/>
            <w:r w:rsidRPr="004726D7">
              <w:rPr>
                <w:sz w:val="22"/>
                <w:szCs w:val="22"/>
              </w:rPr>
              <w:t>Haematology</w:t>
            </w:r>
            <w:proofErr w:type="spellEnd"/>
            <w:r w:rsidRPr="004726D7">
              <w:rPr>
                <w:sz w:val="22"/>
                <w:szCs w:val="22"/>
              </w:rPr>
              <w:t xml:space="preserve">  </w:t>
            </w:r>
          </w:p>
        </w:tc>
        <w:tc>
          <w:tcPr>
            <w:tcW w:w="1417" w:type="dxa"/>
          </w:tcPr>
          <w:p w14:paraId="76733840" w14:textId="435C68CE" w:rsidR="00B664F7" w:rsidRPr="00B42813" w:rsidRDefault="00B664F7" w:rsidP="00B664F7">
            <w:pPr>
              <w:pStyle w:val="TableText1"/>
              <w:rPr>
                <w:rFonts w:cs="Arial"/>
                <w:sz w:val="22"/>
                <w:szCs w:val="22"/>
              </w:rPr>
            </w:pPr>
            <w:r w:rsidRPr="00B42813">
              <w:rPr>
                <w:rFonts w:cs="Arial"/>
                <w:sz w:val="22"/>
                <w:szCs w:val="22"/>
              </w:rPr>
              <w:t>Guideline</w:t>
            </w:r>
          </w:p>
        </w:tc>
        <w:tc>
          <w:tcPr>
            <w:tcW w:w="10632" w:type="dxa"/>
          </w:tcPr>
          <w:p w14:paraId="3D41DBBF" w14:textId="4B2D762F" w:rsidR="00B664F7" w:rsidRPr="00B42813" w:rsidRDefault="00B664F7" w:rsidP="00B664F7">
            <w:pPr>
              <w:pStyle w:val="TableText1"/>
              <w:rPr>
                <w:rFonts w:cs="Arial"/>
                <w:sz w:val="22"/>
                <w:szCs w:val="22"/>
              </w:rPr>
            </w:pPr>
            <w:r w:rsidRPr="004726D7">
              <w:rPr>
                <w:rStyle w:val="normaltextrun"/>
                <w:rFonts w:cs="Arial"/>
                <w:sz w:val="22"/>
                <w:szCs w:val="22"/>
              </w:rPr>
              <w:t>Would it be possible to also cover molar pregnancy as this is associated with bleeding and loss at similar gestation</w:t>
            </w:r>
            <w:r w:rsidRPr="004726D7">
              <w:rPr>
                <w:rStyle w:val="eop"/>
                <w:rFonts w:cs="Arial"/>
                <w:sz w:val="22"/>
                <w:szCs w:val="22"/>
              </w:rPr>
              <w:t> </w:t>
            </w:r>
          </w:p>
        </w:tc>
      </w:tr>
      <w:tr w:rsidR="00066D70" w:rsidRPr="00660F4E" w14:paraId="455B965C" w14:textId="77777777" w:rsidTr="00E356FB">
        <w:tc>
          <w:tcPr>
            <w:tcW w:w="675" w:type="dxa"/>
          </w:tcPr>
          <w:p w14:paraId="54BD18A0" w14:textId="7691FD87" w:rsidR="00066D70" w:rsidRPr="00B42813" w:rsidRDefault="00B664F7" w:rsidP="00066D70">
            <w:pPr>
              <w:pStyle w:val="TableText1"/>
              <w:rPr>
                <w:rFonts w:cs="Arial"/>
                <w:sz w:val="22"/>
                <w:szCs w:val="22"/>
              </w:rPr>
            </w:pPr>
            <w:r>
              <w:rPr>
                <w:rFonts w:cs="Arial"/>
                <w:sz w:val="22"/>
                <w:szCs w:val="22"/>
              </w:rPr>
              <w:t>8</w:t>
            </w:r>
          </w:p>
        </w:tc>
        <w:tc>
          <w:tcPr>
            <w:tcW w:w="2552" w:type="dxa"/>
          </w:tcPr>
          <w:p w14:paraId="7566A0A4" w14:textId="77777777" w:rsidR="00066D70" w:rsidRPr="00B42813" w:rsidRDefault="00066D70" w:rsidP="00066D70">
            <w:pPr>
              <w:pStyle w:val="TableText1"/>
              <w:rPr>
                <w:rFonts w:cs="Arial"/>
                <w:sz w:val="22"/>
                <w:szCs w:val="22"/>
                <w:highlight w:val="lightGray"/>
              </w:rPr>
            </w:pPr>
            <w:r w:rsidRPr="00B42813">
              <w:rPr>
                <w:rFonts w:cs="Arial"/>
                <w:sz w:val="22"/>
                <w:szCs w:val="22"/>
              </w:rPr>
              <w:t>Dignity Care</w:t>
            </w:r>
          </w:p>
        </w:tc>
        <w:tc>
          <w:tcPr>
            <w:tcW w:w="1417" w:type="dxa"/>
          </w:tcPr>
          <w:p w14:paraId="7D2DB0B4" w14:textId="77777777" w:rsidR="00066D70" w:rsidRPr="00B42813" w:rsidRDefault="00B42813" w:rsidP="00066D70">
            <w:pPr>
              <w:pStyle w:val="TableText1"/>
              <w:rPr>
                <w:rFonts w:cs="Arial"/>
                <w:sz w:val="22"/>
                <w:szCs w:val="22"/>
                <w:highlight w:val="lightGray"/>
              </w:rPr>
            </w:pPr>
            <w:r w:rsidRPr="00B42813">
              <w:rPr>
                <w:rFonts w:cs="Arial"/>
                <w:sz w:val="22"/>
                <w:szCs w:val="22"/>
              </w:rPr>
              <w:t>Guideline</w:t>
            </w:r>
          </w:p>
        </w:tc>
        <w:tc>
          <w:tcPr>
            <w:tcW w:w="10632" w:type="dxa"/>
          </w:tcPr>
          <w:p w14:paraId="5CE0F6C7" w14:textId="77777777" w:rsidR="00066D70" w:rsidRPr="00B42813" w:rsidRDefault="00066D70" w:rsidP="00066D70">
            <w:pPr>
              <w:rPr>
                <w:rFonts w:ascii="Arial" w:hAnsi="Arial" w:cs="Arial"/>
                <w:sz w:val="22"/>
                <w:szCs w:val="22"/>
              </w:rPr>
            </w:pPr>
            <w:r w:rsidRPr="00B42813">
              <w:rPr>
                <w:rFonts w:ascii="Arial" w:hAnsi="Arial" w:cs="Arial"/>
                <w:sz w:val="22"/>
                <w:szCs w:val="22"/>
              </w:rPr>
              <w:t>Section 1.1.1 - Guideline States ‘Treat all women with early pregnancy complications with dignity and respect.’</w:t>
            </w:r>
          </w:p>
          <w:p w14:paraId="3D682734" w14:textId="77777777" w:rsidR="00066D70" w:rsidRPr="00B42813" w:rsidRDefault="00066D70" w:rsidP="00066D70">
            <w:pPr>
              <w:rPr>
                <w:rFonts w:ascii="Arial" w:hAnsi="Arial" w:cs="Arial"/>
                <w:sz w:val="22"/>
                <w:szCs w:val="22"/>
              </w:rPr>
            </w:pPr>
          </w:p>
          <w:p w14:paraId="5FB4D9D8" w14:textId="77777777" w:rsidR="00066D70" w:rsidRPr="00B42813" w:rsidRDefault="00066D70" w:rsidP="00066D70">
            <w:pPr>
              <w:rPr>
                <w:rFonts w:ascii="Arial" w:hAnsi="Arial" w:cs="Arial"/>
                <w:sz w:val="22"/>
                <w:szCs w:val="22"/>
              </w:rPr>
            </w:pPr>
            <w:r w:rsidRPr="00B42813">
              <w:rPr>
                <w:rFonts w:ascii="Arial" w:hAnsi="Arial" w:cs="Arial"/>
                <w:sz w:val="22"/>
                <w:szCs w:val="22"/>
              </w:rPr>
              <w:t xml:space="preserve">However, women who miscarry at home are not routinely provided with appropriate equipment to safely and respectfully collect pregnancy tissue. As a result, many women resort to improvised household items such as sieves, slotted spoons, or miscarry directly into the toilet. </w:t>
            </w:r>
          </w:p>
          <w:p w14:paraId="38161926" w14:textId="77777777" w:rsidR="00066D70" w:rsidRPr="00B42813" w:rsidRDefault="00066D70" w:rsidP="00066D70">
            <w:pPr>
              <w:rPr>
                <w:rFonts w:ascii="Arial" w:hAnsi="Arial" w:cs="Arial"/>
                <w:sz w:val="22"/>
                <w:szCs w:val="22"/>
              </w:rPr>
            </w:pPr>
          </w:p>
          <w:p w14:paraId="42CF8CF0" w14:textId="77777777" w:rsidR="00066D70" w:rsidRPr="00B42813" w:rsidRDefault="00066D70" w:rsidP="00066D70">
            <w:pPr>
              <w:rPr>
                <w:rFonts w:ascii="Arial" w:hAnsi="Arial" w:cs="Arial"/>
                <w:sz w:val="22"/>
                <w:szCs w:val="22"/>
              </w:rPr>
            </w:pPr>
            <w:r w:rsidRPr="00B42813">
              <w:rPr>
                <w:rFonts w:ascii="Arial" w:hAnsi="Arial" w:cs="Arial"/>
                <w:sz w:val="22"/>
                <w:szCs w:val="22"/>
              </w:rPr>
              <w:t>This can require women to manually search through blood, urine, and faeces to retrieve pregnancy tissue, or place them in a situation where flushing pregnancy tissue becomes the only perceived option. This removes patient choice regarding cytogenetic testing and prevents the opportunity for respectful burial or cremation. It also represents a loss of clinical and personal autonomy at a time of significant physical and emotional vulnerability.</w:t>
            </w:r>
          </w:p>
          <w:p w14:paraId="2F5EADA1" w14:textId="77777777" w:rsidR="00066D70" w:rsidRPr="00B42813" w:rsidRDefault="00066D70" w:rsidP="00066D70">
            <w:pPr>
              <w:rPr>
                <w:rFonts w:ascii="Arial" w:hAnsi="Arial" w:cs="Arial"/>
                <w:sz w:val="22"/>
                <w:szCs w:val="22"/>
              </w:rPr>
            </w:pPr>
          </w:p>
          <w:p w14:paraId="5E37B62E" w14:textId="77777777" w:rsidR="00066D70" w:rsidRPr="00B42813" w:rsidRDefault="00066D70" w:rsidP="00066D70">
            <w:pPr>
              <w:rPr>
                <w:rFonts w:ascii="Arial" w:hAnsi="Arial" w:cs="Arial"/>
                <w:sz w:val="22"/>
                <w:szCs w:val="22"/>
              </w:rPr>
            </w:pPr>
            <w:r w:rsidRPr="00B42813">
              <w:rPr>
                <w:rFonts w:ascii="Arial" w:hAnsi="Arial" w:cs="Arial"/>
                <w:sz w:val="22"/>
                <w:szCs w:val="22"/>
              </w:rPr>
              <w:t>This experience is distressing, undignified, and inconsistent with the stated principle of respectful care.</w:t>
            </w:r>
          </w:p>
          <w:p w14:paraId="1A54E17F" w14:textId="77777777" w:rsidR="00066D70" w:rsidRPr="00B42813" w:rsidRDefault="00066D70" w:rsidP="00066D70">
            <w:pPr>
              <w:pStyle w:val="TableText1"/>
              <w:rPr>
                <w:rFonts w:cs="Arial"/>
                <w:sz w:val="22"/>
                <w:szCs w:val="22"/>
              </w:rPr>
            </w:pPr>
          </w:p>
        </w:tc>
      </w:tr>
      <w:tr w:rsidR="00066D70" w:rsidRPr="00660F4E" w14:paraId="4F47B6E7" w14:textId="77777777" w:rsidTr="00E356FB">
        <w:tc>
          <w:tcPr>
            <w:tcW w:w="675" w:type="dxa"/>
          </w:tcPr>
          <w:p w14:paraId="65A41D5D" w14:textId="05149C16" w:rsidR="00066D70" w:rsidRPr="00B42813" w:rsidRDefault="00B664F7" w:rsidP="00066D70">
            <w:pPr>
              <w:pStyle w:val="TableText1"/>
              <w:rPr>
                <w:rFonts w:cs="Arial"/>
                <w:sz w:val="22"/>
                <w:szCs w:val="22"/>
              </w:rPr>
            </w:pPr>
            <w:r>
              <w:rPr>
                <w:rFonts w:cs="Arial"/>
                <w:sz w:val="22"/>
                <w:szCs w:val="22"/>
              </w:rPr>
              <w:t>9</w:t>
            </w:r>
          </w:p>
        </w:tc>
        <w:tc>
          <w:tcPr>
            <w:tcW w:w="2552" w:type="dxa"/>
          </w:tcPr>
          <w:p w14:paraId="64075FBC" w14:textId="77777777" w:rsidR="00066D70" w:rsidRPr="00B42813" w:rsidRDefault="00066D70" w:rsidP="00066D70">
            <w:pPr>
              <w:pStyle w:val="TableText1"/>
              <w:rPr>
                <w:rFonts w:cs="Arial"/>
                <w:sz w:val="22"/>
                <w:szCs w:val="22"/>
                <w:highlight w:val="lightGray"/>
              </w:rPr>
            </w:pPr>
            <w:r w:rsidRPr="00B42813">
              <w:rPr>
                <w:rFonts w:cs="Arial"/>
                <w:sz w:val="22"/>
                <w:szCs w:val="22"/>
              </w:rPr>
              <w:t>Dignity Care</w:t>
            </w:r>
          </w:p>
        </w:tc>
        <w:tc>
          <w:tcPr>
            <w:tcW w:w="1417" w:type="dxa"/>
          </w:tcPr>
          <w:p w14:paraId="09F09F2B" w14:textId="77777777" w:rsidR="00066D70" w:rsidRPr="00B42813" w:rsidRDefault="00B42813" w:rsidP="00066D70">
            <w:pPr>
              <w:pStyle w:val="TableText1"/>
              <w:rPr>
                <w:rFonts w:cs="Arial"/>
                <w:sz w:val="22"/>
                <w:szCs w:val="22"/>
                <w:highlight w:val="lightGray"/>
              </w:rPr>
            </w:pPr>
            <w:r w:rsidRPr="00B42813">
              <w:rPr>
                <w:rFonts w:cs="Arial"/>
                <w:sz w:val="22"/>
                <w:szCs w:val="22"/>
              </w:rPr>
              <w:t>Guideline</w:t>
            </w:r>
          </w:p>
        </w:tc>
        <w:tc>
          <w:tcPr>
            <w:tcW w:w="10632" w:type="dxa"/>
          </w:tcPr>
          <w:p w14:paraId="6F16EF5D" w14:textId="77777777" w:rsidR="00066D70" w:rsidRPr="00B42813" w:rsidRDefault="00066D70" w:rsidP="00066D70">
            <w:pPr>
              <w:rPr>
                <w:rFonts w:ascii="Arial" w:hAnsi="Arial" w:cs="Arial"/>
                <w:sz w:val="22"/>
                <w:szCs w:val="22"/>
              </w:rPr>
            </w:pPr>
            <w:r w:rsidRPr="00B42813">
              <w:rPr>
                <w:rFonts w:ascii="Arial" w:hAnsi="Arial" w:cs="Arial"/>
                <w:sz w:val="22"/>
                <w:szCs w:val="22"/>
              </w:rPr>
              <w:t>Section 1.5.1 - Threatened miscarriage</w:t>
            </w:r>
          </w:p>
          <w:p w14:paraId="5DE9AC35" w14:textId="77777777" w:rsidR="00066D70" w:rsidRPr="00B42813" w:rsidRDefault="00066D70" w:rsidP="00066D70">
            <w:pPr>
              <w:spacing w:before="240" w:after="240"/>
              <w:rPr>
                <w:rFonts w:ascii="Arial" w:hAnsi="Arial" w:cs="Arial"/>
                <w:sz w:val="22"/>
                <w:szCs w:val="22"/>
              </w:rPr>
            </w:pPr>
            <w:r w:rsidRPr="00B42813">
              <w:rPr>
                <w:rFonts w:ascii="Arial" w:hAnsi="Arial" w:cs="Arial"/>
                <w:sz w:val="22"/>
                <w:szCs w:val="22"/>
              </w:rPr>
              <w:t xml:space="preserve">Evidence indicates that approximately 1 in 3 women experiencing miscarriage attend A&amp;E with uncomplicated </w:t>
            </w:r>
            <w:proofErr w:type="gramStart"/>
            <w:r w:rsidRPr="00B42813">
              <w:rPr>
                <w:rFonts w:ascii="Arial" w:hAnsi="Arial" w:cs="Arial"/>
                <w:sz w:val="22"/>
                <w:szCs w:val="22"/>
              </w:rPr>
              <w:t>miscarriage[</w:t>
            </w:r>
            <w:proofErr w:type="gramEnd"/>
            <w:r w:rsidRPr="00B42813">
              <w:rPr>
                <w:rFonts w:ascii="Arial" w:hAnsi="Arial" w:cs="Arial"/>
                <w:sz w:val="22"/>
                <w:szCs w:val="22"/>
              </w:rPr>
              <w:t>1], and around 1 in 5 are discharged without medical treatment [2]. This suggests that many women attend not due to clinical necessity, but because they lack practical support, guidance, and appropriate resources to manage miscarriage safely at home. Clinical interviews indicate the true scale may be significantly higher, as many women seek reassurance, dignity, and support during an uncertain and distressing experience.</w:t>
            </w:r>
          </w:p>
          <w:p w14:paraId="68805CF8" w14:textId="77777777" w:rsidR="00066D70" w:rsidRPr="00B42813" w:rsidRDefault="00066D70" w:rsidP="00066D70">
            <w:pPr>
              <w:spacing w:before="240" w:after="240"/>
              <w:rPr>
                <w:rFonts w:ascii="Arial" w:hAnsi="Arial" w:cs="Arial"/>
                <w:sz w:val="22"/>
                <w:szCs w:val="22"/>
              </w:rPr>
            </w:pPr>
            <w:r w:rsidRPr="00B42813">
              <w:rPr>
                <w:rFonts w:ascii="Arial" w:hAnsi="Arial" w:cs="Arial"/>
                <w:sz w:val="22"/>
                <w:szCs w:val="22"/>
              </w:rPr>
              <w:lastRenderedPageBreak/>
              <w:t>Women presenting with symptoms of threatened miscarriage are frequently discharged home without practical guidance or equipment to manage potential pregnancy loss. Many will miscarry at home, often into the toilet, which can cause significant psychological trauma, distress, and loss of dignity.</w:t>
            </w:r>
          </w:p>
          <w:p w14:paraId="1F7B8FA1" w14:textId="77777777" w:rsidR="00066D70" w:rsidRPr="00B42813" w:rsidRDefault="00066D70" w:rsidP="00066D70">
            <w:pPr>
              <w:spacing w:before="240" w:after="240"/>
              <w:rPr>
                <w:rFonts w:ascii="Arial" w:hAnsi="Arial" w:cs="Arial"/>
                <w:sz w:val="22"/>
                <w:szCs w:val="22"/>
              </w:rPr>
            </w:pPr>
            <w:r w:rsidRPr="00B42813">
              <w:rPr>
                <w:rFonts w:ascii="Arial" w:hAnsi="Arial" w:cs="Arial"/>
                <w:sz w:val="22"/>
                <w:szCs w:val="22"/>
              </w:rPr>
              <w:t>Providing an appropriate pregnancy tissue collection device would enable women to manage miscarriage at home safely and with dignity. It would also preserve patient choice, including the option for cytogenetic testing and respectful burial or cremation, and aligns with national policy commitments to improve compassionate miscarriage care, including the Pregnancy Loss Review (</w:t>
            </w:r>
            <w:proofErr w:type="gramStart"/>
            <w:r w:rsidRPr="00B42813">
              <w:rPr>
                <w:rFonts w:ascii="Arial" w:hAnsi="Arial" w:cs="Arial"/>
                <w:sz w:val="22"/>
                <w:szCs w:val="22"/>
              </w:rPr>
              <w:t>2023)[</w:t>
            </w:r>
            <w:proofErr w:type="gramEnd"/>
            <w:r w:rsidRPr="00B42813">
              <w:rPr>
                <w:rFonts w:ascii="Arial" w:hAnsi="Arial" w:cs="Arial"/>
                <w:sz w:val="22"/>
                <w:szCs w:val="22"/>
              </w:rPr>
              <w:t>3].</w:t>
            </w:r>
          </w:p>
          <w:p w14:paraId="6241DECA" w14:textId="77777777" w:rsidR="00066D70" w:rsidRPr="00B42813" w:rsidRDefault="00066D70" w:rsidP="00066D70">
            <w:pPr>
              <w:rPr>
                <w:rFonts w:ascii="Arial" w:hAnsi="Arial" w:cs="Arial"/>
                <w:sz w:val="22"/>
                <w:szCs w:val="22"/>
              </w:rPr>
            </w:pPr>
            <w:r w:rsidRPr="00B42813">
              <w:rPr>
                <w:rFonts w:ascii="Arial" w:hAnsi="Arial" w:cs="Arial"/>
                <w:sz w:val="22"/>
                <w:szCs w:val="22"/>
              </w:rPr>
              <w:t>[1] https://digital.nhs.uk/data-and-information/publications/statistical/hospital-accident--emergency-activity/2024-25</w:t>
            </w:r>
          </w:p>
          <w:p w14:paraId="140CDA48" w14:textId="77777777" w:rsidR="00066D70" w:rsidRPr="00B42813" w:rsidRDefault="00066D70" w:rsidP="00066D70">
            <w:pPr>
              <w:rPr>
                <w:rFonts w:ascii="Arial" w:hAnsi="Arial" w:cs="Arial"/>
                <w:sz w:val="22"/>
                <w:szCs w:val="22"/>
              </w:rPr>
            </w:pPr>
            <w:r w:rsidRPr="00B42813">
              <w:rPr>
                <w:rFonts w:ascii="Arial" w:hAnsi="Arial" w:cs="Arial"/>
                <w:sz w:val="22"/>
                <w:szCs w:val="22"/>
              </w:rPr>
              <w:t>[2] Health Tech Enterprise 2026 Available on request</w:t>
            </w:r>
          </w:p>
          <w:p w14:paraId="4C1EA90A" w14:textId="77777777" w:rsidR="00066D70" w:rsidRPr="00B42813" w:rsidRDefault="00066D70" w:rsidP="00B42813">
            <w:pPr>
              <w:rPr>
                <w:rFonts w:ascii="Arial" w:hAnsi="Arial" w:cs="Arial"/>
                <w:sz w:val="22"/>
                <w:szCs w:val="22"/>
              </w:rPr>
            </w:pPr>
            <w:r w:rsidRPr="00B42813">
              <w:rPr>
                <w:rFonts w:ascii="Arial" w:hAnsi="Arial" w:cs="Arial"/>
                <w:sz w:val="22"/>
                <w:szCs w:val="22"/>
              </w:rPr>
              <w:t>[3] https://www.gov.uk/government/publications/pregnancy-loss-review/pregnancy-loss-review-summary-report#:~:text=not%20always%20followed.-,Recommendation%2036,-The%20NHS%2C%20in</w:t>
            </w:r>
          </w:p>
        </w:tc>
      </w:tr>
      <w:tr w:rsidR="00066D70" w:rsidRPr="00660F4E" w14:paraId="7EEDCAF7" w14:textId="77777777" w:rsidTr="00E356FB">
        <w:tc>
          <w:tcPr>
            <w:tcW w:w="675" w:type="dxa"/>
          </w:tcPr>
          <w:p w14:paraId="0D40A6B2" w14:textId="10A4BDE7" w:rsidR="00066D70" w:rsidRPr="00B42813" w:rsidRDefault="00B664F7" w:rsidP="00066D70">
            <w:pPr>
              <w:pStyle w:val="TableText1"/>
              <w:rPr>
                <w:rFonts w:cs="Arial"/>
                <w:sz w:val="22"/>
                <w:szCs w:val="22"/>
              </w:rPr>
            </w:pPr>
            <w:r>
              <w:rPr>
                <w:rFonts w:cs="Arial"/>
                <w:sz w:val="22"/>
                <w:szCs w:val="22"/>
              </w:rPr>
              <w:t>10</w:t>
            </w:r>
          </w:p>
        </w:tc>
        <w:tc>
          <w:tcPr>
            <w:tcW w:w="2552" w:type="dxa"/>
          </w:tcPr>
          <w:p w14:paraId="0447A7ED" w14:textId="77777777" w:rsidR="00066D70" w:rsidRPr="00B42813" w:rsidRDefault="00066D70" w:rsidP="00066D70">
            <w:pPr>
              <w:pStyle w:val="TableText1"/>
              <w:rPr>
                <w:rFonts w:cs="Arial"/>
                <w:sz w:val="22"/>
                <w:szCs w:val="22"/>
                <w:highlight w:val="lightGray"/>
              </w:rPr>
            </w:pPr>
            <w:r w:rsidRPr="00B42813">
              <w:rPr>
                <w:rFonts w:cs="Arial"/>
                <w:sz w:val="22"/>
                <w:szCs w:val="22"/>
              </w:rPr>
              <w:t>Dignity Care</w:t>
            </w:r>
          </w:p>
        </w:tc>
        <w:tc>
          <w:tcPr>
            <w:tcW w:w="1417" w:type="dxa"/>
          </w:tcPr>
          <w:p w14:paraId="4C01D77C" w14:textId="77777777" w:rsidR="00066D70" w:rsidRPr="00B42813" w:rsidRDefault="00B42813" w:rsidP="00066D70">
            <w:pPr>
              <w:pStyle w:val="TableText1"/>
              <w:rPr>
                <w:rFonts w:cs="Arial"/>
                <w:sz w:val="22"/>
                <w:szCs w:val="22"/>
                <w:highlight w:val="lightGray"/>
              </w:rPr>
            </w:pPr>
            <w:r w:rsidRPr="00B42813">
              <w:rPr>
                <w:rFonts w:cs="Arial"/>
                <w:sz w:val="22"/>
                <w:szCs w:val="22"/>
              </w:rPr>
              <w:t>Guideline</w:t>
            </w:r>
          </w:p>
        </w:tc>
        <w:tc>
          <w:tcPr>
            <w:tcW w:w="10632" w:type="dxa"/>
          </w:tcPr>
          <w:p w14:paraId="7DB48636" w14:textId="77777777" w:rsidR="00066D70" w:rsidRPr="00B42813" w:rsidRDefault="00066D70" w:rsidP="00066D70">
            <w:pPr>
              <w:rPr>
                <w:rFonts w:ascii="Arial" w:hAnsi="Arial" w:cs="Arial"/>
                <w:sz w:val="22"/>
                <w:szCs w:val="22"/>
              </w:rPr>
            </w:pPr>
            <w:r w:rsidRPr="00B42813">
              <w:rPr>
                <w:rFonts w:ascii="Arial" w:hAnsi="Arial" w:cs="Arial"/>
                <w:sz w:val="22"/>
                <w:szCs w:val="22"/>
              </w:rPr>
              <w:t xml:space="preserve">Section 1.5.4 – 1.5.5 - Expectant and </w:t>
            </w:r>
            <w:proofErr w:type="spellStart"/>
            <w:r w:rsidRPr="00B42813">
              <w:rPr>
                <w:rFonts w:ascii="Arial" w:hAnsi="Arial" w:cs="Arial"/>
                <w:sz w:val="22"/>
                <w:szCs w:val="22"/>
              </w:rPr>
              <w:t>and</w:t>
            </w:r>
            <w:proofErr w:type="spellEnd"/>
            <w:r w:rsidRPr="00B42813">
              <w:rPr>
                <w:rFonts w:ascii="Arial" w:hAnsi="Arial" w:cs="Arial"/>
                <w:sz w:val="22"/>
                <w:szCs w:val="22"/>
              </w:rPr>
              <w:t xml:space="preserve"> Medical Management</w:t>
            </w:r>
          </w:p>
          <w:p w14:paraId="118DC17A" w14:textId="77777777" w:rsidR="00066D70" w:rsidRPr="00B42813" w:rsidRDefault="00066D70" w:rsidP="00066D70">
            <w:pPr>
              <w:spacing w:before="240" w:after="240"/>
              <w:rPr>
                <w:rFonts w:ascii="Arial" w:hAnsi="Arial" w:cs="Arial"/>
                <w:sz w:val="22"/>
                <w:szCs w:val="22"/>
              </w:rPr>
            </w:pPr>
            <w:r w:rsidRPr="00B42813">
              <w:rPr>
                <w:rFonts w:ascii="Arial" w:hAnsi="Arial" w:cs="Arial"/>
                <w:sz w:val="22"/>
                <w:szCs w:val="22"/>
              </w:rPr>
              <w:t>Expectant and medical management frequently occur at home. However, the guideline does not address how women should safely and respectfully collect pregnancy tissue during this process. Without appropriate equipment, women may miscarry into the toilet or use improvised methods, which can be distressing and undignified.</w:t>
            </w:r>
          </w:p>
          <w:p w14:paraId="0644228A" w14:textId="77777777" w:rsidR="00066D70" w:rsidRPr="00B42813" w:rsidRDefault="00066D70" w:rsidP="00B42813">
            <w:pPr>
              <w:spacing w:before="240" w:after="240"/>
              <w:rPr>
                <w:rFonts w:ascii="Arial" w:hAnsi="Arial" w:cs="Arial"/>
                <w:sz w:val="22"/>
                <w:szCs w:val="22"/>
              </w:rPr>
            </w:pPr>
            <w:r w:rsidRPr="00B42813">
              <w:rPr>
                <w:rFonts w:ascii="Arial" w:hAnsi="Arial" w:cs="Arial"/>
                <w:sz w:val="22"/>
                <w:szCs w:val="22"/>
              </w:rPr>
              <w:t>NICE should recommend provision of an appropriate collection device for home use. This would improve patient experience, support dignity, and align with recommendations from the UK Pregnancy Loss Review (2023), which identified the need for appropriate receptacles for pregnancy remains.</w:t>
            </w:r>
          </w:p>
        </w:tc>
      </w:tr>
      <w:tr w:rsidR="00066D70" w:rsidRPr="00660F4E" w14:paraId="728E263E" w14:textId="77777777" w:rsidTr="00E356FB">
        <w:tc>
          <w:tcPr>
            <w:tcW w:w="675" w:type="dxa"/>
          </w:tcPr>
          <w:p w14:paraId="039066D6" w14:textId="37A2DD8A" w:rsidR="00066D70" w:rsidRPr="00B42813" w:rsidRDefault="00B664F7" w:rsidP="00066D70">
            <w:pPr>
              <w:pStyle w:val="TableText1"/>
              <w:rPr>
                <w:rFonts w:cs="Arial"/>
                <w:sz w:val="22"/>
                <w:szCs w:val="22"/>
              </w:rPr>
            </w:pPr>
            <w:r>
              <w:rPr>
                <w:rFonts w:cs="Arial"/>
                <w:sz w:val="22"/>
                <w:szCs w:val="22"/>
              </w:rPr>
              <w:t>11</w:t>
            </w:r>
          </w:p>
        </w:tc>
        <w:tc>
          <w:tcPr>
            <w:tcW w:w="2552" w:type="dxa"/>
          </w:tcPr>
          <w:p w14:paraId="55C5D205" w14:textId="77777777" w:rsidR="00066D70" w:rsidRPr="00B42813" w:rsidRDefault="00066D70" w:rsidP="00066D70">
            <w:pPr>
              <w:pStyle w:val="TableText1"/>
              <w:rPr>
                <w:rFonts w:cs="Arial"/>
                <w:sz w:val="22"/>
                <w:szCs w:val="22"/>
                <w:highlight w:val="lightGray"/>
              </w:rPr>
            </w:pPr>
            <w:r w:rsidRPr="00B42813">
              <w:rPr>
                <w:rFonts w:cs="Arial"/>
                <w:sz w:val="22"/>
                <w:szCs w:val="22"/>
              </w:rPr>
              <w:t>Dignity Care</w:t>
            </w:r>
          </w:p>
        </w:tc>
        <w:tc>
          <w:tcPr>
            <w:tcW w:w="1417" w:type="dxa"/>
          </w:tcPr>
          <w:p w14:paraId="2116DF16" w14:textId="77777777" w:rsidR="00066D70" w:rsidRPr="00B42813" w:rsidRDefault="00B42813" w:rsidP="00066D70">
            <w:pPr>
              <w:pStyle w:val="TableText1"/>
              <w:rPr>
                <w:rFonts w:cs="Arial"/>
                <w:sz w:val="22"/>
                <w:szCs w:val="22"/>
                <w:highlight w:val="lightGray"/>
              </w:rPr>
            </w:pPr>
            <w:r w:rsidRPr="00B42813">
              <w:rPr>
                <w:rFonts w:cs="Arial"/>
                <w:sz w:val="22"/>
                <w:szCs w:val="22"/>
              </w:rPr>
              <w:t>Guideline</w:t>
            </w:r>
          </w:p>
        </w:tc>
        <w:tc>
          <w:tcPr>
            <w:tcW w:w="10632" w:type="dxa"/>
          </w:tcPr>
          <w:p w14:paraId="05791D99" w14:textId="77777777" w:rsidR="00066D70" w:rsidRPr="00B42813" w:rsidRDefault="00066D70" w:rsidP="00B42813">
            <w:pPr>
              <w:spacing w:after="240"/>
              <w:rPr>
                <w:rFonts w:ascii="Arial" w:hAnsi="Arial" w:cs="Arial"/>
                <w:sz w:val="22"/>
                <w:szCs w:val="22"/>
              </w:rPr>
            </w:pPr>
            <w:r w:rsidRPr="00B42813">
              <w:rPr>
                <w:rFonts w:ascii="Arial" w:hAnsi="Arial" w:cs="Arial"/>
                <w:sz w:val="22"/>
                <w:szCs w:val="22"/>
              </w:rPr>
              <w:t xml:space="preserve">Section 1.5.20 – 1.5.21 - Surgical Management </w:t>
            </w:r>
          </w:p>
          <w:p w14:paraId="12711874" w14:textId="77777777" w:rsidR="00066D70" w:rsidRPr="00B42813" w:rsidRDefault="00066D70" w:rsidP="00066D70">
            <w:pPr>
              <w:spacing w:before="240" w:after="240"/>
              <w:rPr>
                <w:rFonts w:ascii="Arial" w:hAnsi="Arial" w:cs="Arial"/>
                <w:sz w:val="22"/>
                <w:szCs w:val="22"/>
              </w:rPr>
            </w:pPr>
            <w:r w:rsidRPr="00B42813">
              <w:rPr>
                <w:rFonts w:ascii="Arial" w:hAnsi="Arial" w:cs="Arial"/>
                <w:sz w:val="22"/>
                <w:szCs w:val="22"/>
              </w:rPr>
              <w:lastRenderedPageBreak/>
              <w:t>Women awaiting surgical management may wait days or weeks, during which time miscarriage may occur at home. Currently, women are not routinely provided with appropriate equipment to safely and respectfully collect pregnancy tissue if miscarriage occurs while awaiting surgery.</w:t>
            </w:r>
          </w:p>
          <w:p w14:paraId="17C3D184" w14:textId="77777777" w:rsidR="00066D70" w:rsidRPr="00B42813" w:rsidRDefault="00066D70" w:rsidP="00066D70">
            <w:pPr>
              <w:spacing w:before="240" w:after="240"/>
              <w:rPr>
                <w:rFonts w:ascii="Arial" w:hAnsi="Arial" w:cs="Arial"/>
                <w:sz w:val="22"/>
                <w:szCs w:val="22"/>
              </w:rPr>
            </w:pPr>
            <w:r w:rsidRPr="00B42813">
              <w:rPr>
                <w:rFonts w:ascii="Arial" w:hAnsi="Arial" w:cs="Arial"/>
                <w:sz w:val="22"/>
                <w:szCs w:val="22"/>
              </w:rPr>
              <w:t>Provision of an appropriate pregnancy tissue collection device during this waiting period would ensure dignified and compassionate care, reduce psychological distress, and preserve clinical options such as cytogenetic testing where appropriate. It would also support patient choice regarding respectful burial or cremation.</w:t>
            </w:r>
          </w:p>
          <w:p w14:paraId="4E497158" w14:textId="77777777" w:rsidR="00066D70" w:rsidRPr="00B42813" w:rsidRDefault="00066D70" w:rsidP="00066D70">
            <w:pPr>
              <w:pStyle w:val="TableText1"/>
              <w:rPr>
                <w:rFonts w:cs="Arial"/>
                <w:sz w:val="22"/>
                <w:szCs w:val="22"/>
              </w:rPr>
            </w:pPr>
            <w:r w:rsidRPr="00B42813">
              <w:rPr>
                <w:rFonts w:cs="Arial"/>
                <w:sz w:val="22"/>
                <w:szCs w:val="22"/>
              </w:rPr>
              <w:t>This recommendation aligns with the UK Pregnancy Loss Review (2023), which identified the need for appropriate receptacles and miscarriage care kits to support women experiencing pregnancy loss at home or while awaiting clinical management.</w:t>
            </w:r>
          </w:p>
        </w:tc>
      </w:tr>
      <w:tr w:rsidR="00066D70" w:rsidRPr="00660F4E" w14:paraId="039F5DB4" w14:textId="77777777" w:rsidTr="00E356FB">
        <w:tc>
          <w:tcPr>
            <w:tcW w:w="675" w:type="dxa"/>
          </w:tcPr>
          <w:p w14:paraId="525DFA3B" w14:textId="5B5C5047" w:rsidR="00066D70" w:rsidRPr="00B42813" w:rsidRDefault="00B664F7" w:rsidP="00066D70">
            <w:pPr>
              <w:pStyle w:val="TableText1"/>
              <w:rPr>
                <w:rFonts w:cs="Arial"/>
                <w:sz w:val="22"/>
                <w:szCs w:val="22"/>
              </w:rPr>
            </w:pPr>
            <w:r>
              <w:rPr>
                <w:rFonts w:cs="Arial"/>
                <w:sz w:val="22"/>
                <w:szCs w:val="22"/>
              </w:rPr>
              <w:t>12</w:t>
            </w:r>
          </w:p>
        </w:tc>
        <w:tc>
          <w:tcPr>
            <w:tcW w:w="2552" w:type="dxa"/>
          </w:tcPr>
          <w:p w14:paraId="7A557DE0" w14:textId="77777777" w:rsidR="00066D70" w:rsidRPr="00B42813" w:rsidRDefault="00066D70" w:rsidP="00066D70">
            <w:pPr>
              <w:pStyle w:val="TableText1"/>
              <w:rPr>
                <w:rFonts w:cs="Arial"/>
                <w:sz w:val="22"/>
                <w:szCs w:val="22"/>
                <w:highlight w:val="lightGray"/>
              </w:rPr>
            </w:pPr>
            <w:r w:rsidRPr="00B42813">
              <w:rPr>
                <w:rFonts w:cs="Arial"/>
                <w:sz w:val="22"/>
                <w:szCs w:val="22"/>
              </w:rPr>
              <w:t>Dignity Care</w:t>
            </w:r>
          </w:p>
        </w:tc>
        <w:tc>
          <w:tcPr>
            <w:tcW w:w="1417" w:type="dxa"/>
          </w:tcPr>
          <w:p w14:paraId="3CCAEF6A" w14:textId="77777777" w:rsidR="00066D70" w:rsidRPr="00B42813" w:rsidRDefault="00B42813" w:rsidP="00066D70">
            <w:pPr>
              <w:pStyle w:val="TableText1"/>
              <w:rPr>
                <w:rFonts w:cs="Arial"/>
                <w:sz w:val="22"/>
                <w:szCs w:val="22"/>
                <w:highlight w:val="lightGray"/>
              </w:rPr>
            </w:pPr>
            <w:r w:rsidRPr="00B42813">
              <w:rPr>
                <w:rFonts w:cs="Arial"/>
                <w:sz w:val="22"/>
                <w:szCs w:val="22"/>
              </w:rPr>
              <w:t>Guideline</w:t>
            </w:r>
          </w:p>
        </w:tc>
        <w:tc>
          <w:tcPr>
            <w:tcW w:w="10632" w:type="dxa"/>
          </w:tcPr>
          <w:p w14:paraId="504F84DB" w14:textId="77777777" w:rsidR="00066D70" w:rsidRPr="00B42813" w:rsidRDefault="00066D70" w:rsidP="00B42813">
            <w:pPr>
              <w:spacing w:after="240"/>
              <w:rPr>
                <w:rFonts w:ascii="Arial" w:hAnsi="Arial" w:cs="Arial"/>
                <w:sz w:val="22"/>
                <w:szCs w:val="22"/>
              </w:rPr>
            </w:pPr>
            <w:r w:rsidRPr="00B42813">
              <w:rPr>
                <w:rFonts w:ascii="Arial" w:hAnsi="Arial" w:cs="Arial"/>
                <w:sz w:val="22"/>
                <w:szCs w:val="22"/>
              </w:rPr>
              <w:t>I appreciate these comments may fall outside the immediate scope of this guideline update. However, they highlight a significant gap in current miscarriage care.</w:t>
            </w:r>
          </w:p>
          <w:p w14:paraId="15A8AD1D" w14:textId="77777777" w:rsidR="00066D70" w:rsidRPr="00B42813" w:rsidRDefault="00066D70" w:rsidP="00066D70">
            <w:pPr>
              <w:spacing w:before="240" w:after="240"/>
              <w:rPr>
                <w:rFonts w:ascii="Arial" w:hAnsi="Arial" w:cs="Arial"/>
                <w:sz w:val="22"/>
                <w:szCs w:val="22"/>
              </w:rPr>
            </w:pPr>
            <w:r w:rsidRPr="00B42813">
              <w:rPr>
                <w:rFonts w:ascii="Arial" w:hAnsi="Arial" w:cs="Arial"/>
                <w:sz w:val="22"/>
                <w:szCs w:val="22"/>
              </w:rPr>
              <w:t>Women are not routinely provided with appropriate equipment to safely and respectfully collect pregnancy tissue when miscarriage occurs at home or while awaiting treatment. This can result in avoidable psychological harm, loss of dignity, and removal of patient choice</w:t>
            </w:r>
          </w:p>
          <w:p w14:paraId="0305E610" w14:textId="77777777" w:rsidR="00066D70" w:rsidRPr="00B42813" w:rsidRDefault="00066D70" w:rsidP="00066D70">
            <w:pPr>
              <w:spacing w:before="240" w:after="240"/>
              <w:rPr>
                <w:rFonts w:ascii="Arial" w:hAnsi="Arial" w:cs="Arial"/>
                <w:sz w:val="22"/>
                <w:szCs w:val="22"/>
              </w:rPr>
            </w:pPr>
            <w:r w:rsidRPr="00B42813">
              <w:rPr>
                <w:rFonts w:ascii="Arial" w:hAnsi="Arial" w:cs="Arial"/>
                <w:sz w:val="22"/>
                <w:szCs w:val="22"/>
              </w:rPr>
              <w:t xml:space="preserve">In standard medical practice patients are given a pot to collect urine. When women need to collect their babies, they are given nothing. </w:t>
            </w:r>
          </w:p>
          <w:p w14:paraId="1457B3F4" w14:textId="77777777" w:rsidR="00066D70" w:rsidRPr="00B42813" w:rsidRDefault="00066D70" w:rsidP="00066D70">
            <w:pPr>
              <w:pStyle w:val="TableText1"/>
              <w:rPr>
                <w:rFonts w:cs="Arial"/>
                <w:sz w:val="22"/>
                <w:szCs w:val="22"/>
              </w:rPr>
            </w:pPr>
            <w:r w:rsidRPr="00B42813">
              <w:rPr>
                <w:rFonts w:cs="Arial"/>
                <w:sz w:val="22"/>
                <w:szCs w:val="22"/>
              </w:rPr>
              <w:t>We must do better, and there is no clinical or practical justification for failing to address this avoidable gap in care.</w:t>
            </w:r>
          </w:p>
        </w:tc>
      </w:tr>
      <w:tr w:rsidR="001F405A" w:rsidRPr="00660F4E" w14:paraId="75182B79" w14:textId="77777777" w:rsidTr="00E356FB">
        <w:tc>
          <w:tcPr>
            <w:tcW w:w="675" w:type="dxa"/>
          </w:tcPr>
          <w:p w14:paraId="44A9D28B" w14:textId="18A4F36F" w:rsidR="001F405A" w:rsidRDefault="001F405A" w:rsidP="00066D70">
            <w:pPr>
              <w:pStyle w:val="TableText1"/>
              <w:rPr>
                <w:rFonts w:cs="Arial"/>
                <w:sz w:val="22"/>
                <w:szCs w:val="22"/>
              </w:rPr>
            </w:pPr>
            <w:r>
              <w:rPr>
                <w:rFonts w:cs="Arial"/>
                <w:sz w:val="22"/>
                <w:szCs w:val="22"/>
              </w:rPr>
              <w:t>13</w:t>
            </w:r>
          </w:p>
        </w:tc>
        <w:tc>
          <w:tcPr>
            <w:tcW w:w="2552" w:type="dxa"/>
          </w:tcPr>
          <w:p w14:paraId="41FF066C" w14:textId="1664B47A" w:rsidR="001F405A" w:rsidRPr="00B42813" w:rsidRDefault="001F405A" w:rsidP="00066D70">
            <w:pPr>
              <w:pStyle w:val="TableText1"/>
              <w:rPr>
                <w:rFonts w:cs="Arial"/>
                <w:sz w:val="22"/>
                <w:szCs w:val="22"/>
              </w:rPr>
            </w:pPr>
            <w:r>
              <w:rPr>
                <w:rFonts w:cs="Arial"/>
                <w:sz w:val="22"/>
                <w:szCs w:val="22"/>
              </w:rPr>
              <w:t>NHS England</w:t>
            </w:r>
          </w:p>
        </w:tc>
        <w:tc>
          <w:tcPr>
            <w:tcW w:w="1417" w:type="dxa"/>
          </w:tcPr>
          <w:p w14:paraId="6FA63499" w14:textId="79B05EEE" w:rsidR="001F405A" w:rsidRPr="00B42813" w:rsidRDefault="001F405A" w:rsidP="00066D70">
            <w:pPr>
              <w:pStyle w:val="TableText1"/>
              <w:rPr>
                <w:rFonts w:cs="Arial"/>
                <w:sz w:val="22"/>
                <w:szCs w:val="22"/>
              </w:rPr>
            </w:pPr>
            <w:r>
              <w:rPr>
                <w:rFonts w:cs="Arial"/>
                <w:sz w:val="22"/>
                <w:szCs w:val="22"/>
              </w:rPr>
              <w:t>Guideline</w:t>
            </w:r>
          </w:p>
        </w:tc>
        <w:tc>
          <w:tcPr>
            <w:tcW w:w="10632" w:type="dxa"/>
          </w:tcPr>
          <w:p w14:paraId="043181C6" w14:textId="77777777" w:rsidR="001F405A" w:rsidRPr="001F405A" w:rsidRDefault="001F405A" w:rsidP="001F405A">
            <w:pPr>
              <w:spacing w:after="240"/>
              <w:rPr>
                <w:rFonts w:ascii="Arial" w:hAnsi="Arial" w:cs="Arial"/>
                <w:sz w:val="22"/>
                <w:szCs w:val="22"/>
              </w:rPr>
            </w:pPr>
            <w:r w:rsidRPr="001F405A">
              <w:rPr>
                <w:rFonts w:ascii="Arial" w:hAnsi="Arial" w:cs="Arial"/>
                <w:sz w:val="22"/>
                <w:szCs w:val="22"/>
              </w:rPr>
              <w:t>I do not have an issue with the recommendations which are obviously based on best evidence.   </w:t>
            </w:r>
          </w:p>
          <w:p w14:paraId="7A4C36DC" w14:textId="77777777" w:rsidR="001F405A" w:rsidRPr="001F405A" w:rsidRDefault="001F405A" w:rsidP="001F405A">
            <w:pPr>
              <w:spacing w:after="240"/>
              <w:rPr>
                <w:rFonts w:ascii="Arial" w:hAnsi="Arial" w:cs="Arial"/>
                <w:sz w:val="22"/>
                <w:szCs w:val="22"/>
              </w:rPr>
            </w:pPr>
            <w:r w:rsidRPr="001F405A">
              <w:rPr>
                <w:rFonts w:ascii="Arial" w:hAnsi="Arial" w:cs="Arial"/>
                <w:sz w:val="22"/>
                <w:szCs w:val="22"/>
              </w:rPr>
              <w:lastRenderedPageBreak/>
              <w:t>For clarity I suggest that 1.7.1 you reiterate that this applies to both threatened and complete miscarriage as well as any surgical or medical management.  Or accentuate that it includes all pregnancies up to 11+6 under any circumstances.   </w:t>
            </w:r>
          </w:p>
          <w:p w14:paraId="563CC9D7" w14:textId="7524BEA5" w:rsidR="001F405A" w:rsidRPr="00B42813" w:rsidRDefault="001F405A" w:rsidP="00B42813">
            <w:pPr>
              <w:spacing w:after="240"/>
              <w:rPr>
                <w:rFonts w:ascii="Arial" w:hAnsi="Arial" w:cs="Arial"/>
                <w:sz w:val="22"/>
                <w:szCs w:val="22"/>
              </w:rPr>
            </w:pPr>
            <w:r w:rsidRPr="001F405A">
              <w:rPr>
                <w:rFonts w:ascii="Arial" w:hAnsi="Arial" w:cs="Arial"/>
                <w:sz w:val="22"/>
                <w:szCs w:val="22"/>
              </w:rPr>
              <w:t>There is likely to be a challenge to implementation as there is a strong historical precedent.   It will need strong comms out to the system via both RCOG and abortion services. We can assist with making links when needed.  </w:t>
            </w:r>
          </w:p>
        </w:tc>
      </w:tr>
      <w:tr w:rsidR="00066D70" w:rsidRPr="00660F4E" w14:paraId="75559EDB" w14:textId="77777777" w:rsidTr="00E356FB">
        <w:tc>
          <w:tcPr>
            <w:tcW w:w="675" w:type="dxa"/>
          </w:tcPr>
          <w:p w14:paraId="13DA8681" w14:textId="40B98F59" w:rsidR="00066D70" w:rsidRPr="00B42813" w:rsidRDefault="00066D70" w:rsidP="00066D70">
            <w:pPr>
              <w:pStyle w:val="TableText1"/>
              <w:rPr>
                <w:rFonts w:cs="Arial"/>
                <w:sz w:val="22"/>
                <w:szCs w:val="22"/>
              </w:rPr>
            </w:pPr>
            <w:r w:rsidRPr="00B42813">
              <w:rPr>
                <w:rFonts w:cs="Arial"/>
                <w:sz w:val="22"/>
                <w:szCs w:val="22"/>
              </w:rPr>
              <w:t>1</w:t>
            </w:r>
            <w:r w:rsidR="001F405A">
              <w:rPr>
                <w:rFonts w:cs="Arial"/>
                <w:sz w:val="22"/>
                <w:szCs w:val="22"/>
              </w:rPr>
              <w:t>4</w:t>
            </w:r>
          </w:p>
        </w:tc>
        <w:tc>
          <w:tcPr>
            <w:tcW w:w="2552" w:type="dxa"/>
          </w:tcPr>
          <w:p w14:paraId="4166BA9C" w14:textId="77777777" w:rsidR="00066D70" w:rsidRPr="00B42813" w:rsidRDefault="00066D70" w:rsidP="00066D70">
            <w:pPr>
              <w:pStyle w:val="TableText1"/>
              <w:rPr>
                <w:rFonts w:cs="Arial"/>
                <w:sz w:val="22"/>
                <w:szCs w:val="22"/>
                <w:highlight w:val="lightGray"/>
              </w:rPr>
            </w:pPr>
            <w:r w:rsidRPr="00B42813">
              <w:rPr>
                <w:rFonts w:cs="Arial"/>
                <w:sz w:val="22"/>
                <w:szCs w:val="22"/>
              </w:rPr>
              <w:t>Royal College of General Practitioners</w:t>
            </w:r>
          </w:p>
        </w:tc>
        <w:tc>
          <w:tcPr>
            <w:tcW w:w="1417" w:type="dxa"/>
          </w:tcPr>
          <w:p w14:paraId="1D11D1E8" w14:textId="77777777" w:rsidR="00066D70" w:rsidRPr="00B42813" w:rsidRDefault="00B42813" w:rsidP="00066D70">
            <w:pPr>
              <w:pStyle w:val="TableText1"/>
              <w:rPr>
                <w:rFonts w:cs="Arial"/>
                <w:sz w:val="22"/>
                <w:szCs w:val="22"/>
                <w:highlight w:val="lightGray"/>
              </w:rPr>
            </w:pPr>
            <w:r w:rsidRPr="00B42813">
              <w:rPr>
                <w:rFonts w:cs="Arial"/>
                <w:sz w:val="22"/>
                <w:szCs w:val="22"/>
              </w:rPr>
              <w:t>Guideline</w:t>
            </w:r>
          </w:p>
        </w:tc>
        <w:tc>
          <w:tcPr>
            <w:tcW w:w="10632" w:type="dxa"/>
          </w:tcPr>
          <w:p w14:paraId="4FAE85F3" w14:textId="77777777" w:rsidR="00066D70" w:rsidRPr="00B42813" w:rsidRDefault="00066D70" w:rsidP="00066D70">
            <w:pPr>
              <w:pStyle w:val="TableText1"/>
              <w:rPr>
                <w:rFonts w:cs="Arial"/>
                <w:sz w:val="22"/>
                <w:szCs w:val="22"/>
              </w:rPr>
            </w:pPr>
            <w:r w:rsidRPr="00B42813">
              <w:rPr>
                <w:rFonts w:cs="Arial"/>
                <w:sz w:val="22"/>
                <w:szCs w:val="22"/>
              </w:rPr>
              <w:t>We consider the recommendations to be clear, proportionate and clinically reasonable. We have no additional suggestions for change to the proposed updates regarding Anti-D immunoglobulin prophylaxis.</w:t>
            </w:r>
          </w:p>
        </w:tc>
      </w:tr>
      <w:tr w:rsidR="00066D70" w:rsidRPr="00660F4E" w14:paraId="01B44D75" w14:textId="77777777" w:rsidTr="00E356FB">
        <w:tc>
          <w:tcPr>
            <w:tcW w:w="675" w:type="dxa"/>
          </w:tcPr>
          <w:p w14:paraId="70BC20C1" w14:textId="569C706F" w:rsidR="00066D70" w:rsidRPr="00B42813" w:rsidRDefault="00066D70" w:rsidP="00066D70">
            <w:pPr>
              <w:pStyle w:val="TableText1"/>
              <w:rPr>
                <w:rFonts w:cs="Arial"/>
                <w:sz w:val="22"/>
                <w:szCs w:val="22"/>
              </w:rPr>
            </w:pPr>
            <w:r w:rsidRPr="00B42813">
              <w:rPr>
                <w:rFonts w:cs="Arial"/>
                <w:sz w:val="22"/>
                <w:szCs w:val="22"/>
              </w:rPr>
              <w:t>1</w:t>
            </w:r>
            <w:r w:rsidR="001F405A">
              <w:rPr>
                <w:rFonts w:cs="Arial"/>
                <w:sz w:val="22"/>
                <w:szCs w:val="22"/>
              </w:rPr>
              <w:t>5</w:t>
            </w:r>
          </w:p>
        </w:tc>
        <w:tc>
          <w:tcPr>
            <w:tcW w:w="2552" w:type="dxa"/>
          </w:tcPr>
          <w:p w14:paraId="7C418D36" w14:textId="77777777" w:rsidR="00066D70" w:rsidRPr="00B42813" w:rsidRDefault="00066D70" w:rsidP="00066D70">
            <w:pPr>
              <w:pStyle w:val="TableText1"/>
              <w:rPr>
                <w:rFonts w:cs="Arial"/>
                <w:sz w:val="22"/>
                <w:szCs w:val="22"/>
                <w:highlight w:val="lightGray"/>
              </w:rPr>
            </w:pPr>
            <w:r w:rsidRPr="00B42813">
              <w:rPr>
                <w:rFonts w:cs="Arial"/>
                <w:sz w:val="22"/>
                <w:szCs w:val="22"/>
              </w:rPr>
              <w:t>Royal College of General Practitioners</w:t>
            </w:r>
          </w:p>
        </w:tc>
        <w:tc>
          <w:tcPr>
            <w:tcW w:w="1417" w:type="dxa"/>
          </w:tcPr>
          <w:p w14:paraId="79D34F9E" w14:textId="77777777" w:rsidR="00066D70" w:rsidRPr="00B42813" w:rsidRDefault="00B42813" w:rsidP="00066D70">
            <w:pPr>
              <w:pStyle w:val="TableText1"/>
              <w:rPr>
                <w:rFonts w:cs="Arial"/>
                <w:sz w:val="22"/>
                <w:szCs w:val="22"/>
              </w:rPr>
            </w:pPr>
            <w:r w:rsidRPr="00B42813">
              <w:rPr>
                <w:rFonts w:cs="Arial"/>
                <w:sz w:val="22"/>
                <w:szCs w:val="22"/>
              </w:rPr>
              <w:t>Quality standard</w:t>
            </w:r>
          </w:p>
        </w:tc>
        <w:tc>
          <w:tcPr>
            <w:tcW w:w="10632" w:type="dxa"/>
          </w:tcPr>
          <w:p w14:paraId="3AA25C1B" w14:textId="77777777" w:rsidR="00066D70" w:rsidRPr="00B42813" w:rsidRDefault="00066D70" w:rsidP="00066D70">
            <w:pPr>
              <w:pStyle w:val="TableText1"/>
              <w:rPr>
                <w:rFonts w:cs="Arial"/>
                <w:sz w:val="22"/>
                <w:szCs w:val="22"/>
              </w:rPr>
            </w:pPr>
            <w:r w:rsidRPr="00B42813">
              <w:rPr>
                <w:rFonts w:cs="Arial"/>
                <w:sz w:val="22"/>
                <w:szCs w:val="22"/>
              </w:rPr>
              <w:t>The quality statement on timely referral to early pregnancy assessment services is clear and clinically appropriate. However, the section outlining what the statement means for different audiences would benefit from greater specificity.</w:t>
            </w:r>
          </w:p>
        </w:tc>
      </w:tr>
      <w:tr w:rsidR="00066D70" w:rsidRPr="00660F4E" w14:paraId="13618C9D" w14:textId="77777777" w:rsidTr="00E356FB">
        <w:tc>
          <w:tcPr>
            <w:tcW w:w="675" w:type="dxa"/>
          </w:tcPr>
          <w:p w14:paraId="7D0C2637" w14:textId="653F12B8" w:rsidR="00066D70" w:rsidRPr="00B42813" w:rsidRDefault="00066D70" w:rsidP="00066D70">
            <w:pPr>
              <w:pStyle w:val="TableText1"/>
              <w:rPr>
                <w:rFonts w:cs="Arial"/>
                <w:sz w:val="22"/>
                <w:szCs w:val="22"/>
              </w:rPr>
            </w:pPr>
            <w:r w:rsidRPr="00B42813">
              <w:rPr>
                <w:rFonts w:cs="Arial"/>
                <w:sz w:val="22"/>
                <w:szCs w:val="22"/>
              </w:rPr>
              <w:t>1</w:t>
            </w:r>
            <w:r w:rsidR="001F405A">
              <w:rPr>
                <w:rFonts w:cs="Arial"/>
                <w:sz w:val="22"/>
                <w:szCs w:val="22"/>
              </w:rPr>
              <w:t>6</w:t>
            </w:r>
          </w:p>
        </w:tc>
        <w:tc>
          <w:tcPr>
            <w:tcW w:w="2552" w:type="dxa"/>
          </w:tcPr>
          <w:p w14:paraId="56230C55" w14:textId="77777777" w:rsidR="00066D70" w:rsidRPr="00B42813" w:rsidRDefault="00066D70" w:rsidP="00066D70">
            <w:pPr>
              <w:pStyle w:val="TableText1"/>
              <w:rPr>
                <w:rFonts w:cs="Arial"/>
                <w:sz w:val="22"/>
                <w:szCs w:val="22"/>
                <w:highlight w:val="lightGray"/>
              </w:rPr>
            </w:pPr>
            <w:r w:rsidRPr="00B42813">
              <w:rPr>
                <w:rFonts w:cs="Arial"/>
                <w:sz w:val="22"/>
                <w:szCs w:val="22"/>
              </w:rPr>
              <w:t>Royal College of General Practitioners</w:t>
            </w:r>
          </w:p>
        </w:tc>
        <w:tc>
          <w:tcPr>
            <w:tcW w:w="1417" w:type="dxa"/>
          </w:tcPr>
          <w:p w14:paraId="199D0F7E" w14:textId="77777777" w:rsidR="00066D70" w:rsidRPr="00B42813" w:rsidRDefault="00B42813" w:rsidP="00066D70">
            <w:pPr>
              <w:pStyle w:val="TableText1"/>
              <w:rPr>
                <w:rFonts w:cs="Arial"/>
                <w:sz w:val="22"/>
                <w:szCs w:val="22"/>
              </w:rPr>
            </w:pPr>
            <w:r w:rsidRPr="00B42813">
              <w:rPr>
                <w:rFonts w:cs="Arial"/>
                <w:sz w:val="22"/>
                <w:szCs w:val="22"/>
              </w:rPr>
              <w:t>Quality standard</w:t>
            </w:r>
          </w:p>
        </w:tc>
        <w:tc>
          <w:tcPr>
            <w:tcW w:w="10632" w:type="dxa"/>
          </w:tcPr>
          <w:p w14:paraId="39681CDB" w14:textId="77777777" w:rsidR="00066D70" w:rsidRPr="00B42813" w:rsidRDefault="00066D70" w:rsidP="00066D70">
            <w:pPr>
              <w:rPr>
                <w:rFonts w:ascii="Arial" w:hAnsi="Arial" w:cs="Arial"/>
                <w:sz w:val="22"/>
                <w:szCs w:val="22"/>
              </w:rPr>
            </w:pPr>
            <w:r w:rsidRPr="00B42813">
              <w:rPr>
                <w:rFonts w:ascii="Arial" w:hAnsi="Arial" w:cs="Arial"/>
                <w:sz w:val="22"/>
                <w:szCs w:val="22"/>
              </w:rPr>
              <w:t>For primary care and for women, the current wording does not fully capture the practical constraints of referral pathways. In many areas, GPs are unable to refer directly to early pregnancy assessment services outside of the unit’s opening hours. For example, if a patient is assessed in primary care late in the day, when the early pregnancy unit is closed, referral may not be possible until the following working day. Although the patient may then be seen within 24 hours of referral, this does not reflect the total time from first clinical assessment.</w:t>
            </w:r>
          </w:p>
          <w:p w14:paraId="6A27CD5B" w14:textId="77777777" w:rsidR="00066D70" w:rsidRPr="00B42813" w:rsidRDefault="00066D70" w:rsidP="00066D70">
            <w:pPr>
              <w:rPr>
                <w:rFonts w:ascii="Arial" w:hAnsi="Arial" w:cs="Arial"/>
                <w:sz w:val="22"/>
                <w:szCs w:val="22"/>
              </w:rPr>
            </w:pPr>
          </w:p>
          <w:p w14:paraId="13FE070F" w14:textId="77777777" w:rsidR="00066D70" w:rsidRPr="00B42813" w:rsidRDefault="00066D70" w:rsidP="00066D70">
            <w:pPr>
              <w:pStyle w:val="TableText1"/>
              <w:rPr>
                <w:rFonts w:cs="Arial"/>
                <w:sz w:val="22"/>
                <w:szCs w:val="22"/>
              </w:rPr>
            </w:pPr>
            <w:r w:rsidRPr="00B42813">
              <w:rPr>
                <w:rFonts w:cs="Arial"/>
                <w:sz w:val="22"/>
                <w:szCs w:val="22"/>
              </w:rPr>
              <w:t xml:space="preserve">We therefore recommend that the quality measure considers timeliness from the point of first assessment in primary care, rather than from the point of referral. Measuring time to secondary care assessment from initial primary care contact would more accurately reflect the patient experience and avoid </w:t>
            </w:r>
            <w:proofErr w:type="spellStart"/>
            <w:r w:rsidRPr="00B42813">
              <w:rPr>
                <w:rFonts w:cs="Arial"/>
                <w:sz w:val="22"/>
                <w:szCs w:val="22"/>
              </w:rPr>
              <w:t>penalising</w:t>
            </w:r>
            <w:proofErr w:type="spellEnd"/>
            <w:r w:rsidRPr="00B42813">
              <w:rPr>
                <w:rFonts w:cs="Arial"/>
                <w:sz w:val="22"/>
                <w:szCs w:val="22"/>
              </w:rPr>
              <w:t xml:space="preserve"> clinicians where referral is unavoidably delayed due to service operating hours.</w:t>
            </w:r>
          </w:p>
        </w:tc>
      </w:tr>
      <w:tr w:rsidR="00066D70" w:rsidRPr="00660F4E" w14:paraId="1978CF14" w14:textId="77777777" w:rsidTr="00E356FB">
        <w:tc>
          <w:tcPr>
            <w:tcW w:w="675" w:type="dxa"/>
          </w:tcPr>
          <w:p w14:paraId="205C256D" w14:textId="7A75F226" w:rsidR="00066D70" w:rsidRPr="00B42813" w:rsidRDefault="00066D70" w:rsidP="00066D70">
            <w:pPr>
              <w:pStyle w:val="TableText1"/>
              <w:rPr>
                <w:rFonts w:cs="Arial"/>
                <w:sz w:val="22"/>
                <w:szCs w:val="22"/>
              </w:rPr>
            </w:pPr>
            <w:r w:rsidRPr="00B42813">
              <w:rPr>
                <w:rFonts w:cs="Arial"/>
                <w:sz w:val="22"/>
                <w:szCs w:val="22"/>
              </w:rPr>
              <w:t>1</w:t>
            </w:r>
            <w:r w:rsidR="001F405A">
              <w:rPr>
                <w:rFonts w:cs="Arial"/>
                <w:sz w:val="22"/>
                <w:szCs w:val="22"/>
              </w:rPr>
              <w:t>7</w:t>
            </w:r>
          </w:p>
        </w:tc>
        <w:tc>
          <w:tcPr>
            <w:tcW w:w="2552" w:type="dxa"/>
          </w:tcPr>
          <w:p w14:paraId="0A147788" w14:textId="77777777" w:rsidR="00066D70" w:rsidRPr="00B42813" w:rsidRDefault="00066D70" w:rsidP="00066D70">
            <w:pPr>
              <w:pStyle w:val="TableText1"/>
              <w:rPr>
                <w:rFonts w:cs="Arial"/>
                <w:sz w:val="22"/>
                <w:szCs w:val="22"/>
                <w:highlight w:val="lightGray"/>
              </w:rPr>
            </w:pPr>
            <w:hyperlink r:id="rId15" w:history="1">
              <w:r w:rsidRPr="00B42813">
                <w:rPr>
                  <w:rFonts w:cs="Arial"/>
                  <w:sz w:val="22"/>
                  <w:szCs w:val="22"/>
                </w:rPr>
                <w:t xml:space="preserve">Royal College of Nursing </w:t>
              </w:r>
            </w:hyperlink>
          </w:p>
        </w:tc>
        <w:tc>
          <w:tcPr>
            <w:tcW w:w="1417" w:type="dxa"/>
          </w:tcPr>
          <w:p w14:paraId="4E3A40F9" w14:textId="77777777" w:rsidR="00066D70" w:rsidRPr="00B42813" w:rsidRDefault="00B42813" w:rsidP="00066D70">
            <w:pPr>
              <w:pStyle w:val="TableText1"/>
              <w:rPr>
                <w:rFonts w:cs="Arial"/>
                <w:sz w:val="22"/>
                <w:szCs w:val="22"/>
                <w:highlight w:val="lightGray"/>
              </w:rPr>
            </w:pPr>
            <w:r w:rsidRPr="00B42813">
              <w:rPr>
                <w:rFonts w:cs="Arial"/>
                <w:sz w:val="22"/>
                <w:szCs w:val="22"/>
              </w:rPr>
              <w:t>Guideline</w:t>
            </w:r>
          </w:p>
        </w:tc>
        <w:tc>
          <w:tcPr>
            <w:tcW w:w="10632" w:type="dxa"/>
          </w:tcPr>
          <w:p w14:paraId="2BDB5C83" w14:textId="77777777" w:rsidR="00177ACD" w:rsidRPr="00010FD3" w:rsidRDefault="00066D70" w:rsidP="00177ACD">
            <w:pPr>
              <w:rPr>
                <w:rFonts w:ascii="Arial" w:hAnsi="Arial" w:cs="Arial"/>
                <w:sz w:val="22"/>
                <w:szCs w:val="22"/>
              </w:rPr>
            </w:pPr>
            <w:r w:rsidRPr="00010FD3">
              <w:rPr>
                <w:rFonts w:ascii="Arial" w:hAnsi="Arial" w:cs="Arial"/>
                <w:sz w:val="22"/>
                <w:szCs w:val="22"/>
              </w:rPr>
              <w:t xml:space="preserve">We noticed on the report, the document doesn't use consistent language. Initially it says women and then </w:t>
            </w:r>
            <w:proofErr w:type="gramStart"/>
            <w:r w:rsidRPr="00010FD3">
              <w:rPr>
                <w:rFonts w:ascii="Arial" w:hAnsi="Arial" w:cs="Arial"/>
                <w:sz w:val="22"/>
                <w:szCs w:val="22"/>
              </w:rPr>
              <w:t>later on</w:t>
            </w:r>
            <w:proofErr w:type="gramEnd"/>
            <w:r w:rsidRPr="00010FD3">
              <w:rPr>
                <w:rFonts w:ascii="Arial" w:hAnsi="Arial" w:cs="Arial"/>
                <w:sz w:val="22"/>
                <w:szCs w:val="22"/>
              </w:rPr>
              <w:t xml:space="preserve"> it says "women, trans and non-binary"</w:t>
            </w:r>
          </w:p>
        </w:tc>
      </w:tr>
      <w:tr w:rsidR="004726D7" w:rsidRPr="00660F4E" w14:paraId="0106D4BE" w14:textId="77777777" w:rsidTr="00E356FB">
        <w:tc>
          <w:tcPr>
            <w:tcW w:w="675" w:type="dxa"/>
          </w:tcPr>
          <w:p w14:paraId="221E1701" w14:textId="00D63B7A" w:rsidR="004726D7" w:rsidRPr="004726D7" w:rsidRDefault="004726D7" w:rsidP="004726D7">
            <w:pPr>
              <w:pStyle w:val="TableText1"/>
              <w:rPr>
                <w:rFonts w:cs="Arial"/>
                <w:sz w:val="22"/>
                <w:szCs w:val="22"/>
              </w:rPr>
            </w:pPr>
            <w:r w:rsidRPr="004726D7">
              <w:rPr>
                <w:rFonts w:cs="Arial"/>
                <w:sz w:val="22"/>
                <w:szCs w:val="22"/>
              </w:rPr>
              <w:t>1</w:t>
            </w:r>
            <w:r w:rsidR="001F405A">
              <w:rPr>
                <w:rFonts w:cs="Arial"/>
                <w:sz w:val="22"/>
                <w:szCs w:val="22"/>
              </w:rPr>
              <w:t>8</w:t>
            </w:r>
          </w:p>
        </w:tc>
        <w:tc>
          <w:tcPr>
            <w:tcW w:w="2552" w:type="dxa"/>
          </w:tcPr>
          <w:p w14:paraId="776533B6" w14:textId="77777777" w:rsidR="004726D7" w:rsidRPr="004726D7" w:rsidRDefault="004726D7" w:rsidP="004726D7">
            <w:pPr>
              <w:pStyle w:val="TableText1"/>
              <w:rPr>
                <w:sz w:val="22"/>
                <w:szCs w:val="22"/>
              </w:rPr>
            </w:pPr>
            <w:r w:rsidRPr="004726D7">
              <w:rPr>
                <w:sz w:val="22"/>
                <w:szCs w:val="22"/>
                <w:lang w:val="en-GB"/>
              </w:rPr>
              <w:t xml:space="preserve">Royal College of Obstetricians and </w:t>
            </w:r>
            <w:r w:rsidRPr="004726D7">
              <w:rPr>
                <w:sz w:val="22"/>
                <w:szCs w:val="22"/>
                <w:lang w:val="en-GB"/>
              </w:rPr>
              <w:lastRenderedPageBreak/>
              <w:t>Gynaecologists (RCOG) </w:t>
            </w:r>
          </w:p>
        </w:tc>
        <w:tc>
          <w:tcPr>
            <w:tcW w:w="1417" w:type="dxa"/>
          </w:tcPr>
          <w:p w14:paraId="007DCFB9" w14:textId="77777777" w:rsidR="004726D7" w:rsidRPr="004726D7" w:rsidRDefault="004726D7" w:rsidP="004726D7">
            <w:pPr>
              <w:pStyle w:val="TableText1"/>
              <w:rPr>
                <w:rFonts w:cs="Arial"/>
                <w:sz w:val="22"/>
                <w:szCs w:val="22"/>
              </w:rPr>
            </w:pPr>
            <w:r w:rsidRPr="00B42813">
              <w:rPr>
                <w:rFonts w:cs="Arial"/>
                <w:sz w:val="22"/>
                <w:szCs w:val="22"/>
              </w:rPr>
              <w:lastRenderedPageBreak/>
              <w:t>Guideline</w:t>
            </w:r>
          </w:p>
        </w:tc>
        <w:tc>
          <w:tcPr>
            <w:tcW w:w="10632" w:type="dxa"/>
          </w:tcPr>
          <w:p w14:paraId="75969065" w14:textId="77777777" w:rsidR="004726D7" w:rsidRPr="004726D7" w:rsidRDefault="004726D7" w:rsidP="004726D7">
            <w:pPr>
              <w:pStyle w:val="paragraph0"/>
              <w:spacing w:before="0" w:beforeAutospacing="0" w:after="0" w:afterAutospacing="0"/>
              <w:textAlignment w:val="baseline"/>
              <w:rPr>
                <w:rFonts w:ascii="Segoe UI" w:hAnsi="Segoe UI" w:cs="Segoe UI"/>
                <w:sz w:val="22"/>
                <w:szCs w:val="22"/>
              </w:rPr>
            </w:pPr>
            <w:r w:rsidRPr="004726D7">
              <w:rPr>
                <w:rStyle w:val="normaltextrun"/>
                <w:rFonts w:ascii="Arial" w:hAnsi="Arial" w:cs="Arial"/>
                <w:color w:val="000000"/>
                <w:sz w:val="22"/>
                <w:szCs w:val="22"/>
              </w:rPr>
              <w:t>Response to question - In addition to feedback on the update we would be grateful for a view from the RCOG as to whether there is potential conflict here around decision making to administer anti-D based on gestational age by LMP or US scan. This was raised as an issue by the guidance executive team.</w:t>
            </w:r>
            <w:r w:rsidRPr="004726D7">
              <w:rPr>
                <w:rStyle w:val="eop"/>
                <w:rFonts w:ascii="Arial" w:hAnsi="Arial" w:cs="Arial"/>
                <w:color w:val="000000"/>
                <w:sz w:val="22"/>
                <w:szCs w:val="22"/>
              </w:rPr>
              <w:t> </w:t>
            </w:r>
          </w:p>
          <w:p w14:paraId="2C2E68A2" w14:textId="77777777" w:rsidR="004726D7" w:rsidRPr="004726D7" w:rsidRDefault="004726D7" w:rsidP="004726D7">
            <w:pPr>
              <w:pStyle w:val="paragraph0"/>
              <w:spacing w:before="0" w:beforeAutospacing="0" w:after="0" w:afterAutospacing="0"/>
              <w:textAlignment w:val="baseline"/>
              <w:rPr>
                <w:rFonts w:ascii="Segoe UI" w:hAnsi="Segoe UI" w:cs="Segoe UI"/>
                <w:sz w:val="22"/>
                <w:szCs w:val="22"/>
              </w:rPr>
            </w:pPr>
            <w:r w:rsidRPr="004726D7">
              <w:rPr>
                <w:rStyle w:val="eop"/>
                <w:rFonts w:ascii="Arial" w:hAnsi="Arial" w:cs="Arial"/>
                <w:color w:val="000000"/>
                <w:sz w:val="22"/>
                <w:szCs w:val="22"/>
              </w:rPr>
              <w:lastRenderedPageBreak/>
              <w:t> </w:t>
            </w:r>
          </w:p>
          <w:p w14:paraId="0B70CA20" w14:textId="77777777" w:rsidR="004726D7" w:rsidRPr="004726D7" w:rsidRDefault="004726D7" w:rsidP="004726D7">
            <w:pPr>
              <w:pStyle w:val="paragraph0"/>
              <w:spacing w:before="0" w:beforeAutospacing="0" w:after="0" w:afterAutospacing="0"/>
              <w:textAlignment w:val="baseline"/>
              <w:rPr>
                <w:rFonts w:ascii="Segoe UI" w:hAnsi="Segoe UI" w:cs="Segoe UI"/>
                <w:sz w:val="22"/>
                <w:szCs w:val="22"/>
              </w:rPr>
            </w:pPr>
            <w:r w:rsidRPr="004726D7">
              <w:rPr>
                <w:rStyle w:val="normaltextrun"/>
                <w:rFonts w:ascii="Arial" w:hAnsi="Arial" w:cs="Arial"/>
                <w:sz w:val="22"/>
                <w:szCs w:val="22"/>
              </w:rPr>
              <w:t>The revised guidance isn’t clear as to whether they are making this recommendation based on ultrasound findings or LMP. Using LMP would not make sense. Using ultrasound findings would mean the statement needs to be more explicit – an ectopic with a gestational sac equivalent to 12 – 12+6 weeks gestation? Either way, the recommendation is contrary to </w:t>
            </w:r>
            <w:proofErr w:type="gramStart"/>
            <w:r w:rsidRPr="004726D7">
              <w:rPr>
                <w:rStyle w:val="normaltextrun"/>
                <w:rFonts w:ascii="Arial" w:hAnsi="Arial" w:cs="Arial"/>
                <w:sz w:val="22"/>
                <w:szCs w:val="22"/>
              </w:rPr>
              <w:t>the  British</w:t>
            </w:r>
            <w:proofErr w:type="gramEnd"/>
            <w:r w:rsidRPr="004726D7">
              <w:rPr>
                <w:rStyle w:val="normaltextrun"/>
                <w:rFonts w:ascii="Arial" w:hAnsi="Arial" w:cs="Arial"/>
                <w:sz w:val="22"/>
                <w:szCs w:val="22"/>
              </w:rPr>
              <w:t> Committee for Standards in Haematology guidance. As the RCOG ectopic guideline is currently being updated, we will refer to the NICE guidance published at the time of our final review before the updated RCOG guideline is published. </w:t>
            </w:r>
            <w:r w:rsidRPr="004726D7">
              <w:rPr>
                <w:rStyle w:val="eop"/>
                <w:rFonts w:ascii="Arial" w:hAnsi="Arial" w:cs="Arial"/>
                <w:sz w:val="22"/>
                <w:szCs w:val="22"/>
              </w:rPr>
              <w:t> </w:t>
            </w:r>
          </w:p>
        </w:tc>
      </w:tr>
      <w:tr w:rsidR="004726D7" w:rsidRPr="00660F4E" w14:paraId="242805AD" w14:textId="77777777" w:rsidTr="00E356FB">
        <w:tc>
          <w:tcPr>
            <w:tcW w:w="675" w:type="dxa"/>
          </w:tcPr>
          <w:p w14:paraId="7E1C2974" w14:textId="63C5990D" w:rsidR="004726D7" w:rsidRPr="004726D7" w:rsidRDefault="004726D7" w:rsidP="004726D7">
            <w:pPr>
              <w:pStyle w:val="TableText1"/>
              <w:rPr>
                <w:rFonts w:cs="Arial"/>
                <w:sz w:val="22"/>
                <w:szCs w:val="22"/>
              </w:rPr>
            </w:pPr>
            <w:r w:rsidRPr="004726D7">
              <w:rPr>
                <w:rFonts w:cs="Arial"/>
                <w:sz w:val="22"/>
                <w:szCs w:val="22"/>
              </w:rPr>
              <w:t>1</w:t>
            </w:r>
            <w:r w:rsidR="001F405A">
              <w:rPr>
                <w:rFonts w:cs="Arial"/>
                <w:sz w:val="22"/>
                <w:szCs w:val="22"/>
              </w:rPr>
              <w:t>9</w:t>
            </w:r>
          </w:p>
        </w:tc>
        <w:tc>
          <w:tcPr>
            <w:tcW w:w="2552" w:type="dxa"/>
          </w:tcPr>
          <w:p w14:paraId="196F3C55" w14:textId="77777777" w:rsidR="004726D7" w:rsidRPr="004726D7" w:rsidRDefault="004726D7" w:rsidP="004726D7">
            <w:pPr>
              <w:pStyle w:val="TableText1"/>
              <w:rPr>
                <w:sz w:val="22"/>
                <w:szCs w:val="22"/>
                <w:lang w:val="en-GB"/>
              </w:rPr>
            </w:pPr>
            <w:r w:rsidRPr="004726D7">
              <w:rPr>
                <w:sz w:val="22"/>
                <w:szCs w:val="22"/>
                <w:lang w:val="en-GB"/>
              </w:rPr>
              <w:t>Royal College of Obstetricians and Gynaecologists (RCOG) </w:t>
            </w:r>
          </w:p>
        </w:tc>
        <w:tc>
          <w:tcPr>
            <w:tcW w:w="1417" w:type="dxa"/>
          </w:tcPr>
          <w:p w14:paraId="5B6A4B30" w14:textId="77777777" w:rsidR="004726D7" w:rsidRPr="004726D7" w:rsidRDefault="004726D7" w:rsidP="004726D7">
            <w:pPr>
              <w:pStyle w:val="TableText1"/>
              <w:rPr>
                <w:rFonts w:cs="Arial"/>
                <w:sz w:val="22"/>
                <w:szCs w:val="22"/>
              </w:rPr>
            </w:pPr>
            <w:r w:rsidRPr="00B42813">
              <w:rPr>
                <w:rFonts w:cs="Arial"/>
                <w:sz w:val="22"/>
                <w:szCs w:val="22"/>
              </w:rPr>
              <w:t>Guideline</w:t>
            </w:r>
          </w:p>
        </w:tc>
        <w:tc>
          <w:tcPr>
            <w:tcW w:w="10632" w:type="dxa"/>
          </w:tcPr>
          <w:p w14:paraId="17D36720" w14:textId="77777777" w:rsidR="004726D7" w:rsidRPr="004726D7" w:rsidRDefault="004726D7" w:rsidP="004726D7">
            <w:pPr>
              <w:rPr>
                <w:rFonts w:ascii="Arial" w:hAnsi="Arial" w:cs="Arial"/>
                <w:i/>
                <w:iCs/>
                <w:sz w:val="22"/>
                <w:szCs w:val="22"/>
              </w:rPr>
            </w:pPr>
            <w:r w:rsidRPr="004726D7">
              <w:rPr>
                <w:rStyle w:val="normaltextrun"/>
                <w:rFonts w:ascii="Arial" w:hAnsi="Arial" w:cs="Arial"/>
                <w:sz w:val="22"/>
                <w:szCs w:val="22"/>
              </w:rPr>
              <w:t>Instead of giving the exact dose of anti-d at each gestation it might be better to give as a minimum dose as a few years ago there was a shortage of one of the </w:t>
            </w:r>
            <w:proofErr w:type="gramStart"/>
            <w:r w:rsidRPr="004726D7">
              <w:rPr>
                <w:rStyle w:val="normaltextrun"/>
                <w:rFonts w:ascii="Arial" w:hAnsi="Arial" w:cs="Arial"/>
                <w:sz w:val="22"/>
                <w:szCs w:val="22"/>
              </w:rPr>
              <w:t>doses</w:t>
            </w:r>
            <w:proofErr w:type="gramEnd"/>
            <w:r w:rsidRPr="004726D7">
              <w:rPr>
                <w:rStyle w:val="normaltextrun"/>
                <w:rFonts w:ascii="Arial" w:hAnsi="Arial" w:cs="Arial"/>
                <w:sz w:val="22"/>
                <w:szCs w:val="22"/>
              </w:rPr>
              <w:t> so everyone was getting a higher dose to cover.</w:t>
            </w:r>
            <w:r w:rsidRPr="004726D7">
              <w:rPr>
                <w:rStyle w:val="eop"/>
                <w:rFonts w:ascii="Arial" w:hAnsi="Arial" w:cs="Arial"/>
                <w:sz w:val="22"/>
                <w:szCs w:val="22"/>
              </w:rPr>
              <w:t> </w:t>
            </w:r>
          </w:p>
        </w:tc>
      </w:tr>
      <w:tr w:rsidR="00B664F7" w:rsidRPr="00660F4E" w14:paraId="3448829B" w14:textId="77777777">
        <w:tc>
          <w:tcPr>
            <w:tcW w:w="15276" w:type="dxa"/>
            <w:gridSpan w:val="4"/>
          </w:tcPr>
          <w:p w14:paraId="16B18BAF" w14:textId="442A47BA" w:rsidR="00B664F7" w:rsidRPr="004726D7" w:rsidRDefault="00B664F7" w:rsidP="004726D7">
            <w:pPr>
              <w:rPr>
                <w:rStyle w:val="normaltextrun"/>
                <w:rFonts w:ascii="Arial" w:hAnsi="Arial" w:cs="Arial"/>
                <w:sz w:val="22"/>
                <w:szCs w:val="22"/>
              </w:rPr>
            </w:pPr>
            <w:r>
              <w:rPr>
                <w:rStyle w:val="normaltextrun"/>
                <w:rFonts w:ascii="Arial" w:hAnsi="Arial" w:cs="Arial"/>
                <w:sz w:val="22"/>
                <w:szCs w:val="22"/>
              </w:rPr>
              <w:t>No comments</w:t>
            </w:r>
          </w:p>
        </w:tc>
      </w:tr>
      <w:tr w:rsidR="00177ACD" w:rsidRPr="00660F4E" w14:paraId="70E6F4A4" w14:textId="77777777" w:rsidTr="00E356FB">
        <w:tc>
          <w:tcPr>
            <w:tcW w:w="675" w:type="dxa"/>
          </w:tcPr>
          <w:p w14:paraId="2E6E8987" w14:textId="50676A2B" w:rsidR="00177ACD" w:rsidRPr="004726D7" w:rsidRDefault="00004463" w:rsidP="00066D70">
            <w:pPr>
              <w:pStyle w:val="TableText1"/>
              <w:rPr>
                <w:rFonts w:cs="Arial"/>
                <w:sz w:val="22"/>
                <w:szCs w:val="22"/>
              </w:rPr>
            </w:pPr>
            <w:r>
              <w:rPr>
                <w:rFonts w:cs="Arial"/>
                <w:sz w:val="22"/>
                <w:szCs w:val="22"/>
              </w:rPr>
              <w:t>20</w:t>
            </w:r>
          </w:p>
        </w:tc>
        <w:tc>
          <w:tcPr>
            <w:tcW w:w="2552" w:type="dxa"/>
          </w:tcPr>
          <w:p w14:paraId="619EC50D" w14:textId="6BAAC3BA" w:rsidR="00177ACD" w:rsidRPr="004726D7" w:rsidRDefault="00B664F7" w:rsidP="00066D70">
            <w:pPr>
              <w:pStyle w:val="TableText1"/>
              <w:rPr>
                <w:sz w:val="22"/>
                <w:szCs w:val="22"/>
              </w:rPr>
            </w:pPr>
            <w:r>
              <w:rPr>
                <w:sz w:val="22"/>
                <w:szCs w:val="22"/>
              </w:rPr>
              <w:t>Ectopic Pregnancy Trust</w:t>
            </w:r>
            <w:r w:rsidRPr="004726D7">
              <w:rPr>
                <w:sz w:val="22"/>
                <w:szCs w:val="22"/>
              </w:rPr>
              <w:t xml:space="preserve"> </w:t>
            </w:r>
          </w:p>
        </w:tc>
        <w:tc>
          <w:tcPr>
            <w:tcW w:w="1417" w:type="dxa"/>
          </w:tcPr>
          <w:p w14:paraId="22FA68BA" w14:textId="77777777" w:rsidR="00177ACD" w:rsidRPr="004726D7" w:rsidRDefault="00177ACD" w:rsidP="00066D70">
            <w:pPr>
              <w:pStyle w:val="TableText1"/>
              <w:rPr>
                <w:rFonts w:cs="Arial"/>
                <w:sz w:val="22"/>
                <w:szCs w:val="22"/>
              </w:rPr>
            </w:pPr>
          </w:p>
        </w:tc>
        <w:tc>
          <w:tcPr>
            <w:tcW w:w="10632" w:type="dxa"/>
          </w:tcPr>
          <w:p w14:paraId="7B907BB6" w14:textId="77777777" w:rsidR="00177ACD" w:rsidRPr="004726D7" w:rsidRDefault="00177ACD" w:rsidP="00177ACD">
            <w:pPr>
              <w:rPr>
                <w:rFonts w:ascii="Arial" w:hAnsi="Arial" w:cs="Arial"/>
                <w:sz w:val="22"/>
                <w:szCs w:val="22"/>
                <w:lang w:val="en-US"/>
              </w:rPr>
            </w:pPr>
            <w:r w:rsidRPr="004726D7">
              <w:rPr>
                <w:rFonts w:ascii="Arial" w:hAnsi="Arial" w:cs="Arial"/>
                <w:sz w:val="22"/>
                <w:szCs w:val="22"/>
                <w:lang w:val="en-US"/>
              </w:rPr>
              <w:t xml:space="preserve">At consultation </w:t>
            </w:r>
            <w:r w:rsidR="004726D7">
              <w:rPr>
                <w:rFonts w:ascii="Arial" w:hAnsi="Arial" w:cs="Arial"/>
                <w:sz w:val="22"/>
                <w:szCs w:val="22"/>
                <w:lang w:val="en-US"/>
              </w:rPr>
              <w:t xml:space="preserve">a response was received to confirm they had no comments to make. </w:t>
            </w:r>
          </w:p>
        </w:tc>
      </w:tr>
      <w:tr w:rsidR="004726D7" w:rsidRPr="00660F4E" w14:paraId="1406EEB4" w14:textId="77777777" w:rsidTr="00E356FB">
        <w:tc>
          <w:tcPr>
            <w:tcW w:w="675" w:type="dxa"/>
          </w:tcPr>
          <w:p w14:paraId="67443DC6" w14:textId="60EA6031" w:rsidR="004726D7" w:rsidRPr="004726D7" w:rsidRDefault="00C76294" w:rsidP="00066D70">
            <w:pPr>
              <w:pStyle w:val="TableText1"/>
              <w:rPr>
                <w:rFonts w:cs="Arial"/>
                <w:sz w:val="22"/>
                <w:szCs w:val="22"/>
              </w:rPr>
            </w:pPr>
            <w:r>
              <w:rPr>
                <w:rFonts w:cs="Arial"/>
                <w:sz w:val="22"/>
                <w:szCs w:val="22"/>
              </w:rPr>
              <w:t>2</w:t>
            </w:r>
            <w:r w:rsidR="00004463">
              <w:rPr>
                <w:rFonts w:cs="Arial"/>
                <w:sz w:val="22"/>
                <w:szCs w:val="22"/>
              </w:rPr>
              <w:t>1</w:t>
            </w:r>
          </w:p>
        </w:tc>
        <w:tc>
          <w:tcPr>
            <w:tcW w:w="2552" w:type="dxa"/>
          </w:tcPr>
          <w:p w14:paraId="4002BB0F" w14:textId="1123B547" w:rsidR="004726D7" w:rsidRPr="004726D7" w:rsidRDefault="00B664F7" w:rsidP="00066D70">
            <w:pPr>
              <w:pStyle w:val="TableText1"/>
              <w:rPr>
                <w:sz w:val="22"/>
                <w:szCs w:val="22"/>
              </w:rPr>
            </w:pPr>
            <w:r w:rsidRPr="004726D7">
              <w:rPr>
                <w:sz w:val="22"/>
                <w:szCs w:val="22"/>
              </w:rPr>
              <w:t>The Miscarriage Association</w:t>
            </w:r>
          </w:p>
        </w:tc>
        <w:tc>
          <w:tcPr>
            <w:tcW w:w="1417" w:type="dxa"/>
          </w:tcPr>
          <w:p w14:paraId="43CEF807" w14:textId="77777777" w:rsidR="004726D7" w:rsidRPr="004726D7" w:rsidRDefault="004726D7" w:rsidP="00066D70">
            <w:pPr>
              <w:pStyle w:val="TableText1"/>
              <w:rPr>
                <w:rFonts w:cs="Arial"/>
                <w:sz w:val="22"/>
                <w:szCs w:val="22"/>
              </w:rPr>
            </w:pPr>
          </w:p>
        </w:tc>
        <w:tc>
          <w:tcPr>
            <w:tcW w:w="10632" w:type="dxa"/>
          </w:tcPr>
          <w:p w14:paraId="760E0C9E" w14:textId="77777777" w:rsidR="004726D7" w:rsidRPr="004726D7" w:rsidRDefault="004726D7" w:rsidP="00177ACD">
            <w:pPr>
              <w:rPr>
                <w:rFonts w:ascii="Arial" w:hAnsi="Arial" w:cs="Arial"/>
                <w:sz w:val="22"/>
                <w:szCs w:val="22"/>
                <w:lang w:val="en-US"/>
              </w:rPr>
            </w:pPr>
            <w:r w:rsidRPr="004726D7">
              <w:rPr>
                <w:rFonts w:ascii="Arial" w:hAnsi="Arial" w:cs="Arial"/>
                <w:sz w:val="22"/>
                <w:szCs w:val="22"/>
                <w:lang w:val="en-US"/>
              </w:rPr>
              <w:t xml:space="preserve">At consultation </w:t>
            </w:r>
            <w:r>
              <w:rPr>
                <w:rFonts w:ascii="Arial" w:hAnsi="Arial" w:cs="Arial"/>
                <w:sz w:val="22"/>
                <w:szCs w:val="22"/>
                <w:lang w:val="en-US"/>
              </w:rPr>
              <w:t>a response was received to confirm they had no comments to make.</w:t>
            </w:r>
          </w:p>
        </w:tc>
      </w:tr>
    </w:tbl>
    <w:p w14:paraId="7338A0E8" w14:textId="77777777" w:rsidR="00003D97" w:rsidRDefault="00003D97" w:rsidP="004A1476">
      <w:pPr>
        <w:pStyle w:val="NICEnormalsinglespacing"/>
      </w:pPr>
      <w:r>
        <w:t xml:space="preserve">Note: </w:t>
      </w:r>
      <w:r w:rsidRPr="0089346D">
        <w:t xml:space="preserve">Comments received </w:t>
      </w:r>
      <w:proofErr w:type="gramStart"/>
      <w:r w:rsidRPr="0089346D">
        <w:t>in the course of</w:t>
      </w:r>
      <w:proofErr w:type="gramEnd"/>
      <w:r w:rsidRPr="0089346D">
        <w:t xml:space="preserve"> consultations carried out by NICE are published in the interests of openness and transparency, and to promote understanding of how quality standards are developed. The comments are published as a record of the submissions that </w:t>
      </w:r>
      <w:r>
        <w:t>NICE</w:t>
      </w:r>
      <w:r w:rsidRPr="0089346D">
        <w:t xml:space="preserve"> has received, and are not endorsed by NICE, its </w:t>
      </w:r>
      <w:r>
        <w:t>staff</w:t>
      </w:r>
      <w:r w:rsidRPr="0089346D">
        <w:t xml:space="preserve"> or </w:t>
      </w:r>
      <w:r>
        <w:t xml:space="preserve">its </w:t>
      </w:r>
      <w:r w:rsidRPr="0089346D">
        <w:t>advisory committees</w:t>
      </w:r>
      <w:r>
        <w:t>.</w:t>
      </w:r>
    </w:p>
    <w:p w14:paraId="5E81DD84" w14:textId="77777777" w:rsidR="006B4135" w:rsidRDefault="006B4135">
      <w:pPr>
        <w:rPr>
          <w:rFonts w:ascii="Arial" w:hAnsi="Arial" w:cs="Arial"/>
          <w:b/>
          <w:bCs/>
          <w:sz w:val="28"/>
          <w:szCs w:val="28"/>
        </w:rPr>
      </w:pPr>
      <w:r>
        <w:br w:type="page"/>
      </w:r>
    </w:p>
    <w:p w14:paraId="371BE6E6" w14:textId="77777777" w:rsidR="00DE2054" w:rsidRDefault="004563DF" w:rsidP="00DE2054">
      <w:pPr>
        <w:pStyle w:val="Heading2"/>
      </w:pPr>
      <w:r>
        <w:lastRenderedPageBreak/>
        <w:t>Registered s</w:t>
      </w:r>
      <w:r w:rsidR="00DE2054">
        <w:t>takeholders who submitted comments at consultation</w:t>
      </w:r>
    </w:p>
    <w:p w14:paraId="4475C625" w14:textId="77777777" w:rsidR="00B42813" w:rsidRDefault="00B42813" w:rsidP="00EE685E">
      <w:pPr>
        <w:pStyle w:val="Bulletleft1"/>
      </w:pPr>
      <w:r w:rsidRPr="00B42813">
        <w:t xml:space="preserve">British Society of Abortion Care Providers </w:t>
      </w:r>
    </w:p>
    <w:p w14:paraId="7CC0EE2E" w14:textId="44B9B6C2" w:rsidR="00B664F7" w:rsidRDefault="00B664F7" w:rsidP="00EE685E">
      <w:pPr>
        <w:pStyle w:val="Bulletleft1"/>
      </w:pPr>
      <w:r w:rsidRPr="00B664F7">
        <w:t xml:space="preserve">British Society for Haematology  </w:t>
      </w:r>
    </w:p>
    <w:p w14:paraId="753F42F1" w14:textId="77777777" w:rsidR="00EE685E" w:rsidRDefault="00B42813" w:rsidP="00EE685E">
      <w:pPr>
        <w:pStyle w:val="Bulletleft1"/>
      </w:pPr>
      <w:r w:rsidRPr="00B42813">
        <w:t xml:space="preserve">Dignity Care </w:t>
      </w:r>
    </w:p>
    <w:p w14:paraId="06F1E671" w14:textId="2F523B5F" w:rsidR="00004463" w:rsidRDefault="00004463" w:rsidP="00EE685E">
      <w:pPr>
        <w:pStyle w:val="Bulletleft1"/>
      </w:pPr>
      <w:r>
        <w:t>NHS England</w:t>
      </w:r>
    </w:p>
    <w:p w14:paraId="16F81F06" w14:textId="77777777" w:rsidR="0089346D" w:rsidRDefault="00B42813" w:rsidP="00EE685E">
      <w:pPr>
        <w:pStyle w:val="Bulletleft1"/>
      </w:pPr>
      <w:r w:rsidRPr="00B42813">
        <w:t>Royal College of General Practitioners</w:t>
      </w:r>
    </w:p>
    <w:p w14:paraId="3C9F916B" w14:textId="77777777" w:rsidR="00004463" w:rsidRDefault="00004463" w:rsidP="00004463">
      <w:pPr>
        <w:pStyle w:val="Bulletleft1"/>
      </w:pPr>
      <w:r w:rsidRPr="00B42813">
        <w:t>Royal College of Nursing</w:t>
      </w:r>
    </w:p>
    <w:p w14:paraId="58F34196" w14:textId="77777777" w:rsidR="00004463" w:rsidRDefault="00004463" w:rsidP="00004463">
      <w:pPr>
        <w:pStyle w:val="Bulletleft1"/>
      </w:pPr>
      <w:r w:rsidRPr="00B664F7">
        <w:t>Royal College of Obstetricians and Gynaecologists</w:t>
      </w:r>
    </w:p>
    <w:p w14:paraId="4ED5CFCD" w14:textId="1C230F8A" w:rsidR="00BE4BC7" w:rsidRDefault="00B42813" w:rsidP="00D11925">
      <w:pPr>
        <w:pStyle w:val="Bulletleft1last"/>
        <w:numPr>
          <w:ilvl w:val="0"/>
          <w:numId w:val="0"/>
        </w:numPr>
      </w:pPr>
      <w:r>
        <w:t>Note: The Miscarriage Association</w:t>
      </w:r>
      <w:r w:rsidR="00004463">
        <w:t xml:space="preserve"> and </w:t>
      </w:r>
      <w:r w:rsidR="00B664F7">
        <w:t xml:space="preserve">Ectopic Pregnancy </w:t>
      </w:r>
      <w:r w:rsidR="260D0FFC">
        <w:t>T</w:t>
      </w:r>
      <w:r w:rsidR="00B664F7">
        <w:t xml:space="preserve">rust </w:t>
      </w:r>
      <w:r>
        <w:t>responded to advise they had no comments to make.</w:t>
      </w:r>
      <w:r w:rsidR="006A7CC2">
        <w:t xml:space="preserve"> </w:t>
      </w:r>
    </w:p>
    <w:p w14:paraId="7B91DE09" w14:textId="77777777" w:rsidR="00177ACD" w:rsidRDefault="00177ACD" w:rsidP="00D11925">
      <w:pPr>
        <w:pStyle w:val="Bulletleft1last"/>
        <w:numPr>
          <w:ilvl w:val="0"/>
          <w:numId w:val="0"/>
        </w:numPr>
      </w:pPr>
    </w:p>
    <w:sectPr w:rsidR="00177ACD" w:rsidSect="0037542E">
      <w:pgSz w:w="16838" w:h="11906" w:orient="landscape"/>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75580" w14:textId="77777777" w:rsidR="0027534B" w:rsidRDefault="0027534B">
      <w:r>
        <w:separator/>
      </w:r>
    </w:p>
  </w:endnote>
  <w:endnote w:type="continuationSeparator" w:id="0">
    <w:p w14:paraId="4CD94428" w14:textId="77777777" w:rsidR="0027534B" w:rsidRDefault="00275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FD82D" w14:textId="77777777" w:rsidR="00DE6F78" w:rsidRDefault="00DE6F78">
    <w:pPr>
      <w:pStyle w:val="Footer"/>
      <w:jc w:val="right"/>
    </w:pPr>
    <w:r>
      <w:t>P</w:t>
    </w:r>
    <w:r w:rsidRPr="00523D57">
      <w:t xml:space="preserve">age </w:t>
    </w:r>
    <w:r w:rsidRPr="00523D57">
      <w:rPr>
        <w:bCs/>
      </w:rPr>
      <w:fldChar w:fldCharType="begin"/>
    </w:r>
    <w:r w:rsidRPr="00523D57">
      <w:rPr>
        <w:bCs/>
      </w:rPr>
      <w:instrText xml:space="preserve"> PAGE </w:instrText>
    </w:r>
    <w:r w:rsidRPr="00523D57">
      <w:rPr>
        <w:bCs/>
      </w:rPr>
      <w:fldChar w:fldCharType="separate"/>
    </w:r>
    <w:r w:rsidR="002B2D34">
      <w:rPr>
        <w:bCs/>
        <w:noProof/>
      </w:rPr>
      <w:t>10</w:t>
    </w:r>
    <w:r w:rsidRPr="00523D57">
      <w:rPr>
        <w:bCs/>
      </w:rPr>
      <w:fldChar w:fldCharType="end"/>
    </w:r>
    <w:r w:rsidRPr="00523D57">
      <w:t xml:space="preserve"> of </w:t>
    </w:r>
    <w:r w:rsidRPr="00523D57">
      <w:rPr>
        <w:bCs/>
      </w:rPr>
      <w:fldChar w:fldCharType="begin"/>
    </w:r>
    <w:r w:rsidRPr="00523D57">
      <w:rPr>
        <w:bCs/>
      </w:rPr>
      <w:instrText xml:space="preserve"> NUMPAGES  </w:instrText>
    </w:r>
    <w:r w:rsidRPr="00523D57">
      <w:rPr>
        <w:bCs/>
      </w:rPr>
      <w:fldChar w:fldCharType="separate"/>
    </w:r>
    <w:r w:rsidR="002B2D34">
      <w:rPr>
        <w:bCs/>
        <w:noProof/>
      </w:rPr>
      <w:t>10</w:t>
    </w:r>
    <w:r w:rsidRPr="00523D57">
      <w:rPr>
        <w:bCs/>
      </w:rPr>
      <w:fldChar w:fldCharType="end"/>
    </w:r>
  </w:p>
  <w:p w14:paraId="1704F2F8" w14:textId="77777777" w:rsidR="00DE6F78" w:rsidRDefault="00DE6F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543EE" w14:textId="77777777" w:rsidR="00DE6F78" w:rsidRPr="00523D57" w:rsidRDefault="00DE6F78">
    <w:pPr>
      <w:pStyle w:val="Footer"/>
      <w:jc w:val="right"/>
    </w:pPr>
    <w:r w:rsidRPr="00523D57">
      <w:t xml:space="preserve">Page </w:t>
    </w:r>
    <w:r w:rsidRPr="00523D57">
      <w:rPr>
        <w:bCs/>
      </w:rPr>
      <w:fldChar w:fldCharType="begin"/>
    </w:r>
    <w:r w:rsidRPr="00523D57">
      <w:rPr>
        <w:bCs/>
      </w:rPr>
      <w:instrText xml:space="preserve"> PAGE </w:instrText>
    </w:r>
    <w:r w:rsidRPr="00523D57">
      <w:rPr>
        <w:bCs/>
      </w:rPr>
      <w:fldChar w:fldCharType="separate"/>
    </w:r>
    <w:r w:rsidR="002B2D34">
      <w:rPr>
        <w:bCs/>
        <w:noProof/>
      </w:rPr>
      <w:t>1</w:t>
    </w:r>
    <w:r w:rsidRPr="00523D57">
      <w:rPr>
        <w:bCs/>
      </w:rPr>
      <w:fldChar w:fldCharType="end"/>
    </w:r>
    <w:r w:rsidRPr="00523D57">
      <w:t xml:space="preserve"> of </w:t>
    </w:r>
    <w:r w:rsidRPr="00523D57">
      <w:rPr>
        <w:bCs/>
      </w:rPr>
      <w:fldChar w:fldCharType="begin"/>
    </w:r>
    <w:r w:rsidRPr="00523D57">
      <w:rPr>
        <w:bCs/>
      </w:rPr>
      <w:instrText xml:space="preserve"> NUMPAGES  </w:instrText>
    </w:r>
    <w:r w:rsidRPr="00523D57">
      <w:rPr>
        <w:bCs/>
      </w:rPr>
      <w:fldChar w:fldCharType="separate"/>
    </w:r>
    <w:r w:rsidR="002B2D34">
      <w:rPr>
        <w:bCs/>
        <w:noProof/>
      </w:rPr>
      <w:t>10</w:t>
    </w:r>
    <w:r w:rsidRPr="00523D57">
      <w:rPr>
        <w:bCs/>
      </w:rPr>
      <w:fldChar w:fldCharType="end"/>
    </w:r>
  </w:p>
  <w:p w14:paraId="2FCBE0B2" w14:textId="77777777" w:rsidR="00DE6F78" w:rsidRDefault="00DE6F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0AB52" w14:textId="77777777" w:rsidR="0027534B" w:rsidRDefault="0027534B">
      <w:r>
        <w:separator/>
      </w:r>
    </w:p>
  </w:footnote>
  <w:footnote w:type="continuationSeparator" w:id="0">
    <w:p w14:paraId="1B90665C" w14:textId="77777777" w:rsidR="0027534B" w:rsidRDefault="00275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38B91" w14:textId="77777777" w:rsidR="00DE6F78" w:rsidRDefault="00DE6F78" w:rsidP="0037542E">
    <w:pPr>
      <w:pStyle w:val="Header"/>
      <w:tabs>
        <w:tab w:val="center" w:pos="3402"/>
        <w:tab w:val="right" w:pos="9214"/>
      </w:tabs>
    </w:pPr>
    <w:r>
      <w:t>CONFIDENTIAL</w:t>
    </w:r>
  </w:p>
  <w:p w14:paraId="031E1312" w14:textId="77777777" w:rsidR="00DE6F78" w:rsidRDefault="00DE6F78" w:rsidP="0037542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C6134" w14:textId="77777777" w:rsidR="00DE6F78" w:rsidRDefault="00DE6F78" w:rsidP="0037542E">
    <w:pPr>
      <w:pStyle w:val="Header"/>
      <w:tabs>
        <w:tab w:val="center" w:pos="3402"/>
        <w:tab w:val="right" w:pos="9214"/>
      </w:tabs>
    </w:pPr>
    <w:r>
      <w:t>CONFIDENTIAL</w:t>
    </w:r>
    <w:r w:rsidR="002B2D34">
      <w:t xml:space="preserve"> UNTIL PUBLISHED</w:t>
    </w:r>
    <w:r>
      <w:tab/>
    </w:r>
  </w:p>
  <w:p w14:paraId="4F39DD75" w14:textId="77777777" w:rsidR="00DE6F78" w:rsidRDefault="00DE6F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D53D1B"/>
    <w:multiLevelType w:val="hybridMultilevel"/>
    <w:tmpl w:val="D2C42B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0F9D237C"/>
    <w:multiLevelType w:val="hybridMultilevel"/>
    <w:tmpl w:val="2B688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017405"/>
    <w:multiLevelType w:val="multilevel"/>
    <w:tmpl w:val="B0A899F0"/>
    <w:lvl w:ilvl="0">
      <w:start w:val="1"/>
      <w:numFmt w:val="bullet"/>
      <w:pStyle w:val="Bulletleft1"/>
      <w:lvlText w:val=""/>
      <w:lvlJc w:val="left"/>
      <w:pPr>
        <w:tabs>
          <w:tab w:val="num" w:pos="2127"/>
        </w:tabs>
        <w:ind w:left="2127"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B8D3711"/>
    <w:multiLevelType w:val="hybridMultilevel"/>
    <w:tmpl w:val="12EE7D60"/>
    <w:lvl w:ilvl="0" w:tplc="C6A8CC88">
      <w:start w:val="4"/>
      <w:numFmt w:val="bullet"/>
      <w:pStyle w:val="Bulletleft1last"/>
      <w:lvlText w:val=""/>
      <w:lvlJc w:val="left"/>
      <w:pPr>
        <w:tabs>
          <w:tab w:val="num" w:pos="568"/>
        </w:tabs>
        <w:ind w:left="568" w:hanging="284"/>
      </w:pPr>
      <w:rPr>
        <w:rFonts w:ascii="Symbol" w:hAnsi="Symbol" w:hint="default"/>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9CC3584"/>
    <w:multiLevelType w:val="multilevel"/>
    <w:tmpl w:val="98404216"/>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level3text"/>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3" w15:restartNumberingAfterBreak="0">
    <w:nsid w:val="2C7C3B8A"/>
    <w:multiLevelType w:val="hybridMultilevel"/>
    <w:tmpl w:val="6ECCF73C"/>
    <w:lvl w:ilvl="0" w:tplc="FFFFFFFF">
      <w:start w:val="4"/>
      <w:numFmt w:val="bullet"/>
      <w:lvlText w:val=""/>
      <w:lvlJc w:val="left"/>
      <w:pPr>
        <w:tabs>
          <w:tab w:val="num" w:pos="568"/>
        </w:tabs>
        <w:ind w:left="568" w:hanging="284"/>
      </w:pPr>
      <w:rPr>
        <w:rFonts w:ascii="Symbol" w:hAnsi="Symbol" w:hint="default"/>
        <w:sz w:val="24"/>
        <w:szCs w:val="24"/>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8F00D3F"/>
    <w:multiLevelType w:val="hybridMultilevel"/>
    <w:tmpl w:val="27E4A36A"/>
    <w:lvl w:ilvl="0" w:tplc="BBB0CF08">
      <w:start w:val="1"/>
      <w:numFmt w:val="bullet"/>
      <w:pStyle w:val="Bullet"/>
      <w:lvlText w:val=""/>
      <w:lvlJc w:val="left"/>
      <w:pPr>
        <w:ind w:left="2026" w:hanging="360"/>
      </w:pPr>
      <w:rPr>
        <w:rFonts w:ascii="Symbol" w:hAnsi="Symbol" w:hint="default"/>
      </w:rPr>
    </w:lvl>
    <w:lvl w:ilvl="1" w:tplc="08090003" w:tentative="1">
      <w:start w:val="1"/>
      <w:numFmt w:val="bullet"/>
      <w:lvlText w:val="o"/>
      <w:lvlJc w:val="left"/>
      <w:pPr>
        <w:ind w:left="2746" w:hanging="360"/>
      </w:pPr>
      <w:rPr>
        <w:rFonts w:ascii="Courier New" w:hAnsi="Courier New" w:cs="Courier New" w:hint="default"/>
      </w:rPr>
    </w:lvl>
    <w:lvl w:ilvl="2" w:tplc="08090005" w:tentative="1">
      <w:start w:val="1"/>
      <w:numFmt w:val="bullet"/>
      <w:lvlText w:val=""/>
      <w:lvlJc w:val="left"/>
      <w:pPr>
        <w:ind w:left="3466" w:hanging="360"/>
      </w:pPr>
      <w:rPr>
        <w:rFonts w:ascii="Wingdings" w:hAnsi="Wingdings" w:hint="default"/>
      </w:rPr>
    </w:lvl>
    <w:lvl w:ilvl="3" w:tplc="08090001" w:tentative="1">
      <w:start w:val="1"/>
      <w:numFmt w:val="bullet"/>
      <w:lvlText w:val=""/>
      <w:lvlJc w:val="left"/>
      <w:pPr>
        <w:ind w:left="4186" w:hanging="360"/>
      </w:pPr>
      <w:rPr>
        <w:rFonts w:ascii="Symbol" w:hAnsi="Symbol" w:hint="default"/>
      </w:rPr>
    </w:lvl>
    <w:lvl w:ilvl="4" w:tplc="08090003" w:tentative="1">
      <w:start w:val="1"/>
      <w:numFmt w:val="bullet"/>
      <w:lvlText w:val="o"/>
      <w:lvlJc w:val="left"/>
      <w:pPr>
        <w:ind w:left="4906" w:hanging="360"/>
      </w:pPr>
      <w:rPr>
        <w:rFonts w:ascii="Courier New" w:hAnsi="Courier New" w:cs="Courier New" w:hint="default"/>
      </w:rPr>
    </w:lvl>
    <w:lvl w:ilvl="5" w:tplc="08090005" w:tentative="1">
      <w:start w:val="1"/>
      <w:numFmt w:val="bullet"/>
      <w:lvlText w:val=""/>
      <w:lvlJc w:val="left"/>
      <w:pPr>
        <w:ind w:left="5626" w:hanging="360"/>
      </w:pPr>
      <w:rPr>
        <w:rFonts w:ascii="Wingdings" w:hAnsi="Wingdings" w:hint="default"/>
      </w:rPr>
    </w:lvl>
    <w:lvl w:ilvl="6" w:tplc="08090001" w:tentative="1">
      <w:start w:val="1"/>
      <w:numFmt w:val="bullet"/>
      <w:lvlText w:val=""/>
      <w:lvlJc w:val="left"/>
      <w:pPr>
        <w:ind w:left="6346" w:hanging="360"/>
      </w:pPr>
      <w:rPr>
        <w:rFonts w:ascii="Symbol" w:hAnsi="Symbol" w:hint="default"/>
      </w:rPr>
    </w:lvl>
    <w:lvl w:ilvl="7" w:tplc="08090003" w:tentative="1">
      <w:start w:val="1"/>
      <w:numFmt w:val="bullet"/>
      <w:lvlText w:val="o"/>
      <w:lvlJc w:val="left"/>
      <w:pPr>
        <w:ind w:left="7066" w:hanging="360"/>
      </w:pPr>
      <w:rPr>
        <w:rFonts w:ascii="Courier New" w:hAnsi="Courier New" w:cs="Courier New" w:hint="default"/>
      </w:rPr>
    </w:lvl>
    <w:lvl w:ilvl="8" w:tplc="08090005" w:tentative="1">
      <w:start w:val="1"/>
      <w:numFmt w:val="bullet"/>
      <w:lvlText w:val=""/>
      <w:lvlJc w:val="left"/>
      <w:pPr>
        <w:ind w:left="7786" w:hanging="360"/>
      </w:pPr>
      <w:rPr>
        <w:rFonts w:ascii="Wingdings" w:hAnsi="Wingdings" w:hint="default"/>
      </w:rPr>
    </w:lvl>
  </w:abstractNum>
  <w:abstractNum w:abstractNumId="18" w15:restartNumberingAfterBreak="0">
    <w:nsid w:val="42464A88"/>
    <w:multiLevelType w:val="hybridMultilevel"/>
    <w:tmpl w:val="26B67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0"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1" w15:restartNumberingAfterBreak="0">
    <w:nsid w:val="47E43874"/>
    <w:multiLevelType w:val="hybridMultilevel"/>
    <w:tmpl w:val="6D46AA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C855517"/>
    <w:multiLevelType w:val="hybridMultilevel"/>
    <w:tmpl w:val="82D6B4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0" w15:restartNumberingAfterBreak="0">
    <w:nsid w:val="70177D28"/>
    <w:multiLevelType w:val="hybridMultilevel"/>
    <w:tmpl w:val="85FEE1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A3B6AF0"/>
    <w:multiLevelType w:val="hybridMultilevel"/>
    <w:tmpl w:val="A5D2E9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63447586">
    <w:abstractNumId w:val="12"/>
  </w:num>
  <w:num w:numId="2" w16cid:durableId="765421151">
    <w:abstractNumId w:val="3"/>
  </w:num>
  <w:num w:numId="3" w16cid:durableId="290791179">
    <w:abstractNumId w:val="29"/>
  </w:num>
  <w:num w:numId="4" w16cid:durableId="557057518">
    <w:abstractNumId w:val="19"/>
  </w:num>
  <w:num w:numId="5" w16cid:durableId="1952087033">
    <w:abstractNumId w:val="20"/>
  </w:num>
  <w:num w:numId="6" w16cid:durableId="417797251">
    <w:abstractNumId w:val="5"/>
  </w:num>
  <w:num w:numId="7" w16cid:durableId="342707176">
    <w:abstractNumId w:val="8"/>
  </w:num>
  <w:num w:numId="8" w16cid:durableId="1836994233">
    <w:abstractNumId w:val="14"/>
  </w:num>
  <w:num w:numId="9" w16cid:durableId="763648232">
    <w:abstractNumId w:val="16"/>
  </w:num>
  <w:num w:numId="10" w16cid:durableId="607665152">
    <w:abstractNumId w:val="24"/>
  </w:num>
  <w:num w:numId="11" w16cid:durableId="1798599169">
    <w:abstractNumId w:val="7"/>
  </w:num>
  <w:num w:numId="12" w16cid:durableId="2047022696">
    <w:abstractNumId w:val="28"/>
  </w:num>
  <w:num w:numId="13" w16cid:durableId="146559641">
    <w:abstractNumId w:val="11"/>
  </w:num>
  <w:num w:numId="14" w16cid:durableId="933903212">
    <w:abstractNumId w:val="22"/>
  </w:num>
  <w:num w:numId="15" w16cid:durableId="1851219790">
    <w:abstractNumId w:val="26"/>
  </w:num>
  <w:num w:numId="16" w16cid:durableId="1092118550">
    <w:abstractNumId w:val="9"/>
  </w:num>
  <w:num w:numId="17" w16cid:durableId="1867056002">
    <w:abstractNumId w:val="12"/>
  </w:num>
  <w:num w:numId="18" w16cid:durableId="1955943040">
    <w:abstractNumId w:val="0"/>
  </w:num>
  <w:num w:numId="19" w16cid:durableId="177280180">
    <w:abstractNumId w:val="2"/>
  </w:num>
  <w:num w:numId="20" w16cid:durableId="634412311">
    <w:abstractNumId w:val="10"/>
  </w:num>
  <w:num w:numId="21" w16cid:durableId="1186944105">
    <w:abstractNumId w:val="15"/>
  </w:num>
  <w:num w:numId="22" w16cid:durableId="1500122473">
    <w:abstractNumId w:val="6"/>
  </w:num>
  <w:num w:numId="23" w16cid:durableId="1823545580">
    <w:abstractNumId w:val="17"/>
  </w:num>
  <w:num w:numId="24" w16cid:durableId="1598640007">
    <w:abstractNumId w:val="30"/>
  </w:num>
  <w:num w:numId="25" w16cid:durableId="1064911153">
    <w:abstractNumId w:val="31"/>
  </w:num>
  <w:num w:numId="26" w16cid:durableId="920602857">
    <w:abstractNumId w:val="1"/>
  </w:num>
  <w:num w:numId="27" w16cid:durableId="2132937541">
    <w:abstractNumId w:val="21"/>
  </w:num>
  <w:num w:numId="28" w16cid:durableId="1893078295">
    <w:abstractNumId w:val="12"/>
  </w:num>
  <w:num w:numId="29" w16cid:durableId="1922719248">
    <w:abstractNumId w:val="18"/>
  </w:num>
  <w:num w:numId="30" w16cid:durableId="1459763100">
    <w:abstractNumId w:val="23"/>
  </w:num>
  <w:num w:numId="31" w16cid:durableId="209608233">
    <w:abstractNumId w:val="27"/>
  </w:num>
  <w:num w:numId="32" w16cid:durableId="742992825">
    <w:abstractNumId w:val="4"/>
  </w:num>
  <w:num w:numId="33" w16cid:durableId="1881897576">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4F7"/>
    <w:rsid w:val="000002FE"/>
    <w:rsid w:val="00003D97"/>
    <w:rsid w:val="00004463"/>
    <w:rsid w:val="000109F8"/>
    <w:rsid w:val="00010A40"/>
    <w:rsid w:val="00010FD3"/>
    <w:rsid w:val="000119FB"/>
    <w:rsid w:val="00014BE2"/>
    <w:rsid w:val="000229A9"/>
    <w:rsid w:val="00036A7F"/>
    <w:rsid w:val="000403FE"/>
    <w:rsid w:val="00055A0D"/>
    <w:rsid w:val="000604B6"/>
    <w:rsid w:val="00066D70"/>
    <w:rsid w:val="0009123A"/>
    <w:rsid w:val="00092D88"/>
    <w:rsid w:val="000A1EC0"/>
    <w:rsid w:val="000B53C0"/>
    <w:rsid w:val="000E08D2"/>
    <w:rsid w:val="001018EB"/>
    <w:rsid w:val="00101B20"/>
    <w:rsid w:val="00101F34"/>
    <w:rsid w:val="00103855"/>
    <w:rsid w:val="001129CE"/>
    <w:rsid w:val="001361CB"/>
    <w:rsid w:val="0014712F"/>
    <w:rsid w:val="001547DC"/>
    <w:rsid w:val="00156577"/>
    <w:rsid w:val="00161AA0"/>
    <w:rsid w:val="00166E80"/>
    <w:rsid w:val="00167C78"/>
    <w:rsid w:val="00172B76"/>
    <w:rsid w:val="00176621"/>
    <w:rsid w:val="001774F4"/>
    <w:rsid w:val="00177ACD"/>
    <w:rsid w:val="00184302"/>
    <w:rsid w:val="0019005C"/>
    <w:rsid w:val="00190855"/>
    <w:rsid w:val="001A49AA"/>
    <w:rsid w:val="001B0506"/>
    <w:rsid w:val="001B06BD"/>
    <w:rsid w:val="001B59F2"/>
    <w:rsid w:val="001C4BC9"/>
    <w:rsid w:val="001C5451"/>
    <w:rsid w:val="001C75BB"/>
    <w:rsid w:val="001D2582"/>
    <w:rsid w:val="001D4744"/>
    <w:rsid w:val="001D79A9"/>
    <w:rsid w:val="001F0224"/>
    <w:rsid w:val="001F405A"/>
    <w:rsid w:val="001F5DD5"/>
    <w:rsid w:val="002070DE"/>
    <w:rsid w:val="00222C15"/>
    <w:rsid w:val="0023192E"/>
    <w:rsid w:val="00235CAB"/>
    <w:rsid w:val="002361B8"/>
    <w:rsid w:val="00240930"/>
    <w:rsid w:val="0026614F"/>
    <w:rsid w:val="0027534B"/>
    <w:rsid w:val="00283355"/>
    <w:rsid w:val="00286A20"/>
    <w:rsid w:val="00292EAF"/>
    <w:rsid w:val="00295A33"/>
    <w:rsid w:val="002A30FD"/>
    <w:rsid w:val="002B2D34"/>
    <w:rsid w:val="002C64B7"/>
    <w:rsid w:val="002E5C86"/>
    <w:rsid w:val="002F3542"/>
    <w:rsid w:val="002F455D"/>
    <w:rsid w:val="00300F5E"/>
    <w:rsid w:val="00301C73"/>
    <w:rsid w:val="003075C5"/>
    <w:rsid w:val="0031168C"/>
    <w:rsid w:val="00315A54"/>
    <w:rsid w:val="0031664C"/>
    <w:rsid w:val="00316680"/>
    <w:rsid w:val="00327A70"/>
    <w:rsid w:val="003330E6"/>
    <w:rsid w:val="00336F9F"/>
    <w:rsid w:val="003374EA"/>
    <w:rsid w:val="00340FE1"/>
    <w:rsid w:val="00362226"/>
    <w:rsid w:val="00364A07"/>
    <w:rsid w:val="003706D1"/>
    <w:rsid w:val="00370987"/>
    <w:rsid w:val="00374820"/>
    <w:rsid w:val="0037542E"/>
    <w:rsid w:val="003806DE"/>
    <w:rsid w:val="00380BBE"/>
    <w:rsid w:val="003835ED"/>
    <w:rsid w:val="00395040"/>
    <w:rsid w:val="003C2230"/>
    <w:rsid w:val="003C36AC"/>
    <w:rsid w:val="003C514C"/>
    <w:rsid w:val="003E124E"/>
    <w:rsid w:val="003F148A"/>
    <w:rsid w:val="003F384F"/>
    <w:rsid w:val="00404DCD"/>
    <w:rsid w:val="0040689E"/>
    <w:rsid w:val="00410CC7"/>
    <w:rsid w:val="00426566"/>
    <w:rsid w:val="00445716"/>
    <w:rsid w:val="00446A68"/>
    <w:rsid w:val="004519B2"/>
    <w:rsid w:val="004563DF"/>
    <w:rsid w:val="00461997"/>
    <w:rsid w:val="00462530"/>
    <w:rsid w:val="004726D7"/>
    <w:rsid w:val="004766D7"/>
    <w:rsid w:val="00476A14"/>
    <w:rsid w:val="004820E9"/>
    <w:rsid w:val="0048361F"/>
    <w:rsid w:val="00491534"/>
    <w:rsid w:val="0049727C"/>
    <w:rsid w:val="00497300"/>
    <w:rsid w:val="004A1476"/>
    <w:rsid w:val="004B514C"/>
    <w:rsid w:val="004C5E45"/>
    <w:rsid w:val="004C719B"/>
    <w:rsid w:val="004F0733"/>
    <w:rsid w:val="004F26EF"/>
    <w:rsid w:val="004F3FD6"/>
    <w:rsid w:val="004F5CC6"/>
    <w:rsid w:val="0052391A"/>
    <w:rsid w:val="00526C07"/>
    <w:rsid w:val="00530051"/>
    <w:rsid w:val="0053387C"/>
    <w:rsid w:val="00537FDB"/>
    <w:rsid w:val="00562C2D"/>
    <w:rsid w:val="005640DC"/>
    <w:rsid w:val="005860F4"/>
    <w:rsid w:val="005943A7"/>
    <w:rsid w:val="005B7567"/>
    <w:rsid w:val="005C051F"/>
    <w:rsid w:val="005C762E"/>
    <w:rsid w:val="005C7BC0"/>
    <w:rsid w:val="005D098C"/>
    <w:rsid w:val="005D3EEE"/>
    <w:rsid w:val="005D58EC"/>
    <w:rsid w:val="005D7E50"/>
    <w:rsid w:val="005E5B4C"/>
    <w:rsid w:val="005E6525"/>
    <w:rsid w:val="005F778D"/>
    <w:rsid w:val="00603E56"/>
    <w:rsid w:val="0060662A"/>
    <w:rsid w:val="006120E4"/>
    <w:rsid w:val="00614BDA"/>
    <w:rsid w:val="00624F17"/>
    <w:rsid w:val="006255C9"/>
    <w:rsid w:val="00626E38"/>
    <w:rsid w:val="00630FA4"/>
    <w:rsid w:val="00631281"/>
    <w:rsid w:val="006331B4"/>
    <w:rsid w:val="006343F3"/>
    <w:rsid w:val="00635012"/>
    <w:rsid w:val="00640515"/>
    <w:rsid w:val="00642906"/>
    <w:rsid w:val="006477DF"/>
    <w:rsid w:val="00674028"/>
    <w:rsid w:val="006745F9"/>
    <w:rsid w:val="006970DE"/>
    <w:rsid w:val="006A0F74"/>
    <w:rsid w:val="006A25AC"/>
    <w:rsid w:val="006A721F"/>
    <w:rsid w:val="006A7CC2"/>
    <w:rsid w:val="006B4135"/>
    <w:rsid w:val="006B4530"/>
    <w:rsid w:val="006B8F20"/>
    <w:rsid w:val="006C1BFE"/>
    <w:rsid w:val="006C4DE5"/>
    <w:rsid w:val="006C7C32"/>
    <w:rsid w:val="006D73F1"/>
    <w:rsid w:val="006E3BFC"/>
    <w:rsid w:val="00700287"/>
    <w:rsid w:val="00712C4F"/>
    <w:rsid w:val="00732519"/>
    <w:rsid w:val="007349DF"/>
    <w:rsid w:val="007356E5"/>
    <w:rsid w:val="007442C8"/>
    <w:rsid w:val="007469A9"/>
    <w:rsid w:val="00764A0F"/>
    <w:rsid w:val="00770814"/>
    <w:rsid w:val="00770A05"/>
    <w:rsid w:val="007826A1"/>
    <w:rsid w:val="0078571B"/>
    <w:rsid w:val="0078588A"/>
    <w:rsid w:val="00791B5C"/>
    <w:rsid w:val="007A174B"/>
    <w:rsid w:val="007A1B5B"/>
    <w:rsid w:val="007A4EEE"/>
    <w:rsid w:val="007C0934"/>
    <w:rsid w:val="007D014F"/>
    <w:rsid w:val="007E6039"/>
    <w:rsid w:val="007F073D"/>
    <w:rsid w:val="007F24A0"/>
    <w:rsid w:val="00802D7E"/>
    <w:rsid w:val="00810324"/>
    <w:rsid w:val="00812C96"/>
    <w:rsid w:val="0081474D"/>
    <w:rsid w:val="00845AC2"/>
    <w:rsid w:val="008505C3"/>
    <w:rsid w:val="00862C0C"/>
    <w:rsid w:val="00865586"/>
    <w:rsid w:val="008708F7"/>
    <w:rsid w:val="00874684"/>
    <w:rsid w:val="0089346D"/>
    <w:rsid w:val="00896D0F"/>
    <w:rsid w:val="008A122A"/>
    <w:rsid w:val="008A7F05"/>
    <w:rsid w:val="008B08EA"/>
    <w:rsid w:val="008B09FC"/>
    <w:rsid w:val="008B12EE"/>
    <w:rsid w:val="008C06DF"/>
    <w:rsid w:val="008C433D"/>
    <w:rsid w:val="008C4AF4"/>
    <w:rsid w:val="008D4A0A"/>
    <w:rsid w:val="008D6069"/>
    <w:rsid w:val="008E3642"/>
    <w:rsid w:val="008E7585"/>
    <w:rsid w:val="008E76D4"/>
    <w:rsid w:val="00902D92"/>
    <w:rsid w:val="00922C9B"/>
    <w:rsid w:val="00932CD6"/>
    <w:rsid w:val="0094366C"/>
    <w:rsid w:val="00953ADF"/>
    <w:rsid w:val="009565FA"/>
    <w:rsid w:val="00975742"/>
    <w:rsid w:val="009839E8"/>
    <w:rsid w:val="00984C21"/>
    <w:rsid w:val="00986702"/>
    <w:rsid w:val="009A1806"/>
    <w:rsid w:val="009A2773"/>
    <w:rsid w:val="009A5C41"/>
    <w:rsid w:val="009B621A"/>
    <w:rsid w:val="009C4564"/>
    <w:rsid w:val="009C45D9"/>
    <w:rsid w:val="009D2C1B"/>
    <w:rsid w:val="009E1A1E"/>
    <w:rsid w:val="009F4BDF"/>
    <w:rsid w:val="00A06657"/>
    <w:rsid w:val="00A07F72"/>
    <w:rsid w:val="00A11C89"/>
    <w:rsid w:val="00A23712"/>
    <w:rsid w:val="00A31ABB"/>
    <w:rsid w:val="00A320F3"/>
    <w:rsid w:val="00A5536C"/>
    <w:rsid w:val="00A613FB"/>
    <w:rsid w:val="00A652D2"/>
    <w:rsid w:val="00A72823"/>
    <w:rsid w:val="00A74065"/>
    <w:rsid w:val="00A862E4"/>
    <w:rsid w:val="00A86D3D"/>
    <w:rsid w:val="00AA3302"/>
    <w:rsid w:val="00AB2948"/>
    <w:rsid w:val="00AB39FA"/>
    <w:rsid w:val="00AC13A7"/>
    <w:rsid w:val="00AD6933"/>
    <w:rsid w:val="00AD6B7B"/>
    <w:rsid w:val="00AE4165"/>
    <w:rsid w:val="00AE5436"/>
    <w:rsid w:val="00B014B3"/>
    <w:rsid w:val="00B014F8"/>
    <w:rsid w:val="00B131B6"/>
    <w:rsid w:val="00B25DCF"/>
    <w:rsid w:val="00B36CA5"/>
    <w:rsid w:val="00B40DC9"/>
    <w:rsid w:val="00B41559"/>
    <w:rsid w:val="00B42813"/>
    <w:rsid w:val="00B513C3"/>
    <w:rsid w:val="00B60114"/>
    <w:rsid w:val="00B60D70"/>
    <w:rsid w:val="00B63ECB"/>
    <w:rsid w:val="00B6502F"/>
    <w:rsid w:val="00B664F7"/>
    <w:rsid w:val="00B71BBF"/>
    <w:rsid w:val="00B750C4"/>
    <w:rsid w:val="00B765C7"/>
    <w:rsid w:val="00B80B4F"/>
    <w:rsid w:val="00B8344D"/>
    <w:rsid w:val="00B91B6F"/>
    <w:rsid w:val="00BA7C9F"/>
    <w:rsid w:val="00BB047B"/>
    <w:rsid w:val="00BB6398"/>
    <w:rsid w:val="00BC0E86"/>
    <w:rsid w:val="00BC4E1B"/>
    <w:rsid w:val="00BD0372"/>
    <w:rsid w:val="00BD6428"/>
    <w:rsid w:val="00BE094F"/>
    <w:rsid w:val="00BE4BC7"/>
    <w:rsid w:val="00BE556D"/>
    <w:rsid w:val="00BF4F84"/>
    <w:rsid w:val="00BF791F"/>
    <w:rsid w:val="00C0204D"/>
    <w:rsid w:val="00C139CA"/>
    <w:rsid w:val="00C32366"/>
    <w:rsid w:val="00C47553"/>
    <w:rsid w:val="00C51429"/>
    <w:rsid w:val="00C555E6"/>
    <w:rsid w:val="00C57EEB"/>
    <w:rsid w:val="00C6095B"/>
    <w:rsid w:val="00C61F47"/>
    <w:rsid w:val="00C63598"/>
    <w:rsid w:val="00C67CEA"/>
    <w:rsid w:val="00C70BE9"/>
    <w:rsid w:val="00C76294"/>
    <w:rsid w:val="00C768AD"/>
    <w:rsid w:val="00CA3397"/>
    <w:rsid w:val="00CA39E2"/>
    <w:rsid w:val="00CA3D27"/>
    <w:rsid w:val="00CC6B50"/>
    <w:rsid w:val="00CD17F5"/>
    <w:rsid w:val="00CE1BFA"/>
    <w:rsid w:val="00CE2D06"/>
    <w:rsid w:val="00CE31A4"/>
    <w:rsid w:val="00CF457D"/>
    <w:rsid w:val="00D050E7"/>
    <w:rsid w:val="00D07949"/>
    <w:rsid w:val="00D11925"/>
    <w:rsid w:val="00D142FA"/>
    <w:rsid w:val="00D1503E"/>
    <w:rsid w:val="00D17173"/>
    <w:rsid w:val="00D30910"/>
    <w:rsid w:val="00D3612A"/>
    <w:rsid w:val="00D37703"/>
    <w:rsid w:val="00D37F25"/>
    <w:rsid w:val="00D53CC8"/>
    <w:rsid w:val="00D62A3E"/>
    <w:rsid w:val="00D633E0"/>
    <w:rsid w:val="00D66484"/>
    <w:rsid w:val="00D76420"/>
    <w:rsid w:val="00DB11C5"/>
    <w:rsid w:val="00DB5518"/>
    <w:rsid w:val="00DC0120"/>
    <w:rsid w:val="00DC3DF1"/>
    <w:rsid w:val="00DC5C6B"/>
    <w:rsid w:val="00DD4843"/>
    <w:rsid w:val="00DD552B"/>
    <w:rsid w:val="00DD5706"/>
    <w:rsid w:val="00DE2054"/>
    <w:rsid w:val="00DE4767"/>
    <w:rsid w:val="00DE5605"/>
    <w:rsid w:val="00DE643F"/>
    <w:rsid w:val="00DE6F78"/>
    <w:rsid w:val="00E05309"/>
    <w:rsid w:val="00E05746"/>
    <w:rsid w:val="00E05BB5"/>
    <w:rsid w:val="00E06299"/>
    <w:rsid w:val="00E06ACE"/>
    <w:rsid w:val="00E14ED8"/>
    <w:rsid w:val="00E1681F"/>
    <w:rsid w:val="00E30705"/>
    <w:rsid w:val="00E356FB"/>
    <w:rsid w:val="00E42F91"/>
    <w:rsid w:val="00E4622C"/>
    <w:rsid w:val="00E46571"/>
    <w:rsid w:val="00E47CAC"/>
    <w:rsid w:val="00E51FFB"/>
    <w:rsid w:val="00E85F0F"/>
    <w:rsid w:val="00EA1087"/>
    <w:rsid w:val="00EA49A9"/>
    <w:rsid w:val="00EB11E0"/>
    <w:rsid w:val="00EB1D58"/>
    <w:rsid w:val="00EC35A2"/>
    <w:rsid w:val="00EC4CC0"/>
    <w:rsid w:val="00ED1F4A"/>
    <w:rsid w:val="00EE125A"/>
    <w:rsid w:val="00EE5A23"/>
    <w:rsid w:val="00EE5C7B"/>
    <w:rsid w:val="00EE685E"/>
    <w:rsid w:val="00EF191A"/>
    <w:rsid w:val="00F05CAF"/>
    <w:rsid w:val="00F10941"/>
    <w:rsid w:val="00F2051C"/>
    <w:rsid w:val="00F2083A"/>
    <w:rsid w:val="00F21526"/>
    <w:rsid w:val="00F25902"/>
    <w:rsid w:val="00F25D0D"/>
    <w:rsid w:val="00F26320"/>
    <w:rsid w:val="00F26A9F"/>
    <w:rsid w:val="00F26E68"/>
    <w:rsid w:val="00F41688"/>
    <w:rsid w:val="00F4797D"/>
    <w:rsid w:val="00F560A8"/>
    <w:rsid w:val="00F56BB1"/>
    <w:rsid w:val="00F649F2"/>
    <w:rsid w:val="00F7261F"/>
    <w:rsid w:val="00F84964"/>
    <w:rsid w:val="00F91718"/>
    <w:rsid w:val="00FB4EB9"/>
    <w:rsid w:val="00FD3DD2"/>
    <w:rsid w:val="046E6B6E"/>
    <w:rsid w:val="06197862"/>
    <w:rsid w:val="06AC8592"/>
    <w:rsid w:val="06D53FD8"/>
    <w:rsid w:val="07549DED"/>
    <w:rsid w:val="08C4FF5B"/>
    <w:rsid w:val="0A261D0D"/>
    <w:rsid w:val="0A474764"/>
    <w:rsid w:val="0A9477B9"/>
    <w:rsid w:val="0AEBA86B"/>
    <w:rsid w:val="0B619916"/>
    <w:rsid w:val="0C58301F"/>
    <w:rsid w:val="0CAF8CEF"/>
    <w:rsid w:val="0E1BC0FB"/>
    <w:rsid w:val="0F497AB9"/>
    <w:rsid w:val="1070A833"/>
    <w:rsid w:val="10E796E4"/>
    <w:rsid w:val="1218AC8F"/>
    <w:rsid w:val="13AB532E"/>
    <w:rsid w:val="160C5703"/>
    <w:rsid w:val="1AEA5B04"/>
    <w:rsid w:val="1B36C8F6"/>
    <w:rsid w:val="1B86B0F3"/>
    <w:rsid w:val="1CEFE90F"/>
    <w:rsid w:val="1E7A07BE"/>
    <w:rsid w:val="1E961F21"/>
    <w:rsid w:val="200559F8"/>
    <w:rsid w:val="210BC408"/>
    <w:rsid w:val="2229C817"/>
    <w:rsid w:val="227EFF01"/>
    <w:rsid w:val="238F1858"/>
    <w:rsid w:val="2431DA38"/>
    <w:rsid w:val="243A64D9"/>
    <w:rsid w:val="24EE6525"/>
    <w:rsid w:val="25512C28"/>
    <w:rsid w:val="260D0FFC"/>
    <w:rsid w:val="26A7FB56"/>
    <w:rsid w:val="282C2452"/>
    <w:rsid w:val="285C8C93"/>
    <w:rsid w:val="2996120E"/>
    <w:rsid w:val="2A1D5A66"/>
    <w:rsid w:val="2B68528F"/>
    <w:rsid w:val="2CAFF9DA"/>
    <w:rsid w:val="2D1BA3F9"/>
    <w:rsid w:val="2D99B165"/>
    <w:rsid w:val="2DB54316"/>
    <w:rsid w:val="2DEA5774"/>
    <w:rsid w:val="2E9103ED"/>
    <w:rsid w:val="2F2F1DC6"/>
    <w:rsid w:val="2FE086BA"/>
    <w:rsid w:val="302C9B0E"/>
    <w:rsid w:val="30AEE93B"/>
    <w:rsid w:val="31BB4E3A"/>
    <w:rsid w:val="343A5618"/>
    <w:rsid w:val="357E4408"/>
    <w:rsid w:val="36A89B19"/>
    <w:rsid w:val="3869B8E9"/>
    <w:rsid w:val="38AB390E"/>
    <w:rsid w:val="38F30CAB"/>
    <w:rsid w:val="395E0DA3"/>
    <w:rsid w:val="39923828"/>
    <w:rsid w:val="3B220CE1"/>
    <w:rsid w:val="3B2B2BE5"/>
    <w:rsid w:val="3B2CF31A"/>
    <w:rsid w:val="3B6EA828"/>
    <w:rsid w:val="3B9E0B96"/>
    <w:rsid w:val="3C9CB418"/>
    <w:rsid w:val="3F59A873"/>
    <w:rsid w:val="4012B9A2"/>
    <w:rsid w:val="40C815EC"/>
    <w:rsid w:val="419B4410"/>
    <w:rsid w:val="42037767"/>
    <w:rsid w:val="4441E747"/>
    <w:rsid w:val="4601E95B"/>
    <w:rsid w:val="471A12CA"/>
    <w:rsid w:val="49093886"/>
    <w:rsid w:val="4A422E18"/>
    <w:rsid w:val="4D382610"/>
    <w:rsid w:val="4D68D2C0"/>
    <w:rsid w:val="4DB8C91A"/>
    <w:rsid w:val="4E798192"/>
    <w:rsid w:val="4FB8D392"/>
    <w:rsid w:val="5004120D"/>
    <w:rsid w:val="51BA9EA9"/>
    <w:rsid w:val="51D5991A"/>
    <w:rsid w:val="527F0BD8"/>
    <w:rsid w:val="52F8DF5F"/>
    <w:rsid w:val="535DE4B8"/>
    <w:rsid w:val="5447A5D0"/>
    <w:rsid w:val="544D9277"/>
    <w:rsid w:val="55DA9EDA"/>
    <w:rsid w:val="56A540C8"/>
    <w:rsid w:val="574028CE"/>
    <w:rsid w:val="5797BBE3"/>
    <w:rsid w:val="57E71CA0"/>
    <w:rsid w:val="582A02BB"/>
    <w:rsid w:val="58C9A05B"/>
    <w:rsid w:val="59116177"/>
    <w:rsid w:val="597041DA"/>
    <w:rsid w:val="59AF0F06"/>
    <w:rsid w:val="5B7C8BD2"/>
    <w:rsid w:val="5E641AE1"/>
    <w:rsid w:val="5F2DD16E"/>
    <w:rsid w:val="63022F7E"/>
    <w:rsid w:val="64463F7E"/>
    <w:rsid w:val="649F237C"/>
    <w:rsid w:val="64E2DBB5"/>
    <w:rsid w:val="64EA8D27"/>
    <w:rsid w:val="664B1AB6"/>
    <w:rsid w:val="665CE32A"/>
    <w:rsid w:val="68E56AE5"/>
    <w:rsid w:val="6CF55001"/>
    <w:rsid w:val="6D407F04"/>
    <w:rsid w:val="6D6F21CF"/>
    <w:rsid w:val="6DCC24C6"/>
    <w:rsid w:val="6DDB0E7F"/>
    <w:rsid w:val="6E1AECF5"/>
    <w:rsid w:val="6E672C60"/>
    <w:rsid w:val="6F373CB2"/>
    <w:rsid w:val="7090B9A6"/>
    <w:rsid w:val="70E3BDE0"/>
    <w:rsid w:val="718C6E64"/>
    <w:rsid w:val="7320A68C"/>
    <w:rsid w:val="73A30F9D"/>
    <w:rsid w:val="73DC50DF"/>
    <w:rsid w:val="753E7AED"/>
    <w:rsid w:val="7566D5BA"/>
    <w:rsid w:val="75A79476"/>
    <w:rsid w:val="78AFF66F"/>
    <w:rsid w:val="78E4177A"/>
    <w:rsid w:val="78F93A71"/>
    <w:rsid w:val="7AC47145"/>
    <w:rsid w:val="7BEE7759"/>
    <w:rsid w:val="7BF852E2"/>
    <w:rsid w:val="7D84839D"/>
    <w:rsid w:val="7DF36D14"/>
    <w:rsid w:val="7E1C994B"/>
    <w:rsid w:val="7EB4DB8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5AE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E6F78"/>
    <w:rPr>
      <w:sz w:val="24"/>
      <w:szCs w:val="24"/>
      <w:lang w:eastAsia="en-US"/>
    </w:rPr>
  </w:style>
  <w:style w:type="paragraph" w:styleId="Heading1">
    <w:name w:val="heading 1"/>
    <w:basedOn w:val="Normal"/>
    <w:next w:val="NICEnormal"/>
    <w:link w:val="Heading1Char"/>
    <w:qFormat/>
    <w:rsid w:val="007F24A0"/>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7F24A0"/>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qFormat/>
    <w:rsid w:val="007F24A0"/>
    <w:pPr>
      <w:keepNext/>
      <w:spacing w:before="240" w:after="60" w:line="360" w:lineRule="auto"/>
      <w:outlineLvl w:val="2"/>
    </w:pPr>
    <w:rPr>
      <w:rFonts w:ascii="Arial" w:hAnsi="Arial" w:cs="Arial"/>
      <w:b/>
      <w:bCs/>
      <w:sz w:val="26"/>
    </w:rPr>
  </w:style>
  <w:style w:type="paragraph" w:styleId="Heading4">
    <w:name w:val="heading 4"/>
    <w:basedOn w:val="Normal"/>
    <w:next w:val="NICEnormal"/>
    <w:qFormat/>
    <w:rsid w:val="007F24A0"/>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paragraph" w:customStyle="1" w:styleId="Unnumberedboldheading">
    <w:name w:val="Unnumbered bold heading"/>
    <w:next w:val="NICEnormal"/>
    <w:rsid w:val="007A174B"/>
    <w:pPr>
      <w:keepNext/>
      <w:widowControl w:val="0"/>
      <w:spacing w:after="120"/>
    </w:pPr>
    <w:rPr>
      <w:rFonts w:ascii="Arial" w:hAnsi="Arial"/>
      <w:b/>
      <w:sz w:val="24"/>
      <w:szCs w:val="24"/>
      <w:lang w:eastAsia="en-US"/>
    </w:rPr>
  </w:style>
  <w:style w:type="paragraph" w:customStyle="1" w:styleId="Unnumbereditalicheading">
    <w:name w:val="Unnumbered italic heading"/>
    <w:next w:val="NICEnormal"/>
    <w:rsid w:val="007A174B"/>
    <w:pPr>
      <w:keepNext/>
      <w:widowControl w:val="0"/>
      <w:spacing w:after="120"/>
    </w:pPr>
    <w:rPr>
      <w:rFonts w:ascii="Arial" w:hAnsi="Arial"/>
      <w:i/>
      <w:sz w:val="24"/>
      <w:szCs w:val="24"/>
      <w:lang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3C514C"/>
    <w:pPr>
      <w:keepNext/>
      <w:spacing w:before="240" w:after="240"/>
      <w:jc w:val="center"/>
      <w:outlineLvl w:val="0"/>
    </w:pPr>
    <w:rPr>
      <w:rFonts w:ascii="Arial" w:hAnsi="Arial" w:cs="Arial"/>
      <w:b/>
      <w:bCs/>
      <w:kern w:val="28"/>
      <w:sz w:val="40"/>
      <w:szCs w:val="32"/>
    </w:rPr>
  </w:style>
  <w:style w:type="paragraph" w:customStyle="1" w:styleId="Title16pt">
    <w:name w:val="Title 16 pt"/>
    <w:basedOn w:val="Title"/>
    <w:rsid w:val="003C514C"/>
    <w:rPr>
      <w:sz w:val="32"/>
    </w:rPr>
  </w:style>
  <w:style w:type="paragraph" w:customStyle="1" w:styleId="Introtext">
    <w:name w:val="Intro text"/>
    <w:basedOn w:val="NICEnormalsinglespacing"/>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qFormat/>
    <w:rsid w:val="00F26E68"/>
    <w:pPr>
      <w:numPr>
        <w:numId w:val="28"/>
      </w:numPr>
    </w:pPr>
    <w:rPr>
      <w:szCs w:val="24"/>
    </w:rPr>
  </w:style>
  <w:style w:type="paragraph" w:customStyle="1" w:styleId="Numberedheading2">
    <w:name w:val="Numbered heading 2"/>
    <w:basedOn w:val="Heading2"/>
    <w:next w:val="NICEnormal"/>
    <w:link w:val="Numberedheading2Char"/>
    <w:rsid w:val="007D014F"/>
    <w:pPr>
      <w:numPr>
        <w:ilvl w:val="1"/>
        <w:numId w:val="28"/>
      </w:numPr>
    </w:pPr>
  </w:style>
  <w:style w:type="paragraph" w:customStyle="1" w:styleId="Numberedheading3">
    <w:name w:val="Numbered heading 3"/>
    <w:basedOn w:val="Heading3"/>
    <w:next w:val="NICEnormal"/>
    <w:qFormat/>
    <w:rsid w:val="00F26E68"/>
  </w:style>
  <w:style w:type="paragraph" w:customStyle="1" w:styleId="Numberedlevel4text">
    <w:name w:val="Numbered level 4 text"/>
    <w:basedOn w:val="NICEnormal"/>
    <w:next w:val="NICEnormal"/>
    <w:rsid w:val="00F26E68"/>
    <w:pPr>
      <w:numPr>
        <w:ilvl w:val="3"/>
        <w:numId w:val="28"/>
      </w:numPr>
    </w:pPr>
  </w:style>
  <w:style w:type="paragraph" w:customStyle="1" w:styleId="Numberedlevel3text">
    <w:name w:val="Numbered level 3 text"/>
    <w:basedOn w:val="Numberedheading3"/>
    <w:rsid w:val="00DE643F"/>
    <w:pPr>
      <w:numPr>
        <w:ilvl w:val="2"/>
        <w:numId w:val="28"/>
      </w:numPr>
      <w:spacing w:before="0" w:after="240"/>
    </w:pPr>
    <w:rPr>
      <w:b w:val="0"/>
      <w:sz w:val="24"/>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Title16ptleft">
    <w:name w:val="Title 16 pt left"/>
    <w:basedOn w:val="Title16pt"/>
    <w:rsid w:val="003C514C"/>
    <w:pPr>
      <w:jc w:val="left"/>
    </w:pPr>
  </w:style>
  <w:style w:type="paragraph" w:customStyle="1" w:styleId="Bulletleft1">
    <w:name w:val="Bullet left 1"/>
    <w:basedOn w:val="NICEnormal"/>
    <w:qFormat/>
    <w:rsid w:val="00D37F25"/>
    <w:pPr>
      <w:numPr>
        <w:numId w:val="6"/>
      </w:numPr>
      <w:tabs>
        <w:tab w:val="clear" w:pos="2127"/>
        <w:tab w:val="num" w:pos="284"/>
      </w:tabs>
      <w:spacing w:after="0"/>
      <w:ind w:left="284"/>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rsid w:val="00F26E68"/>
    <w:pPr>
      <w:numPr>
        <w:numId w:val="19"/>
      </w:numPr>
      <w:spacing w:after="0"/>
    </w:pPr>
  </w:style>
  <w:style w:type="character" w:customStyle="1" w:styleId="Heading1Char">
    <w:name w:val="Heading 1 Char"/>
    <w:link w:val="Heading1"/>
    <w:rsid w:val="007F24A0"/>
    <w:rPr>
      <w:rFonts w:ascii="Arial" w:hAnsi="Arial" w:cs="Arial"/>
      <w:b/>
      <w:bCs/>
      <w:kern w:val="32"/>
      <w:sz w:val="32"/>
      <w:szCs w:val="32"/>
      <w:lang w:eastAsia="en-US"/>
    </w:rPr>
  </w:style>
  <w:style w:type="character" w:customStyle="1" w:styleId="Numberedheading1CharChar">
    <w:name w:val="Numbered heading 1 Char Char"/>
    <w:link w:val="Numberedheading1"/>
    <w:rsid w:val="00C51429"/>
    <w:rPr>
      <w:rFonts w:ascii="Arial" w:hAnsi="Arial" w:cs="Arial"/>
      <w:b/>
      <w:bCs/>
      <w:kern w:val="32"/>
      <w:sz w:val="32"/>
      <w:szCs w:val="24"/>
      <w:lang w:val="en-US" w:eastAsia="en-US" w:bidi="ar-SA"/>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umberedheading2"/>
    <w:rsid w:val="00C51429"/>
    <w:pPr>
      <w:spacing w:before="0" w:after="240"/>
    </w:pPr>
    <w:rPr>
      <w:b w:val="0"/>
      <w:i/>
      <w:sz w:val="24"/>
    </w:rPr>
  </w:style>
  <w:style w:type="paragraph" w:customStyle="1" w:styleId="Bulletleft1last">
    <w:name w:val="Bullet left 1 last"/>
    <w:basedOn w:val="NICEnormal"/>
    <w:rsid w:val="00953ADF"/>
    <w:pPr>
      <w:numPr>
        <w:numId w:val="7"/>
      </w:numPr>
      <w:tabs>
        <w:tab w:val="clear" w:pos="568"/>
        <w:tab w:val="num" w:pos="284"/>
      </w:tabs>
      <w:ind w:left="284"/>
    </w:pPr>
    <w:rPr>
      <w:rFonts w:cs="Arial"/>
    </w:rPr>
  </w:style>
  <w:style w:type="paragraph" w:customStyle="1" w:styleId="boxedtext">
    <w:name w:val="boxed text"/>
    <w:basedOn w:val="NICEnormal"/>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rsid w:val="0053387C"/>
    <w:pPr>
      <w:tabs>
        <w:tab w:val="center" w:pos="4153"/>
        <w:tab w:val="right" w:pos="8306"/>
      </w:tabs>
    </w:pPr>
  </w:style>
  <w:style w:type="paragraph" w:styleId="Footer">
    <w:name w:val="footer"/>
    <w:basedOn w:val="NICEnormalsinglespacing"/>
    <w:link w:val="FooterChar"/>
    <w:uiPriority w:val="99"/>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uiPriority w:val="99"/>
    <w:rsid w:val="00F26E68"/>
    <w:pPr>
      <w:numPr>
        <w:numId w:val="20"/>
      </w:numPr>
    </w:pPr>
  </w:style>
  <w:style w:type="paragraph" w:customStyle="1" w:styleId="NICEnormalindented">
    <w:name w:val="NICE normal indented"/>
    <w:basedOn w:val="NICEnormal"/>
    <w:rsid w:val="00BD0372"/>
    <w:pPr>
      <w:tabs>
        <w:tab w:val="left" w:pos="1134"/>
      </w:tabs>
      <w:ind w:left="1134"/>
    </w:pPr>
  </w:style>
  <w:style w:type="paragraph" w:customStyle="1" w:styleId="Tabletitle">
    <w:name w:val="Table title"/>
    <w:basedOn w:val="NICEnormal"/>
    <w:next w:val="NICEnormal"/>
    <w:rsid w:val="00BD0372"/>
    <w:pPr>
      <w:keepNext/>
      <w:spacing w:after="60" w:line="240" w:lineRule="auto"/>
    </w:pPr>
    <w:rPr>
      <w:b/>
    </w:rPr>
  </w:style>
  <w:style w:type="paragraph" w:customStyle="1" w:styleId="Tabletext">
    <w:name w:val="Table text"/>
    <w:basedOn w:val="NICEnormalsinglespacing"/>
    <w:rsid w:val="00BD0372"/>
    <w:pPr>
      <w:keepNext/>
      <w:spacing w:after="60"/>
    </w:pPr>
    <w:rPr>
      <w:sz w:val="22"/>
    </w:rPr>
  </w:style>
  <w:style w:type="paragraph" w:customStyle="1" w:styleId="TabletextIPoverviewevidence">
    <w:name w:val="Table text IP overview evidence"/>
    <w:basedOn w:val="Tabletext"/>
    <w:rsid w:val="00BD0372"/>
    <w:rPr>
      <w:sz w:val="18"/>
    </w:rPr>
  </w:style>
  <w:style w:type="paragraph" w:customStyle="1" w:styleId="Tabletext9pt">
    <w:name w:val="Table text 9 pt"/>
    <w:basedOn w:val="Tabletext"/>
    <w:rsid w:val="00F26E68"/>
    <w:rPr>
      <w:sz w:val="18"/>
    </w:rPr>
  </w:style>
  <w:style w:type="paragraph" w:customStyle="1" w:styleId="Section2paragraphs">
    <w:name w:val="Section 2 paragraphs"/>
    <w:basedOn w:val="NICEnormal"/>
    <w:rsid w:val="00603E56"/>
    <w:pPr>
      <w:numPr>
        <w:numId w:val="21"/>
      </w:numPr>
    </w:pPr>
  </w:style>
  <w:style w:type="paragraph" w:customStyle="1" w:styleId="Section3paragraphs">
    <w:name w:val="Section 3 paragraphs"/>
    <w:basedOn w:val="NICEnormal"/>
    <w:rsid w:val="00D37703"/>
    <w:pPr>
      <w:numPr>
        <w:numId w:val="8"/>
      </w:numPr>
    </w:pPr>
  </w:style>
  <w:style w:type="paragraph" w:customStyle="1" w:styleId="Section411paragraphs">
    <w:name w:val="Section 4.1.1 paragraphs"/>
    <w:basedOn w:val="NICEnormal"/>
    <w:rsid w:val="00D37703"/>
    <w:pPr>
      <w:numPr>
        <w:numId w:val="9"/>
      </w:numPr>
    </w:pPr>
  </w:style>
  <w:style w:type="character" w:customStyle="1" w:styleId="Heading2Char">
    <w:name w:val="Heading 2 Char"/>
    <w:link w:val="Heading2"/>
    <w:rsid w:val="007F24A0"/>
    <w:rPr>
      <w:rFonts w:ascii="Arial" w:hAnsi="Arial" w:cs="Arial"/>
      <w:b/>
      <w:bCs/>
      <w:sz w:val="28"/>
      <w:szCs w:val="28"/>
      <w:lang w:eastAsia="en-US"/>
    </w:rPr>
  </w:style>
  <w:style w:type="character" w:customStyle="1" w:styleId="Numberedheading2Char">
    <w:name w:val="Numbered heading 2 Char"/>
    <w:basedOn w:val="Heading2Char"/>
    <w:link w:val="Numberedheading2"/>
    <w:rsid w:val="007D014F"/>
    <w:rPr>
      <w:rFonts w:ascii="Arial" w:hAnsi="Arial" w:cs="Arial"/>
      <w:b/>
      <w:bCs/>
      <w:sz w:val="28"/>
      <w:szCs w:val="28"/>
      <w:lang w:eastAsia="en-US"/>
    </w:rPr>
  </w:style>
  <w:style w:type="paragraph" w:customStyle="1" w:styleId="Section412paragraphs">
    <w:name w:val="Section 4.1.2 paragraphs"/>
    <w:basedOn w:val="NICEnormal"/>
    <w:rsid w:val="00D37703"/>
    <w:pPr>
      <w:numPr>
        <w:numId w:val="10"/>
      </w:numPr>
    </w:pPr>
  </w:style>
  <w:style w:type="paragraph" w:customStyle="1" w:styleId="Section42paragraphs">
    <w:name w:val="Section 4.2 paragraphs"/>
    <w:basedOn w:val="NICEnormal"/>
    <w:rsid w:val="00D37703"/>
    <w:pPr>
      <w:numPr>
        <w:numId w:val="11"/>
      </w:numPr>
    </w:pPr>
  </w:style>
  <w:style w:type="paragraph" w:customStyle="1" w:styleId="Section43paragraphs">
    <w:name w:val="Section 4.3 paragraphs"/>
    <w:basedOn w:val="NICEnormal"/>
    <w:rsid w:val="00AB39FA"/>
    <w:pPr>
      <w:numPr>
        <w:numId w:val="12"/>
      </w:numPr>
    </w:pPr>
  </w:style>
  <w:style w:type="paragraph" w:customStyle="1" w:styleId="Appendixlevel1">
    <w:name w:val="Appendix level 1"/>
    <w:basedOn w:val="NICEnormal"/>
    <w:autoRedefine/>
    <w:rsid w:val="004B514C"/>
    <w:pPr>
      <w:numPr>
        <w:numId w:val="13"/>
      </w:numPr>
      <w:spacing w:before="240"/>
    </w:pPr>
  </w:style>
  <w:style w:type="paragraph" w:customStyle="1" w:styleId="Appendixlevel2">
    <w:name w:val="Appendix level 2"/>
    <w:basedOn w:val="NICEnormal"/>
    <w:rsid w:val="004B514C"/>
    <w:pPr>
      <w:numPr>
        <w:numId w:val="14"/>
      </w:numPr>
      <w:spacing w:before="240"/>
    </w:pPr>
  </w:style>
  <w:style w:type="paragraph" w:customStyle="1" w:styleId="Appendixbullet">
    <w:name w:val="Appendix bullet"/>
    <w:basedOn w:val="NICEnormal"/>
    <w:rsid w:val="004B514C"/>
    <w:pPr>
      <w:numPr>
        <w:numId w:val="15"/>
      </w:numPr>
      <w:spacing w:after="0" w:line="240" w:lineRule="auto"/>
    </w:pPr>
  </w:style>
  <w:style w:type="paragraph" w:customStyle="1" w:styleId="Appendixreferences">
    <w:name w:val="Appendix references"/>
    <w:basedOn w:val="NICEnormal"/>
    <w:rsid w:val="004B514C"/>
    <w:pPr>
      <w:tabs>
        <w:tab w:val="left" w:pos="567"/>
      </w:tabs>
      <w:spacing w:after="120" w:line="240" w:lineRule="auto"/>
      <w:ind w:left="567"/>
    </w:pPr>
  </w:style>
  <w:style w:type="paragraph" w:customStyle="1" w:styleId="References">
    <w:name w:val="References"/>
    <w:basedOn w:val="NICEnormalsinglespacing"/>
    <w:rsid w:val="00A06657"/>
    <w:pPr>
      <w:numPr>
        <w:numId w:val="16"/>
      </w:numPr>
      <w:spacing w:after="120"/>
    </w:pPr>
  </w:style>
  <w:style w:type="paragraph" w:customStyle="1" w:styleId="Tabletitle9pt">
    <w:name w:val="Table title 9 pt"/>
    <w:basedOn w:val="Tabletitle"/>
    <w:next w:val="Tabletext9pt"/>
    <w:qFormat/>
    <w:rsid w:val="00F26E68"/>
    <w:rPr>
      <w:sz w:val="18"/>
    </w:rPr>
  </w:style>
  <w:style w:type="paragraph" w:customStyle="1" w:styleId="Evidencestatement">
    <w:name w:val="Evidence statement"/>
    <w:basedOn w:val="Numberedlevel4text"/>
    <w:next w:val="NICEnormal"/>
    <w:qFormat/>
    <w:rsid w:val="00F26E68"/>
    <w:pPr>
      <w:numPr>
        <w:ilvl w:val="0"/>
        <w:numId w:val="0"/>
      </w:numPr>
    </w:pPr>
    <w:rPr>
      <w:i/>
    </w:rPr>
  </w:style>
  <w:style w:type="paragraph" w:styleId="TOC1">
    <w:name w:val="toc 1"/>
    <w:basedOn w:val="Normal"/>
    <w:next w:val="Normal"/>
    <w:rsid w:val="00F26E68"/>
    <w:rPr>
      <w:rFonts w:ascii="Arial" w:hAnsi="Arial"/>
    </w:rPr>
  </w:style>
  <w:style w:type="paragraph" w:styleId="TOC2">
    <w:name w:val="toc 2"/>
    <w:basedOn w:val="Normal"/>
    <w:next w:val="Normal"/>
    <w:rsid w:val="00F26E68"/>
    <w:pPr>
      <w:ind w:left="240"/>
    </w:pPr>
    <w:rPr>
      <w:rFonts w:ascii="Arial" w:hAnsi="Arial"/>
    </w:rPr>
  </w:style>
  <w:style w:type="paragraph" w:customStyle="1" w:styleId="AppendixBheading">
    <w:name w:val="Appendix B heading"/>
    <w:basedOn w:val="Heading1"/>
    <w:next w:val="NICEnormal"/>
    <w:qFormat/>
    <w:rsid w:val="00F26E68"/>
    <w:pPr>
      <w:numPr>
        <w:numId w:val="18"/>
      </w:numPr>
    </w:pPr>
  </w:style>
  <w:style w:type="paragraph" w:customStyle="1" w:styleId="Evidencebullet">
    <w:name w:val="Evidence bullet"/>
    <w:basedOn w:val="Bulletindent1"/>
    <w:qFormat/>
    <w:rsid w:val="00F26E68"/>
    <w:pPr>
      <w:numPr>
        <w:numId w:val="0"/>
      </w:numPr>
    </w:pPr>
    <w:rPr>
      <w:i/>
    </w:rPr>
  </w:style>
  <w:style w:type="paragraph" w:customStyle="1" w:styleId="Evidencebulletlast">
    <w:name w:val="Evidence bullet last"/>
    <w:basedOn w:val="Bulletindent1last"/>
    <w:qFormat/>
    <w:rsid w:val="00F26E68"/>
    <w:pPr>
      <w:numPr>
        <w:numId w:val="0"/>
      </w:numPr>
    </w:pPr>
    <w:rPr>
      <w:i/>
    </w:rPr>
  </w:style>
  <w:style w:type="paragraph" w:customStyle="1" w:styleId="Section21paragraphs">
    <w:name w:val="Section 2.1 paragraphs"/>
    <w:basedOn w:val="NICEnormal"/>
    <w:qFormat/>
    <w:rsid w:val="00603E56"/>
    <w:pPr>
      <w:numPr>
        <w:numId w:val="22"/>
      </w:numPr>
      <w:tabs>
        <w:tab w:val="left" w:pos="1134"/>
      </w:tabs>
    </w:pPr>
  </w:style>
  <w:style w:type="paragraph" w:customStyle="1" w:styleId="Section22paragraphs">
    <w:name w:val="Section 2.2 paragraphs"/>
    <w:basedOn w:val="Section21paragraphs"/>
    <w:qFormat/>
    <w:rsid w:val="00603E56"/>
    <w:pPr>
      <w:numPr>
        <w:numId w:val="0"/>
      </w:numPr>
    </w:pPr>
  </w:style>
  <w:style w:type="paragraph" w:customStyle="1" w:styleId="Paragraph">
    <w:name w:val="Paragraph"/>
    <w:basedOn w:val="Normal"/>
    <w:uiPriority w:val="4"/>
    <w:qFormat/>
    <w:rsid w:val="00DE6F78"/>
    <w:pPr>
      <w:spacing w:before="240" w:after="240" w:line="276" w:lineRule="auto"/>
    </w:pPr>
    <w:rPr>
      <w:rFonts w:ascii="Arial" w:hAnsi="Arial"/>
    </w:rPr>
  </w:style>
  <w:style w:type="character" w:customStyle="1" w:styleId="Heading3Char">
    <w:name w:val="Heading 3 Char"/>
    <w:link w:val="Heading3"/>
    <w:rsid w:val="00DE6F78"/>
    <w:rPr>
      <w:rFonts w:ascii="Arial" w:hAnsi="Arial" w:cs="Arial"/>
      <w:b/>
      <w:bCs/>
      <w:sz w:val="26"/>
      <w:szCs w:val="24"/>
      <w:lang w:eastAsia="en-US"/>
    </w:rPr>
  </w:style>
  <w:style w:type="character" w:customStyle="1" w:styleId="TitleChar">
    <w:name w:val="Title Char"/>
    <w:link w:val="Title"/>
    <w:rsid w:val="00DE6F78"/>
    <w:rPr>
      <w:rFonts w:ascii="Arial" w:hAnsi="Arial" w:cs="Arial"/>
      <w:b/>
      <w:bCs/>
      <w:kern w:val="28"/>
      <w:sz w:val="40"/>
      <w:szCs w:val="32"/>
      <w:lang w:eastAsia="en-US"/>
    </w:rPr>
  </w:style>
  <w:style w:type="character" w:customStyle="1" w:styleId="HeaderChar">
    <w:name w:val="Header Char"/>
    <w:link w:val="Header"/>
    <w:rsid w:val="00DE6F78"/>
    <w:rPr>
      <w:rFonts w:ascii="Arial" w:hAnsi="Arial"/>
      <w:sz w:val="24"/>
      <w:szCs w:val="24"/>
      <w:lang w:eastAsia="en-US"/>
    </w:rPr>
  </w:style>
  <w:style w:type="character" w:customStyle="1" w:styleId="FooterChar">
    <w:name w:val="Footer Char"/>
    <w:link w:val="Footer"/>
    <w:uiPriority w:val="99"/>
    <w:rsid w:val="00DE6F78"/>
    <w:rPr>
      <w:rFonts w:ascii="Arial" w:hAnsi="Arial"/>
      <w:sz w:val="24"/>
      <w:szCs w:val="24"/>
      <w:lang w:eastAsia="en-US"/>
    </w:rPr>
  </w:style>
  <w:style w:type="paragraph" w:customStyle="1" w:styleId="Bullet">
    <w:name w:val="Bullet"/>
    <w:basedOn w:val="NICEnormal"/>
    <w:link w:val="BulletChar"/>
    <w:uiPriority w:val="99"/>
    <w:qFormat/>
    <w:rsid w:val="00DE6F78"/>
    <w:pPr>
      <w:numPr>
        <w:numId w:val="23"/>
      </w:numPr>
      <w:tabs>
        <w:tab w:val="num" w:pos="284"/>
      </w:tabs>
      <w:ind w:left="284" w:hanging="284"/>
    </w:pPr>
    <w:rPr>
      <w:rFonts w:cs="Arial"/>
    </w:rPr>
  </w:style>
  <w:style w:type="character" w:customStyle="1" w:styleId="BulletChar">
    <w:name w:val="Bullet Char"/>
    <w:link w:val="Bullet"/>
    <w:uiPriority w:val="99"/>
    <w:rsid w:val="00DE6F78"/>
    <w:rPr>
      <w:rFonts w:ascii="Arial" w:hAnsi="Arial" w:cs="Arial"/>
      <w:sz w:val="24"/>
      <w:szCs w:val="24"/>
      <w:lang w:eastAsia="en-US"/>
    </w:rPr>
  </w:style>
  <w:style w:type="character" w:customStyle="1" w:styleId="NICEnormalChar">
    <w:name w:val="NICE normal Char"/>
    <w:link w:val="NICEnormal"/>
    <w:locked/>
    <w:rsid w:val="00DE6F78"/>
    <w:rPr>
      <w:rFonts w:ascii="Arial" w:hAnsi="Arial"/>
      <w:sz w:val="24"/>
      <w:szCs w:val="24"/>
      <w:lang w:eastAsia="en-US"/>
    </w:rPr>
  </w:style>
  <w:style w:type="paragraph" w:customStyle="1" w:styleId="TableText1">
    <w:name w:val="Table Text 1"/>
    <w:basedOn w:val="NICEnormal"/>
    <w:qFormat/>
    <w:rsid w:val="00DE6F78"/>
    <w:pPr>
      <w:spacing w:after="0" w:line="240" w:lineRule="auto"/>
    </w:pPr>
    <w:rPr>
      <w:sz w:val="20"/>
      <w:lang w:val="en-US"/>
    </w:rPr>
  </w:style>
  <w:style w:type="character" w:styleId="CommentReference">
    <w:name w:val="annotation reference"/>
    <w:rsid w:val="00674028"/>
    <w:rPr>
      <w:sz w:val="16"/>
      <w:szCs w:val="16"/>
    </w:rPr>
  </w:style>
  <w:style w:type="paragraph" w:styleId="CommentText">
    <w:name w:val="annotation text"/>
    <w:basedOn w:val="Normal"/>
    <w:link w:val="CommentTextChar"/>
    <w:rsid w:val="00674028"/>
    <w:rPr>
      <w:sz w:val="20"/>
      <w:szCs w:val="20"/>
    </w:rPr>
  </w:style>
  <w:style w:type="character" w:customStyle="1" w:styleId="CommentTextChar">
    <w:name w:val="Comment Text Char"/>
    <w:link w:val="CommentText"/>
    <w:rsid w:val="00674028"/>
    <w:rPr>
      <w:lang w:eastAsia="en-US"/>
    </w:rPr>
  </w:style>
  <w:style w:type="paragraph" w:styleId="CommentSubject">
    <w:name w:val="annotation subject"/>
    <w:basedOn w:val="CommentText"/>
    <w:next w:val="CommentText"/>
    <w:link w:val="CommentSubjectChar"/>
    <w:rsid w:val="00674028"/>
    <w:rPr>
      <w:b/>
      <w:bCs/>
    </w:rPr>
  </w:style>
  <w:style w:type="character" w:customStyle="1" w:styleId="CommentSubjectChar">
    <w:name w:val="Comment Subject Char"/>
    <w:link w:val="CommentSubject"/>
    <w:rsid w:val="00674028"/>
    <w:rPr>
      <w:b/>
      <w:bCs/>
      <w:lang w:eastAsia="en-US"/>
    </w:rPr>
  </w:style>
  <w:style w:type="paragraph" w:styleId="BalloonText">
    <w:name w:val="Balloon Text"/>
    <w:basedOn w:val="Normal"/>
    <w:link w:val="BalloonTextChar"/>
    <w:rsid w:val="00674028"/>
    <w:rPr>
      <w:rFonts w:ascii="Tahoma" w:hAnsi="Tahoma" w:cs="Tahoma"/>
      <w:sz w:val="16"/>
      <w:szCs w:val="16"/>
    </w:rPr>
  </w:style>
  <w:style w:type="character" w:customStyle="1" w:styleId="BalloonTextChar">
    <w:name w:val="Balloon Text Char"/>
    <w:link w:val="BalloonText"/>
    <w:rsid w:val="00674028"/>
    <w:rPr>
      <w:rFonts w:ascii="Tahoma" w:hAnsi="Tahoma" w:cs="Tahoma"/>
      <w:sz w:val="16"/>
      <w:szCs w:val="16"/>
      <w:lang w:eastAsia="en-US"/>
    </w:rPr>
  </w:style>
  <w:style w:type="paragraph" w:styleId="FootnoteText">
    <w:name w:val="footnote text"/>
    <w:basedOn w:val="Normal"/>
    <w:link w:val="FootnoteTextChar"/>
    <w:rsid w:val="0089346D"/>
    <w:rPr>
      <w:sz w:val="20"/>
      <w:szCs w:val="20"/>
    </w:rPr>
  </w:style>
  <w:style w:type="character" w:customStyle="1" w:styleId="FootnoteTextChar">
    <w:name w:val="Footnote Text Char"/>
    <w:basedOn w:val="DefaultParagraphFont"/>
    <w:link w:val="FootnoteText"/>
    <w:rsid w:val="0089346D"/>
    <w:rPr>
      <w:lang w:eastAsia="en-US"/>
    </w:rPr>
  </w:style>
  <w:style w:type="character" w:styleId="FootnoteReference">
    <w:name w:val="footnote reference"/>
    <w:basedOn w:val="DefaultParagraphFont"/>
    <w:rsid w:val="0089346D"/>
    <w:rPr>
      <w:vertAlign w:val="superscript"/>
    </w:rPr>
  </w:style>
  <w:style w:type="character" w:styleId="Hyperlink">
    <w:name w:val="Hyperlink"/>
    <w:rsid w:val="000229A9"/>
    <w:rPr>
      <w:color w:val="0000FF"/>
      <w:u w:val="single"/>
    </w:rPr>
  </w:style>
  <w:style w:type="character" w:styleId="FollowedHyperlink">
    <w:name w:val="FollowedHyperlink"/>
    <w:basedOn w:val="DefaultParagraphFont"/>
    <w:semiHidden/>
    <w:unhideWhenUsed/>
    <w:rsid w:val="00B63ECB"/>
    <w:rPr>
      <w:color w:val="800080" w:themeColor="followedHyperlink"/>
      <w:u w:val="single"/>
    </w:rPr>
  </w:style>
  <w:style w:type="table" w:styleId="TableGrid">
    <w:name w:val="Table Grid"/>
    <w:basedOn w:val="TableNormal"/>
    <w:rsid w:val="001774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nonumbers">
    <w:name w:val="Paragraph no numbers"/>
    <w:basedOn w:val="Normal"/>
    <w:uiPriority w:val="99"/>
    <w:qFormat/>
    <w:rsid w:val="001774F4"/>
    <w:pPr>
      <w:spacing w:after="240" w:line="276" w:lineRule="auto"/>
    </w:pPr>
    <w:rPr>
      <w:rFonts w:ascii="Arial" w:hAnsi="Arial"/>
      <w:lang w:eastAsia="en-GB"/>
    </w:rPr>
  </w:style>
  <w:style w:type="paragraph" w:styleId="Caption">
    <w:name w:val="caption"/>
    <w:basedOn w:val="NICEnormal"/>
    <w:next w:val="NICEnormal"/>
    <w:unhideWhenUsed/>
    <w:qFormat/>
    <w:rsid w:val="007D014F"/>
    <w:pPr>
      <w:keepNext/>
      <w:spacing w:after="200"/>
    </w:pPr>
    <w:rPr>
      <w:b/>
      <w:iCs/>
      <w:szCs w:val="18"/>
    </w:rPr>
  </w:style>
  <w:style w:type="character" w:customStyle="1" w:styleId="Addbold">
    <w:name w:val="Add bold"/>
    <w:basedOn w:val="DefaultParagraphFont"/>
    <w:uiPriority w:val="1"/>
    <w:rsid w:val="003C514C"/>
    <w:rPr>
      <w:b/>
      <w:bCs/>
    </w:rPr>
  </w:style>
  <w:style w:type="paragraph" w:customStyle="1" w:styleId="Title1">
    <w:name w:val="Title 1"/>
    <w:basedOn w:val="Title"/>
    <w:qFormat/>
    <w:rsid w:val="003C514C"/>
  </w:style>
  <w:style w:type="paragraph" w:customStyle="1" w:styleId="Title2">
    <w:name w:val="Title 2"/>
    <w:basedOn w:val="Title"/>
    <w:qFormat/>
    <w:rsid w:val="003C514C"/>
    <w:rPr>
      <w:bCs w:val="0"/>
      <w:sz w:val="32"/>
    </w:rPr>
  </w:style>
  <w:style w:type="paragraph" w:customStyle="1" w:styleId="Panelbullet1">
    <w:name w:val="Panel bullet 1"/>
    <w:basedOn w:val="Normal"/>
    <w:qFormat/>
    <w:rsid w:val="00DB11C5"/>
    <w:pPr>
      <w:numPr>
        <w:numId w:val="31"/>
      </w:numPr>
      <w:tabs>
        <w:tab w:val="num" w:pos="360"/>
        <w:tab w:val="num" w:pos="1134"/>
      </w:tabs>
      <w:contextualSpacing/>
    </w:pPr>
    <w:rPr>
      <w:rFonts w:ascii="Arial" w:hAnsi="Arial"/>
    </w:rPr>
  </w:style>
  <w:style w:type="paragraph" w:styleId="Revision">
    <w:name w:val="Revision"/>
    <w:hidden/>
    <w:uiPriority w:val="99"/>
    <w:semiHidden/>
    <w:rsid w:val="0052391A"/>
    <w:rPr>
      <w:sz w:val="24"/>
      <w:szCs w:val="24"/>
      <w:lang w:eastAsia="en-US"/>
    </w:rPr>
  </w:style>
  <w:style w:type="character" w:styleId="UnresolvedMention">
    <w:name w:val="Unresolved Mention"/>
    <w:basedOn w:val="DefaultParagraphFont"/>
    <w:uiPriority w:val="99"/>
    <w:semiHidden/>
    <w:unhideWhenUsed/>
    <w:rsid w:val="00BC4E1B"/>
    <w:rPr>
      <w:color w:val="605E5C"/>
      <w:shd w:val="clear" w:color="auto" w:fill="E1DFDD"/>
    </w:rPr>
  </w:style>
  <w:style w:type="character" w:customStyle="1" w:styleId="normaltextrun">
    <w:name w:val="normaltextrun"/>
    <w:basedOn w:val="DefaultParagraphFont"/>
    <w:rsid w:val="004726D7"/>
  </w:style>
  <w:style w:type="character" w:customStyle="1" w:styleId="eop">
    <w:name w:val="eop"/>
    <w:basedOn w:val="DefaultParagraphFont"/>
    <w:rsid w:val="004726D7"/>
  </w:style>
  <w:style w:type="paragraph" w:customStyle="1" w:styleId="paragraph0">
    <w:name w:val="paragraph"/>
    <w:basedOn w:val="Normal"/>
    <w:rsid w:val="004726D7"/>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656153">
      <w:bodyDiv w:val="1"/>
      <w:marLeft w:val="0"/>
      <w:marRight w:val="0"/>
      <w:marTop w:val="0"/>
      <w:marBottom w:val="0"/>
      <w:divBdr>
        <w:top w:val="none" w:sz="0" w:space="0" w:color="auto"/>
        <w:left w:val="none" w:sz="0" w:space="0" w:color="auto"/>
        <w:bottom w:val="none" w:sz="0" w:space="0" w:color="auto"/>
        <w:right w:val="none" w:sz="0" w:space="0" w:color="auto"/>
      </w:divBdr>
    </w:div>
    <w:div w:id="1388993532">
      <w:bodyDiv w:val="1"/>
      <w:marLeft w:val="0"/>
      <w:marRight w:val="0"/>
      <w:marTop w:val="0"/>
      <w:marBottom w:val="0"/>
      <w:divBdr>
        <w:top w:val="none" w:sz="0" w:space="0" w:color="auto"/>
        <w:left w:val="none" w:sz="0" w:space="0" w:color="auto"/>
        <w:bottom w:val="none" w:sz="0" w:space="0" w:color="auto"/>
        <w:right w:val="none" w:sz="0" w:space="0" w:color="auto"/>
      </w:divBdr>
    </w:div>
    <w:div w:id="204571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qs69"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niceplan2/guidelines/Stakeholders.aspx?GID=2567&amp;PreStageID=9565" TargetMode="External"/><Relationship Id="rId10" Type="http://schemas.openxmlformats.org/officeDocument/2006/relationships/hyperlink" Target="https://www.nice.org.uk/terms-and-conditions" TargetMode="External"/><Relationship Id="rId4" Type="http://schemas.openxmlformats.org/officeDocument/2006/relationships/settings" Target="settings.xml"/><Relationship Id="rId9" Type="http://schemas.openxmlformats.org/officeDocument/2006/relationships/hyperlink" Target="https://www.nice.org.uk/guidance/ng126"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9D2A5-E647-42AA-B586-8A80C75FF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3180</Words>
  <Characters>17872</Characters>
  <Application>Microsoft Office Word</Application>
  <DocSecurity>0</DocSecurity>
  <Lines>406</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2026-06-16T07:07:00Z</dcterms:created>
  <dcterms:modified xsi:type="dcterms:W3CDTF">2026-06-16T07:09:00Z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2026-06-16T07:07:37Z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87833514-73f0-47d9-96bf-ac1f5017235f</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