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987EA" w14:textId="77777777" w:rsidR="00DF0C80" w:rsidRDefault="00DF0C80">
      <w:pPr>
        <w:pStyle w:val="BodyText"/>
        <w:spacing w:before="106"/>
        <w:ind w:left="0"/>
        <w:rPr>
          <w:rFonts w:ascii="Times New Roman"/>
        </w:rPr>
      </w:pPr>
    </w:p>
    <w:p w14:paraId="24F987EB" w14:textId="77777777" w:rsidR="00DF0C80" w:rsidRDefault="00C46ED3">
      <w:pPr>
        <w:pStyle w:val="BodyText"/>
      </w:pPr>
      <w:r>
        <w:t>Dr</w:t>
      </w:r>
      <w:r>
        <w:rPr>
          <w:spacing w:val="-3"/>
        </w:rPr>
        <w:t xml:space="preserve"> </w:t>
      </w:r>
      <w:r>
        <w:t>Mark</w:t>
      </w:r>
      <w:r>
        <w:rPr>
          <w:spacing w:val="-3"/>
        </w:rPr>
        <w:t xml:space="preserve"> </w:t>
      </w:r>
      <w:r>
        <w:rPr>
          <w:spacing w:val="-2"/>
        </w:rPr>
        <w:t>Chakravarty</w:t>
      </w:r>
    </w:p>
    <w:p w14:paraId="24F987EC" w14:textId="77777777" w:rsidR="00DF0C80" w:rsidRDefault="00C46ED3">
      <w:pPr>
        <w:pStyle w:val="BodyText"/>
        <w:spacing w:before="1"/>
      </w:pPr>
      <w:r>
        <w:t>Lead</w:t>
      </w:r>
      <w:r>
        <w:rPr>
          <w:spacing w:val="-4"/>
        </w:rPr>
        <w:t xml:space="preserve"> </w:t>
      </w:r>
      <w:r>
        <w:t>Non-executive</w:t>
      </w:r>
      <w:r>
        <w:rPr>
          <w:spacing w:val="-4"/>
        </w:rPr>
        <w:t xml:space="preserve"> </w:t>
      </w:r>
      <w:r>
        <w:t>Director</w:t>
      </w:r>
      <w:r>
        <w:rPr>
          <w:spacing w:val="-4"/>
        </w:rPr>
        <w:t xml:space="preserve"> </w:t>
      </w:r>
      <w:r>
        <w:t>NICE</w:t>
      </w:r>
      <w:r>
        <w:rPr>
          <w:spacing w:val="-4"/>
        </w:rPr>
        <w:t xml:space="preserve"> </w:t>
      </w:r>
      <w:r>
        <w:t>Appeals</w:t>
      </w:r>
      <w:r>
        <w:rPr>
          <w:spacing w:val="-5"/>
        </w:rPr>
        <w:t xml:space="preserve"> </w:t>
      </w:r>
      <w:r>
        <w:t>–</w:t>
      </w:r>
      <w:r>
        <w:rPr>
          <w:spacing w:val="-4"/>
        </w:rPr>
        <w:t xml:space="preserve"> </w:t>
      </w:r>
      <w:r>
        <w:t>Technology</w:t>
      </w:r>
      <w:r>
        <w:rPr>
          <w:spacing w:val="-4"/>
        </w:rPr>
        <w:t xml:space="preserve"> </w:t>
      </w:r>
      <w:r>
        <w:t>Appraisals</w:t>
      </w:r>
      <w:r>
        <w:rPr>
          <w:spacing w:val="-4"/>
        </w:rPr>
        <w:t xml:space="preserve"> </w:t>
      </w:r>
      <w:r>
        <w:t>and</w:t>
      </w:r>
      <w:r>
        <w:rPr>
          <w:spacing w:val="-4"/>
        </w:rPr>
        <w:t xml:space="preserve"> </w:t>
      </w:r>
      <w:r>
        <w:t>Highly</w:t>
      </w:r>
      <w:r>
        <w:rPr>
          <w:spacing w:val="-4"/>
        </w:rPr>
        <w:t xml:space="preserve"> </w:t>
      </w:r>
      <w:proofErr w:type="spellStart"/>
      <w:r>
        <w:t>Specialised</w:t>
      </w:r>
      <w:proofErr w:type="spellEnd"/>
      <w:r>
        <w:t xml:space="preserve"> </w:t>
      </w:r>
      <w:r>
        <w:rPr>
          <w:spacing w:val="-2"/>
        </w:rPr>
        <w:t>Technologies</w:t>
      </w:r>
    </w:p>
    <w:p w14:paraId="24F987ED" w14:textId="77777777" w:rsidR="00DF0C80" w:rsidRDefault="00C46ED3">
      <w:pPr>
        <w:pStyle w:val="BodyText"/>
        <w:ind w:right="3275"/>
      </w:pPr>
      <w:r>
        <w:t>National</w:t>
      </w:r>
      <w:r>
        <w:rPr>
          <w:spacing w:val="-6"/>
        </w:rPr>
        <w:t xml:space="preserve"> </w:t>
      </w:r>
      <w:r>
        <w:t>Institute</w:t>
      </w:r>
      <w:r>
        <w:rPr>
          <w:spacing w:val="-6"/>
        </w:rPr>
        <w:t xml:space="preserve"> </w:t>
      </w:r>
      <w:r>
        <w:t>for</w:t>
      </w:r>
      <w:r>
        <w:rPr>
          <w:spacing w:val="-6"/>
        </w:rPr>
        <w:t xml:space="preserve"> </w:t>
      </w:r>
      <w:r>
        <w:t>Health</w:t>
      </w:r>
      <w:r>
        <w:rPr>
          <w:spacing w:val="-6"/>
        </w:rPr>
        <w:t xml:space="preserve"> </w:t>
      </w:r>
      <w:r>
        <w:t>and</w:t>
      </w:r>
      <w:r>
        <w:rPr>
          <w:spacing w:val="-6"/>
        </w:rPr>
        <w:t xml:space="preserve"> </w:t>
      </w:r>
      <w:r>
        <w:t>Care</w:t>
      </w:r>
      <w:r>
        <w:rPr>
          <w:spacing w:val="-6"/>
        </w:rPr>
        <w:t xml:space="preserve"> </w:t>
      </w:r>
      <w:r>
        <w:t>Excellence</w:t>
      </w:r>
      <w:r>
        <w:rPr>
          <w:spacing w:val="-5"/>
        </w:rPr>
        <w:t xml:space="preserve"> </w:t>
      </w:r>
      <w:r>
        <w:t>(NICE) 2</w:t>
      </w:r>
      <w:r>
        <w:rPr>
          <w:vertAlign w:val="superscript"/>
        </w:rPr>
        <w:t>nd</w:t>
      </w:r>
      <w:r>
        <w:t xml:space="preserve"> Floor</w:t>
      </w:r>
    </w:p>
    <w:p w14:paraId="24F987EE" w14:textId="77777777" w:rsidR="00DF0C80" w:rsidRDefault="00C46ED3">
      <w:pPr>
        <w:pStyle w:val="BodyText"/>
        <w:spacing w:before="1"/>
        <w:ind w:right="6369"/>
      </w:pPr>
      <w:r>
        <w:t>2</w:t>
      </w:r>
      <w:r>
        <w:rPr>
          <w:spacing w:val="-13"/>
        </w:rPr>
        <w:t xml:space="preserve"> </w:t>
      </w:r>
      <w:r>
        <w:t>Redman</w:t>
      </w:r>
      <w:r>
        <w:rPr>
          <w:spacing w:val="-12"/>
        </w:rPr>
        <w:t xml:space="preserve"> </w:t>
      </w:r>
      <w:r>
        <w:t>Place London</w:t>
      </w:r>
      <w:r>
        <w:rPr>
          <w:spacing w:val="-5"/>
        </w:rPr>
        <w:t xml:space="preserve"> </w:t>
      </w:r>
      <w:r>
        <w:t>E20</w:t>
      </w:r>
      <w:r>
        <w:rPr>
          <w:spacing w:val="-4"/>
        </w:rPr>
        <w:t xml:space="preserve"> </w:t>
      </w:r>
      <w:r>
        <w:rPr>
          <w:spacing w:val="-5"/>
        </w:rPr>
        <w:t>1JQ</w:t>
      </w:r>
    </w:p>
    <w:p w14:paraId="24F987EF" w14:textId="77777777" w:rsidR="00DF0C80" w:rsidRDefault="00DF0C80">
      <w:pPr>
        <w:pStyle w:val="BodyText"/>
        <w:spacing w:before="134"/>
        <w:ind w:left="0"/>
      </w:pPr>
    </w:p>
    <w:p w14:paraId="24F987F0" w14:textId="77777777" w:rsidR="00DF0C80" w:rsidRDefault="00C46ED3">
      <w:pPr>
        <w:pStyle w:val="BodyText"/>
        <w:spacing w:before="1"/>
      </w:pPr>
      <w:r>
        <w:t>9</w:t>
      </w:r>
      <w:r>
        <w:rPr>
          <w:spacing w:val="-4"/>
        </w:rPr>
        <w:t xml:space="preserve"> </w:t>
      </w:r>
      <w:r>
        <w:t>October</w:t>
      </w:r>
      <w:r>
        <w:rPr>
          <w:spacing w:val="-4"/>
        </w:rPr>
        <w:t xml:space="preserve"> 2024</w:t>
      </w:r>
    </w:p>
    <w:p w14:paraId="24F987F1" w14:textId="77777777" w:rsidR="00DF0C80" w:rsidRDefault="00DF0C80">
      <w:pPr>
        <w:pStyle w:val="BodyText"/>
        <w:ind w:left="0"/>
      </w:pPr>
    </w:p>
    <w:p w14:paraId="24F987F2" w14:textId="77777777" w:rsidR="00DF0C80" w:rsidRDefault="00C46ED3">
      <w:pPr>
        <w:pStyle w:val="BodyText"/>
      </w:pPr>
      <w:r>
        <w:t>By</w:t>
      </w:r>
      <w:r>
        <w:rPr>
          <w:spacing w:val="-4"/>
        </w:rPr>
        <w:t xml:space="preserve"> </w:t>
      </w:r>
      <w:r>
        <w:t>email:</w:t>
      </w:r>
      <w:r>
        <w:rPr>
          <w:spacing w:val="-4"/>
        </w:rPr>
        <w:t xml:space="preserve"> </w:t>
      </w:r>
      <w:hyperlink r:id="rId9">
        <w:r>
          <w:rPr>
            <w:color w:val="0000FF"/>
            <w:spacing w:val="-2"/>
            <w:u w:val="single" w:color="0000FF"/>
          </w:rPr>
          <w:t>appeals@nice.org.uk</w:t>
        </w:r>
      </w:hyperlink>
    </w:p>
    <w:p w14:paraId="24F987F3" w14:textId="77777777" w:rsidR="00DF0C80" w:rsidRDefault="00DF0C80">
      <w:pPr>
        <w:pStyle w:val="BodyText"/>
        <w:spacing w:before="135"/>
        <w:ind w:left="0"/>
      </w:pPr>
    </w:p>
    <w:p w14:paraId="24F987F4" w14:textId="77777777" w:rsidR="00DF0C80" w:rsidRDefault="00C46ED3">
      <w:pPr>
        <w:pStyle w:val="BodyText"/>
      </w:pPr>
      <w:r>
        <w:t>Dear</w:t>
      </w:r>
      <w:r>
        <w:rPr>
          <w:spacing w:val="-5"/>
        </w:rPr>
        <w:t xml:space="preserve"> </w:t>
      </w:r>
      <w:r>
        <w:t>Dr</w:t>
      </w:r>
      <w:r>
        <w:rPr>
          <w:spacing w:val="-3"/>
        </w:rPr>
        <w:t xml:space="preserve"> </w:t>
      </w:r>
      <w:r>
        <w:rPr>
          <w:spacing w:val="-2"/>
        </w:rPr>
        <w:t>Chakravarty,</w:t>
      </w:r>
    </w:p>
    <w:p w14:paraId="24F987F5" w14:textId="77777777" w:rsidR="00DF0C80" w:rsidRDefault="00C46ED3">
      <w:pPr>
        <w:spacing w:before="130"/>
        <w:ind w:left="120"/>
        <w:rPr>
          <w:b/>
        </w:rPr>
      </w:pPr>
      <w:r>
        <w:rPr>
          <w:b/>
        </w:rPr>
        <w:t>Re:</w:t>
      </w:r>
      <w:r>
        <w:rPr>
          <w:b/>
          <w:spacing w:val="-4"/>
        </w:rPr>
        <w:t xml:space="preserve"> </w:t>
      </w:r>
      <w:r>
        <w:rPr>
          <w:b/>
        </w:rPr>
        <w:t>F</w:t>
      </w:r>
      <w:r>
        <w:rPr>
          <w:b/>
          <w:color w:val="242424"/>
        </w:rPr>
        <w:t>inal</w:t>
      </w:r>
      <w:r>
        <w:rPr>
          <w:b/>
          <w:color w:val="242424"/>
          <w:spacing w:val="-4"/>
        </w:rPr>
        <w:t xml:space="preserve"> </w:t>
      </w:r>
      <w:r>
        <w:rPr>
          <w:b/>
          <w:color w:val="242424"/>
        </w:rPr>
        <w:t>Draft</w:t>
      </w:r>
      <w:r>
        <w:rPr>
          <w:b/>
          <w:color w:val="242424"/>
          <w:spacing w:val="-4"/>
        </w:rPr>
        <w:t xml:space="preserve"> </w:t>
      </w:r>
      <w:r>
        <w:rPr>
          <w:b/>
          <w:color w:val="242424"/>
        </w:rPr>
        <w:t>Guidance</w:t>
      </w:r>
      <w:r>
        <w:rPr>
          <w:b/>
          <w:color w:val="242424"/>
          <w:spacing w:val="-4"/>
        </w:rPr>
        <w:t xml:space="preserve"> </w:t>
      </w:r>
      <w:r>
        <w:rPr>
          <w:b/>
          <w:color w:val="242424"/>
        </w:rPr>
        <w:t>(FDG)</w:t>
      </w:r>
      <w:r>
        <w:rPr>
          <w:b/>
          <w:color w:val="242424"/>
          <w:spacing w:val="-4"/>
        </w:rPr>
        <w:t xml:space="preserve"> </w:t>
      </w:r>
      <w:r>
        <w:rPr>
          <w:b/>
          <w:color w:val="242424"/>
        </w:rPr>
        <w:t>-</w:t>
      </w:r>
      <w:r>
        <w:rPr>
          <w:b/>
          <w:color w:val="242424"/>
          <w:spacing w:val="-4"/>
        </w:rPr>
        <w:t xml:space="preserve"> </w:t>
      </w:r>
      <w:proofErr w:type="spellStart"/>
      <w:r>
        <w:rPr>
          <w:b/>
        </w:rPr>
        <w:t>Crovalimab</w:t>
      </w:r>
      <w:proofErr w:type="spellEnd"/>
      <w:r>
        <w:rPr>
          <w:b/>
          <w:spacing w:val="-3"/>
        </w:rPr>
        <w:t xml:space="preserve"> </w:t>
      </w:r>
      <w:r>
        <w:rPr>
          <w:b/>
        </w:rPr>
        <w:t>for</w:t>
      </w:r>
      <w:r>
        <w:rPr>
          <w:b/>
          <w:spacing w:val="-4"/>
        </w:rPr>
        <w:t xml:space="preserve"> </w:t>
      </w:r>
      <w:r>
        <w:rPr>
          <w:b/>
        </w:rPr>
        <w:t>treating</w:t>
      </w:r>
      <w:r>
        <w:rPr>
          <w:b/>
          <w:spacing w:val="-4"/>
        </w:rPr>
        <w:t xml:space="preserve"> </w:t>
      </w:r>
      <w:r>
        <w:rPr>
          <w:b/>
        </w:rPr>
        <w:t>paroxysmal</w:t>
      </w:r>
      <w:r>
        <w:rPr>
          <w:b/>
          <w:spacing w:val="-4"/>
        </w:rPr>
        <w:t xml:space="preserve"> </w:t>
      </w:r>
      <w:r>
        <w:rPr>
          <w:b/>
        </w:rPr>
        <w:t xml:space="preserve">nocturnal </w:t>
      </w:r>
      <w:proofErr w:type="spellStart"/>
      <w:r>
        <w:rPr>
          <w:b/>
        </w:rPr>
        <w:t>haemoglobinuria</w:t>
      </w:r>
      <w:proofErr w:type="spellEnd"/>
      <w:r>
        <w:rPr>
          <w:b/>
        </w:rPr>
        <w:t xml:space="preserve"> in people 12 years and over [ID6140]</w:t>
      </w:r>
    </w:p>
    <w:p w14:paraId="24F987F6" w14:textId="77777777" w:rsidR="00DF0C80" w:rsidRDefault="00DF0C80">
      <w:pPr>
        <w:pStyle w:val="BodyText"/>
        <w:spacing w:before="135"/>
        <w:ind w:left="0"/>
        <w:rPr>
          <w:b/>
        </w:rPr>
      </w:pPr>
    </w:p>
    <w:p w14:paraId="24F987F7" w14:textId="77777777" w:rsidR="00DF0C80" w:rsidRDefault="00C46ED3">
      <w:pPr>
        <w:pStyle w:val="BodyText"/>
      </w:pPr>
      <w:r>
        <w:t>PNH</w:t>
      </w:r>
      <w:r>
        <w:rPr>
          <w:spacing w:val="-3"/>
        </w:rPr>
        <w:t xml:space="preserve"> </w:t>
      </w:r>
      <w:r>
        <w:t>Support</w:t>
      </w:r>
      <w:r>
        <w:rPr>
          <w:spacing w:val="-3"/>
        </w:rPr>
        <w:t xml:space="preserve"> </w:t>
      </w:r>
      <w:r>
        <w:t>would</w:t>
      </w:r>
      <w:r>
        <w:rPr>
          <w:spacing w:val="-3"/>
        </w:rPr>
        <w:t xml:space="preserve"> </w:t>
      </w:r>
      <w:r>
        <w:t>like</w:t>
      </w:r>
      <w:r>
        <w:rPr>
          <w:spacing w:val="-3"/>
        </w:rPr>
        <w:t xml:space="preserve"> </w:t>
      </w:r>
      <w:r>
        <w:t>to</w:t>
      </w:r>
      <w:r>
        <w:rPr>
          <w:spacing w:val="-3"/>
        </w:rPr>
        <w:t xml:space="preserve"> </w:t>
      </w:r>
      <w:r>
        <w:t>appeal</w:t>
      </w:r>
      <w:r>
        <w:rPr>
          <w:spacing w:val="-3"/>
        </w:rPr>
        <w:t xml:space="preserve"> </w:t>
      </w:r>
      <w:r>
        <w:t>against</w:t>
      </w:r>
      <w:r>
        <w:rPr>
          <w:spacing w:val="-3"/>
        </w:rPr>
        <w:t xml:space="preserve"> </w:t>
      </w:r>
      <w:r>
        <w:t>the</w:t>
      </w:r>
      <w:r>
        <w:rPr>
          <w:spacing w:val="-3"/>
        </w:rPr>
        <w:t xml:space="preserve"> </w:t>
      </w:r>
      <w:r>
        <w:t>Final</w:t>
      </w:r>
      <w:r>
        <w:rPr>
          <w:spacing w:val="-3"/>
        </w:rPr>
        <w:t xml:space="preserve"> </w:t>
      </w:r>
      <w:r>
        <w:t>Appraisal</w:t>
      </w:r>
      <w:r>
        <w:rPr>
          <w:spacing w:val="-3"/>
        </w:rPr>
        <w:t xml:space="preserve"> </w:t>
      </w:r>
      <w:r>
        <w:t>Determination</w:t>
      </w:r>
      <w:r>
        <w:rPr>
          <w:spacing w:val="-3"/>
        </w:rPr>
        <w:t xml:space="preserve"> </w:t>
      </w:r>
      <w:r>
        <w:t>for</w:t>
      </w:r>
      <w:r>
        <w:rPr>
          <w:spacing w:val="-3"/>
        </w:rPr>
        <w:t xml:space="preserve"> </w:t>
      </w:r>
      <w:r>
        <w:t>the</w:t>
      </w:r>
      <w:r>
        <w:rPr>
          <w:spacing w:val="-3"/>
        </w:rPr>
        <w:t xml:space="preserve"> </w:t>
      </w:r>
      <w:proofErr w:type="gramStart"/>
      <w:r>
        <w:t>above mentioned</w:t>
      </w:r>
      <w:proofErr w:type="gramEnd"/>
      <w:r>
        <w:t xml:space="preserve"> technology appraisal on the following grounds:</w:t>
      </w:r>
    </w:p>
    <w:p w14:paraId="24F987F8" w14:textId="77777777" w:rsidR="00DF0C80" w:rsidRDefault="00C46ED3">
      <w:pPr>
        <w:pStyle w:val="BodyText"/>
        <w:spacing w:before="240"/>
        <w:ind w:right="191"/>
      </w:pPr>
      <w:r>
        <w:t>Ground</w:t>
      </w:r>
      <w:r>
        <w:rPr>
          <w:spacing w:val="-3"/>
        </w:rPr>
        <w:t xml:space="preserve"> </w:t>
      </w:r>
      <w:r>
        <w:t>2:</w:t>
      </w:r>
      <w:r>
        <w:rPr>
          <w:spacing w:val="-3"/>
        </w:rPr>
        <w:t xml:space="preserve"> </w:t>
      </w:r>
      <w:r>
        <w:t>The</w:t>
      </w:r>
      <w:r>
        <w:rPr>
          <w:spacing w:val="-3"/>
        </w:rPr>
        <w:t xml:space="preserve"> </w:t>
      </w:r>
      <w:r>
        <w:t>recommendation</w:t>
      </w:r>
      <w:r>
        <w:rPr>
          <w:spacing w:val="-3"/>
        </w:rPr>
        <w:t xml:space="preserve"> </w:t>
      </w:r>
      <w:r>
        <w:t>is</w:t>
      </w:r>
      <w:r>
        <w:rPr>
          <w:spacing w:val="-3"/>
        </w:rPr>
        <w:t xml:space="preserve"> </w:t>
      </w:r>
      <w:r>
        <w:t>unreasonable</w:t>
      </w:r>
      <w:r>
        <w:rPr>
          <w:spacing w:val="-3"/>
        </w:rPr>
        <w:t xml:space="preserve"> </w:t>
      </w:r>
      <w:r>
        <w:t>in</w:t>
      </w:r>
      <w:r>
        <w:rPr>
          <w:spacing w:val="-3"/>
        </w:rPr>
        <w:t xml:space="preserve"> </w:t>
      </w:r>
      <w:r>
        <w:t>the</w:t>
      </w:r>
      <w:r>
        <w:rPr>
          <w:spacing w:val="-3"/>
        </w:rPr>
        <w:t xml:space="preserve"> </w:t>
      </w:r>
      <w:r>
        <w:t>light</w:t>
      </w:r>
      <w:r>
        <w:rPr>
          <w:spacing w:val="-3"/>
        </w:rPr>
        <w:t xml:space="preserve"> </w:t>
      </w:r>
      <w:r>
        <w:t>of</w:t>
      </w:r>
      <w:r>
        <w:rPr>
          <w:spacing w:val="-3"/>
        </w:rPr>
        <w:t xml:space="preserve"> </w:t>
      </w:r>
      <w:r>
        <w:t>the</w:t>
      </w:r>
      <w:r>
        <w:rPr>
          <w:spacing w:val="-3"/>
        </w:rPr>
        <w:t xml:space="preserve"> </w:t>
      </w:r>
      <w:r>
        <w:t>evidence</w:t>
      </w:r>
      <w:r>
        <w:rPr>
          <w:spacing w:val="-3"/>
        </w:rPr>
        <w:t xml:space="preserve"> </w:t>
      </w:r>
      <w:r>
        <w:t>submitted</w:t>
      </w:r>
      <w:r>
        <w:rPr>
          <w:spacing w:val="-3"/>
        </w:rPr>
        <w:t xml:space="preserve"> </w:t>
      </w:r>
      <w:r>
        <w:t xml:space="preserve">to </w:t>
      </w:r>
      <w:r>
        <w:rPr>
          <w:spacing w:val="-4"/>
        </w:rPr>
        <w:t>NICE</w:t>
      </w:r>
    </w:p>
    <w:p w14:paraId="24F987F9" w14:textId="77777777" w:rsidR="00DF0C80" w:rsidRDefault="00C46ED3">
      <w:pPr>
        <w:pStyle w:val="BodyText"/>
        <w:spacing w:before="241"/>
        <w:ind w:right="191"/>
      </w:pPr>
      <w:r>
        <w:t xml:space="preserve">The following statement is included in the final draft guidance (FDG) for this appraisal: “when switching from eculizumab or </w:t>
      </w:r>
      <w:proofErr w:type="spellStart"/>
      <w:r>
        <w:t>ravulizumab</w:t>
      </w:r>
      <w:proofErr w:type="spellEnd"/>
      <w:r>
        <w:t xml:space="preserve"> to </w:t>
      </w:r>
      <w:proofErr w:type="spellStart"/>
      <w:r>
        <w:t>crovalimab</w:t>
      </w:r>
      <w:proofErr w:type="spellEnd"/>
      <w:r>
        <w:t>, some people can experience</w:t>
      </w:r>
      <w:r>
        <w:rPr>
          <w:spacing w:val="-4"/>
        </w:rPr>
        <w:t xml:space="preserve"> </w:t>
      </w:r>
      <w:r>
        <w:t>adverse</w:t>
      </w:r>
      <w:r>
        <w:rPr>
          <w:spacing w:val="-4"/>
        </w:rPr>
        <w:t xml:space="preserve"> </w:t>
      </w:r>
      <w:r>
        <w:t>events</w:t>
      </w:r>
      <w:r>
        <w:rPr>
          <w:spacing w:val="-4"/>
        </w:rPr>
        <w:t xml:space="preserve"> </w:t>
      </w:r>
      <w:r>
        <w:t>called</w:t>
      </w:r>
      <w:r>
        <w:rPr>
          <w:spacing w:val="-4"/>
        </w:rPr>
        <w:t xml:space="preserve"> </w:t>
      </w:r>
      <w:r>
        <w:t>transient</w:t>
      </w:r>
      <w:r>
        <w:rPr>
          <w:spacing w:val="-4"/>
        </w:rPr>
        <w:t xml:space="preserve"> </w:t>
      </w:r>
      <w:r>
        <w:t>immune</w:t>
      </w:r>
      <w:r>
        <w:rPr>
          <w:spacing w:val="-4"/>
        </w:rPr>
        <w:t xml:space="preserve"> </w:t>
      </w:r>
      <w:r>
        <w:t>complex</w:t>
      </w:r>
      <w:r>
        <w:rPr>
          <w:spacing w:val="-4"/>
        </w:rPr>
        <w:t xml:space="preserve"> </w:t>
      </w:r>
      <w:r>
        <w:t>reactions.</w:t>
      </w:r>
      <w:r>
        <w:rPr>
          <w:spacing w:val="-4"/>
        </w:rPr>
        <w:t xml:space="preserve"> </w:t>
      </w:r>
      <w:r>
        <w:t>But</w:t>
      </w:r>
      <w:r>
        <w:rPr>
          <w:spacing w:val="-4"/>
        </w:rPr>
        <w:t xml:space="preserve"> </w:t>
      </w:r>
      <w:r>
        <w:t>these</w:t>
      </w:r>
      <w:r>
        <w:rPr>
          <w:spacing w:val="-4"/>
        </w:rPr>
        <w:t xml:space="preserve"> </w:t>
      </w:r>
      <w:r>
        <w:t>usually</w:t>
      </w:r>
      <w:r>
        <w:rPr>
          <w:spacing w:val="-4"/>
        </w:rPr>
        <w:t xml:space="preserve"> </w:t>
      </w:r>
      <w:r>
        <w:t>do not last long and so are not included in the economic model”.</w:t>
      </w:r>
    </w:p>
    <w:p w14:paraId="24F987FA" w14:textId="77777777" w:rsidR="00DF0C80" w:rsidRDefault="00C46ED3">
      <w:pPr>
        <w:pStyle w:val="BodyText"/>
        <w:spacing w:before="236" w:line="242" w:lineRule="auto"/>
        <w:ind w:right="191"/>
      </w:pPr>
      <w:r>
        <w:t>PNH</w:t>
      </w:r>
      <w:r>
        <w:rPr>
          <w:spacing w:val="-4"/>
        </w:rPr>
        <w:t xml:space="preserve"> </w:t>
      </w:r>
      <w:r>
        <w:t>Support</w:t>
      </w:r>
      <w:r>
        <w:rPr>
          <w:spacing w:val="-4"/>
        </w:rPr>
        <w:t xml:space="preserve"> </w:t>
      </w:r>
      <w:r>
        <w:t>made</w:t>
      </w:r>
      <w:r>
        <w:rPr>
          <w:spacing w:val="-4"/>
        </w:rPr>
        <w:t xml:space="preserve"> </w:t>
      </w:r>
      <w:r>
        <w:t>submissions</w:t>
      </w:r>
      <w:r>
        <w:rPr>
          <w:spacing w:val="-4"/>
        </w:rPr>
        <w:t xml:space="preserve"> </w:t>
      </w:r>
      <w:r>
        <w:t>to</w:t>
      </w:r>
      <w:r>
        <w:rPr>
          <w:spacing w:val="-4"/>
        </w:rPr>
        <w:t xml:space="preserve"> </w:t>
      </w:r>
      <w:r>
        <w:t>NICE</w:t>
      </w:r>
      <w:r>
        <w:rPr>
          <w:spacing w:val="-4"/>
        </w:rPr>
        <w:t xml:space="preserve"> </w:t>
      </w:r>
      <w:r>
        <w:t>relating</w:t>
      </w:r>
      <w:r>
        <w:rPr>
          <w:spacing w:val="-4"/>
        </w:rPr>
        <w:t xml:space="preserve"> </w:t>
      </w:r>
      <w:r>
        <w:t>to</w:t>
      </w:r>
      <w:r>
        <w:rPr>
          <w:spacing w:val="-4"/>
        </w:rPr>
        <w:t xml:space="preserve"> </w:t>
      </w:r>
      <w:r>
        <w:t>their</w:t>
      </w:r>
      <w:r>
        <w:rPr>
          <w:spacing w:val="-4"/>
        </w:rPr>
        <w:t xml:space="preserve"> </w:t>
      </w:r>
      <w:r>
        <w:t>understanding</w:t>
      </w:r>
      <w:r>
        <w:rPr>
          <w:spacing w:val="-4"/>
        </w:rPr>
        <w:t xml:space="preserve"> </w:t>
      </w:r>
      <w:r>
        <w:t>that</w:t>
      </w:r>
      <w:r>
        <w:rPr>
          <w:spacing w:val="-4"/>
        </w:rPr>
        <w:t xml:space="preserve"> </w:t>
      </w:r>
      <w:r>
        <w:t>three</w:t>
      </w:r>
      <w:r>
        <w:rPr>
          <w:spacing w:val="-5"/>
        </w:rPr>
        <w:t xml:space="preserve"> </w:t>
      </w:r>
      <w:r>
        <w:t xml:space="preserve">patients globally (of which they were aware) who had switched from </w:t>
      </w:r>
      <w:proofErr w:type="spellStart"/>
      <w:r>
        <w:t>ravulizumab</w:t>
      </w:r>
      <w:proofErr w:type="spellEnd"/>
      <w:r>
        <w:t xml:space="preserve"> to </w:t>
      </w:r>
      <w:proofErr w:type="spellStart"/>
      <w:r>
        <w:t>crovalimab</w:t>
      </w:r>
      <w:proofErr w:type="spellEnd"/>
      <w:r>
        <w:t xml:space="preserve"> in the trial had experienced serious adverse events which are not “transient.”</w:t>
      </w:r>
    </w:p>
    <w:p w14:paraId="24F987FB" w14:textId="77777777" w:rsidR="00DF0C80" w:rsidRDefault="00DF0C80">
      <w:pPr>
        <w:pStyle w:val="BodyText"/>
        <w:spacing w:before="22"/>
        <w:ind w:left="0"/>
      </w:pPr>
    </w:p>
    <w:p w14:paraId="24F987FC" w14:textId="77777777" w:rsidR="00DF0C80" w:rsidRDefault="00C46ED3">
      <w:pPr>
        <w:pStyle w:val="BodyText"/>
      </w:pPr>
      <w:r>
        <w:t xml:space="preserve">On 29 May 2024, PNH Support uploaded their patient </w:t>
      </w:r>
      <w:proofErr w:type="spellStart"/>
      <w:r>
        <w:t>organisation</w:t>
      </w:r>
      <w:proofErr w:type="spellEnd"/>
      <w:r>
        <w:t xml:space="preserve"> submission for this appraisal</w:t>
      </w:r>
      <w:r>
        <w:rPr>
          <w:spacing w:val="-2"/>
        </w:rPr>
        <w:t xml:space="preserve"> </w:t>
      </w:r>
      <w:r>
        <w:t>to</w:t>
      </w:r>
      <w:r>
        <w:rPr>
          <w:spacing w:val="-3"/>
        </w:rPr>
        <w:t xml:space="preserve"> </w:t>
      </w:r>
      <w:r>
        <w:t>the</w:t>
      </w:r>
      <w:r>
        <w:rPr>
          <w:spacing w:val="-3"/>
        </w:rPr>
        <w:t xml:space="preserve"> </w:t>
      </w:r>
      <w:r>
        <w:t>NICE</w:t>
      </w:r>
      <w:r>
        <w:rPr>
          <w:spacing w:val="-3"/>
        </w:rPr>
        <w:t xml:space="preserve"> </w:t>
      </w:r>
      <w:r>
        <w:t>platform</w:t>
      </w:r>
      <w:r>
        <w:rPr>
          <w:spacing w:val="-4"/>
        </w:rPr>
        <w:t xml:space="preserve"> </w:t>
      </w:r>
      <w:r>
        <w:t>stating</w:t>
      </w:r>
      <w:r>
        <w:rPr>
          <w:spacing w:val="-3"/>
        </w:rPr>
        <w:t xml:space="preserve"> </w:t>
      </w:r>
      <w:r>
        <w:t>as</w:t>
      </w:r>
      <w:r>
        <w:rPr>
          <w:spacing w:val="-3"/>
        </w:rPr>
        <w:t xml:space="preserve"> </w:t>
      </w:r>
      <w:r>
        <w:t>follows</w:t>
      </w:r>
      <w:r>
        <w:rPr>
          <w:spacing w:val="-3"/>
        </w:rPr>
        <w:t xml:space="preserve"> </w:t>
      </w:r>
      <w:r>
        <w:t>in</w:t>
      </w:r>
      <w:r>
        <w:rPr>
          <w:spacing w:val="-3"/>
        </w:rPr>
        <w:t xml:space="preserve"> </w:t>
      </w:r>
      <w:r>
        <w:t>response</w:t>
      </w:r>
      <w:r>
        <w:rPr>
          <w:spacing w:val="-3"/>
        </w:rPr>
        <w:t xml:space="preserve"> </w:t>
      </w:r>
      <w:r>
        <w:t>to</w:t>
      </w:r>
      <w:r>
        <w:rPr>
          <w:spacing w:val="-3"/>
        </w:rPr>
        <w:t xml:space="preserve"> </w:t>
      </w:r>
      <w:r>
        <w:t>the</w:t>
      </w:r>
      <w:r>
        <w:rPr>
          <w:spacing w:val="-3"/>
        </w:rPr>
        <w:t xml:space="preserve"> </w:t>
      </w:r>
      <w:r>
        <w:t>question</w:t>
      </w:r>
      <w:r>
        <w:rPr>
          <w:spacing w:val="-4"/>
        </w:rPr>
        <w:t xml:space="preserve"> </w:t>
      </w:r>
      <w:r>
        <w:t>“Are</w:t>
      </w:r>
      <w:r>
        <w:rPr>
          <w:spacing w:val="-3"/>
        </w:rPr>
        <w:t xml:space="preserve"> </w:t>
      </w:r>
      <w:r>
        <w:t>there</w:t>
      </w:r>
      <w:r>
        <w:rPr>
          <w:spacing w:val="-3"/>
        </w:rPr>
        <w:t xml:space="preserve"> </w:t>
      </w:r>
      <w:r>
        <w:t>any other issues that you would like the committee to consider?”:</w:t>
      </w:r>
    </w:p>
    <w:p w14:paraId="24F987FD" w14:textId="77777777" w:rsidR="00DF0C80" w:rsidRDefault="00DF0C80">
      <w:pPr>
        <w:pStyle w:val="BodyText"/>
        <w:spacing w:before="193"/>
        <w:ind w:left="0"/>
      </w:pPr>
    </w:p>
    <w:p w14:paraId="24F987FE" w14:textId="77777777" w:rsidR="00DF0C80" w:rsidRDefault="00C46ED3">
      <w:pPr>
        <w:pStyle w:val="BodyText"/>
        <w:ind w:right="57"/>
      </w:pPr>
      <w:r>
        <w:t xml:space="preserve">“We are aware that there are three groups of patients who have been treated with </w:t>
      </w:r>
      <w:proofErr w:type="spellStart"/>
      <w:r>
        <w:t>crovalimab</w:t>
      </w:r>
      <w:proofErr w:type="spellEnd"/>
      <w:r>
        <w:t xml:space="preserve"> in trials: 1) treatment naïve patients; 2) those switched from eculizumab; and 3) those switched from </w:t>
      </w:r>
      <w:proofErr w:type="spellStart"/>
      <w:r>
        <w:t>ravulizumab</w:t>
      </w:r>
      <w:proofErr w:type="spellEnd"/>
      <w:r>
        <w:t xml:space="preserve">. Over the last month we have become aware of three patients globally who had serious adverse reactions when switched from </w:t>
      </w:r>
      <w:proofErr w:type="spellStart"/>
      <w:r>
        <w:t>ravulizumab</w:t>
      </w:r>
      <w:proofErr w:type="spellEnd"/>
      <w:r>
        <w:t xml:space="preserve"> to </w:t>
      </w:r>
      <w:proofErr w:type="spellStart"/>
      <w:r>
        <w:t>crovalimab</w:t>
      </w:r>
      <w:proofErr w:type="spellEnd"/>
      <w:r>
        <w:t xml:space="preserve"> and at least two of whom we understand are still negatively affected by these injuries</w:t>
      </w:r>
      <w:r>
        <w:rPr>
          <w:spacing w:val="-1"/>
        </w:rPr>
        <w:t xml:space="preserve"> </w:t>
      </w:r>
      <w:r>
        <w:t>today.</w:t>
      </w:r>
      <w:r>
        <w:rPr>
          <w:spacing w:val="-1"/>
        </w:rPr>
        <w:t xml:space="preserve"> </w:t>
      </w:r>
      <w:r>
        <w:t>We</w:t>
      </w:r>
      <w:r>
        <w:rPr>
          <w:spacing w:val="-1"/>
        </w:rPr>
        <w:t xml:space="preserve"> </w:t>
      </w:r>
      <w:r>
        <w:t>are</w:t>
      </w:r>
      <w:r>
        <w:rPr>
          <w:spacing w:val="-1"/>
        </w:rPr>
        <w:t xml:space="preserve"> </w:t>
      </w:r>
      <w:r>
        <w:t>hopeful</w:t>
      </w:r>
      <w:r>
        <w:rPr>
          <w:spacing w:val="-1"/>
        </w:rPr>
        <w:t xml:space="preserve"> </w:t>
      </w:r>
      <w:r>
        <w:t>that</w:t>
      </w:r>
      <w:r>
        <w:rPr>
          <w:spacing w:val="-1"/>
        </w:rPr>
        <w:t xml:space="preserve"> </w:t>
      </w:r>
      <w:r>
        <w:t>these</w:t>
      </w:r>
      <w:r>
        <w:rPr>
          <w:spacing w:val="-1"/>
        </w:rPr>
        <w:t xml:space="preserve"> </w:t>
      </w:r>
      <w:r>
        <w:t>serious</w:t>
      </w:r>
      <w:r>
        <w:rPr>
          <w:spacing w:val="-1"/>
        </w:rPr>
        <w:t xml:space="preserve"> </w:t>
      </w:r>
      <w:r>
        <w:t>adverse</w:t>
      </w:r>
      <w:r>
        <w:rPr>
          <w:spacing w:val="-1"/>
        </w:rPr>
        <w:t xml:space="preserve"> </w:t>
      </w:r>
      <w:r>
        <w:t>events</w:t>
      </w:r>
      <w:r>
        <w:rPr>
          <w:spacing w:val="-1"/>
        </w:rPr>
        <w:t xml:space="preserve"> </w:t>
      </w:r>
      <w:r>
        <w:t>were</w:t>
      </w:r>
      <w:r>
        <w:rPr>
          <w:spacing w:val="-1"/>
        </w:rPr>
        <w:t xml:space="preserve"> </w:t>
      </w:r>
      <w:r>
        <w:t>correctly</w:t>
      </w:r>
      <w:r>
        <w:rPr>
          <w:spacing w:val="-1"/>
        </w:rPr>
        <w:t xml:space="preserve"> </w:t>
      </w:r>
      <w:r>
        <w:t xml:space="preserve">represented in terms of their severity and duration in the data submitted to </w:t>
      </w:r>
      <w:r>
        <w:rPr>
          <w:rFonts w:ascii="Cambria" w:hAnsi="Cambria"/>
        </w:rPr>
        <w:t xml:space="preserve">the </w:t>
      </w:r>
      <w:r>
        <w:rPr>
          <w:rFonts w:ascii="Cambria" w:hAnsi="Cambria"/>
        </w:rPr>
        <w:t xml:space="preserve">regulators, however as </w:t>
      </w:r>
      <w:r>
        <w:t xml:space="preserve">the data for the patients who were switched from </w:t>
      </w:r>
      <w:proofErr w:type="spellStart"/>
      <w:r>
        <w:t>ravulizumab</w:t>
      </w:r>
      <w:proofErr w:type="spellEnd"/>
      <w:r>
        <w:t xml:space="preserve"> to </w:t>
      </w:r>
      <w:proofErr w:type="spellStart"/>
      <w:r>
        <w:t>crovalimab</w:t>
      </w:r>
      <w:proofErr w:type="spellEnd"/>
      <w:r>
        <w:t xml:space="preserve"> has not yet been published, we have not been able to satisfy ourselves that this is the case. We are deeply concerned that patients who may switch from </w:t>
      </w:r>
      <w:proofErr w:type="spellStart"/>
      <w:r>
        <w:t>ravulizumab</w:t>
      </w:r>
      <w:proofErr w:type="spellEnd"/>
      <w:r>
        <w:t xml:space="preserve"> to </w:t>
      </w:r>
      <w:proofErr w:type="spellStart"/>
      <w:r>
        <w:t>crovalimab</w:t>
      </w:r>
      <w:proofErr w:type="spellEnd"/>
      <w:r>
        <w:t xml:space="preserve"> may be at risk</w:t>
      </w:r>
      <w:r>
        <w:rPr>
          <w:spacing w:val="-3"/>
        </w:rPr>
        <w:t xml:space="preserve"> </w:t>
      </w:r>
      <w:r>
        <w:t>of</w:t>
      </w:r>
      <w:r>
        <w:rPr>
          <w:spacing w:val="-3"/>
        </w:rPr>
        <w:t xml:space="preserve"> </w:t>
      </w:r>
      <w:r>
        <w:t>experiencing</w:t>
      </w:r>
      <w:r>
        <w:rPr>
          <w:spacing w:val="-3"/>
        </w:rPr>
        <w:t xml:space="preserve"> </w:t>
      </w:r>
      <w:r>
        <w:t>a</w:t>
      </w:r>
      <w:r>
        <w:rPr>
          <w:spacing w:val="-3"/>
        </w:rPr>
        <w:t xml:space="preserve"> </w:t>
      </w:r>
      <w:r>
        <w:t>serious</w:t>
      </w:r>
      <w:r>
        <w:rPr>
          <w:spacing w:val="-3"/>
        </w:rPr>
        <w:t xml:space="preserve"> </w:t>
      </w:r>
      <w:r>
        <w:t>adverse</w:t>
      </w:r>
      <w:r>
        <w:rPr>
          <w:spacing w:val="-3"/>
        </w:rPr>
        <w:t xml:space="preserve"> </w:t>
      </w:r>
      <w:r>
        <w:t>event</w:t>
      </w:r>
      <w:r>
        <w:rPr>
          <w:spacing w:val="-3"/>
        </w:rPr>
        <w:t xml:space="preserve"> </w:t>
      </w:r>
      <w:r>
        <w:t>which</w:t>
      </w:r>
      <w:r>
        <w:rPr>
          <w:spacing w:val="-3"/>
        </w:rPr>
        <w:t xml:space="preserve"> </w:t>
      </w:r>
      <w:r>
        <w:t>could</w:t>
      </w:r>
      <w:r>
        <w:rPr>
          <w:spacing w:val="-3"/>
        </w:rPr>
        <w:t xml:space="preserve"> </w:t>
      </w:r>
      <w:r>
        <w:t>be</w:t>
      </w:r>
      <w:r>
        <w:rPr>
          <w:spacing w:val="-3"/>
        </w:rPr>
        <w:t xml:space="preserve"> </w:t>
      </w:r>
      <w:r>
        <w:t>life</w:t>
      </w:r>
      <w:r>
        <w:rPr>
          <w:spacing w:val="-3"/>
        </w:rPr>
        <w:t xml:space="preserve"> </w:t>
      </w:r>
      <w:r>
        <w:t>changing</w:t>
      </w:r>
      <w:r>
        <w:rPr>
          <w:spacing w:val="-3"/>
        </w:rPr>
        <w:t xml:space="preserve"> </w:t>
      </w:r>
      <w:r>
        <w:t>and</w:t>
      </w:r>
      <w:r>
        <w:rPr>
          <w:spacing w:val="-3"/>
        </w:rPr>
        <w:t xml:space="preserve"> </w:t>
      </w:r>
      <w:r>
        <w:t>that</w:t>
      </w:r>
      <w:r>
        <w:rPr>
          <w:spacing w:val="-3"/>
        </w:rPr>
        <w:t xml:space="preserve"> </w:t>
      </w:r>
      <w:r>
        <w:t>the</w:t>
      </w:r>
      <w:r>
        <w:rPr>
          <w:spacing w:val="-3"/>
        </w:rPr>
        <w:t xml:space="preserve"> </w:t>
      </w:r>
      <w:r>
        <w:t>nature of this risk should be appropriately understood, represented and disseminated. We are</w:t>
      </w:r>
    </w:p>
    <w:p w14:paraId="24F987FF" w14:textId="77777777" w:rsidR="00DF0C80" w:rsidRDefault="00DF0C80">
      <w:pPr>
        <w:sectPr w:rsidR="00DF0C80">
          <w:headerReference w:type="default" r:id="rId10"/>
          <w:footerReference w:type="default" r:id="rId11"/>
          <w:type w:val="continuous"/>
          <w:pgSz w:w="11900" w:h="16840"/>
          <w:pgMar w:top="1700" w:right="1680" w:bottom="1400" w:left="1680" w:header="280" w:footer="1202" w:gutter="0"/>
          <w:pgNumType w:start="1"/>
          <w:cols w:space="720"/>
        </w:sectPr>
      </w:pPr>
    </w:p>
    <w:p w14:paraId="24F98800" w14:textId="77777777" w:rsidR="00DF0C80" w:rsidRDefault="00C46ED3">
      <w:pPr>
        <w:pStyle w:val="BodyText"/>
        <w:spacing w:before="90"/>
        <w:ind w:right="148"/>
      </w:pPr>
      <w:r>
        <w:lastRenderedPageBreak/>
        <w:t xml:space="preserve">aware of a patient in England who switched from </w:t>
      </w:r>
      <w:proofErr w:type="spellStart"/>
      <w:r>
        <w:t>ravulizumab</w:t>
      </w:r>
      <w:proofErr w:type="spellEnd"/>
      <w:r>
        <w:t xml:space="preserve"> to </w:t>
      </w:r>
      <w:proofErr w:type="spellStart"/>
      <w:r>
        <w:t>crovalimab</w:t>
      </w:r>
      <w:proofErr w:type="spellEnd"/>
      <w:r>
        <w:t xml:space="preserve"> two years ago (April 2022) and then stopped the </w:t>
      </w:r>
      <w:proofErr w:type="spellStart"/>
      <w:r>
        <w:t>crovalimab</w:t>
      </w:r>
      <w:proofErr w:type="spellEnd"/>
      <w:r>
        <w:t xml:space="preserve"> trial after experiencing a serious adverse event. To this day, this patient experiences constant numbness and pain in both hands</w:t>
      </w:r>
      <w:r>
        <w:rPr>
          <w:spacing w:val="40"/>
        </w:rPr>
        <w:t xml:space="preserve"> </w:t>
      </w:r>
      <w:r>
        <w:t>which</w:t>
      </w:r>
      <w:r>
        <w:rPr>
          <w:spacing w:val="-3"/>
        </w:rPr>
        <w:t xml:space="preserve"> </w:t>
      </w:r>
      <w:r>
        <w:t>are</w:t>
      </w:r>
      <w:r>
        <w:rPr>
          <w:spacing w:val="-3"/>
        </w:rPr>
        <w:t xml:space="preserve"> </w:t>
      </w:r>
      <w:r>
        <w:t>very</w:t>
      </w:r>
      <w:r>
        <w:rPr>
          <w:spacing w:val="-3"/>
        </w:rPr>
        <w:t xml:space="preserve"> </w:t>
      </w:r>
      <w:r>
        <w:t>sensitive</w:t>
      </w:r>
      <w:r>
        <w:rPr>
          <w:spacing w:val="-3"/>
        </w:rPr>
        <w:t xml:space="preserve"> </w:t>
      </w:r>
      <w:r>
        <w:t>to</w:t>
      </w:r>
      <w:r>
        <w:rPr>
          <w:spacing w:val="-3"/>
        </w:rPr>
        <w:t xml:space="preserve"> </w:t>
      </w:r>
      <w:r>
        <w:t>changes</w:t>
      </w:r>
      <w:r>
        <w:rPr>
          <w:spacing w:val="-3"/>
        </w:rPr>
        <w:t xml:space="preserve"> </w:t>
      </w:r>
      <w:r>
        <w:t>in</w:t>
      </w:r>
      <w:r>
        <w:rPr>
          <w:spacing w:val="-3"/>
        </w:rPr>
        <w:t xml:space="preserve"> </w:t>
      </w:r>
      <w:r>
        <w:t>temperature</w:t>
      </w:r>
      <w:r>
        <w:rPr>
          <w:spacing w:val="-3"/>
        </w:rPr>
        <w:t xml:space="preserve"> </w:t>
      </w:r>
      <w:r>
        <w:t>and</w:t>
      </w:r>
      <w:r>
        <w:rPr>
          <w:spacing w:val="-3"/>
        </w:rPr>
        <w:t xml:space="preserve"> </w:t>
      </w:r>
      <w:r>
        <w:t>which</w:t>
      </w:r>
      <w:r>
        <w:rPr>
          <w:spacing w:val="-3"/>
        </w:rPr>
        <w:t xml:space="preserve"> </w:t>
      </w:r>
      <w:r>
        <w:t>numbness</w:t>
      </w:r>
      <w:r>
        <w:rPr>
          <w:spacing w:val="-3"/>
        </w:rPr>
        <w:t xml:space="preserve"> </w:t>
      </w:r>
      <w:r>
        <w:t>makes</w:t>
      </w:r>
      <w:r>
        <w:rPr>
          <w:spacing w:val="-3"/>
        </w:rPr>
        <w:t xml:space="preserve"> </w:t>
      </w:r>
      <w:r>
        <w:t>it</w:t>
      </w:r>
      <w:r>
        <w:rPr>
          <w:spacing w:val="-3"/>
        </w:rPr>
        <w:t xml:space="preserve"> </w:t>
      </w:r>
      <w:r>
        <w:t>difficult</w:t>
      </w:r>
      <w:r>
        <w:rPr>
          <w:spacing w:val="-3"/>
        </w:rPr>
        <w:t xml:space="preserve"> </w:t>
      </w:r>
      <w:r>
        <w:t xml:space="preserve">to write and otherwise use their hands. The patients also </w:t>
      </w:r>
      <w:proofErr w:type="gramStart"/>
      <w:r>
        <w:t>has</w:t>
      </w:r>
      <w:proofErr w:type="gramEnd"/>
      <w:r>
        <w:t xml:space="preserve"> frequent pain and numbness down one side (arm and leg) and severe cramping in her legs and hands. The patient currently takes Pregabalin and Duloxe</w:t>
      </w:r>
      <w:r>
        <w:t xml:space="preserve">tine to assist with these symptoms (which have side effects e.g. fatigue and is also under the care of neurologists and a physiotherapist, who are attempting to treat her as she understands she has nerve damage. Her quality of life, her mental health, as well as her family and social life have been significantly negatively impacted by this situation over the last two years. She is also now unable to work </w:t>
      </w:r>
      <w:proofErr w:type="gramStart"/>
      <w:r>
        <w:t>as a result of</w:t>
      </w:r>
      <w:proofErr w:type="gramEnd"/>
      <w:r>
        <w:t xml:space="preserve"> her injuries which has also had financial implications.”</w:t>
      </w:r>
    </w:p>
    <w:p w14:paraId="24F98801" w14:textId="77777777" w:rsidR="00DF0C80" w:rsidRDefault="00DF0C80">
      <w:pPr>
        <w:pStyle w:val="BodyText"/>
        <w:spacing w:before="8"/>
        <w:ind w:left="0"/>
      </w:pPr>
    </w:p>
    <w:p w14:paraId="24F98802" w14:textId="77777777" w:rsidR="00DF0C80" w:rsidRDefault="00C46ED3">
      <w:pPr>
        <w:pStyle w:val="BodyText"/>
        <w:spacing w:line="235" w:lineRule="auto"/>
      </w:pPr>
      <w:r>
        <w:t>On</w:t>
      </w:r>
      <w:r>
        <w:rPr>
          <w:spacing w:val="-3"/>
        </w:rPr>
        <w:t xml:space="preserve"> </w:t>
      </w:r>
      <w:r>
        <w:t>17</w:t>
      </w:r>
      <w:r>
        <w:rPr>
          <w:spacing w:val="-3"/>
        </w:rPr>
        <w:t xml:space="preserve"> </w:t>
      </w:r>
      <w:r>
        <w:t>August</w:t>
      </w:r>
      <w:r>
        <w:rPr>
          <w:spacing w:val="-3"/>
        </w:rPr>
        <w:t xml:space="preserve"> </w:t>
      </w:r>
      <w:r>
        <w:t>2024,</w:t>
      </w:r>
      <w:r>
        <w:rPr>
          <w:spacing w:val="-3"/>
        </w:rPr>
        <w:t xml:space="preserve"> </w:t>
      </w:r>
      <w:r>
        <w:t>PNH</w:t>
      </w:r>
      <w:r>
        <w:rPr>
          <w:spacing w:val="-3"/>
        </w:rPr>
        <w:t xml:space="preserve"> </w:t>
      </w:r>
      <w:r>
        <w:t>Support</w:t>
      </w:r>
      <w:r>
        <w:rPr>
          <w:spacing w:val="-3"/>
        </w:rPr>
        <w:t xml:space="preserve"> </w:t>
      </w:r>
      <w:r>
        <w:t>sent</w:t>
      </w:r>
      <w:r>
        <w:rPr>
          <w:spacing w:val="-3"/>
        </w:rPr>
        <w:t xml:space="preserve"> </w:t>
      </w:r>
      <w:r>
        <w:t>a</w:t>
      </w:r>
      <w:r>
        <w:rPr>
          <w:spacing w:val="-3"/>
        </w:rPr>
        <w:t xml:space="preserve"> </w:t>
      </w:r>
      <w:r>
        <w:t>further</w:t>
      </w:r>
      <w:r>
        <w:rPr>
          <w:spacing w:val="-3"/>
        </w:rPr>
        <w:t xml:space="preserve"> </w:t>
      </w:r>
      <w:r>
        <w:t>communication</w:t>
      </w:r>
      <w:r>
        <w:rPr>
          <w:spacing w:val="-2"/>
        </w:rPr>
        <w:t xml:space="preserve"> </w:t>
      </w:r>
      <w:r>
        <w:t>by</w:t>
      </w:r>
      <w:r>
        <w:rPr>
          <w:spacing w:val="-3"/>
        </w:rPr>
        <w:t xml:space="preserve"> </w:t>
      </w:r>
      <w:r>
        <w:t>email</w:t>
      </w:r>
      <w:r>
        <w:rPr>
          <w:spacing w:val="40"/>
        </w:rPr>
        <w:t xml:space="preserve"> </w:t>
      </w:r>
      <w:r>
        <w:t>to</w:t>
      </w:r>
      <w:r>
        <w:rPr>
          <w:spacing w:val="-3"/>
        </w:rPr>
        <w:t xml:space="preserve"> </w:t>
      </w:r>
      <w:r>
        <w:t>NICE</w:t>
      </w:r>
      <w:r>
        <w:rPr>
          <w:spacing w:val="-3"/>
        </w:rPr>
        <w:t xml:space="preserve"> </w:t>
      </w:r>
      <w:r>
        <w:t>to</w:t>
      </w:r>
      <w:r>
        <w:rPr>
          <w:spacing w:val="-3"/>
        </w:rPr>
        <w:t xml:space="preserve"> </w:t>
      </w:r>
      <w:r>
        <w:t>which confirmation of receipt was received by NICE on 19 August 2024, setting out as follows:</w:t>
      </w:r>
    </w:p>
    <w:p w14:paraId="24F98803" w14:textId="77777777" w:rsidR="00DF0C80" w:rsidRDefault="00DF0C80">
      <w:pPr>
        <w:pStyle w:val="BodyText"/>
        <w:spacing w:before="2"/>
        <w:ind w:left="0"/>
      </w:pPr>
    </w:p>
    <w:p w14:paraId="24F98804" w14:textId="77777777" w:rsidR="00DF0C80" w:rsidRDefault="00C46ED3">
      <w:pPr>
        <w:pStyle w:val="BodyText"/>
        <w:ind w:right="191"/>
      </w:pPr>
      <w:r>
        <w:rPr>
          <w:color w:val="242424"/>
        </w:rPr>
        <w:t xml:space="preserve">“The Board of PNH Support has become aware of a compensation claim against Roche relating to a participant of a </w:t>
      </w:r>
      <w:proofErr w:type="spellStart"/>
      <w:r>
        <w:rPr>
          <w:color w:val="242424"/>
        </w:rPr>
        <w:t>crovalimab</w:t>
      </w:r>
      <w:proofErr w:type="spellEnd"/>
      <w:r>
        <w:rPr>
          <w:color w:val="242424"/>
        </w:rPr>
        <w:t xml:space="preserve"> trial who suffered injury (to which we referred in our</w:t>
      </w:r>
      <w:r>
        <w:rPr>
          <w:color w:val="242424"/>
          <w:spacing w:val="-3"/>
        </w:rPr>
        <w:t xml:space="preserve"> </w:t>
      </w:r>
      <w:r>
        <w:rPr>
          <w:color w:val="242424"/>
        </w:rPr>
        <w:t>patient</w:t>
      </w:r>
      <w:r>
        <w:rPr>
          <w:color w:val="242424"/>
          <w:spacing w:val="-3"/>
        </w:rPr>
        <w:t xml:space="preserve"> </w:t>
      </w:r>
      <w:proofErr w:type="spellStart"/>
      <w:r>
        <w:rPr>
          <w:color w:val="242424"/>
        </w:rPr>
        <w:t>organisation</w:t>
      </w:r>
      <w:proofErr w:type="spellEnd"/>
      <w:r>
        <w:rPr>
          <w:color w:val="242424"/>
          <w:spacing w:val="-3"/>
        </w:rPr>
        <w:t xml:space="preserve"> </w:t>
      </w:r>
      <w:r>
        <w:rPr>
          <w:color w:val="242424"/>
        </w:rPr>
        <w:t>submission</w:t>
      </w:r>
      <w:r>
        <w:rPr>
          <w:color w:val="242424"/>
          <w:spacing w:val="-3"/>
        </w:rPr>
        <w:t xml:space="preserve"> </w:t>
      </w:r>
      <w:r>
        <w:rPr>
          <w:color w:val="242424"/>
        </w:rPr>
        <w:t>for</w:t>
      </w:r>
      <w:r>
        <w:rPr>
          <w:color w:val="242424"/>
          <w:spacing w:val="-3"/>
        </w:rPr>
        <w:t xml:space="preserve"> </w:t>
      </w:r>
      <w:r>
        <w:rPr>
          <w:color w:val="242424"/>
        </w:rPr>
        <w:t>this</w:t>
      </w:r>
      <w:r>
        <w:rPr>
          <w:color w:val="242424"/>
          <w:spacing w:val="-3"/>
        </w:rPr>
        <w:t xml:space="preserve"> </w:t>
      </w:r>
      <w:r>
        <w:rPr>
          <w:color w:val="242424"/>
        </w:rPr>
        <w:t>appraisal)</w:t>
      </w:r>
      <w:r>
        <w:rPr>
          <w:color w:val="242424"/>
          <w:spacing w:val="-3"/>
        </w:rPr>
        <w:t xml:space="preserve"> </w:t>
      </w:r>
      <w:r>
        <w:rPr>
          <w:color w:val="242424"/>
        </w:rPr>
        <w:t>and</w:t>
      </w:r>
      <w:r>
        <w:rPr>
          <w:color w:val="242424"/>
          <w:spacing w:val="-3"/>
        </w:rPr>
        <w:t xml:space="preserve"> </w:t>
      </w:r>
      <w:r>
        <w:rPr>
          <w:color w:val="242424"/>
        </w:rPr>
        <w:t>we</w:t>
      </w:r>
      <w:r>
        <w:rPr>
          <w:color w:val="242424"/>
          <w:spacing w:val="-3"/>
        </w:rPr>
        <w:t xml:space="preserve"> </w:t>
      </w:r>
      <w:r>
        <w:rPr>
          <w:color w:val="242424"/>
        </w:rPr>
        <w:t>would</w:t>
      </w:r>
      <w:r>
        <w:rPr>
          <w:color w:val="242424"/>
          <w:spacing w:val="-3"/>
        </w:rPr>
        <w:t xml:space="preserve"> </w:t>
      </w:r>
      <w:r>
        <w:rPr>
          <w:color w:val="242424"/>
        </w:rPr>
        <w:t>like</w:t>
      </w:r>
      <w:r>
        <w:rPr>
          <w:color w:val="242424"/>
          <w:spacing w:val="-3"/>
        </w:rPr>
        <w:t xml:space="preserve"> </w:t>
      </w:r>
      <w:r>
        <w:rPr>
          <w:color w:val="242424"/>
        </w:rPr>
        <w:t>to</w:t>
      </w:r>
      <w:r>
        <w:rPr>
          <w:color w:val="242424"/>
          <w:spacing w:val="-3"/>
        </w:rPr>
        <w:t xml:space="preserve"> </w:t>
      </w:r>
      <w:r>
        <w:rPr>
          <w:color w:val="242424"/>
        </w:rPr>
        <w:t>bring</w:t>
      </w:r>
      <w:r>
        <w:rPr>
          <w:color w:val="242424"/>
          <w:spacing w:val="-3"/>
        </w:rPr>
        <w:t xml:space="preserve"> </w:t>
      </w:r>
      <w:r>
        <w:rPr>
          <w:color w:val="242424"/>
        </w:rPr>
        <w:t>this</w:t>
      </w:r>
      <w:r>
        <w:rPr>
          <w:color w:val="242424"/>
          <w:spacing w:val="-3"/>
        </w:rPr>
        <w:t xml:space="preserve"> </w:t>
      </w:r>
      <w:r>
        <w:rPr>
          <w:color w:val="242424"/>
        </w:rPr>
        <w:t>to</w:t>
      </w:r>
      <w:r>
        <w:rPr>
          <w:color w:val="242424"/>
          <w:spacing w:val="-3"/>
        </w:rPr>
        <w:t xml:space="preserve"> </w:t>
      </w:r>
      <w:r>
        <w:rPr>
          <w:color w:val="242424"/>
        </w:rPr>
        <w:t xml:space="preserve">the Committee’s </w:t>
      </w:r>
      <w:proofErr w:type="gramStart"/>
      <w:r>
        <w:rPr>
          <w:color w:val="242424"/>
        </w:rPr>
        <w:t>attention</w:t>
      </w:r>
      <w:proofErr w:type="gramEnd"/>
      <w:r>
        <w:rPr>
          <w:color w:val="242424"/>
        </w:rPr>
        <w:t xml:space="preserve"> so they are aware:</w:t>
      </w:r>
    </w:p>
    <w:p w14:paraId="24F98805" w14:textId="77777777" w:rsidR="00DF0C80" w:rsidRDefault="00DF0C80">
      <w:pPr>
        <w:pStyle w:val="BodyText"/>
        <w:spacing w:before="1"/>
        <w:ind w:left="0"/>
      </w:pPr>
    </w:p>
    <w:p w14:paraId="24F98806" w14:textId="77777777" w:rsidR="00DF0C80" w:rsidRDefault="00C46ED3">
      <w:pPr>
        <w:pStyle w:val="BodyText"/>
        <w:spacing w:before="1"/>
        <w:ind w:right="391"/>
      </w:pPr>
      <w:hyperlink r:id="rId12">
        <w:r>
          <w:rPr>
            <w:color w:val="0000FF"/>
            <w:spacing w:val="-2"/>
            <w:u w:val="single" w:color="0000FF"/>
          </w:rPr>
          <w:t>https://www.leighday.co.uk/news/news/2024-news/investigations-into-crovalimab-drug-</w:t>
        </w:r>
      </w:hyperlink>
      <w:r>
        <w:rPr>
          <w:color w:val="0000FF"/>
          <w:spacing w:val="-2"/>
        </w:rPr>
        <w:t xml:space="preserve"> </w:t>
      </w:r>
      <w:r>
        <w:rPr>
          <w:color w:val="0000FF"/>
          <w:spacing w:val="-2"/>
          <w:u w:val="single" w:color="0000FF"/>
        </w:rPr>
        <w:t>trial-compensation-claim-after-participant-s-nerve-damage-diagnosis/</w:t>
      </w:r>
    </w:p>
    <w:p w14:paraId="24F98807" w14:textId="77777777" w:rsidR="00DF0C80" w:rsidRDefault="00DF0C80">
      <w:pPr>
        <w:pStyle w:val="BodyText"/>
        <w:ind w:left="0"/>
      </w:pPr>
    </w:p>
    <w:p w14:paraId="24F98808" w14:textId="77777777" w:rsidR="00DF0C80" w:rsidRDefault="00C46ED3">
      <w:pPr>
        <w:pStyle w:val="BodyText"/>
        <w:spacing w:line="480" w:lineRule="auto"/>
        <w:ind w:right="391"/>
      </w:pPr>
      <w:r>
        <w:rPr>
          <w:color w:val="242424"/>
        </w:rPr>
        <w:t>If</w:t>
      </w:r>
      <w:r>
        <w:rPr>
          <w:color w:val="242424"/>
          <w:spacing w:val="-3"/>
        </w:rPr>
        <w:t xml:space="preserve"> </w:t>
      </w:r>
      <w:r>
        <w:rPr>
          <w:color w:val="242424"/>
        </w:rPr>
        <w:t>you</w:t>
      </w:r>
      <w:r>
        <w:rPr>
          <w:color w:val="242424"/>
          <w:spacing w:val="-3"/>
        </w:rPr>
        <w:t xml:space="preserve"> </w:t>
      </w:r>
      <w:r>
        <w:rPr>
          <w:color w:val="242424"/>
        </w:rPr>
        <w:t>require</w:t>
      </w:r>
      <w:r>
        <w:rPr>
          <w:color w:val="242424"/>
          <w:spacing w:val="-3"/>
        </w:rPr>
        <w:t xml:space="preserve"> </w:t>
      </w:r>
      <w:r>
        <w:rPr>
          <w:color w:val="242424"/>
        </w:rPr>
        <w:t>us</w:t>
      </w:r>
      <w:r>
        <w:rPr>
          <w:color w:val="242424"/>
          <w:spacing w:val="-3"/>
        </w:rPr>
        <w:t xml:space="preserve"> </w:t>
      </w:r>
      <w:r>
        <w:rPr>
          <w:color w:val="242424"/>
        </w:rPr>
        <w:t>to</w:t>
      </w:r>
      <w:r>
        <w:rPr>
          <w:color w:val="242424"/>
          <w:spacing w:val="-3"/>
        </w:rPr>
        <w:t xml:space="preserve"> </w:t>
      </w:r>
      <w:r>
        <w:rPr>
          <w:color w:val="242424"/>
        </w:rPr>
        <w:t>submit</w:t>
      </w:r>
      <w:r>
        <w:rPr>
          <w:color w:val="242424"/>
          <w:spacing w:val="-3"/>
        </w:rPr>
        <w:t xml:space="preserve"> </w:t>
      </w:r>
      <w:r>
        <w:rPr>
          <w:color w:val="242424"/>
        </w:rPr>
        <w:t>this</w:t>
      </w:r>
      <w:r>
        <w:rPr>
          <w:color w:val="242424"/>
          <w:spacing w:val="-3"/>
        </w:rPr>
        <w:t xml:space="preserve"> </w:t>
      </w:r>
      <w:r>
        <w:rPr>
          <w:color w:val="242424"/>
        </w:rPr>
        <w:t>information</w:t>
      </w:r>
      <w:r>
        <w:rPr>
          <w:color w:val="242424"/>
          <w:spacing w:val="-3"/>
        </w:rPr>
        <w:t xml:space="preserve"> </w:t>
      </w:r>
      <w:r>
        <w:rPr>
          <w:color w:val="242424"/>
        </w:rPr>
        <w:t>in</w:t>
      </w:r>
      <w:r>
        <w:rPr>
          <w:color w:val="242424"/>
          <w:spacing w:val="-3"/>
        </w:rPr>
        <w:t xml:space="preserve"> </w:t>
      </w:r>
      <w:r>
        <w:rPr>
          <w:color w:val="242424"/>
        </w:rPr>
        <w:t>another</w:t>
      </w:r>
      <w:r>
        <w:rPr>
          <w:color w:val="242424"/>
          <w:spacing w:val="-3"/>
        </w:rPr>
        <w:t xml:space="preserve"> </w:t>
      </w:r>
      <w:r>
        <w:rPr>
          <w:color w:val="242424"/>
        </w:rPr>
        <w:t>format,</w:t>
      </w:r>
      <w:r>
        <w:rPr>
          <w:color w:val="242424"/>
          <w:spacing w:val="-3"/>
        </w:rPr>
        <w:t xml:space="preserve"> </w:t>
      </w:r>
      <w:r>
        <w:rPr>
          <w:color w:val="242424"/>
        </w:rPr>
        <w:t>please</w:t>
      </w:r>
      <w:r>
        <w:rPr>
          <w:color w:val="242424"/>
          <w:spacing w:val="-3"/>
        </w:rPr>
        <w:t xml:space="preserve"> </w:t>
      </w:r>
      <w:r>
        <w:rPr>
          <w:color w:val="242424"/>
        </w:rPr>
        <w:t>let</w:t>
      </w:r>
      <w:r>
        <w:rPr>
          <w:color w:val="242424"/>
          <w:spacing w:val="-3"/>
        </w:rPr>
        <w:t xml:space="preserve"> </w:t>
      </w:r>
      <w:r>
        <w:rPr>
          <w:color w:val="242424"/>
        </w:rPr>
        <w:t>us</w:t>
      </w:r>
      <w:r>
        <w:rPr>
          <w:color w:val="242424"/>
          <w:spacing w:val="-3"/>
        </w:rPr>
        <w:t xml:space="preserve"> </w:t>
      </w:r>
      <w:r>
        <w:rPr>
          <w:color w:val="242424"/>
        </w:rPr>
        <w:t>know</w:t>
      </w:r>
      <w:r>
        <w:rPr>
          <w:color w:val="242424"/>
          <w:spacing w:val="-3"/>
        </w:rPr>
        <w:t xml:space="preserve"> </w:t>
      </w:r>
      <w:r>
        <w:rPr>
          <w:color w:val="242424"/>
        </w:rPr>
        <w:t>how.” No further communication was received by us from NICE about this.</w:t>
      </w:r>
    </w:p>
    <w:p w14:paraId="24F98809" w14:textId="77777777" w:rsidR="00DF0C80" w:rsidRDefault="00C46ED3">
      <w:pPr>
        <w:pStyle w:val="BodyText"/>
        <w:spacing w:line="241" w:lineRule="exact"/>
      </w:pPr>
      <w:r>
        <w:t>The</w:t>
      </w:r>
      <w:r>
        <w:rPr>
          <w:spacing w:val="-9"/>
        </w:rPr>
        <w:t xml:space="preserve"> </w:t>
      </w:r>
      <w:r>
        <w:t>results</w:t>
      </w:r>
      <w:r>
        <w:rPr>
          <w:spacing w:val="-6"/>
        </w:rPr>
        <w:t xml:space="preserve"> </w:t>
      </w:r>
      <w:r>
        <w:t>relating</w:t>
      </w:r>
      <w:r>
        <w:rPr>
          <w:spacing w:val="-6"/>
        </w:rPr>
        <w:t xml:space="preserve"> </w:t>
      </w:r>
      <w:r>
        <w:t>to</w:t>
      </w:r>
      <w:r>
        <w:rPr>
          <w:spacing w:val="-6"/>
        </w:rPr>
        <w:t xml:space="preserve"> </w:t>
      </w:r>
      <w:r>
        <w:t>serious</w:t>
      </w:r>
      <w:r>
        <w:rPr>
          <w:spacing w:val="-7"/>
        </w:rPr>
        <w:t xml:space="preserve"> </w:t>
      </w:r>
      <w:r>
        <w:t>adverse</w:t>
      </w:r>
      <w:r>
        <w:rPr>
          <w:spacing w:val="-6"/>
        </w:rPr>
        <w:t xml:space="preserve"> </w:t>
      </w:r>
      <w:r>
        <w:t>events</w:t>
      </w:r>
      <w:r>
        <w:rPr>
          <w:spacing w:val="-6"/>
        </w:rPr>
        <w:t xml:space="preserve"> </w:t>
      </w:r>
      <w:r>
        <w:t>(SAEs)</w:t>
      </w:r>
      <w:r>
        <w:rPr>
          <w:spacing w:val="-6"/>
        </w:rPr>
        <w:t xml:space="preserve"> </w:t>
      </w:r>
      <w:r>
        <w:t>concerning</w:t>
      </w:r>
      <w:r>
        <w:rPr>
          <w:spacing w:val="-7"/>
        </w:rPr>
        <w:t xml:space="preserve"> </w:t>
      </w:r>
      <w:r>
        <w:t>the</w:t>
      </w:r>
      <w:r>
        <w:rPr>
          <w:spacing w:val="-6"/>
        </w:rPr>
        <w:t xml:space="preserve"> </w:t>
      </w:r>
      <w:r>
        <w:t>patients</w:t>
      </w:r>
      <w:r>
        <w:rPr>
          <w:spacing w:val="-6"/>
        </w:rPr>
        <w:t xml:space="preserve"> </w:t>
      </w:r>
      <w:r>
        <w:t>switched</w:t>
      </w:r>
      <w:r>
        <w:rPr>
          <w:spacing w:val="-6"/>
        </w:rPr>
        <w:t xml:space="preserve"> </w:t>
      </w:r>
      <w:r>
        <w:rPr>
          <w:spacing w:val="-4"/>
        </w:rPr>
        <w:t>from</w:t>
      </w:r>
    </w:p>
    <w:p w14:paraId="24F9880A" w14:textId="77777777" w:rsidR="00DF0C80" w:rsidRDefault="00C46ED3">
      <w:pPr>
        <w:spacing w:before="1"/>
        <w:ind w:left="120"/>
        <w:rPr>
          <w:i/>
        </w:rPr>
      </w:pPr>
      <w:proofErr w:type="spellStart"/>
      <w:r>
        <w:t>ravulizumab</w:t>
      </w:r>
      <w:proofErr w:type="spellEnd"/>
      <w:r>
        <w:rPr>
          <w:spacing w:val="-4"/>
        </w:rPr>
        <w:t xml:space="preserve"> </w:t>
      </w:r>
      <w:r>
        <w:t>to</w:t>
      </w:r>
      <w:r>
        <w:rPr>
          <w:spacing w:val="-4"/>
        </w:rPr>
        <w:t xml:space="preserve"> </w:t>
      </w:r>
      <w:proofErr w:type="spellStart"/>
      <w:r>
        <w:t>crovalimab</w:t>
      </w:r>
      <w:proofErr w:type="spellEnd"/>
      <w:r>
        <w:rPr>
          <w:spacing w:val="-2"/>
        </w:rPr>
        <w:t xml:space="preserve"> </w:t>
      </w:r>
      <w:r>
        <w:t>have</w:t>
      </w:r>
      <w:r>
        <w:rPr>
          <w:spacing w:val="-4"/>
        </w:rPr>
        <w:t xml:space="preserve"> </w:t>
      </w:r>
      <w:r>
        <w:t>been</w:t>
      </w:r>
      <w:r>
        <w:rPr>
          <w:spacing w:val="-4"/>
        </w:rPr>
        <w:t xml:space="preserve"> </w:t>
      </w:r>
      <w:r>
        <w:t>redacted</w:t>
      </w:r>
      <w:r>
        <w:rPr>
          <w:spacing w:val="-4"/>
        </w:rPr>
        <w:t xml:space="preserve"> </w:t>
      </w:r>
      <w:r>
        <w:t>in</w:t>
      </w:r>
      <w:r>
        <w:rPr>
          <w:spacing w:val="-4"/>
        </w:rPr>
        <w:t xml:space="preserve"> </w:t>
      </w:r>
      <w:r>
        <w:t>the</w:t>
      </w:r>
      <w:r>
        <w:rPr>
          <w:spacing w:val="-4"/>
        </w:rPr>
        <w:t xml:space="preserve"> </w:t>
      </w:r>
      <w:r>
        <w:t>FDG</w:t>
      </w:r>
      <w:r>
        <w:rPr>
          <w:spacing w:val="-4"/>
        </w:rPr>
        <w:t xml:space="preserve"> </w:t>
      </w:r>
      <w:r>
        <w:t>Committee</w:t>
      </w:r>
      <w:r>
        <w:rPr>
          <w:spacing w:val="-4"/>
        </w:rPr>
        <w:t xml:space="preserve"> </w:t>
      </w:r>
      <w:r>
        <w:t>Papers</w:t>
      </w:r>
      <w:r>
        <w:rPr>
          <w:spacing w:val="-4"/>
        </w:rPr>
        <w:t xml:space="preserve"> </w:t>
      </w:r>
      <w:r>
        <w:t>at</w:t>
      </w:r>
      <w:r>
        <w:rPr>
          <w:spacing w:val="-4"/>
        </w:rPr>
        <w:t xml:space="preserve"> </w:t>
      </w:r>
      <w:r>
        <w:t>B.3.10.3. under the heading “</w:t>
      </w:r>
      <w:r>
        <w:rPr>
          <w:i/>
        </w:rPr>
        <w:t xml:space="preserve">Safety in patients switching from </w:t>
      </w:r>
      <w:proofErr w:type="spellStart"/>
      <w:r>
        <w:rPr>
          <w:i/>
        </w:rPr>
        <w:t>ravulizumab</w:t>
      </w:r>
      <w:proofErr w:type="spellEnd"/>
      <w:r>
        <w:rPr>
          <w:i/>
        </w:rPr>
        <w:t xml:space="preserve"> treatment.”</w:t>
      </w:r>
    </w:p>
    <w:p w14:paraId="24F9880B" w14:textId="77777777" w:rsidR="00DF0C80" w:rsidRDefault="00C46ED3">
      <w:pPr>
        <w:pStyle w:val="BodyText"/>
        <w:spacing w:before="240"/>
        <w:ind w:right="191"/>
      </w:pPr>
      <w:r>
        <w:t>NICE informed PNH Support by email on 23 September 2024, that “</w:t>
      </w:r>
      <w:r>
        <w:rPr>
          <w:color w:val="242424"/>
        </w:rPr>
        <w:t>The company has marked</w:t>
      </w:r>
      <w:r>
        <w:rPr>
          <w:color w:val="242424"/>
          <w:spacing w:val="-3"/>
        </w:rPr>
        <w:t xml:space="preserve"> </w:t>
      </w:r>
      <w:r>
        <w:rPr>
          <w:color w:val="242424"/>
        </w:rPr>
        <w:t>this</w:t>
      </w:r>
      <w:r>
        <w:rPr>
          <w:color w:val="242424"/>
          <w:spacing w:val="-3"/>
        </w:rPr>
        <w:t xml:space="preserve"> </w:t>
      </w:r>
      <w:r>
        <w:rPr>
          <w:color w:val="242424"/>
        </w:rPr>
        <w:t>information</w:t>
      </w:r>
      <w:r>
        <w:rPr>
          <w:color w:val="242424"/>
          <w:spacing w:val="-3"/>
        </w:rPr>
        <w:t xml:space="preserve"> </w:t>
      </w:r>
      <w:r>
        <w:rPr>
          <w:color w:val="242424"/>
        </w:rPr>
        <w:t>as</w:t>
      </w:r>
      <w:r>
        <w:rPr>
          <w:color w:val="242424"/>
          <w:spacing w:val="-3"/>
        </w:rPr>
        <w:t xml:space="preserve"> </w:t>
      </w:r>
      <w:r>
        <w:rPr>
          <w:color w:val="242424"/>
        </w:rPr>
        <w:t>confidential</w:t>
      </w:r>
      <w:r>
        <w:rPr>
          <w:color w:val="242424"/>
          <w:spacing w:val="-3"/>
        </w:rPr>
        <w:t xml:space="preserve"> </w:t>
      </w:r>
      <w:r>
        <w:rPr>
          <w:color w:val="242424"/>
        </w:rPr>
        <w:t>as</w:t>
      </w:r>
      <w:r>
        <w:rPr>
          <w:color w:val="242424"/>
          <w:spacing w:val="-3"/>
        </w:rPr>
        <w:t xml:space="preserve"> </w:t>
      </w:r>
      <w:r>
        <w:rPr>
          <w:color w:val="242424"/>
        </w:rPr>
        <w:t>it</w:t>
      </w:r>
      <w:r>
        <w:rPr>
          <w:color w:val="242424"/>
          <w:spacing w:val="-3"/>
        </w:rPr>
        <w:t xml:space="preserve"> </w:t>
      </w:r>
      <w:r>
        <w:rPr>
          <w:color w:val="242424"/>
        </w:rPr>
        <w:t>relates</w:t>
      </w:r>
      <w:r>
        <w:rPr>
          <w:color w:val="242424"/>
          <w:spacing w:val="-3"/>
        </w:rPr>
        <w:t xml:space="preserve"> </w:t>
      </w:r>
      <w:r>
        <w:rPr>
          <w:color w:val="242424"/>
        </w:rPr>
        <w:t>to</w:t>
      </w:r>
      <w:r>
        <w:rPr>
          <w:color w:val="242424"/>
          <w:spacing w:val="-3"/>
        </w:rPr>
        <w:t xml:space="preserve"> </w:t>
      </w:r>
      <w:r>
        <w:rPr>
          <w:color w:val="242424"/>
        </w:rPr>
        <w:t>study</w:t>
      </w:r>
      <w:r>
        <w:rPr>
          <w:color w:val="242424"/>
          <w:spacing w:val="-3"/>
        </w:rPr>
        <w:t xml:space="preserve"> </w:t>
      </w:r>
      <w:r>
        <w:rPr>
          <w:color w:val="242424"/>
        </w:rPr>
        <w:t>results</w:t>
      </w:r>
      <w:r>
        <w:rPr>
          <w:color w:val="242424"/>
          <w:spacing w:val="-3"/>
        </w:rPr>
        <w:t xml:space="preserve"> </w:t>
      </w:r>
      <w:r>
        <w:rPr>
          <w:color w:val="242424"/>
        </w:rPr>
        <w:t>which</w:t>
      </w:r>
      <w:r>
        <w:rPr>
          <w:color w:val="242424"/>
          <w:spacing w:val="-3"/>
        </w:rPr>
        <w:t xml:space="preserve"> </w:t>
      </w:r>
      <w:r>
        <w:rPr>
          <w:color w:val="242424"/>
        </w:rPr>
        <w:t>will</w:t>
      </w:r>
      <w:r>
        <w:rPr>
          <w:color w:val="242424"/>
          <w:spacing w:val="-3"/>
        </w:rPr>
        <w:t xml:space="preserve"> </w:t>
      </w:r>
      <w:r>
        <w:rPr>
          <w:color w:val="242424"/>
        </w:rPr>
        <w:t>remain confidential indefinitely.”</w:t>
      </w:r>
    </w:p>
    <w:p w14:paraId="24F9880C" w14:textId="77777777" w:rsidR="00DF0C80" w:rsidRDefault="00DF0C80">
      <w:pPr>
        <w:pStyle w:val="BodyText"/>
        <w:spacing w:before="58"/>
        <w:ind w:left="0"/>
      </w:pPr>
    </w:p>
    <w:p w14:paraId="24F9880D" w14:textId="77777777" w:rsidR="00DF0C80" w:rsidRDefault="00C46ED3">
      <w:pPr>
        <w:pStyle w:val="BodyText"/>
        <w:spacing w:before="1"/>
        <w:ind w:right="191"/>
      </w:pPr>
      <w:r>
        <w:rPr>
          <w:color w:val="242424"/>
        </w:rPr>
        <w:t>Due to our inability to review this aspect of the clinical trial results from patients switching from</w:t>
      </w:r>
      <w:r>
        <w:rPr>
          <w:color w:val="242424"/>
          <w:spacing w:val="-3"/>
        </w:rPr>
        <w:t xml:space="preserve"> </w:t>
      </w:r>
      <w:proofErr w:type="spellStart"/>
      <w:r>
        <w:rPr>
          <w:color w:val="242424"/>
        </w:rPr>
        <w:t>ravulizumab</w:t>
      </w:r>
      <w:proofErr w:type="spellEnd"/>
      <w:r>
        <w:rPr>
          <w:color w:val="242424"/>
          <w:spacing w:val="-3"/>
        </w:rPr>
        <w:t xml:space="preserve"> </w:t>
      </w:r>
      <w:r>
        <w:rPr>
          <w:color w:val="242424"/>
        </w:rPr>
        <w:t>to</w:t>
      </w:r>
      <w:r>
        <w:rPr>
          <w:color w:val="242424"/>
          <w:spacing w:val="-3"/>
        </w:rPr>
        <w:t xml:space="preserve"> </w:t>
      </w:r>
      <w:proofErr w:type="spellStart"/>
      <w:r>
        <w:rPr>
          <w:color w:val="242424"/>
        </w:rPr>
        <w:t>crovalimab</w:t>
      </w:r>
      <w:proofErr w:type="spellEnd"/>
      <w:r>
        <w:rPr>
          <w:color w:val="242424"/>
        </w:rPr>
        <w:t>,</w:t>
      </w:r>
      <w:r>
        <w:rPr>
          <w:color w:val="242424"/>
          <w:spacing w:val="-3"/>
        </w:rPr>
        <w:t xml:space="preserve"> </w:t>
      </w:r>
      <w:r>
        <w:rPr>
          <w:color w:val="242424"/>
        </w:rPr>
        <w:t>we</w:t>
      </w:r>
      <w:r>
        <w:rPr>
          <w:color w:val="242424"/>
          <w:spacing w:val="-3"/>
        </w:rPr>
        <w:t xml:space="preserve"> </w:t>
      </w:r>
      <w:r>
        <w:rPr>
          <w:color w:val="242424"/>
        </w:rPr>
        <w:t>are</w:t>
      </w:r>
      <w:r>
        <w:rPr>
          <w:color w:val="242424"/>
          <w:spacing w:val="-3"/>
        </w:rPr>
        <w:t xml:space="preserve"> </w:t>
      </w:r>
      <w:r>
        <w:rPr>
          <w:color w:val="242424"/>
        </w:rPr>
        <w:t>unable</w:t>
      </w:r>
      <w:r>
        <w:rPr>
          <w:color w:val="242424"/>
          <w:spacing w:val="-3"/>
        </w:rPr>
        <w:t xml:space="preserve"> </w:t>
      </w:r>
      <w:r>
        <w:rPr>
          <w:color w:val="242424"/>
        </w:rPr>
        <w:t>to</w:t>
      </w:r>
      <w:r>
        <w:rPr>
          <w:color w:val="242424"/>
          <w:spacing w:val="-3"/>
        </w:rPr>
        <w:t xml:space="preserve"> </w:t>
      </w:r>
      <w:r>
        <w:rPr>
          <w:color w:val="242424"/>
        </w:rPr>
        <w:t>satisfy</w:t>
      </w:r>
      <w:r>
        <w:rPr>
          <w:color w:val="242424"/>
          <w:spacing w:val="-3"/>
        </w:rPr>
        <w:t xml:space="preserve"> </w:t>
      </w:r>
      <w:r>
        <w:rPr>
          <w:color w:val="242424"/>
        </w:rPr>
        <w:t>ourselves</w:t>
      </w:r>
      <w:r>
        <w:rPr>
          <w:color w:val="242424"/>
          <w:spacing w:val="-3"/>
        </w:rPr>
        <w:t xml:space="preserve"> </w:t>
      </w:r>
      <w:r>
        <w:rPr>
          <w:color w:val="242424"/>
        </w:rPr>
        <w:t>as</w:t>
      </w:r>
      <w:r>
        <w:rPr>
          <w:color w:val="242424"/>
          <w:spacing w:val="-3"/>
        </w:rPr>
        <w:t xml:space="preserve"> </w:t>
      </w:r>
      <w:r>
        <w:rPr>
          <w:color w:val="242424"/>
        </w:rPr>
        <w:t>to:</w:t>
      </w:r>
      <w:r>
        <w:rPr>
          <w:color w:val="242424"/>
          <w:spacing w:val="-3"/>
        </w:rPr>
        <w:t xml:space="preserve"> </w:t>
      </w:r>
      <w:r>
        <w:rPr>
          <w:color w:val="242424"/>
        </w:rPr>
        <w:t>a)</w:t>
      </w:r>
      <w:r>
        <w:rPr>
          <w:color w:val="242424"/>
          <w:spacing w:val="-3"/>
        </w:rPr>
        <w:t xml:space="preserve"> </w:t>
      </w:r>
      <w:r>
        <w:rPr>
          <w:color w:val="242424"/>
        </w:rPr>
        <w:t>what</w:t>
      </w:r>
      <w:r>
        <w:rPr>
          <w:color w:val="242424"/>
          <w:spacing w:val="-3"/>
        </w:rPr>
        <w:t xml:space="preserve"> </w:t>
      </w:r>
      <w:r>
        <w:rPr>
          <w:color w:val="242424"/>
        </w:rPr>
        <w:t>SAEs</w:t>
      </w:r>
      <w:r>
        <w:rPr>
          <w:color w:val="242424"/>
          <w:spacing w:val="-3"/>
        </w:rPr>
        <w:t xml:space="preserve"> </w:t>
      </w:r>
      <w:r>
        <w:rPr>
          <w:color w:val="242424"/>
        </w:rPr>
        <w:t xml:space="preserve">were reflected in the trial results submitted to NICE for this appraisal for this cohort; b) what the SAEs were; and c) whether the SAEs reported in the results submitted to NICE reflect those of which we are aware. As we are aware of three patients globally (including the UK patient now taking legal action against Roche as communicated to NICE on 17 August 2024) who suffered SAEs following switching from </w:t>
      </w:r>
      <w:proofErr w:type="spellStart"/>
      <w:r>
        <w:rPr>
          <w:color w:val="242424"/>
        </w:rPr>
        <w:t>ravulizumab</w:t>
      </w:r>
      <w:proofErr w:type="spellEnd"/>
      <w:r>
        <w:rPr>
          <w:color w:val="242424"/>
        </w:rPr>
        <w:t xml:space="preserve"> to </w:t>
      </w:r>
      <w:proofErr w:type="spellStart"/>
      <w:r>
        <w:rPr>
          <w:color w:val="242424"/>
        </w:rPr>
        <w:t>crova</w:t>
      </w:r>
      <w:r>
        <w:rPr>
          <w:color w:val="242424"/>
        </w:rPr>
        <w:t>limab</w:t>
      </w:r>
      <w:proofErr w:type="spellEnd"/>
      <w:r>
        <w:rPr>
          <w:color w:val="242424"/>
        </w:rPr>
        <w:t xml:space="preserve"> and</w:t>
      </w:r>
      <w:r>
        <w:rPr>
          <w:color w:val="242424"/>
          <w:spacing w:val="40"/>
        </w:rPr>
        <w:t xml:space="preserve"> </w:t>
      </w:r>
      <w:r>
        <w:rPr>
          <w:color w:val="242424"/>
        </w:rPr>
        <w:t xml:space="preserve">which SAEs cannot be described as </w:t>
      </w:r>
      <w:r>
        <w:t xml:space="preserve">immune complex reactions which “did not last long”, we have reason to believe that the data for these SAEs was not included in the data submitted to NICE for patients switching from </w:t>
      </w:r>
      <w:proofErr w:type="spellStart"/>
      <w:r>
        <w:t>ravulizumab</w:t>
      </w:r>
      <w:proofErr w:type="spellEnd"/>
      <w:r>
        <w:t xml:space="preserve"> to </w:t>
      </w:r>
      <w:proofErr w:type="spellStart"/>
      <w:r>
        <w:t>crovalimab</w:t>
      </w:r>
      <w:proofErr w:type="spellEnd"/>
      <w:r>
        <w:t>. Otherwise, it is inconceivable that a conclusion could be drawn in the FDG which states that “some people can experience adverse events called transient immune complex reactions. But these usually do not last long and so are not included in the economic model</w:t>
      </w:r>
      <w:r>
        <w:t>”.</w:t>
      </w:r>
    </w:p>
    <w:p w14:paraId="24F9880E" w14:textId="77777777" w:rsidR="00DF0C80" w:rsidRDefault="00DF0C80">
      <w:pPr>
        <w:sectPr w:rsidR="00DF0C80">
          <w:pgSz w:w="11900" w:h="16840"/>
          <w:pgMar w:top="1700" w:right="1680" w:bottom="1420" w:left="1680" w:header="280" w:footer="1202" w:gutter="0"/>
          <w:cols w:space="720"/>
        </w:sectPr>
      </w:pPr>
    </w:p>
    <w:p w14:paraId="24F9880F" w14:textId="77777777" w:rsidR="00DF0C80" w:rsidRDefault="00C46ED3">
      <w:pPr>
        <w:pStyle w:val="BodyText"/>
        <w:spacing w:before="90"/>
        <w:ind w:right="163"/>
      </w:pPr>
      <w:r>
        <w:lastRenderedPageBreak/>
        <w:t xml:space="preserve">The safety of patients is </w:t>
      </w:r>
      <w:proofErr w:type="gramStart"/>
      <w:r>
        <w:t>paramount</w:t>
      </w:r>
      <w:proofErr w:type="gramEnd"/>
      <w:r>
        <w:t xml:space="preserve"> and we are gravely concerned that in light of the information of which we are aware, that patients treated with </w:t>
      </w:r>
      <w:proofErr w:type="spellStart"/>
      <w:r>
        <w:t>ravulizumab</w:t>
      </w:r>
      <w:proofErr w:type="spellEnd"/>
      <w:r>
        <w:t xml:space="preserve"> who switch to </w:t>
      </w:r>
      <w:proofErr w:type="spellStart"/>
      <w:r>
        <w:t>crovalimab</w:t>
      </w:r>
      <w:proofErr w:type="spellEnd"/>
      <w:r>
        <w:t xml:space="preserve"> in future may be at risk of experiencing SAEs which are much more serious and long lasting (and potentially life changing) than what has been described in the FDG. Therefore, we consider that the recommendation is unreasonable as it was based on information submitted to NICE which led to the conclusion that “when switching from eculizumab or </w:t>
      </w:r>
      <w:proofErr w:type="spellStart"/>
      <w:r>
        <w:t>ravulizum</w:t>
      </w:r>
      <w:r>
        <w:t>ab</w:t>
      </w:r>
      <w:proofErr w:type="spellEnd"/>
      <w:r>
        <w:t xml:space="preserve"> to </w:t>
      </w:r>
      <w:proofErr w:type="spellStart"/>
      <w:r>
        <w:t>crovalimab</w:t>
      </w:r>
      <w:proofErr w:type="spellEnd"/>
      <w:r>
        <w:t>, some people can experience adverse events called</w:t>
      </w:r>
      <w:r>
        <w:rPr>
          <w:spacing w:val="-3"/>
        </w:rPr>
        <w:t xml:space="preserve"> </w:t>
      </w:r>
      <w:r>
        <w:t>transient</w:t>
      </w:r>
      <w:r>
        <w:rPr>
          <w:spacing w:val="-3"/>
        </w:rPr>
        <w:t xml:space="preserve"> </w:t>
      </w:r>
      <w:r>
        <w:t>immune</w:t>
      </w:r>
      <w:r>
        <w:rPr>
          <w:spacing w:val="-3"/>
        </w:rPr>
        <w:t xml:space="preserve"> </w:t>
      </w:r>
      <w:r>
        <w:t>complex</w:t>
      </w:r>
      <w:r>
        <w:rPr>
          <w:spacing w:val="-3"/>
        </w:rPr>
        <w:t xml:space="preserve"> </w:t>
      </w:r>
      <w:r>
        <w:t>reactions.</w:t>
      </w:r>
      <w:r>
        <w:rPr>
          <w:spacing w:val="-3"/>
        </w:rPr>
        <w:t xml:space="preserve"> </w:t>
      </w:r>
      <w:r>
        <w:t>But</w:t>
      </w:r>
      <w:r>
        <w:rPr>
          <w:spacing w:val="-3"/>
        </w:rPr>
        <w:t xml:space="preserve"> </w:t>
      </w:r>
      <w:r>
        <w:t>these</w:t>
      </w:r>
      <w:r>
        <w:rPr>
          <w:spacing w:val="-3"/>
        </w:rPr>
        <w:t xml:space="preserve"> </w:t>
      </w:r>
      <w:r>
        <w:t>usually</w:t>
      </w:r>
      <w:r>
        <w:rPr>
          <w:spacing w:val="-3"/>
        </w:rPr>
        <w:t xml:space="preserve"> </w:t>
      </w:r>
      <w:r>
        <w:t>do</w:t>
      </w:r>
      <w:r>
        <w:rPr>
          <w:spacing w:val="-3"/>
        </w:rPr>
        <w:t xml:space="preserve"> </w:t>
      </w:r>
      <w:r>
        <w:t>not</w:t>
      </w:r>
      <w:r>
        <w:rPr>
          <w:spacing w:val="-3"/>
        </w:rPr>
        <w:t xml:space="preserve"> </w:t>
      </w:r>
      <w:r>
        <w:t>last</w:t>
      </w:r>
      <w:r>
        <w:rPr>
          <w:spacing w:val="-3"/>
        </w:rPr>
        <w:t xml:space="preserve"> </w:t>
      </w:r>
      <w:r>
        <w:t>long</w:t>
      </w:r>
      <w:r>
        <w:rPr>
          <w:spacing w:val="-3"/>
        </w:rPr>
        <w:t xml:space="preserve"> </w:t>
      </w:r>
      <w:r>
        <w:t>and</w:t>
      </w:r>
      <w:r>
        <w:rPr>
          <w:spacing w:val="-3"/>
        </w:rPr>
        <w:t xml:space="preserve"> </w:t>
      </w:r>
      <w:r>
        <w:t>so</w:t>
      </w:r>
      <w:r>
        <w:rPr>
          <w:spacing w:val="-3"/>
        </w:rPr>
        <w:t xml:space="preserve"> </w:t>
      </w:r>
      <w:r>
        <w:t>are</w:t>
      </w:r>
      <w:r>
        <w:rPr>
          <w:spacing w:val="-3"/>
        </w:rPr>
        <w:t xml:space="preserve"> </w:t>
      </w:r>
      <w:r>
        <w:t>not included in the economic model”.</w:t>
      </w:r>
    </w:p>
    <w:p w14:paraId="24F98810" w14:textId="77777777" w:rsidR="00DF0C80" w:rsidRDefault="00DF0C80">
      <w:pPr>
        <w:pStyle w:val="BodyText"/>
        <w:spacing w:before="137"/>
        <w:ind w:left="0"/>
      </w:pPr>
    </w:p>
    <w:p w14:paraId="24F98811" w14:textId="77777777" w:rsidR="00DF0C80" w:rsidRDefault="00C46ED3">
      <w:pPr>
        <w:pStyle w:val="BodyText"/>
        <w:ind w:right="191"/>
      </w:pPr>
      <w:r>
        <w:t>We</w:t>
      </w:r>
      <w:r>
        <w:rPr>
          <w:spacing w:val="-3"/>
        </w:rPr>
        <w:t xml:space="preserve"> </w:t>
      </w:r>
      <w:r>
        <w:t>do</w:t>
      </w:r>
      <w:r>
        <w:rPr>
          <w:spacing w:val="-3"/>
        </w:rPr>
        <w:t xml:space="preserve"> </w:t>
      </w:r>
      <w:r>
        <w:t>not</w:t>
      </w:r>
      <w:r>
        <w:rPr>
          <w:spacing w:val="-3"/>
        </w:rPr>
        <w:t xml:space="preserve"> </w:t>
      </w:r>
      <w:r>
        <w:t>have</w:t>
      </w:r>
      <w:r>
        <w:rPr>
          <w:spacing w:val="-3"/>
        </w:rPr>
        <w:t xml:space="preserve"> </w:t>
      </w:r>
      <w:r>
        <w:t>a</w:t>
      </w:r>
      <w:r>
        <w:rPr>
          <w:spacing w:val="-3"/>
        </w:rPr>
        <w:t xml:space="preserve"> </w:t>
      </w:r>
      <w:r>
        <w:t>preference</w:t>
      </w:r>
      <w:r>
        <w:rPr>
          <w:spacing w:val="-3"/>
        </w:rPr>
        <w:t xml:space="preserve"> </w:t>
      </w:r>
      <w:r>
        <w:t>as</w:t>
      </w:r>
      <w:r>
        <w:rPr>
          <w:spacing w:val="-3"/>
        </w:rPr>
        <w:t xml:space="preserve"> </w:t>
      </w:r>
      <w:r>
        <w:t>to</w:t>
      </w:r>
      <w:r>
        <w:rPr>
          <w:spacing w:val="-3"/>
        </w:rPr>
        <w:t xml:space="preserve"> </w:t>
      </w:r>
      <w:r>
        <w:t>whether</w:t>
      </w:r>
      <w:r>
        <w:rPr>
          <w:spacing w:val="-3"/>
        </w:rPr>
        <w:t xml:space="preserve"> </w:t>
      </w:r>
      <w:r>
        <w:t>this</w:t>
      </w:r>
      <w:r>
        <w:rPr>
          <w:spacing w:val="-3"/>
        </w:rPr>
        <w:t xml:space="preserve"> </w:t>
      </w:r>
      <w:r>
        <w:t>appeal</w:t>
      </w:r>
      <w:r>
        <w:rPr>
          <w:spacing w:val="-3"/>
        </w:rPr>
        <w:t xml:space="preserve"> </w:t>
      </w:r>
      <w:r>
        <w:t>proceeds</w:t>
      </w:r>
      <w:r>
        <w:rPr>
          <w:spacing w:val="-3"/>
        </w:rPr>
        <w:t xml:space="preserve"> </w:t>
      </w:r>
      <w:r>
        <w:t>to</w:t>
      </w:r>
      <w:r>
        <w:rPr>
          <w:spacing w:val="-3"/>
        </w:rPr>
        <w:t xml:space="preserve"> </w:t>
      </w:r>
      <w:r>
        <w:t>an</w:t>
      </w:r>
      <w:r>
        <w:rPr>
          <w:spacing w:val="-3"/>
        </w:rPr>
        <w:t xml:space="preserve"> </w:t>
      </w:r>
      <w:r>
        <w:t>oral</w:t>
      </w:r>
      <w:r>
        <w:rPr>
          <w:spacing w:val="-3"/>
        </w:rPr>
        <w:t xml:space="preserve"> </w:t>
      </w:r>
      <w:r>
        <w:t>or</w:t>
      </w:r>
      <w:r>
        <w:rPr>
          <w:spacing w:val="-3"/>
        </w:rPr>
        <w:t xml:space="preserve"> </w:t>
      </w:r>
      <w:r>
        <w:t xml:space="preserve">written </w:t>
      </w:r>
      <w:r>
        <w:rPr>
          <w:spacing w:val="-2"/>
        </w:rPr>
        <w:t>appeal.</w:t>
      </w:r>
    </w:p>
    <w:p w14:paraId="24F98812" w14:textId="77777777" w:rsidR="00DF0C80" w:rsidRDefault="00DF0C80">
      <w:pPr>
        <w:pStyle w:val="BodyText"/>
        <w:spacing w:before="265"/>
        <w:ind w:left="0"/>
      </w:pPr>
    </w:p>
    <w:p w14:paraId="24F98813" w14:textId="77777777" w:rsidR="00DF0C80" w:rsidRDefault="00C46ED3">
      <w:pPr>
        <w:pStyle w:val="BodyText"/>
      </w:pPr>
      <w:r>
        <w:t>Yours</w:t>
      </w:r>
      <w:r>
        <w:rPr>
          <w:spacing w:val="-5"/>
        </w:rPr>
        <w:t xml:space="preserve"> </w:t>
      </w:r>
      <w:r>
        <w:rPr>
          <w:spacing w:val="-2"/>
        </w:rPr>
        <w:t>sincerely</w:t>
      </w:r>
    </w:p>
    <w:p w14:paraId="24F98814" w14:textId="77777777" w:rsidR="00DF0C80" w:rsidRDefault="00DF0C80">
      <w:pPr>
        <w:pStyle w:val="BodyText"/>
        <w:ind w:left="0"/>
        <w:rPr>
          <w:sz w:val="20"/>
        </w:rPr>
      </w:pPr>
    </w:p>
    <w:p w14:paraId="24F98815" w14:textId="5354A34B" w:rsidR="00DF0C80" w:rsidRDefault="00C46ED3">
      <w:pPr>
        <w:pStyle w:val="BodyText"/>
        <w:spacing w:before="25"/>
        <w:ind w:left="0"/>
        <w:rPr>
          <w:sz w:val="20"/>
        </w:rPr>
      </w:pPr>
      <w:r w:rsidRPr="00C46ED3">
        <w:rPr>
          <w:noProof/>
          <w:highlight w:val="black"/>
        </w:rPr>
        <w:t>XXXXXXXXXX</w:t>
      </w:r>
    </w:p>
    <w:p w14:paraId="24F98816" w14:textId="77777777" w:rsidR="00DF0C80" w:rsidRDefault="00DF0C80">
      <w:pPr>
        <w:pStyle w:val="BodyText"/>
        <w:ind w:left="0"/>
      </w:pPr>
    </w:p>
    <w:p w14:paraId="24F98817" w14:textId="77777777" w:rsidR="00DF0C80" w:rsidRDefault="00DF0C80">
      <w:pPr>
        <w:pStyle w:val="BodyText"/>
        <w:spacing w:before="3"/>
        <w:ind w:left="0"/>
      </w:pPr>
    </w:p>
    <w:p w14:paraId="04224E18" w14:textId="331A98AE" w:rsidR="00C46ED3" w:rsidRDefault="00C46ED3">
      <w:pPr>
        <w:pStyle w:val="BodyText"/>
        <w:ind w:right="7299"/>
      </w:pPr>
      <w:r w:rsidRPr="00C46ED3">
        <w:rPr>
          <w:highlight w:val="black"/>
        </w:rPr>
        <w:t>XXXXXXXXX</w:t>
      </w:r>
    </w:p>
    <w:p w14:paraId="24F98818" w14:textId="4161A42D" w:rsidR="00DF0C80" w:rsidRDefault="00C46ED3">
      <w:pPr>
        <w:pStyle w:val="BodyText"/>
        <w:ind w:right="7299"/>
      </w:pPr>
      <w:r>
        <w:rPr>
          <w:spacing w:val="-2"/>
        </w:rPr>
        <w:t>Chair</w:t>
      </w:r>
    </w:p>
    <w:p w14:paraId="24F98819" w14:textId="77777777" w:rsidR="00DF0C80" w:rsidRDefault="00C46ED3">
      <w:pPr>
        <w:pStyle w:val="BodyText"/>
        <w:spacing w:before="1"/>
      </w:pPr>
      <w:proofErr w:type="spellStart"/>
      <w:r>
        <w:t>PNh</w:t>
      </w:r>
      <w:proofErr w:type="spellEnd"/>
      <w:r>
        <w:rPr>
          <w:spacing w:val="-5"/>
        </w:rPr>
        <w:t xml:space="preserve"> </w:t>
      </w:r>
      <w:r>
        <w:rPr>
          <w:spacing w:val="-2"/>
        </w:rPr>
        <w:t>Support</w:t>
      </w:r>
    </w:p>
    <w:sectPr w:rsidR="00DF0C80">
      <w:pgSz w:w="11900" w:h="16840"/>
      <w:pgMar w:top="1700" w:right="1680" w:bottom="1420" w:left="1680" w:header="28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98822" w14:textId="77777777" w:rsidR="00C46ED3" w:rsidRDefault="00C46ED3">
      <w:r>
        <w:separator/>
      </w:r>
    </w:p>
  </w:endnote>
  <w:endnote w:type="continuationSeparator" w:id="0">
    <w:p w14:paraId="24F98824" w14:textId="77777777" w:rsidR="00C46ED3" w:rsidRDefault="00C4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9881D" w14:textId="77777777" w:rsidR="00DF0C80" w:rsidRDefault="00C46ED3">
    <w:pPr>
      <w:pStyle w:val="BodyText"/>
      <w:spacing w:line="14" w:lineRule="auto"/>
      <w:ind w:left="0"/>
      <w:rPr>
        <w:sz w:val="20"/>
      </w:rPr>
    </w:pPr>
    <w:r>
      <w:rPr>
        <w:noProof/>
      </w:rPr>
      <mc:AlternateContent>
        <mc:Choice Requires="wps">
          <w:drawing>
            <wp:anchor distT="0" distB="0" distL="0" distR="0" simplePos="0" relativeHeight="487537152" behindDoc="1" locked="0" layoutInCell="1" allowOverlap="1" wp14:anchorId="24F98822" wp14:editId="24F98823">
              <wp:simplePos x="0" y="0"/>
              <wp:positionH relativeFrom="page">
                <wp:posOffset>2192083</wp:posOffset>
              </wp:positionH>
              <wp:positionV relativeFrom="page">
                <wp:posOffset>9765313</wp:posOffset>
              </wp:positionV>
              <wp:extent cx="2944495" cy="49275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492759"/>
                      </a:xfrm>
                      <a:prstGeom prst="rect">
                        <a:avLst/>
                      </a:prstGeom>
                    </wps:spPr>
                    <wps:txbx>
                      <w:txbxContent>
                        <w:p w14:paraId="24F98827" w14:textId="77777777" w:rsidR="00DF0C80" w:rsidRDefault="00C46ED3">
                          <w:pPr>
                            <w:spacing w:before="21"/>
                            <w:ind w:left="20"/>
                            <w:rPr>
                              <w:sz w:val="20"/>
                            </w:rPr>
                          </w:pPr>
                          <w:r>
                            <w:rPr>
                              <w:sz w:val="20"/>
                            </w:rPr>
                            <w:t>Registered</w:t>
                          </w:r>
                          <w:r>
                            <w:rPr>
                              <w:spacing w:val="-6"/>
                              <w:sz w:val="20"/>
                            </w:rPr>
                            <w:t xml:space="preserve"> </w:t>
                          </w:r>
                          <w:r>
                            <w:rPr>
                              <w:sz w:val="20"/>
                            </w:rPr>
                            <w:t>Address:</w:t>
                          </w:r>
                          <w:r>
                            <w:rPr>
                              <w:spacing w:val="-5"/>
                              <w:sz w:val="20"/>
                            </w:rPr>
                            <w:t xml:space="preserve"> </w:t>
                          </w:r>
                          <w:r>
                            <w:rPr>
                              <w:sz w:val="20"/>
                            </w:rPr>
                            <w:t>c/o</w:t>
                          </w:r>
                          <w:r>
                            <w:rPr>
                              <w:spacing w:val="-5"/>
                              <w:sz w:val="20"/>
                            </w:rPr>
                            <w:t xml:space="preserve"> </w:t>
                          </w:r>
                          <w:r>
                            <w:rPr>
                              <w:sz w:val="20"/>
                            </w:rPr>
                            <w:t>4</w:t>
                          </w:r>
                          <w:r>
                            <w:rPr>
                              <w:spacing w:val="-5"/>
                              <w:sz w:val="20"/>
                            </w:rPr>
                            <w:t xml:space="preserve"> </w:t>
                          </w:r>
                          <w:r>
                            <w:rPr>
                              <w:sz w:val="20"/>
                            </w:rPr>
                            <w:t>Buckland</w:t>
                          </w:r>
                          <w:r>
                            <w:rPr>
                              <w:spacing w:val="-6"/>
                              <w:sz w:val="20"/>
                            </w:rPr>
                            <w:t xml:space="preserve"> </w:t>
                          </w:r>
                          <w:r>
                            <w:rPr>
                              <w:sz w:val="20"/>
                            </w:rPr>
                            <w:t>Rd,</w:t>
                          </w:r>
                          <w:r>
                            <w:rPr>
                              <w:spacing w:val="-5"/>
                              <w:sz w:val="20"/>
                            </w:rPr>
                            <w:t xml:space="preserve"> </w:t>
                          </w:r>
                          <w:r>
                            <w:rPr>
                              <w:sz w:val="20"/>
                            </w:rPr>
                            <w:t>London,</w:t>
                          </w:r>
                          <w:r>
                            <w:rPr>
                              <w:spacing w:val="-5"/>
                              <w:sz w:val="20"/>
                            </w:rPr>
                            <w:t xml:space="preserve"> </w:t>
                          </w:r>
                          <w:r>
                            <w:rPr>
                              <w:sz w:val="20"/>
                            </w:rPr>
                            <w:t>E10</w:t>
                          </w:r>
                          <w:r>
                            <w:rPr>
                              <w:spacing w:val="-5"/>
                              <w:sz w:val="20"/>
                            </w:rPr>
                            <w:t xml:space="preserve"> 6QS</w:t>
                          </w:r>
                        </w:p>
                        <w:p w14:paraId="24F98828" w14:textId="77777777" w:rsidR="00DF0C80" w:rsidRDefault="00C46ED3">
                          <w:pPr>
                            <w:spacing w:before="1"/>
                            <w:ind w:left="1416" w:right="1054" w:firstLine="40"/>
                            <w:rPr>
                              <w:sz w:val="20"/>
                            </w:rPr>
                          </w:pPr>
                          <w:r>
                            <w:rPr>
                              <w:sz w:val="20"/>
                            </w:rPr>
                            <w:t xml:space="preserve">Website: </w:t>
                          </w:r>
                          <w:r>
                            <w:rPr>
                              <w:color w:val="0000FF"/>
                              <w:sz w:val="20"/>
                              <w:u w:val="single" w:color="0000FF"/>
                            </w:rPr>
                            <w:t>www.pnhukorg</w:t>
                          </w:r>
                          <w:r>
                            <w:rPr>
                              <w:sz w:val="20"/>
                            </w:rPr>
                            <w:t>, Email:</w:t>
                          </w:r>
                          <w:r>
                            <w:rPr>
                              <w:spacing w:val="-12"/>
                              <w:sz w:val="20"/>
                            </w:rPr>
                            <w:t xml:space="preserve"> </w:t>
                          </w:r>
                          <w:hyperlink r:id="rId1">
                            <w:r>
                              <w:rPr>
                                <w:sz w:val="20"/>
                              </w:rPr>
                              <w:t>contact@pnhuk.org</w:t>
                            </w:r>
                          </w:hyperlink>
                        </w:p>
                      </w:txbxContent>
                    </wps:txbx>
                    <wps:bodyPr wrap="square" lIns="0" tIns="0" rIns="0" bIns="0" rtlCol="0">
                      <a:noAutofit/>
                    </wps:bodyPr>
                  </wps:wsp>
                </a:graphicData>
              </a:graphic>
            </wp:anchor>
          </w:drawing>
        </mc:Choice>
        <mc:Fallback>
          <w:pict>
            <v:shapetype w14:anchorId="24F98822" id="_x0000_t202" coordsize="21600,21600" o:spt="202" path="m,l,21600r21600,l21600,xe">
              <v:stroke joinstyle="miter"/>
              <v:path gradientshapeok="t" o:connecttype="rect"/>
            </v:shapetype>
            <v:shape id="Textbox 3" o:spid="_x0000_s1027" type="#_x0000_t202" style="position:absolute;margin-left:172.6pt;margin-top:768.9pt;width:231.85pt;height:38.8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" filled="f" stroked="f">
              <v:textbox inset="0,0,0,0">
                <w:txbxContent>
                  <w:p w14:paraId="24F98827" w14:textId="77777777" w:rsidR="00DF0C80" w:rsidRDefault="00C46ED3">
                    <w:pPr>
                      <w:spacing w:before="21"/>
                      <w:ind w:left="20"/>
                      <w:rPr>
                        <w:sz w:val="20"/>
                      </w:rPr>
                    </w:pPr>
                    <w:r>
                      <w:rPr>
                        <w:sz w:val="20"/>
                      </w:rPr>
                      <w:t>Registered</w:t>
                    </w:r>
                    <w:r>
                      <w:rPr>
                        <w:spacing w:val="-6"/>
                        <w:sz w:val="20"/>
                      </w:rPr>
                      <w:t xml:space="preserve"> </w:t>
                    </w:r>
                    <w:r>
                      <w:rPr>
                        <w:sz w:val="20"/>
                      </w:rPr>
                      <w:t>Address:</w:t>
                    </w:r>
                    <w:r>
                      <w:rPr>
                        <w:spacing w:val="-5"/>
                        <w:sz w:val="20"/>
                      </w:rPr>
                      <w:t xml:space="preserve"> </w:t>
                    </w:r>
                    <w:r>
                      <w:rPr>
                        <w:sz w:val="20"/>
                      </w:rPr>
                      <w:t>c/o</w:t>
                    </w:r>
                    <w:r>
                      <w:rPr>
                        <w:spacing w:val="-5"/>
                        <w:sz w:val="20"/>
                      </w:rPr>
                      <w:t xml:space="preserve"> </w:t>
                    </w:r>
                    <w:r>
                      <w:rPr>
                        <w:sz w:val="20"/>
                      </w:rPr>
                      <w:t>4</w:t>
                    </w:r>
                    <w:r>
                      <w:rPr>
                        <w:spacing w:val="-5"/>
                        <w:sz w:val="20"/>
                      </w:rPr>
                      <w:t xml:space="preserve"> </w:t>
                    </w:r>
                    <w:r>
                      <w:rPr>
                        <w:sz w:val="20"/>
                      </w:rPr>
                      <w:t>Buckland</w:t>
                    </w:r>
                    <w:r>
                      <w:rPr>
                        <w:spacing w:val="-6"/>
                        <w:sz w:val="20"/>
                      </w:rPr>
                      <w:t xml:space="preserve"> </w:t>
                    </w:r>
                    <w:r>
                      <w:rPr>
                        <w:sz w:val="20"/>
                      </w:rPr>
                      <w:t>Rd,</w:t>
                    </w:r>
                    <w:r>
                      <w:rPr>
                        <w:spacing w:val="-5"/>
                        <w:sz w:val="20"/>
                      </w:rPr>
                      <w:t xml:space="preserve"> </w:t>
                    </w:r>
                    <w:r>
                      <w:rPr>
                        <w:sz w:val="20"/>
                      </w:rPr>
                      <w:t>London,</w:t>
                    </w:r>
                    <w:r>
                      <w:rPr>
                        <w:spacing w:val="-5"/>
                        <w:sz w:val="20"/>
                      </w:rPr>
                      <w:t xml:space="preserve"> </w:t>
                    </w:r>
                    <w:r>
                      <w:rPr>
                        <w:sz w:val="20"/>
                      </w:rPr>
                      <w:t>E10</w:t>
                    </w:r>
                    <w:r>
                      <w:rPr>
                        <w:spacing w:val="-5"/>
                        <w:sz w:val="20"/>
                      </w:rPr>
                      <w:t xml:space="preserve"> 6QS</w:t>
                    </w:r>
                  </w:p>
                  <w:p w14:paraId="24F98828" w14:textId="77777777" w:rsidR="00DF0C80" w:rsidRDefault="00C46ED3">
                    <w:pPr>
                      <w:spacing w:before="1"/>
                      <w:ind w:left="1416" w:right="1054" w:firstLine="40"/>
                      <w:rPr>
                        <w:sz w:val="20"/>
                      </w:rPr>
                    </w:pPr>
                    <w:r>
                      <w:rPr>
                        <w:sz w:val="20"/>
                      </w:rPr>
                      <w:t xml:space="preserve">Website: </w:t>
                    </w:r>
                    <w:r>
                      <w:rPr>
                        <w:color w:val="0000FF"/>
                        <w:sz w:val="20"/>
                        <w:u w:val="single" w:color="0000FF"/>
                      </w:rPr>
                      <w:t>www.pnhukorg</w:t>
                    </w:r>
                    <w:r>
                      <w:rPr>
                        <w:sz w:val="20"/>
                      </w:rPr>
                      <w:t>, Email:</w:t>
                    </w:r>
                    <w:r>
                      <w:rPr>
                        <w:spacing w:val="-12"/>
                        <w:sz w:val="20"/>
                      </w:rPr>
                      <w:t xml:space="preserve"> </w:t>
                    </w:r>
                    <w:hyperlink r:id="rId2">
                      <w:r>
                        <w:rPr>
                          <w:sz w:val="20"/>
                        </w:rPr>
                        <w:t>contact@pnhuk.org</w:t>
                      </w:r>
                    </w:hyperlink>
                  </w:p>
                </w:txbxContent>
              </v:textbox>
              <w10:wrap anchorx="page" anchory="page"/>
            </v:shape>
          </w:pict>
        </mc:Fallback>
      </mc:AlternateContent>
    </w:r>
    <w:r>
      <w:rPr>
        <w:noProof/>
      </w:rPr>
      <mc:AlternateContent>
        <mc:Choice Requires="wps">
          <w:drawing>
            <wp:anchor distT="0" distB="0" distL="0" distR="0" simplePos="0" relativeHeight="487537664" behindDoc="1" locked="0" layoutInCell="1" allowOverlap="1" wp14:anchorId="24F98824" wp14:editId="24F98825">
              <wp:simplePos x="0" y="0"/>
              <wp:positionH relativeFrom="page">
                <wp:posOffset>6289547</wp:posOffset>
              </wp:positionH>
              <wp:positionV relativeFrom="page">
                <wp:posOffset>9766778</wp:posOffset>
              </wp:positionV>
              <wp:extent cx="17335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24F98829" w14:textId="77777777" w:rsidR="00DF0C80" w:rsidRDefault="00C46ED3">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wps:txbx>
                    <wps:bodyPr wrap="square" lIns="0" tIns="0" rIns="0" bIns="0" rtlCol="0">
                      <a:noAutofit/>
                    </wps:bodyPr>
                  </wps:wsp>
                </a:graphicData>
              </a:graphic>
            </wp:anchor>
          </w:drawing>
        </mc:Choice>
        <mc:Fallback>
          <w:pict>
            <v:shape w14:anchorId="24F98824" id="Textbox 4" o:spid="_x0000_s1028" type="#_x0000_t202" style="position:absolute;margin-left:495.25pt;margin-top:769.05pt;width:13.65pt;height:16.1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" filled="f" stroked="f">
              <v:textbox inset="0,0,0,0">
                <w:txbxContent>
                  <w:p w14:paraId="24F98829" w14:textId="77777777" w:rsidR="00DF0C80" w:rsidRDefault="00C46ED3">
                    <w:pPr>
                      <w:spacing w:before="20"/>
                      <w:ind w:left="60"/>
                      <w:rPr>
                        <w:rFonts w:ascii="Cambria"/>
                        <w:sz w:val="24"/>
                      </w:rPr>
                    </w:pPr>
                    <w:r>
                      <w:rPr>
                        <w:rFonts w:ascii="Cambria"/>
                        <w:spacing w:val="-10"/>
                        <w:sz w:val="24"/>
                      </w:rPr>
                      <w:fldChar w:fldCharType="begin"/>
                    </w:r>
                    <w:r>
                      <w:rPr>
                        <w:rFonts w:ascii="Cambria"/>
                        <w:spacing w:val="-10"/>
                        <w:sz w:val="24"/>
                      </w:rPr>
                      <w:instrText xml:space="preserve"> PAGE </w:instrText>
                    </w:r>
                    <w:r>
                      <w:rPr>
                        <w:rFonts w:ascii="Cambria"/>
                        <w:spacing w:val="-10"/>
                        <w:sz w:val="24"/>
                      </w:rPr>
                      <w:fldChar w:fldCharType="separate"/>
                    </w:r>
                    <w:r>
                      <w:rPr>
                        <w:rFonts w:ascii="Cambria"/>
                        <w:spacing w:val="-10"/>
                        <w:sz w:val="24"/>
                      </w:rPr>
                      <w:t>1</w:t>
                    </w:r>
                    <w:r>
                      <w:rPr>
                        <w:rFonts w:ascii="Cambri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9881E" w14:textId="77777777" w:rsidR="00C46ED3" w:rsidRDefault="00C46ED3">
      <w:r>
        <w:separator/>
      </w:r>
    </w:p>
  </w:footnote>
  <w:footnote w:type="continuationSeparator" w:id="0">
    <w:p w14:paraId="24F98820" w14:textId="77777777" w:rsidR="00C46ED3" w:rsidRDefault="00C4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9881C" w14:textId="77777777" w:rsidR="00DF0C80" w:rsidRDefault="00C46ED3">
    <w:pPr>
      <w:pStyle w:val="BodyText"/>
      <w:spacing w:line="14" w:lineRule="auto"/>
      <w:ind w:left="0"/>
      <w:rPr>
        <w:sz w:val="20"/>
      </w:rPr>
    </w:pPr>
    <w:r>
      <w:rPr>
        <w:noProof/>
      </w:rPr>
      <w:drawing>
        <wp:anchor distT="0" distB="0" distL="0" distR="0" simplePos="0" relativeHeight="487536128" behindDoc="1" locked="0" layoutInCell="1" allowOverlap="1" wp14:anchorId="24F9881E" wp14:editId="24F9881F">
          <wp:simplePos x="0" y="0"/>
          <wp:positionH relativeFrom="page">
            <wp:posOffset>2696210</wp:posOffset>
          </wp:positionH>
          <wp:positionV relativeFrom="page">
            <wp:posOffset>177663</wp:posOffset>
          </wp:positionV>
          <wp:extent cx="2123440" cy="549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3440" cy="549148"/>
                  </a:xfrm>
                  <a:prstGeom prst="rect">
                    <a:avLst/>
                  </a:prstGeom>
                </pic:spPr>
              </pic:pic>
            </a:graphicData>
          </a:graphic>
        </wp:anchor>
      </w:drawing>
    </w:r>
    <w:r>
      <w:rPr>
        <w:noProof/>
      </w:rPr>
      <mc:AlternateContent>
        <mc:Choice Requires="wps">
          <w:drawing>
            <wp:anchor distT="0" distB="0" distL="0" distR="0" simplePos="0" relativeHeight="487536640" behindDoc="1" locked="0" layoutInCell="1" allowOverlap="1" wp14:anchorId="24F98820" wp14:editId="24F98821">
              <wp:simplePos x="0" y="0"/>
              <wp:positionH relativeFrom="page">
                <wp:posOffset>3024602</wp:posOffset>
              </wp:positionH>
              <wp:positionV relativeFrom="page">
                <wp:posOffset>795049</wp:posOffset>
              </wp:positionV>
              <wp:extent cx="150685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82245"/>
                      </a:xfrm>
                      <a:prstGeom prst="rect">
                        <a:avLst/>
                      </a:prstGeom>
                    </wps:spPr>
                    <wps:txbx>
                      <w:txbxContent>
                        <w:p w14:paraId="24F98826" w14:textId="77777777" w:rsidR="00DF0C80" w:rsidRDefault="00C46ED3">
                          <w:pPr>
                            <w:spacing w:before="21"/>
                            <w:ind w:left="20"/>
                            <w:rPr>
                              <w:sz w:val="20"/>
                            </w:rPr>
                          </w:pPr>
                          <w:r>
                            <w:rPr>
                              <w:sz w:val="20"/>
                            </w:rPr>
                            <w:t>Registered</w:t>
                          </w:r>
                          <w:r>
                            <w:rPr>
                              <w:spacing w:val="-6"/>
                              <w:sz w:val="20"/>
                            </w:rPr>
                            <w:t xml:space="preserve"> </w:t>
                          </w:r>
                          <w:r>
                            <w:rPr>
                              <w:sz w:val="20"/>
                            </w:rPr>
                            <w:t>CIO</w:t>
                          </w:r>
                          <w:r>
                            <w:rPr>
                              <w:spacing w:val="-5"/>
                              <w:sz w:val="20"/>
                            </w:rPr>
                            <w:t xml:space="preserve"> </w:t>
                          </w:r>
                          <w:r>
                            <w:rPr>
                              <w:sz w:val="20"/>
                            </w:rPr>
                            <w:t>(no</w:t>
                          </w:r>
                          <w:r>
                            <w:rPr>
                              <w:spacing w:val="-5"/>
                              <w:sz w:val="20"/>
                            </w:rPr>
                            <w:t xml:space="preserve"> </w:t>
                          </w:r>
                          <w:r>
                            <w:rPr>
                              <w:spacing w:val="-2"/>
                              <w:sz w:val="20"/>
                            </w:rPr>
                            <w:t>1161518)</w:t>
                          </w:r>
                        </w:p>
                      </w:txbxContent>
                    </wps:txbx>
                    <wps:bodyPr wrap="square" lIns="0" tIns="0" rIns="0" bIns="0" rtlCol="0">
                      <a:noAutofit/>
                    </wps:bodyPr>
                  </wps:wsp>
                </a:graphicData>
              </a:graphic>
            </wp:anchor>
          </w:drawing>
        </mc:Choice>
        <mc:Fallback>
          <w:pict>
            <v:shapetype w14:anchorId="24F98820" id="_x0000_t202" coordsize="21600,21600" o:spt="202" path="m,l,21600r21600,l21600,xe">
              <v:stroke joinstyle="miter"/>
              <v:path gradientshapeok="t" o:connecttype="rect"/>
            </v:shapetype>
            <v:shape id="Textbox 2" o:spid="_x0000_s1026" type="#_x0000_t202" style="position:absolute;margin-left:238.15pt;margin-top:62.6pt;width:118.65pt;height:14.3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ZlAEAABsDAAAOAAAAZHJzL2Uyb0RvYy54bWysUsFu2zAMvQ/oPwi6N3KCpgi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" filled="f" stroked="f">
              <v:textbox inset="0,0,0,0">
                <w:txbxContent>
                  <w:p w14:paraId="24F98826" w14:textId="77777777" w:rsidR="00DF0C80" w:rsidRDefault="00C46ED3">
                    <w:pPr>
                      <w:spacing w:before="21"/>
                      <w:ind w:left="20"/>
                      <w:rPr>
                        <w:sz w:val="20"/>
                      </w:rPr>
                    </w:pPr>
                    <w:r>
                      <w:rPr>
                        <w:sz w:val="20"/>
                      </w:rPr>
                      <w:t>Registered</w:t>
                    </w:r>
                    <w:r>
                      <w:rPr>
                        <w:spacing w:val="-6"/>
                        <w:sz w:val="20"/>
                      </w:rPr>
                      <w:t xml:space="preserve"> </w:t>
                    </w:r>
                    <w:r>
                      <w:rPr>
                        <w:sz w:val="20"/>
                      </w:rPr>
                      <w:t>CIO</w:t>
                    </w:r>
                    <w:r>
                      <w:rPr>
                        <w:spacing w:val="-5"/>
                        <w:sz w:val="20"/>
                      </w:rPr>
                      <w:t xml:space="preserve"> </w:t>
                    </w:r>
                    <w:r>
                      <w:rPr>
                        <w:sz w:val="20"/>
                      </w:rPr>
                      <w:t>(no</w:t>
                    </w:r>
                    <w:r>
                      <w:rPr>
                        <w:spacing w:val="-5"/>
                        <w:sz w:val="20"/>
                      </w:rPr>
                      <w:t xml:space="preserve"> </w:t>
                    </w:r>
                    <w:r>
                      <w:rPr>
                        <w:spacing w:val="-2"/>
                        <w:sz w:val="20"/>
                      </w:rPr>
                      <w:t>1161518)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0C80"/>
    <w:rsid w:val="00C23EB0"/>
    <w:rsid w:val="00C46ED3"/>
    <w:rsid w:val="00DF0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87EA"/>
  <w15:docId w15:val="{54BF723A-6A0E-432F-ABB6-DD50ED6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20"/>
      <w:ind w:left="60"/>
    </w:pPr>
    <w:rPr>
      <w:rFonts w:ascii="Cambria" w:eastAsia="Cambria" w:hAnsi="Cambria" w:cs="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eighday.co.uk/news/news/2024-news/investigations-into-crovalimab-dru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ppeal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pnhuk.org" TargetMode="External"/><Relationship Id="rId1" Type="http://schemas.openxmlformats.org/officeDocument/2006/relationships/hyperlink" Target="mailto:contact@pnh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AEF9F-E191-47DB-912E-1ADFA599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EFDC0-EC14-4442-9489-2C9122810A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644BE-46BB-47C3-89E3-B84CBDB5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2</cp:revision>
  <dcterms:created xsi:type="dcterms:W3CDTF">2024-11-14T12:07:00Z</dcterms:created>
  <dcterms:modified xsi:type="dcterms:W3CDTF">2024-11-14T12:08:00Z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LastSaved">
    <vt:filetime>2024-11-14T00:00:00Z</vt:filetime>
  </property>
  <property fmtid="{D5CDD505-2E9C-101B-9397-08002B2CF9AE}" pid="4" name="Producer">
    <vt:lpwstr>macOS Version 14.5 (Build 23F79) Quartz PDFContext</vt:lpwstr>
  </property>
  <property fmtid="{D5CDD505-2E9C-101B-9397-08002B2CF9AE}" pid="5" name="ContentTypeId">
    <vt:lpwstr>0x0101003300E5E64B980D458C754FFE05DEE26D</vt:lpwstr>
  </property>
  <property fmtid="{D5CDD505-2E9C-101B-9397-08002B2CF9AE}" pid="6" name="MSIP_Label_c69d85d5-6d9e-4305-a294-1f636ec0f2d6_Enabled">
    <vt:lpwstr>true</vt:lpwstr>
  </property>
  <property fmtid="{D5CDD505-2E9C-101B-9397-08002B2CF9AE}" pid="7" name="MSIP_Label_c69d85d5-6d9e-4305-a294-1f636ec0f2d6_SetDate">
    <vt:lpwstr>2024-11-14T12:08:25Z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d8cbad72-8f6d-40e3-b3be-c412149d1474</vt:lpwstr>
  </property>
  <property fmtid="{D5CDD505-2E9C-101B-9397-08002B2CF9AE}" pid="12" name="MSIP_Label_c69d85d5-6d9e-4305-a294-1f636ec0f2d6_ContentBits">
    <vt:lpwstr>0</vt:lpwstr>
  </property>
</Properties>
</file>