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2219" w14:textId="77777777" w:rsidR="001967F4" w:rsidRPr="00E970E0" w:rsidRDefault="001967F4">
      <w:pPr>
        <w:pStyle w:val="Title"/>
        <w:spacing w:after="240"/>
        <w:rPr>
          <w:rFonts w:cs="Arial"/>
          <w:sz w:val="22"/>
          <w:szCs w:val="22"/>
        </w:rPr>
      </w:pPr>
      <w:r w:rsidRPr="00E970E0">
        <w:rPr>
          <w:rFonts w:cs="Arial"/>
          <w:sz w:val="22"/>
          <w:szCs w:val="22"/>
        </w:rPr>
        <w:t>NATIONAL INSTITUTE FOR</w:t>
      </w:r>
      <w:r w:rsidR="00DF1722" w:rsidRPr="00E970E0">
        <w:rPr>
          <w:rFonts w:cs="Arial"/>
          <w:sz w:val="22"/>
          <w:szCs w:val="22"/>
        </w:rPr>
        <w:t xml:space="preserve"> HEALTH AND</w:t>
      </w:r>
      <w:r w:rsidR="00D345BC" w:rsidRPr="00E970E0">
        <w:rPr>
          <w:rFonts w:cs="Arial"/>
          <w:sz w:val="22"/>
          <w:szCs w:val="22"/>
        </w:rPr>
        <w:t xml:space="preserve"> CARE</w:t>
      </w:r>
      <w:r w:rsidRPr="00E970E0">
        <w:rPr>
          <w:rFonts w:cs="Arial"/>
          <w:sz w:val="22"/>
          <w:szCs w:val="22"/>
        </w:rPr>
        <w:t xml:space="preserve"> EXCELLENCE</w:t>
      </w:r>
    </w:p>
    <w:p w14:paraId="5FBEEE33" w14:textId="77777777" w:rsidR="001967F4" w:rsidRPr="005570C8" w:rsidRDefault="005570C8">
      <w:pPr>
        <w:pStyle w:val="Title"/>
        <w:spacing w:after="240"/>
        <w:rPr>
          <w:rFonts w:cs="Arial"/>
          <w:sz w:val="22"/>
          <w:szCs w:val="22"/>
          <w:lang w:val="en-GB"/>
        </w:rPr>
      </w:pPr>
      <w:r>
        <w:rPr>
          <w:rFonts w:cs="Arial"/>
          <w:sz w:val="22"/>
          <w:szCs w:val="22"/>
          <w:lang w:val="en-GB"/>
        </w:rPr>
        <w:t>Health Technology Evaluation</w:t>
      </w:r>
    </w:p>
    <w:p w14:paraId="3AC5018E" w14:textId="08DF7220" w:rsidR="001967F4" w:rsidRPr="00E970E0" w:rsidRDefault="00692C87">
      <w:pPr>
        <w:spacing w:after="240"/>
        <w:jc w:val="center"/>
        <w:rPr>
          <w:rFonts w:cs="Arial"/>
          <w:b/>
          <w:bCs/>
          <w:sz w:val="22"/>
          <w:szCs w:val="22"/>
        </w:rPr>
      </w:pPr>
      <w:proofErr w:type="spellStart"/>
      <w:r w:rsidRPr="00692C87">
        <w:rPr>
          <w:rFonts w:cs="Arial"/>
          <w:b/>
          <w:bCs/>
          <w:sz w:val="22"/>
          <w:szCs w:val="22"/>
        </w:rPr>
        <w:t>Elranatamab</w:t>
      </w:r>
      <w:proofErr w:type="spellEnd"/>
      <w:r w:rsidRPr="00692C87">
        <w:rPr>
          <w:rFonts w:cs="Arial"/>
          <w:b/>
          <w:bCs/>
          <w:sz w:val="22"/>
          <w:szCs w:val="22"/>
        </w:rPr>
        <w:t xml:space="preserve"> for treating </w:t>
      </w:r>
      <w:r w:rsidR="005605A6">
        <w:rPr>
          <w:rFonts w:cs="Arial"/>
          <w:b/>
          <w:bCs/>
          <w:sz w:val="22"/>
          <w:szCs w:val="22"/>
        </w:rPr>
        <w:t xml:space="preserve">relapsed or </w:t>
      </w:r>
      <w:r w:rsidRPr="00692C87">
        <w:rPr>
          <w:rFonts w:cs="Arial"/>
          <w:b/>
          <w:bCs/>
          <w:sz w:val="22"/>
          <w:szCs w:val="22"/>
        </w:rPr>
        <w:t xml:space="preserve">refractory multiple myeloma after 3 </w:t>
      </w:r>
      <w:proofErr w:type="gramStart"/>
      <w:r w:rsidRPr="00692C87">
        <w:rPr>
          <w:rFonts w:cs="Arial"/>
          <w:b/>
          <w:bCs/>
          <w:sz w:val="22"/>
          <w:szCs w:val="22"/>
        </w:rPr>
        <w:t>therapies</w:t>
      </w:r>
      <w:proofErr w:type="gramEnd"/>
    </w:p>
    <w:p w14:paraId="32D9750F" w14:textId="05C1B9C2" w:rsidR="001967F4" w:rsidRPr="00E970E0" w:rsidRDefault="00103C74">
      <w:pPr>
        <w:spacing w:after="240"/>
        <w:jc w:val="center"/>
        <w:rPr>
          <w:rFonts w:cs="Arial"/>
          <w:b/>
          <w:bCs/>
          <w:i/>
          <w:iCs/>
          <w:sz w:val="22"/>
          <w:szCs w:val="22"/>
        </w:rPr>
      </w:pPr>
      <w:r>
        <w:rPr>
          <w:rFonts w:cs="Arial"/>
          <w:b/>
          <w:bCs/>
          <w:sz w:val="22"/>
          <w:szCs w:val="22"/>
        </w:rPr>
        <w:t>Final</w:t>
      </w:r>
      <w:r w:rsidR="001967F4" w:rsidRPr="00E970E0">
        <w:rPr>
          <w:rFonts w:cs="Arial"/>
          <w:b/>
          <w:bCs/>
          <w:sz w:val="22"/>
          <w:szCs w:val="22"/>
        </w:rPr>
        <w:t xml:space="preserve"> scope</w:t>
      </w:r>
    </w:p>
    <w:p w14:paraId="5B6C9D6F" w14:textId="68C70CD9" w:rsidR="001967F4" w:rsidRPr="00E970E0" w:rsidRDefault="00103C74" w:rsidP="00DC68B6">
      <w:pPr>
        <w:pStyle w:val="Heading1"/>
        <w:rPr>
          <w:rFonts w:cs="Arial"/>
          <w:sz w:val="22"/>
          <w:szCs w:val="22"/>
        </w:rPr>
      </w:pPr>
      <w:r>
        <w:rPr>
          <w:rFonts w:cs="Arial"/>
          <w:sz w:val="22"/>
          <w:szCs w:val="22"/>
          <w:lang w:val="en-GB"/>
        </w:rPr>
        <w:t>R</w:t>
      </w:r>
      <w:r w:rsidR="001967F4" w:rsidRPr="00E970E0">
        <w:rPr>
          <w:rFonts w:cs="Arial"/>
          <w:sz w:val="22"/>
          <w:szCs w:val="22"/>
        </w:rPr>
        <w:t>emit/</w:t>
      </w:r>
      <w:r w:rsidR="00620044">
        <w:rPr>
          <w:rFonts w:cs="Arial"/>
          <w:sz w:val="22"/>
          <w:szCs w:val="22"/>
          <w:lang w:val="en-GB"/>
        </w:rPr>
        <w:t>evaluation</w:t>
      </w:r>
      <w:r w:rsidR="00620044" w:rsidRPr="00E970E0">
        <w:rPr>
          <w:rFonts w:cs="Arial"/>
          <w:sz w:val="22"/>
          <w:szCs w:val="22"/>
        </w:rPr>
        <w:t xml:space="preserve"> </w:t>
      </w:r>
      <w:r w:rsidR="001967F4" w:rsidRPr="00E970E0">
        <w:rPr>
          <w:rFonts w:cs="Arial"/>
          <w:sz w:val="22"/>
          <w:szCs w:val="22"/>
        </w:rPr>
        <w:t>objective</w:t>
      </w:r>
    </w:p>
    <w:p w14:paraId="70E0951F" w14:textId="7E14CCB7" w:rsidR="00E9238E" w:rsidRPr="00E970E0" w:rsidRDefault="00E9238E" w:rsidP="00E9238E">
      <w:pPr>
        <w:pStyle w:val="Title"/>
        <w:spacing w:after="240"/>
        <w:jc w:val="left"/>
        <w:rPr>
          <w:rFonts w:cs="Arial"/>
          <w:b w:val="0"/>
          <w:sz w:val="22"/>
          <w:szCs w:val="22"/>
          <w:lang w:val="en-GB"/>
        </w:rPr>
      </w:pPr>
      <w:bookmarkStart w:id="0" w:name="_Hlk43898444"/>
      <w:r w:rsidRPr="00E970E0">
        <w:rPr>
          <w:rFonts w:cs="Arial"/>
          <w:b w:val="0"/>
          <w:sz w:val="22"/>
          <w:szCs w:val="22"/>
        </w:rPr>
        <w:t xml:space="preserve">To appraise the clinical and cost effectiveness of </w:t>
      </w:r>
      <w:bookmarkEnd w:id="0"/>
      <w:r w:rsidR="0002088C">
        <w:rPr>
          <w:rFonts w:cs="Arial"/>
          <w:b w:val="0"/>
          <w:sz w:val="22"/>
          <w:szCs w:val="22"/>
          <w:lang w:val="en-GB"/>
        </w:rPr>
        <w:t>e</w:t>
      </w:r>
      <w:proofErr w:type="spellStart"/>
      <w:r w:rsidR="0002088C" w:rsidRPr="0002088C">
        <w:rPr>
          <w:rFonts w:cs="Arial"/>
          <w:b w:val="0"/>
          <w:sz w:val="22"/>
          <w:szCs w:val="22"/>
        </w:rPr>
        <w:t>lranatamab</w:t>
      </w:r>
      <w:proofErr w:type="spellEnd"/>
      <w:r w:rsidRPr="00E970E0">
        <w:rPr>
          <w:rFonts w:cs="Arial"/>
          <w:b w:val="0"/>
          <w:sz w:val="22"/>
          <w:szCs w:val="22"/>
        </w:rPr>
        <w:t xml:space="preserve"> within its </w:t>
      </w:r>
      <w:r w:rsidR="00BC25DC" w:rsidRPr="00E970E0">
        <w:rPr>
          <w:rFonts w:cs="Arial"/>
          <w:b w:val="0"/>
          <w:sz w:val="22"/>
          <w:szCs w:val="22"/>
          <w:lang w:val="en-GB"/>
        </w:rPr>
        <w:t xml:space="preserve">marketing </w:t>
      </w:r>
      <w:r w:rsidR="00774F1E" w:rsidRPr="00E970E0">
        <w:rPr>
          <w:rFonts w:cs="Arial"/>
          <w:b w:val="0"/>
          <w:sz w:val="22"/>
          <w:szCs w:val="22"/>
          <w:lang w:val="en-GB"/>
        </w:rPr>
        <w:t>authorisation</w:t>
      </w:r>
      <w:r w:rsidRPr="00E970E0">
        <w:rPr>
          <w:rFonts w:cs="Arial"/>
          <w:b w:val="0"/>
          <w:sz w:val="22"/>
          <w:szCs w:val="22"/>
        </w:rPr>
        <w:t xml:space="preserve"> for </w:t>
      </w:r>
      <w:bookmarkStart w:id="1" w:name="Text64"/>
      <w:bookmarkStart w:id="2" w:name="_Hlk43898945"/>
      <w:r w:rsidR="0002088C">
        <w:rPr>
          <w:rFonts w:cs="Arial"/>
          <w:b w:val="0"/>
          <w:sz w:val="22"/>
          <w:szCs w:val="22"/>
          <w:lang w:val="en-GB"/>
        </w:rPr>
        <w:t>treating</w:t>
      </w:r>
      <w:r w:rsidRPr="00E970E0">
        <w:rPr>
          <w:rFonts w:cs="Arial"/>
          <w:b w:val="0"/>
          <w:sz w:val="22"/>
          <w:szCs w:val="22"/>
        </w:rPr>
        <w:t xml:space="preserve"> </w:t>
      </w:r>
      <w:bookmarkEnd w:id="1"/>
      <w:r w:rsidR="00E717B4">
        <w:rPr>
          <w:rFonts w:cs="Arial"/>
          <w:b w:val="0"/>
          <w:sz w:val="22"/>
          <w:szCs w:val="22"/>
          <w:lang w:val="en-GB"/>
        </w:rPr>
        <w:t xml:space="preserve">relapsed or </w:t>
      </w:r>
      <w:r w:rsidR="0002088C" w:rsidRPr="0002088C">
        <w:rPr>
          <w:rFonts w:cs="Arial"/>
          <w:b w:val="0"/>
          <w:sz w:val="22"/>
          <w:szCs w:val="22"/>
        </w:rPr>
        <w:t>refractory multiple myeloma after 3 therapies</w:t>
      </w:r>
      <w:r w:rsidR="00B024D4" w:rsidRPr="00E970E0">
        <w:rPr>
          <w:rFonts w:cs="Arial"/>
          <w:b w:val="0"/>
          <w:sz w:val="22"/>
          <w:szCs w:val="22"/>
          <w:lang w:val="en-GB"/>
        </w:rPr>
        <w:t>.</w:t>
      </w:r>
      <w:bookmarkEnd w:id="2"/>
    </w:p>
    <w:p w14:paraId="72C5B261" w14:textId="77777777" w:rsidR="000F549C" w:rsidRPr="00E970E0" w:rsidRDefault="008252AD" w:rsidP="005779DB">
      <w:pPr>
        <w:pStyle w:val="Heading1"/>
        <w:rPr>
          <w:rFonts w:cs="Arial"/>
          <w:sz w:val="22"/>
          <w:szCs w:val="22"/>
        </w:rPr>
      </w:pPr>
      <w:r w:rsidRPr="00E970E0">
        <w:rPr>
          <w:rFonts w:cs="Arial"/>
          <w:sz w:val="22"/>
          <w:szCs w:val="22"/>
        </w:rPr>
        <w:t>Background</w:t>
      </w:r>
    </w:p>
    <w:p w14:paraId="1AF0BB15" w14:textId="447D82D7" w:rsidR="00680A2F" w:rsidRDefault="00680A2F" w:rsidP="00DC68B6">
      <w:pPr>
        <w:pStyle w:val="BodyText"/>
        <w:rPr>
          <w:rFonts w:cs="Arial"/>
          <w:sz w:val="22"/>
          <w:szCs w:val="22"/>
        </w:rPr>
      </w:pPr>
      <w:bookmarkStart w:id="3" w:name="Text72"/>
      <w:bookmarkStart w:id="4" w:name="Text71"/>
      <w:r w:rsidRPr="00680A2F">
        <w:rPr>
          <w:rFonts w:cs="Arial"/>
          <w:sz w:val="22"/>
          <w:szCs w:val="22"/>
        </w:rPr>
        <w:t>Multiple myeloma is a form of cancer that arises from plasma cells (a type of white blood cell) in the bone marrow. Myeloma cells produce large quantities of an abnormal antibody, known as paraprotein. Unlike normal antibodies, paraprotein has no useful function and lacks the capacity to fight infection. Myeloma cells supress the development of normal blood cells that are responsible for fighting infection (white blood cells), carrying oxygen around the body (red blood cells) and blood clotting (platelets). The term multiple myeloma refers to the presence of more than one site of affected bone at the time of diagnosis. People with multiple myeloma can experience bone pain, bone fractures, tiredness (due to anaemia), infections, hypercalcaemia (too much calcium in the blood) and kidney problems.</w:t>
      </w:r>
    </w:p>
    <w:p w14:paraId="1E11523E" w14:textId="587E1C93" w:rsidR="00680A2F" w:rsidRDefault="00680A2F" w:rsidP="00DC68B6">
      <w:pPr>
        <w:pStyle w:val="BodyText"/>
        <w:rPr>
          <w:rFonts w:cs="Arial"/>
          <w:sz w:val="22"/>
          <w:szCs w:val="22"/>
          <w:vertAlign w:val="superscript"/>
        </w:rPr>
      </w:pPr>
      <w:r w:rsidRPr="00680A2F">
        <w:rPr>
          <w:rFonts w:cs="Arial"/>
          <w:sz w:val="22"/>
          <w:szCs w:val="22"/>
        </w:rPr>
        <w:t>Approximately 5,000 people are diagnosed with multiple myeloma in England each year (2016 to 2018 data).</w:t>
      </w:r>
      <w:r w:rsidRPr="00680A2F">
        <w:rPr>
          <w:rFonts w:cs="Arial"/>
          <w:sz w:val="22"/>
          <w:szCs w:val="22"/>
          <w:vertAlign w:val="superscript"/>
        </w:rPr>
        <w:t>1</w:t>
      </w:r>
      <w:r w:rsidRPr="00680A2F">
        <w:rPr>
          <w:rFonts w:cs="Arial"/>
          <w:sz w:val="22"/>
          <w:szCs w:val="22"/>
        </w:rPr>
        <w:t xml:space="preserve"> Five-year prevalence of multiple myeloma in the UK is 26 per 100,000.</w:t>
      </w:r>
      <w:r w:rsidRPr="00A718D3">
        <w:rPr>
          <w:rFonts w:cs="Arial"/>
          <w:sz w:val="22"/>
          <w:szCs w:val="22"/>
          <w:vertAlign w:val="superscript"/>
        </w:rPr>
        <w:t>2</w:t>
      </w:r>
      <w:r w:rsidRPr="00680A2F">
        <w:rPr>
          <w:rFonts w:cs="Arial"/>
          <w:sz w:val="22"/>
          <w:szCs w:val="22"/>
        </w:rPr>
        <w:t xml:space="preserve"> It is most frequently diagnosed in older people, with 43% of new cases of multiple myeloma in England in people aged 75 years or older.</w:t>
      </w:r>
      <w:r w:rsidRPr="00A718D3">
        <w:rPr>
          <w:rFonts w:cs="Arial"/>
          <w:sz w:val="22"/>
          <w:szCs w:val="22"/>
          <w:vertAlign w:val="superscript"/>
        </w:rPr>
        <w:t>1</w:t>
      </w:r>
      <w:r w:rsidRPr="00680A2F">
        <w:rPr>
          <w:rFonts w:cs="Arial"/>
          <w:sz w:val="22"/>
          <w:szCs w:val="22"/>
        </w:rPr>
        <w:t xml:space="preserve"> The 5-year survival rate for adults with multiple myeloma in England and Wales is estimated to be 52%.</w:t>
      </w:r>
      <w:r w:rsidRPr="00A718D3">
        <w:rPr>
          <w:rFonts w:cs="Arial"/>
          <w:sz w:val="22"/>
          <w:szCs w:val="22"/>
          <w:vertAlign w:val="superscript"/>
        </w:rPr>
        <w:t>3</w:t>
      </w:r>
      <w:r w:rsidRPr="00680A2F">
        <w:rPr>
          <w:rFonts w:cs="Arial"/>
          <w:sz w:val="22"/>
          <w:szCs w:val="22"/>
        </w:rPr>
        <w:t xml:space="preserve"> Multiple myeloma is more common in men than in women</w:t>
      </w:r>
      <w:r w:rsidR="00A718D3">
        <w:rPr>
          <w:rFonts w:cs="Arial"/>
          <w:sz w:val="22"/>
          <w:szCs w:val="22"/>
          <w:lang w:val="en-GB"/>
        </w:rPr>
        <w:t>.</w:t>
      </w:r>
      <w:r w:rsidR="00A718D3" w:rsidRPr="00A718D3">
        <w:rPr>
          <w:rFonts w:cs="Arial"/>
          <w:sz w:val="22"/>
          <w:szCs w:val="22"/>
          <w:vertAlign w:val="superscript"/>
        </w:rPr>
        <w:t>4</w:t>
      </w:r>
      <w:r w:rsidRPr="00680A2F">
        <w:rPr>
          <w:rFonts w:cs="Arial"/>
          <w:sz w:val="22"/>
          <w:szCs w:val="22"/>
        </w:rPr>
        <w:t xml:space="preserve"> </w:t>
      </w:r>
      <w:bookmarkStart w:id="5" w:name="_Hlk117860124"/>
      <w:proofErr w:type="spellStart"/>
      <w:r w:rsidR="00A718D3">
        <w:rPr>
          <w:rFonts w:cs="Arial"/>
          <w:sz w:val="22"/>
          <w:szCs w:val="22"/>
          <w:lang w:val="en-GB"/>
        </w:rPr>
        <w:t>T</w:t>
      </w:r>
      <w:r w:rsidRPr="00680A2F">
        <w:rPr>
          <w:rFonts w:cs="Arial"/>
          <w:sz w:val="22"/>
          <w:szCs w:val="22"/>
        </w:rPr>
        <w:t>he</w:t>
      </w:r>
      <w:proofErr w:type="spellEnd"/>
      <w:r w:rsidRPr="00680A2F">
        <w:rPr>
          <w:rFonts w:cs="Arial"/>
          <w:sz w:val="22"/>
          <w:szCs w:val="22"/>
        </w:rPr>
        <w:t xml:space="preserve"> incidence </w:t>
      </w:r>
      <w:r w:rsidR="00A718D3">
        <w:rPr>
          <w:rFonts w:cs="Arial"/>
          <w:sz w:val="22"/>
          <w:szCs w:val="22"/>
          <w:lang w:val="en-GB"/>
        </w:rPr>
        <w:t>rates are</w:t>
      </w:r>
      <w:r w:rsidRPr="00680A2F">
        <w:rPr>
          <w:rFonts w:cs="Arial"/>
          <w:sz w:val="22"/>
          <w:szCs w:val="22"/>
        </w:rPr>
        <w:t xml:space="preserve"> also reported to be </w:t>
      </w:r>
      <w:r w:rsidR="00A718D3">
        <w:rPr>
          <w:rFonts w:cs="Arial"/>
          <w:sz w:val="22"/>
          <w:szCs w:val="22"/>
          <w:lang w:val="en-GB"/>
        </w:rPr>
        <w:t>l</w:t>
      </w:r>
      <w:proofErr w:type="spellStart"/>
      <w:r w:rsidR="00A718D3" w:rsidRPr="00A718D3">
        <w:rPr>
          <w:rFonts w:cs="Arial"/>
          <w:sz w:val="22"/>
          <w:szCs w:val="22"/>
        </w:rPr>
        <w:t>ower</w:t>
      </w:r>
      <w:proofErr w:type="spellEnd"/>
      <w:r w:rsidR="00A718D3" w:rsidRPr="00A718D3">
        <w:rPr>
          <w:rFonts w:cs="Arial"/>
          <w:sz w:val="22"/>
          <w:szCs w:val="22"/>
        </w:rPr>
        <w:t xml:space="preserve"> in the Asian ethnic group, higher in the Black ethnic group, and similar in people of mixed or multiple ethnicity, compared with the White ethnic group, in England (2013-2017</w:t>
      </w:r>
      <w:r w:rsidR="00DD64BA">
        <w:rPr>
          <w:rFonts w:cs="Arial"/>
          <w:sz w:val="22"/>
          <w:szCs w:val="22"/>
          <w:lang w:val="en-GB"/>
        </w:rPr>
        <w:t xml:space="preserve"> data</w:t>
      </w:r>
      <w:bookmarkEnd w:id="5"/>
      <w:r w:rsidR="00A718D3" w:rsidRPr="00A718D3">
        <w:rPr>
          <w:rFonts w:cs="Arial"/>
          <w:sz w:val="22"/>
          <w:szCs w:val="22"/>
        </w:rPr>
        <w:t>)</w:t>
      </w:r>
      <w:r w:rsidRPr="00680A2F">
        <w:rPr>
          <w:rFonts w:cs="Arial"/>
          <w:sz w:val="22"/>
          <w:szCs w:val="22"/>
        </w:rPr>
        <w:t>.</w:t>
      </w:r>
      <w:r w:rsidRPr="00DD64BA">
        <w:rPr>
          <w:rFonts w:cs="Arial"/>
          <w:sz w:val="22"/>
          <w:szCs w:val="22"/>
          <w:vertAlign w:val="superscript"/>
        </w:rPr>
        <w:t>4</w:t>
      </w:r>
    </w:p>
    <w:p w14:paraId="791B0944" w14:textId="283F4EB9" w:rsidR="00DD64BA" w:rsidRDefault="00DD64BA" w:rsidP="00DC68B6">
      <w:pPr>
        <w:pStyle w:val="BodyText"/>
        <w:rPr>
          <w:rFonts w:cs="Arial"/>
          <w:sz w:val="22"/>
          <w:szCs w:val="22"/>
        </w:rPr>
      </w:pPr>
      <w:r w:rsidRPr="00DD64BA">
        <w:rPr>
          <w:rFonts w:cs="Arial"/>
          <w:sz w:val="22"/>
          <w:szCs w:val="22"/>
        </w:rPr>
        <w:t>The main aims of therapy are to prolong survival and maintain a good quality of life by controlling the disease and relieving symptoms. If the disease progresses after initial treatment, the choice of subsequent therapy is influenced by previous treatment and response to it, duration of remission, comorbidities and patient preference.</w:t>
      </w:r>
    </w:p>
    <w:p w14:paraId="1FBBCE00" w14:textId="13B29661" w:rsidR="00DD64BA" w:rsidRDefault="00DD64BA" w:rsidP="00DC68B6">
      <w:pPr>
        <w:pStyle w:val="BodyText"/>
        <w:rPr>
          <w:rFonts w:cs="Arial"/>
          <w:sz w:val="22"/>
          <w:szCs w:val="22"/>
        </w:rPr>
      </w:pPr>
      <w:r w:rsidRPr="00DD64BA">
        <w:rPr>
          <w:rFonts w:cs="Arial"/>
          <w:sz w:val="22"/>
          <w:szCs w:val="22"/>
        </w:rPr>
        <w:t xml:space="preserve">For people who have had at least </w:t>
      </w:r>
      <w:r>
        <w:rPr>
          <w:rFonts w:cs="Arial"/>
          <w:sz w:val="22"/>
          <w:szCs w:val="22"/>
          <w:lang w:val="en-GB"/>
        </w:rPr>
        <w:t>2</w:t>
      </w:r>
      <w:r w:rsidRPr="00DD64BA">
        <w:rPr>
          <w:rFonts w:cs="Arial"/>
          <w:sz w:val="22"/>
          <w:szCs w:val="22"/>
        </w:rPr>
        <w:t xml:space="preserve"> prior therapies:</w:t>
      </w:r>
    </w:p>
    <w:p w14:paraId="38F36FC4" w14:textId="77777777" w:rsidR="00DD64BA" w:rsidRPr="00DD64BA" w:rsidRDefault="00BC4E46" w:rsidP="00DD64BA">
      <w:pPr>
        <w:numPr>
          <w:ilvl w:val="0"/>
          <w:numId w:val="29"/>
        </w:numPr>
        <w:spacing w:after="240"/>
        <w:rPr>
          <w:rFonts w:cs="Arial"/>
          <w:sz w:val="22"/>
          <w:szCs w:val="22"/>
          <w:lang w:val="x-none"/>
        </w:rPr>
      </w:pPr>
      <w:hyperlink r:id="rId8" w:history="1">
        <w:r w:rsidR="00DD64BA" w:rsidRPr="00DD64BA">
          <w:rPr>
            <w:rStyle w:val="Hyperlink"/>
            <w:rFonts w:cs="Arial"/>
            <w:sz w:val="22"/>
            <w:szCs w:val="22"/>
            <w:lang w:val="x-none"/>
          </w:rPr>
          <w:t>NICE technology appraisal guidance 171</w:t>
        </w:r>
      </w:hyperlink>
      <w:r w:rsidR="00DD64BA" w:rsidRPr="00DD64BA">
        <w:rPr>
          <w:rFonts w:cs="Arial"/>
          <w:sz w:val="22"/>
          <w:szCs w:val="22"/>
          <w:lang w:val="x-none"/>
        </w:rPr>
        <w:t xml:space="preserve"> recommends lenalidomide </w:t>
      </w:r>
      <w:r w:rsidR="00DD64BA" w:rsidRPr="00DD64BA">
        <w:rPr>
          <w:rFonts w:cs="Arial"/>
          <w:sz w:val="22"/>
          <w:szCs w:val="22"/>
        </w:rPr>
        <w:t>plus</w:t>
      </w:r>
      <w:r w:rsidR="00DD64BA" w:rsidRPr="00DD64BA">
        <w:rPr>
          <w:rFonts w:cs="Arial"/>
          <w:sz w:val="22"/>
          <w:szCs w:val="22"/>
          <w:lang w:val="x-none"/>
        </w:rPr>
        <w:t xml:space="preserve"> dexamethasone as a treatment option</w:t>
      </w:r>
      <w:r w:rsidR="00DD64BA" w:rsidRPr="00DD64BA">
        <w:rPr>
          <w:rFonts w:cs="Arial"/>
          <w:sz w:val="22"/>
          <w:szCs w:val="22"/>
        </w:rPr>
        <w:t xml:space="preserve"> for people who have had at least 2 previous therapies</w:t>
      </w:r>
      <w:r w:rsidR="00DD64BA" w:rsidRPr="00DD64BA">
        <w:rPr>
          <w:rFonts w:cs="Arial"/>
          <w:sz w:val="22"/>
          <w:szCs w:val="22"/>
          <w:lang w:val="x-none"/>
        </w:rPr>
        <w:t xml:space="preserve">. </w:t>
      </w:r>
    </w:p>
    <w:p w14:paraId="6E137F3A" w14:textId="77777777" w:rsidR="00DD64BA" w:rsidRPr="00DD64BA" w:rsidRDefault="00BC4E46" w:rsidP="00DD64BA">
      <w:pPr>
        <w:numPr>
          <w:ilvl w:val="0"/>
          <w:numId w:val="29"/>
        </w:numPr>
        <w:spacing w:after="240"/>
        <w:rPr>
          <w:rFonts w:cs="Arial"/>
          <w:sz w:val="22"/>
          <w:szCs w:val="22"/>
          <w:lang w:val="x-none"/>
        </w:rPr>
      </w:pPr>
      <w:hyperlink r:id="rId9" w:history="1">
        <w:r w:rsidR="00DD64BA" w:rsidRPr="00DD64BA">
          <w:rPr>
            <w:rStyle w:val="Hyperlink"/>
            <w:rFonts w:cs="Arial"/>
            <w:sz w:val="22"/>
            <w:szCs w:val="22"/>
            <w:lang w:val="x-none"/>
          </w:rPr>
          <w:t>NICE technology appraisal guidance 380</w:t>
        </w:r>
      </w:hyperlink>
      <w:r w:rsidR="00DD64BA" w:rsidRPr="00DD64BA">
        <w:rPr>
          <w:rFonts w:cs="Arial"/>
          <w:sz w:val="22"/>
          <w:szCs w:val="22"/>
          <w:lang w:val="x-none"/>
        </w:rPr>
        <w:t xml:space="preserve"> recommends </w:t>
      </w:r>
      <w:proofErr w:type="spellStart"/>
      <w:r w:rsidR="00DD64BA" w:rsidRPr="00DD64BA">
        <w:rPr>
          <w:rFonts w:cs="Arial"/>
          <w:sz w:val="22"/>
          <w:szCs w:val="22"/>
          <w:lang w:val="x-none"/>
        </w:rPr>
        <w:t>panobinostat</w:t>
      </w:r>
      <w:proofErr w:type="spellEnd"/>
      <w:r w:rsidR="00DD64BA" w:rsidRPr="00DD64BA">
        <w:rPr>
          <w:rFonts w:cs="Arial"/>
          <w:sz w:val="22"/>
          <w:szCs w:val="22"/>
          <w:lang w:val="x-none"/>
        </w:rPr>
        <w:t xml:space="preserve"> </w:t>
      </w:r>
      <w:r w:rsidR="00DD64BA" w:rsidRPr="00DD64BA">
        <w:rPr>
          <w:rFonts w:cs="Arial"/>
          <w:sz w:val="22"/>
          <w:szCs w:val="22"/>
        </w:rPr>
        <w:t>plus</w:t>
      </w:r>
      <w:r w:rsidR="00DD64BA" w:rsidRPr="00DD64BA">
        <w:rPr>
          <w:rFonts w:cs="Arial"/>
          <w:sz w:val="22"/>
          <w:szCs w:val="22"/>
          <w:lang w:val="x-none"/>
        </w:rPr>
        <w:t xml:space="preserve"> bortezomib and dexamethasone as a treatment option for </w:t>
      </w:r>
      <w:r w:rsidR="00DD64BA" w:rsidRPr="00DD64BA">
        <w:rPr>
          <w:rFonts w:cs="Arial"/>
          <w:sz w:val="22"/>
          <w:szCs w:val="22"/>
        </w:rPr>
        <w:t>adults</w:t>
      </w:r>
      <w:r w:rsidR="00DD64BA" w:rsidRPr="00DD64BA">
        <w:rPr>
          <w:rFonts w:cs="Arial"/>
          <w:sz w:val="22"/>
          <w:szCs w:val="22"/>
          <w:lang w:val="x-none"/>
        </w:rPr>
        <w:t xml:space="preserve"> who have </w:t>
      </w:r>
      <w:r w:rsidR="00DD64BA" w:rsidRPr="00DD64BA">
        <w:rPr>
          <w:rFonts w:cs="Arial"/>
          <w:sz w:val="22"/>
          <w:szCs w:val="22"/>
        </w:rPr>
        <w:t>had</w:t>
      </w:r>
      <w:r w:rsidR="00DD64BA" w:rsidRPr="00DD64BA">
        <w:rPr>
          <w:rFonts w:cs="Arial"/>
          <w:sz w:val="22"/>
          <w:szCs w:val="22"/>
          <w:lang w:val="x-none"/>
        </w:rPr>
        <w:t xml:space="preserve"> at least 2 </w:t>
      </w:r>
      <w:r w:rsidR="00DD64BA" w:rsidRPr="00DD64BA">
        <w:rPr>
          <w:rFonts w:cs="Arial"/>
          <w:sz w:val="22"/>
          <w:szCs w:val="22"/>
        </w:rPr>
        <w:t>previous</w:t>
      </w:r>
      <w:r w:rsidR="00DD64BA" w:rsidRPr="00DD64BA">
        <w:rPr>
          <w:rFonts w:cs="Arial"/>
          <w:sz w:val="22"/>
          <w:szCs w:val="22"/>
          <w:lang w:val="x-none"/>
        </w:rPr>
        <w:t xml:space="preserve"> therapies including bortezomib and an immunomodulatory agent.</w:t>
      </w:r>
    </w:p>
    <w:p w14:paraId="7D04C9C7" w14:textId="3918F506" w:rsidR="00DD64BA" w:rsidRPr="00DD64BA" w:rsidRDefault="00BC4E46" w:rsidP="00DD64BA">
      <w:pPr>
        <w:numPr>
          <w:ilvl w:val="0"/>
          <w:numId w:val="29"/>
        </w:numPr>
        <w:spacing w:after="240"/>
        <w:rPr>
          <w:rFonts w:cs="Arial"/>
          <w:sz w:val="22"/>
          <w:szCs w:val="22"/>
          <w:lang w:val="x-none"/>
        </w:rPr>
      </w:pPr>
      <w:hyperlink r:id="rId10" w:history="1">
        <w:r w:rsidR="00DD64BA" w:rsidRPr="00CF5FCD">
          <w:rPr>
            <w:rStyle w:val="Hyperlink"/>
            <w:rFonts w:cs="Arial"/>
            <w:sz w:val="22"/>
            <w:szCs w:val="22"/>
            <w:lang w:val="x-none"/>
          </w:rPr>
          <w:t>NICE technology appraisal guidance</w:t>
        </w:r>
        <w:r w:rsidR="00CF5FCD" w:rsidRPr="00CF5FCD">
          <w:rPr>
            <w:rStyle w:val="Hyperlink"/>
            <w:rFonts w:cs="Arial"/>
            <w:sz w:val="22"/>
            <w:szCs w:val="22"/>
          </w:rPr>
          <w:t xml:space="preserve"> 870</w:t>
        </w:r>
      </w:hyperlink>
      <w:r w:rsidR="00DD64BA" w:rsidRPr="00DD64BA">
        <w:rPr>
          <w:rFonts w:cs="Arial"/>
          <w:sz w:val="22"/>
          <w:szCs w:val="22"/>
          <w:lang w:val="x-none"/>
        </w:rPr>
        <w:t xml:space="preserve"> recommends </w:t>
      </w:r>
      <w:proofErr w:type="spellStart"/>
      <w:r w:rsidR="00DD64BA" w:rsidRPr="00DD64BA">
        <w:rPr>
          <w:rFonts w:cs="Arial"/>
          <w:sz w:val="22"/>
          <w:szCs w:val="22"/>
          <w:lang w:val="x-none"/>
        </w:rPr>
        <w:t>ixazomib</w:t>
      </w:r>
      <w:proofErr w:type="spellEnd"/>
      <w:r w:rsidR="00DD64BA" w:rsidRPr="00DD64BA">
        <w:rPr>
          <w:rFonts w:cs="Arial"/>
          <w:sz w:val="22"/>
          <w:szCs w:val="22"/>
          <w:lang w:val="x-none"/>
        </w:rPr>
        <w:t xml:space="preserve"> </w:t>
      </w:r>
      <w:r w:rsidR="00DD64BA" w:rsidRPr="00DD64BA">
        <w:rPr>
          <w:rFonts w:cs="Arial"/>
          <w:sz w:val="22"/>
          <w:szCs w:val="22"/>
        </w:rPr>
        <w:t>plus</w:t>
      </w:r>
      <w:r w:rsidR="00DD64BA" w:rsidRPr="00DD64BA">
        <w:rPr>
          <w:rFonts w:cs="Arial"/>
          <w:sz w:val="22"/>
          <w:szCs w:val="22"/>
          <w:lang w:val="x-none"/>
        </w:rPr>
        <w:t xml:space="preserve"> lenalidomide and dexamethasone </w:t>
      </w:r>
      <w:r w:rsidR="00DD64BA" w:rsidRPr="00DD64BA">
        <w:rPr>
          <w:rFonts w:cs="Arial"/>
          <w:sz w:val="22"/>
          <w:szCs w:val="22"/>
        </w:rPr>
        <w:t xml:space="preserve">as a treatment option for adults who have had </w:t>
      </w:r>
      <w:r w:rsidR="00DD64BA" w:rsidRPr="00DD64BA">
        <w:rPr>
          <w:rFonts w:cs="Arial"/>
          <w:sz w:val="22"/>
          <w:szCs w:val="22"/>
          <w:lang w:val="x-none"/>
        </w:rPr>
        <w:t>2 or 3 previous therapies</w:t>
      </w:r>
      <w:r w:rsidR="00DD64BA" w:rsidRPr="00DD64BA">
        <w:rPr>
          <w:rFonts w:cs="Arial"/>
          <w:sz w:val="22"/>
          <w:szCs w:val="22"/>
        </w:rPr>
        <w:t>.</w:t>
      </w:r>
    </w:p>
    <w:p w14:paraId="453FBAF0" w14:textId="240F10AA" w:rsidR="00DD64BA" w:rsidRDefault="00DD64BA" w:rsidP="00DC68B6">
      <w:pPr>
        <w:pStyle w:val="BodyText"/>
        <w:rPr>
          <w:rFonts w:cs="Arial"/>
          <w:sz w:val="22"/>
          <w:szCs w:val="22"/>
        </w:rPr>
      </w:pPr>
      <w:r w:rsidRPr="00DD64BA">
        <w:rPr>
          <w:rFonts w:cs="Arial"/>
          <w:sz w:val="22"/>
          <w:szCs w:val="22"/>
        </w:rPr>
        <w:t>For people who have had at least 3 prior therapies:</w:t>
      </w:r>
    </w:p>
    <w:p w14:paraId="14096378" w14:textId="77777777" w:rsidR="00DD64BA" w:rsidRPr="00DD64BA" w:rsidRDefault="00BC4E46" w:rsidP="00DD64BA">
      <w:pPr>
        <w:numPr>
          <w:ilvl w:val="0"/>
          <w:numId w:val="30"/>
        </w:numPr>
        <w:spacing w:after="240"/>
        <w:ind w:left="714" w:hanging="357"/>
        <w:rPr>
          <w:rFonts w:cs="Arial"/>
          <w:sz w:val="22"/>
          <w:szCs w:val="22"/>
          <w:lang w:val="x-none"/>
        </w:rPr>
      </w:pPr>
      <w:hyperlink r:id="rId11" w:history="1">
        <w:r w:rsidR="00DD64BA" w:rsidRPr="00DD64BA">
          <w:rPr>
            <w:rStyle w:val="Hyperlink"/>
            <w:rFonts w:cs="Arial"/>
            <w:sz w:val="22"/>
            <w:szCs w:val="22"/>
            <w:lang w:val="x-none"/>
          </w:rPr>
          <w:t>NICE technology appraisal guidance 427</w:t>
        </w:r>
      </w:hyperlink>
      <w:r w:rsidR="00DD64BA" w:rsidRPr="00DD64BA">
        <w:rPr>
          <w:rFonts w:cs="Arial"/>
          <w:sz w:val="22"/>
          <w:szCs w:val="22"/>
          <w:lang w:val="x-none"/>
        </w:rPr>
        <w:t xml:space="preserve"> recommends pomalidomide </w:t>
      </w:r>
      <w:r w:rsidR="00DD64BA" w:rsidRPr="00DD64BA">
        <w:rPr>
          <w:rFonts w:cs="Arial"/>
          <w:sz w:val="22"/>
          <w:szCs w:val="22"/>
        </w:rPr>
        <w:t>plus</w:t>
      </w:r>
      <w:r w:rsidR="00DD64BA" w:rsidRPr="00DD64BA">
        <w:rPr>
          <w:rFonts w:cs="Arial"/>
          <w:sz w:val="22"/>
          <w:szCs w:val="22"/>
          <w:lang w:val="x-none"/>
        </w:rPr>
        <w:t xml:space="preserve"> low-dose dexamethasone as a treatment option </w:t>
      </w:r>
      <w:r w:rsidR="00DD64BA" w:rsidRPr="00DD64BA">
        <w:rPr>
          <w:rFonts w:cs="Arial"/>
          <w:sz w:val="22"/>
          <w:szCs w:val="22"/>
        </w:rPr>
        <w:t xml:space="preserve">for adults who have had at least </w:t>
      </w:r>
      <w:r w:rsidR="00DD64BA" w:rsidRPr="00DD64BA">
        <w:rPr>
          <w:rFonts w:cs="Arial"/>
          <w:sz w:val="22"/>
          <w:szCs w:val="22"/>
          <w:lang w:val="x-none"/>
        </w:rPr>
        <w:t>3 previous treatments including both lenalidomide and bortezomib.</w:t>
      </w:r>
    </w:p>
    <w:p w14:paraId="4739B02F" w14:textId="77777777" w:rsidR="00DD64BA" w:rsidRPr="00DD64BA" w:rsidRDefault="00BC4E46" w:rsidP="00DD64BA">
      <w:pPr>
        <w:numPr>
          <w:ilvl w:val="0"/>
          <w:numId w:val="30"/>
        </w:numPr>
        <w:spacing w:after="240"/>
        <w:ind w:left="714" w:hanging="357"/>
        <w:rPr>
          <w:rFonts w:cs="Arial"/>
          <w:sz w:val="22"/>
          <w:szCs w:val="22"/>
          <w:lang w:val="x-none"/>
        </w:rPr>
      </w:pPr>
      <w:hyperlink r:id="rId12" w:history="1">
        <w:r w:rsidR="00DD64BA" w:rsidRPr="00DD64BA">
          <w:rPr>
            <w:rStyle w:val="Hyperlink"/>
            <w:rFonts w:cs="Arial"/>
            <w:sz w:val="22"/>
            <w:szCs w:val="22"/>
            <w:lang w:val="x-none"/>
          </w:rPr>
          <w:t xml:space="preserve">NICE technology appraisal guidance </w:t>
        </w:r>
        <w:r w:rsidR="00DD64BA" w:rsidRPr="00DD64BA">
          <w:rPr>
            <w:rStyle w:val="Hyperlink"/>
            <w:rFonts w:cs="Arial"/>
            <w:sz w:val="22"/>
            <w:szCs w:val="22"/>
          </w:rPr>
          <w:t>783</w:t>
        </w:r>
      </w:hyperlink>
      <w:r w:rsidR="00DD64BA" w:rsidRPr="00DD64BA">
        <w:rPr>
          <w:rFonts w:cs="Arial"/>
          <w:sz w:val="22"/>
          <w:szCs w:val="22"/>
          <w:lang w:val="x-none"/>
        </w:rPr>
        <w:t xml:space="preserve"> recommends daratumumab monotherapy for use as a treatment option for adults who have had 3 previous therapies</w:t>
      </w:r>
      <w:r w:rsidR="00DD64BA" w:rsidRPr="00DD64BA">
        <w:rPr>
          <w:rFonts w:cs="Arial"/>
          <w:sz w:val="22"/>
          <w:szCs w:val="22"/>
        </w:rPr>
        <w:t xml:space="preserve"> including a proteasome inhibitor and an immunomodulator.</w:t>
      </w:r>
    </w:p>
    <w:p w14:paraId="0B28E0C1" w14:textId="77777777" w:rsidR="00DD64BA" w:rsidRPr="00DD64BA" w:rsidRDefault="00BC4E46" w:rsidP="00DD64BA">
      <w:pPr>
        <w:numPr>
          <w:ilvl w:val="0"/>
          <w:numId w:val="30"/>
        </w:numPr>
        <w:spacing w:after="240"/>
        <w:ind w:left="714" w:hanging="357"/>
        <w:rPr>
          <w:rFonts w:cs="Arial"/>
          <w:sz w:val="22"/>
          <w:szCs w:val="22"/>
          <w:lang w:val="x-none"/>
        </w:rPr>
      </w:pPr>
      <w:hyperlink r:id="rId13" w:history="1">
        <w:r w:rsidR="00DD64BA" w:rsidRPr="00DD64BA">
          <w:rPr>
            <w:rStyle w:val="Hyperlink"/>
            <w:rFonts w:cs="Arial"/>
            <w:sz w:val="22"/>
            <w:szCs w:val="22"/>
          </w:rPr>
          <w:t>NICE technology appraisal guidance 658</w:t>
        </w:r>
      </w:hyperlink>
      <w:r w:rsidR="00DD64BA" w:rsidRPr="00DD64BA">
        <w:rPr>
          <w:rFonts w:cs="Arial"/>
          <w:sz w:val="22"/>
          <w:szCs w:val="22"/>
        </w:rPr>
        <w:t xml:space="preserve"> recommends </w:t>
      </w:r>
      <w:proofErr w:type="spellStart"/>
      <w:r w:rsidR="00DD64BA" w:rsidRPr="00DD64BA">
        <w:rPr>
          <w:rFonts w:cs="Arial"/>
          <w:sz w:val="22"/>
          <w:szCs w:val="22"/>
        </w:rPr>
        <w:t>isatuximab</w:t>
      </w:r>
      <w:proofErr w:type="spellEnd"/>
      <w:r w:rsidR="00DD64BA" w:rsidRPr="00DD64BA">
        <w:rPr>
          <w:rFonts w:cs="Arial"/>
          <w:sz w:val="22"/>
          <w:szCs w:val="22"/>
        </w:rPr>
        <w:t xml:space="preserve"> plus pomalidomide and dexamethasone for use within the Cancer Drugs Fund as a treatment option for adults who have had at least 3 previous treatments including both lenalidomide and a proteasome inhibitor.</w:t>
      </w:r>
    </w:p>
    <w:bookmarkEnd w:id="3"/>
    <w:bookmarkEnd w:id="4"/>
    <w:p w14:paraId="36F531D2" w14:textId="77777777" w:rsidR="00B768BF" w:rsidRPr="00E970E0" w:rsidRDefault="005779DB" w:rsidP="005779DB">
      <w:pPr>
        <w:pStyle w:val="Heading1"/>
        <w:rPr>
          <w:rFonts w:cs="Arial"/>
          <w:sz w:val="22"/>
          <w:szCs w:val="22"/>
        </w:rPr>
      </w:pPr>
      <w:r w:rsidRPr="00E970E0">
        <w:rPr>
          <w:rFonts w:cs="Arial"/>
          <w:sz w:val="22"/>
          <w:szCs w:val="22"/>
        </w:rPr>
        <w:t>The technology</w:t>
      </w:r>
    </w:p>
    <w:p w14:paraId="21D0FF0E" w14:textId="6B7F6656" w:rsidR="00FC4DEE" w:rsidRPr="00C65871" w:rsidRDefault="005256ED" w:rsidP="00DC68B6">
      <w:pPr>
        <w:pStyle w:val="BodyText"/>
        <w:rPr>
          <w:rFonts w:cs="Arial"/>
          <w:sz w:val="22"/>
          <w:szCs w:val="22"/>
          <w:lang w:val="en-GB"/>
        </w:rPr>
      </w:pPr>
      <w:proofErr w:type="spellStart"/>
      <w:r w:rsidRPr="005256ED">
        <w:rPr>
          <w:rFonts w:cs="Arial"/>
          <w:sz w:val="22"/>
          <w:szCs w:val="22"/>
        </w:rPr>
        <w:t>Elranatamab</w:t>
      </w:r>
      <w:proofErr w:type="spellEnd"/>
      <w:r w:rsidRPr="005256ED">
        <w:rPr>
          <w:rFonts w:cs="Arial"/>
          <w:sz w:val="22"/>
          <w:szCs w:val="22"/>
        </w:rPr>
        <w:t xml:space="preserve"> </w:t>
      </w:r>
      <w:r>
        <w:rPr>
          <w:rFonts w:cs="Arial"/>
          <w:sz w:val="22"/>
          <w:szCs w:val="22"/>
          <w:lang w:val="en-GB"/>
        </w:rPr>
        <w:t xml:space="preserve">(brand name unknown, Pfizer) </w:t>
      </w:r>
      <w:r w:rsidRPr="005256ED">
        <w:rPr>
          <w:rFonts w:cs="Arial"/>
          <w:sz w:val="22"/>
          <w:szCs w:val="22"/>
          <w:lang w:val="en-GB"/>
        </w:rPr>
        <w:t>does not currently have a marketing authorisation in the UK for</w:t>
      </w:r>
      <w:r>
        <w:rPr>
          <w:rFonts w:cs="Arial"/>
          <w:sz w:val="22"/>
          <w:szCs w:val="22"/>
          <w:lang w:val="en-GB"/>
        </w:rPr>
        <w:t xml:space="preserve"> </w:t>
      </w:r>
      <w:r w:rsidR="005605A6">
        <w:rPr>
          <w:rFonts w:cs="Arial"/>
          <w:sz w:val="22"/>
          <w:szCs w:val="22"/>
          <w:lang w:val="en-GB"/>
        </w:rPr>
        <w:t xml:space="preserve">relapsed or </w:t>
      </w:r>
      <w:r w:rsidRPr="005256ED">
        <w:rPr>
          <w:rFonts w:cs="Arial"/>
          <w:sz w:val="22"/>
          <w:szCs w:val="22"/>
          <w:lang w:val="en-GB"/>
        </w:rPr>
        <w:t xml:space="preserve">refractory multiple myeloma after 3 </w:t>
      </w:r>
      <w:r w:rsidR="004E400A">
        <w:rPr>
          <w:rFonts w:cs="Arial"/>
          <w:sz w:val="22"/>
          <w:szCs w:val="22"/>
          <w:lang w:val="en-GB"/>
        </w:rPr>
        <w:t>prior</w:t>
      </w:r>
      <w:r w:rsidR="00F046BC">
        <w:rPr>
          <w:rFonts w:cs="Arial"/>
          <w:sz w:val="22"/>
          <w:szCs w:val="22"/>
          <w:lang w:val="en-GB"/>
        </w:rPr>
        <w:t xml:space="preserve"> </w:t>
      </w:r>
      <w:r w:rsidRPr="005256ED">
        <w:rPr>
          <w:rFonts w:cs="Arial"/>
          <w:sz w:val="22"/>
          <w:szCs w:val="22"/>
          <w:lang w:val="en-GB"/>
        </w:rPr>
        <w:t>therapies</w:t>
      </w:r>
      <w:r w:rsidRPr="00003591">
        <w:rPr>
          <w:rFonts w:cs="Arial"/>
          <w:sz w:val="22"/>
          <w:szCs w:val="22"/>
          <w:lang w:val="en-GB"/>
        </w:rPr>
        <w:t>.</w:t>
      </w:r>
      <w:r w:rsidR="00003591" w:rsidRPr="00003591">
        <w:rPr>
          <w:bCs/>
          <w:kern w:val="28"/>
          <w:sz w:val="22"/>
          <w:szCs w:val="22"/>
        </w:rPr>
        <w:t xml:space="preserve"> </w:t>
      </w:r>
      <w:r>
        <w:rPr>
          <w:rFonts w:cs="Arial"/>
          <w:sz w:val="22"/>
          <w:szCs w:val="22"/>
          <w:lang w:val="en-GB"/>
        </w:rPr>
        <w:t>It has been studied in a clinical trial in people with r</w:t>
      </w:r>
      <w:r w:rsidRPr="005256ED">
        <w:rPr>
          <w:rFonts w:cs="Arial"/>
          <w:sz w:val="22"/>
          <w:szCs w:val="22"/>
          <w:lang w:val="en-GB"/>
        </w:rPr>
        <w:t>elapsed</w:t>
      </w:r>
      <w:r w:rsidR="005605A6">
        <w:rPr>
          <w:rFonts w:cs="Arial"/>
          <w:sz w:val="22"/>
          <w:szCs w:val="22"/>
          <w:lang w:val="en-GB"/>
        </w:rPr>
        <w:t xml:space="preserve"> or </w:t>
      </w:r>
      <w:r w:rsidRPr="005256ED">
        <w:rPr>
          <w:rFonts w:cs="Arial"/>
          <w:sz w:val="22"/>
          <w:szCs w:val="22"/>
          <w:lang w:val="en-GB"/>
        </w:rPr>
        <w:t>refractory multiple myeloma who are refractory to at least one proteasome inhibitor, one immunomodulatory drug, and one anti-CD38 monoclonal antibody.</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1967F4" w:rsidRPr="00E970E0" w14:paraId="661BB4D7" w14:textId="77777777" w:rsidTr="00F41649">
        <w:trPr>
          <w:cantSplit/>
        </w:trPr>
        <w:tc>
          <w:tcPr>
            <w:tcW w:w="2376" w:type="dxa"/>
            <w:shd w:val="clear" w:color="auto" w:fill="D9D9D9"/>
          </w:tcPr>
          <w:p w14:paraId="69D58C68" w14:textId="77777777" w:rsidR="001967F4" w:rsidRPr="00E970E0" w:rsidRDefault="001967F4">
            <w:pPr>
              <w:spacing w:before="120"/>
              <w:rPr>
                <w:rFonts w:cs="Arial"/>
                <w:b/>
                <w:bCs/>
                <w:sz w:val="22"/>
                <w:szCs w:val="22"/>
              </w:rPr>
            </w:pPr>
            <w:r w:rsidRPr="00E970E0">
              <w:rPr>
                <w:rFonts w:cs="Arial"/>
                <w:b/>
                <w:bCs/>
                <w:sz w:val="22"/>
                <w:szCs w:val="22"/>
              </w:rPr>
              <w:t>Intervention(s)</w:t>
            </w:r>
          </w:p>
        </w:tc>
        <w:tc>
          <w:tcPr>
            <w:tcW w:w="6237" w:type="dxa"/>
          </w:tcPr>
          <w:p w14:paraId="40786732" w14:textId="34F9A853" w:rsidR="001967F4" w:rsidRPr="00E970E0" w:rsidRDefault="0002088C" w:rsidP="00DC68B6">
            <w:pPr>
              <w:pStyle w:val="BodyText2"/>
              <w:rPr>
                <w:rFonts w:cs="Arial"/>
                <w:sz w:val="22"/>
                <w:szCs w:val="22"/>
                <w:lang w:val="en-GB"/>
              </w:rPr>
            </w:pPr>
            <w:proofErr w:type="spellStart"/>
            <w:r w:rsidRPr="0002088C">
              <w:rPr>
                <w:rFonts w:cs="Arial"/>
                <w:sz w:val="22"/>
                <w:szCs w:val="22"/>
                <w:lang w:val="en-GB"/>
              </w:rPr>
              <w:t>Elranatamab</w:t>
            </w:r>
            <w:proofErr w:type="spellEnd"/>
          </w:p>
        </w:tc>
      </w:tr>
      <w:tr w:rsidR="001967F4" w:rsidRPr="00E970E0" w14:paraId="5B8C9C4C" w14:textId="77777777" w:rsidTr="00F41649">
        <w:trPr>
          <w:cantSplit/>
        </w:trPr>
        <w:tc>
          <w:tcPr>
            <w:tcW w:w="2376" w:type="dxa"/>
            <w:shd w:val="clear" w:color="auto" w:fill="D9D9D9"/>
          </w:tcPr>
          <w:p w14:paraId="4FF5877A" w14:textId="77777777" w:rsidR="001967F4" w:rsidRPr="00E970E0" w:rsidRDefault="001967F4">
            <w:pPr>
              <w:pStyle w:val="Header"/>
              <w:tabs>
                <w:tab w:val="clear" w:pos="4153"/>
                <w:tab w:val="clear" w:pos="8306"/>
              </w:tabs>
              <w:spacing w:before="120"/>
              <w:rPr>
                <w:rFonts w:cs="Arial"/>
                <w:sz w:val="22"/>
                <w:szCs w:val="22"/>
                <w:lang w:val="en-GB"/>
              </w:rPr>
            </w:pPr>
            <w:r w:rsidRPr="00E970E0">
              <w:rPr>
                <w:rFonts w:cs="Arial"/>
                <w:b/>
                <w:bCs/>
                <w:sz w:val="22"/>
                <w:szCs w:val="22"/>
                <w:lang w:val="en-GB"/>
              </w:rPr>
              <w:t>Population(s)</w:t>
            </w:r>
          </w:p>
        </w:tc>
        <w:tc>
          <w:tcPr>
            <w:tcW w:w="6237" w:type="dxa"/>
          </w:tcPr>
          <w:p w14:paraId="195B3854" w14:textId="636285DA" w:rsidR="001967F4" w:rsidRPr="00E970E0" w:rsidRDefault="00E26006" w:rsidP="00DC68B6">
            <w:pPr>
              <w:pStyle w:val="BodyText2"/>
              <w:rPr>
                <w:rFonts w:cs="Arial"/>
                <w:sz w:val="22"/>
                <w:szCs w:val="22"/>
                <w:lang w:val="en-GB"/>
              </w:rPr>
            </w:pPr>
            <w:r>
              <w:rPr>
                <w:rFonts w:cs="Arial"/>
                <w:sz w:val="22"/>
                <w:szCs w:val="22"/>
                <w:lang w:val="en-GB"/>
              </w:rPr>
              <w:t>People with</w:t>
            </w:r>
            <w:r w:rsidRPr="008777B7">
              <w:rPr>
                <w:rFonts w:cs="Arial"/>
                <w:sz w:val="22"/>
                <w:szCs w:val="22"/>
                <w:lang w:val="en-GB"/>
              </w:rPr>
              <w:t xml:space="preserve"> </w:t>
            </w:r>
            <w:r w:rsidR="005605A6">
              <w:rPr>
                <w:rFonts w:cs="Arial"/>
                <w:sz w:val="22"/>
                <w:szCs w:val="22"/>
                <w:lang w:val="en-GB"/>
              </w:rPr>
              <w:t xml:space="preserve">relapsed or refractory </w:t>
            </w:r>
            <w:r w:rsidR="008777B7" w:rsidRPr="008777B7">
              <w:rPr>
                <w:rFonts w:cs="Arial"/>
                <w:sz w:val="22"/>
                <w:szCs w:val="22"/>
                <w:lang w:val="en-GB"/>
              </w:rPr>
              <w:t xml:space="preserve">multiple myeloma after </w:t>
            </w:r>
            <w:r w:rsidR="005605A6">
              <w:rPr>
                <w:rFonts w:cs="Arial"/>
                <w:sz w:val="22"/>
                <w:szCs w:val="22"/>
                <w:lang w:val="en-GB"/>
              </w:rPr>
              <w:t xml:space="preserve">at least </w:t>
            </w:r>
            <w:r w:rsidR="008777B7" w:rsidRPr="008777B7">
              <w:rPr>
                <w:rFonts w:cs="Arial"/>
                <w:sz w:val="22"/>
                <w:szCs w:val="22"/>
                <w:lang w:val="en-GB"/>
              </w:rPr>
              <w:t xml:space="preserve">3 </w:t>
            </w:r>
            <w:r w:rsidR="005605A6">
              <w:rPr>
                <w:rFonts w:cs="Arial"/>
                <w:sz w:val="22"/>
                <w:szCs w:val="22"/>
                <w:lang w:val="en-GB"/>
              </w:rPr>
              <w:t>prior</w:t>
            </w:r>
            <w:r w:rsidR="005605A6" w:rsidRPr="008777B7">
              <w:rPr>
                <w:rFonts w:cs="Arial"/>
                <w:sz w:val="22"/>
                <w:szCs w:val="22"/>
                <w:lang w:val="en-GB"/>
              </w:rPr>
              <w:t xml:space="preserve"> </w:t>
            </w:r>
            <w:r w:rsidR="008777B7" w:rsidRPr="008777B7">
              <w:rPr>
                <w:rFonts w:cs="Arial"/>
                <w:sz w:val="22"/>
                <w:szCs w:val="22"/>
                <w:lang w:val="en-GB"/>
              </w:rPr>
              <w:t>therapies</w:t>
            </w:r>
          </w:p>
        </w:tc>
      </w:tr>
      <w:tr w:rsidR="001967F4" w:rsidRPr="00E970E0" w14:paraId="53A64CDC" w14:textId="77777777" w:rsidTr="00F41649">
        <w:trPr>
          <w:cantSplit/>
        </w:trPr>
        <w:tc>
          <w:tcPr>
            <w:tcW w:w="2376" w:type="dxa"/>
            <w:shd w:val="clear" w:color="auto" w:fill="D9D9D9"/>
          </w:tcPr>
          <w:p w14:paraId="0A51D106" w14:textId="77777777" w:rsidR="001967F4" w:rsidRPr="00E970E0" w:rsidRDefault="00436848" w:rsidP="00747737">
            <w:pPr>
              <w:pStyle w:val="Header"/>
              <w:tabs>
                <w:tab w:val="clear" w:pos="4153"/>
                <w:tab w:val="clear" w:pos="8306"/>
              </w:tabs>
              <w:spacing w:before="120"/>
              <w:rPr>
                <w:rFonts w:cs="Arial"/>
                <w:sz w:val="22"/>
                <w:szCs w:val="22"/>
                <w:lang w:val="en-GB"/>
              </w:rPr>
            </w:pPr>
            <w:r w:rsidRPr="00E970E0">
              <w:rPr>
                <w:rFonts w:cs="Arial"/>
                <w:b/>
                <w:bCs/>
                <w:sz w:val="22"/>
                <w:szCs w:val="22"/>
                <w:lang w:val="en-GB"/>
              </w:rPr>
              <w:t>C</w:t>
            </w:r>
            <w:r w:rsidR="001967F4" w:rsidRPr="00E970E0">
              <w:rPr>
                <w:rFonts w:cs="Arial"/>
                <w:b/>
                <w:bCs/>
                <w:sz w:val="22"/>
                <w:szCs w:val="22"/>
                <w:lang w:val="en-GB"/>
              </w:rPr>
              <w:t>omparators</w:t>
            </w:r>
          </w:p>
        </w:tc>
        <w:tc>
          <w:tcPr>
            <w:tcW w:w="6237" w:type="dxa"/>
          </w:tcPr>
          <w:p w14:paraId="4B46F1FF" w14:textId="77777777" w:rsidR="00C65871" w:rsidRPr="00C65871" w:rsidRDefault="00C65871" w:rsidP="001A098D">
            <w:pPr>
              <w:pStyle w:val="BodyText2"/>
              <w:numPr>
                <w:ilvl w:val="0"/>
                <w:numId w:val="31"/>
              </w:numPr>
              <w:rPr>
                <w:rFonts w:cs="Arial"/>
                <w:sz w:val="22"/>
                <w:szCs w:val="22"/>
              </w:rPr>
            </w:pPr>
            <w:r>
              <w:rPr>
                <w:rFonts w:cs="Arial"/>
                <w:sz w:val="22"/>
                <w:szCs w:val="22"/>
                <w:lang w:val="en-GB"/>
              </w:rPr>
              <w:t>L</w:t>
            </w:r>
            <w:r w:rsidRPr="00C65871">
              <w:rPr>
                <w:rFonts w:cs="Arial"/>
                <w:sz w:val="22"/>
                <w:szCs w:val="22"/>
                <w:lang w:val="en-GB"/>
              </w:rPr>
              <w:t>enalidomide plus dexamethasone</w:t>
            </w:r>
          </w:p>
          <w:p w14:paraId="74D6B869" w14:textId="2065F7CE" w:rsidR="00C65871" w:rsidRDefault="00C65871" w:rsidP="001A098D">
            <w:pPr>
              <w:pStyle w:val="BodyText2"/>
              <w:numPr>
                <w:ilvl w:val="0"/>
                <w:numId w:val="31"/>
              </w:numPr>
              <w:rPr>
                <w:rFonts w:cs="Arial"/>
                <w:sz w:val="22"/>
                <w:szCs w:val="22"/>
              </w:rPr>
            </w:pPr>
            <w:r>
              <w:rPr>
                <w:rFonts w:cs="Arial"/>
                <w:sz w:val="22"/>
                <w:szCs w:val="22"/>
                <w:lang w:val="en-GB"/>
              </w:rPr>
              <w:t>P</w:t>
            </w:r>
            <w:proofErr w:type="spellStart"/>
            <w:r w:rsidRPr="00DD64BA">
              <w:rPr>
                <w:rFonts w:cs="Arial"/>
                <w:sz w:val="22"/>
                <w:szCs w:val="22"/>
              </w:rPr>
              <w:t>anobinostat</w:t>
            </w:r>
            <w:proofErr w:type="spellEnd"/>
            <w:r w:rsidRPr="00DD64BA">
              <w:rPr>
                <w:rFonts w:cs="Arial"/>
                <w:sz w:val="22"/>
                <w:szCs w:val="22"/>
              </w:rPr>
              <w:t xml:space="preserve"> plus bortezomib and dexamethasone</w:t>
            </w:r>
          </w:p>
          <w:p w14:paraId="4E6C0941" w14:textId="77777777" w:rsidR="00006ED9" w:rsidRDefault="00006ED9" w:rsidP="001A098D">
            <w:pPr>
              <w:pStyle w:val="BodyText2"/>
              <w:numPr>
                <w:ilvl w:val="0"/>
                <w:numId w:val="31"/>
              </w:numPr>
              <w:rPr>
                <w:rFonts w:cs="Arial"/>
                <w:sz w:val="22"/>
                <w:szCs w:val="22"/>
              </w:rPr>
            </w:pPr>
            <w:r>
              <w:rPr>
                <w:rFonts w:cs="Arial"/>
                <w:sz w:val="22"/>
                <w:szCs w:val="22"/>
                <w:lang w:val="en-GB"/>
              </w:rPr>
              <w:t>P</w:t>
            </w:r>
            <w:proofErr w:type="spellStart"/>
            <w:r w:rsidRPr="00006ED9">
              <w:rPr>
                <w:rFonts w:cs="Arial"/>
                <w:sz w:val="22"/>
                <w:szCs w:val="22"/>
              </w:rPr>
              <w:t>omalidomide</w:t>
            </w:r>
            <w:proofErr w:type="spellEnd"/>
            <w:r w:rsidRPr="00006ED9">
              <w:rPr>
                <w:rFonts w:cs="Arial"/>
                <w:sz w:val="22"/>
                <w:szCs w:val="22"/>
              </w:rPr>
              <w:t xml:space="preserve"> plus low-dose dexamethasone</w:t>
            </w:r>
          </w:p>
          <w:p w14:paraId="2F547AA9" w14:textId="34E6D02C" w:rsidR="00006ED9" w:rsidRDefault="00006ED9" w:rsidP="001A098D">
            <w:pPr>
              <w:pStyle w:val="BodyText2"/>
              <w:numPr>
                <w:ilvl w:val="0"/>
                <w:numId w:val="31"/>
              </w:numPr>
              <w:rPr>
                <w:rFonts w:cs="Arial"/>
                <w:sz w:val="22"/>
                <w:szCs w:val="22"/>
              </w:rPr>
            </w:pPr>
            <w:r>
              <w:rPr>
                <w:rFonts w:cs="Arial"/>
                <w:sz w:val="22"/>
                <w:szCs w:val="22"/>
                <w:lang w:val="en-GB"/>
              </w:rPr>
              <w:t>D</w:t>
            </w:r>
            <w:proofErr w:type="spellStart"/>
            <w:r w:rsidRPr="00006ED9">
              <w:rPr>
                <w:rFonts w:cs="Arial"/>
                <w:sz w:val="22"/>
                <w:szCs w:val="22"/>
              </w:rPr>
              <w:t>aratumumab</w:t>
            </w:r>
            <w:proofErr w:type="spellEnd"/>
            <w:r w:rsidRPr="00006ED9">
              <w:rPr>
                <w:rFonts w:cs="Arial"/>
                <w:sz w:val="22"/>
                <w:szCs w:val="22"/>
              </w:rPr>
              <w:t xml:space="preserve"> monotherapy</w:t>
            </w:r>
          </w:p>
          <w:p w14:paraId="15CD08B8" w14:textId="35BFA0E3" w:rsidR="00683DF2" w:rsidRPr="00217676" w:rsidRDefault="00683DF2" w:rsidP="001A098D">
            <w:pPr>
              <w:pStyle w:val="BodyText2"/>
              <w:numPr>
                <w:ilvl w:val="0"/>
                <w:numId w:val="31"/>
              </w:numPr>
              <w:rPr>
                <w:rFonts w:cs="Arial"/>
                <w:sz w:val="22"/>
                <w:szCs w:val="22"/>
              </w:rPr>
            </w:pPr>
            <w:r>
              <w:rPr>
                <w:rFonts w:cs="Arial"/>
                <w:sz w:val="22"/>
                <w:szCs w:val="22"/>
                <w:lang w:val="en-GB"/>
              </w:rPr>
              <w:t>I</w:t>
            </w:r>
            <w:proofErr w:type="spellStart"/>
            <w:r w:rsidRPr="00006ED9">
              <w:rPr>
                <w:rFonts w:cs="Arial"/>
                <w:sz w:val="22"/>
                <w:szCs w:val="22"/>
              </w:rPr>
              <w:t>xazomib</w:t>
            </w:r>
            <w:proofErr w:type="spellEnd"/>
            <w:r w:rsidRPr="00006ED9">
              <w:rPr>
                <w:rFonts w:cs="Arial"/>
                <w:sz w:val="22"/>
                <w:szCs w:val="22"/>
              </w:rPr>
              <w:t xml:space="preserve"> plus lenalidomide and dexamethasone</w:t>
            </w:r>
            <w:r>
              <w:rPr>
                <w:rFonts w:cs="Arial"/>
                <w:sz w:val="22"/>
                <w:szCs w:val="22"/>
                <w:lang w:val="en-GB"/>
              </w:rPr>
              <w:t xml:space="preserve"> </w:t>
            </w:r>
            <w:r w:rsidR="00693EA6">
              <w:rPr>
                <w:rFonts w:cs="Arial"/>
                <w:sz w:val="22"/>
                <w:szCs w:val="22"/>
                <w:lang w:val="en-GB"/>
              </w:rPr>
              <w:t xml:space="preserve"> </w:t>
            </w:r>
          </w:p>
          <w:p w14:paraId="0EDB2A5E" w14:textId="4FB400D3" w:rsidR="00217676" w:rsidRPr="00217676" w:rsidRDefault="00217676" w:rsidP="00217676">
            <w:pPr>
              <w:pStyle w:val="ListParagraph"/>
              <w:numPr>
                <w:ilvl w:val="0"/>
                <w:numId w:val="31"/>
              </w:numPr>
              <w:rPr>
                <w:rFonts w:cs="Arial"/>
                <w:sz w:val="22"/>
                <w:szCs w:val="22"/>
              </w:rPr>
            </w:pPr>
            <w:proofErr w:type="spellStart"/>
            <w:r w:rsidRPr="00217676">
              <w:rPr>
                <w:rFonts w:cs="Arial"/>
                <w:sz w:val="22"/>
                <w:szCs w:val="22"/>
              </w:rPr>
              <w:t>Belantamab</w:t>
            </w:r>
            <w:proofErr w:type="spellEnd"/>
            <w:r w:rsidRPr="00217676">
              <w:rPr>
                <w:rFonts w:cs="Arial"/>
                <w:sz w:val="22"/>
                <w:szCs w:val="22"/>
              </w:rPr>
              <w:t xml:space="preserve"> </w:t>
            </w:r>
            <w:proofErr w:type="spellStart"/>
            <w:r w:rsidRPr="00217676">
              <w:rPr>
                <w:rFonts w:cs="Arial"/>
                <w:sz w:val="22"/>
                <w:szCs w:val="22"/>
              </w:rPr>
              <w:t>mafodotin</w:t>
            </w:r>
            <w:proofErr w:type="spellEnd"/>
            <w:r w:rsidRPr="00217676">
              <w:rPr>
                <w:rFonts w:cs="Arial"/>
                <w:sz w:val="22"/>
                <w:szCs w:val="22"/>
              </w:rPr>
              <w:t xml:space="preserve"> (subject to NICE evaluation)</w:t>
            </w:r>
          </w:p>
          <w:p w14:paraId="224F34B8" w14:textId="764ACB50" w:rsidR="00EB2335" w:rsidRPr="00F046BC" w:rsidRDefault="00EB2335" w:rsidP="00F046BC">
            <w:pPr>
              <w:pStyle w:val="BodyText2"/>
              <w:numPr>
                <w:ilvl w:val="0"/>
                <w:numId w:val="31"/>
              </w:numPr>
              <w:rPr>
                <w:rFonts w:cs="Arial"/>
                <w:sz w:val="22"/>
                <w:szCs w:val="22"/>
              </w:rPr>
            </w:pPr>
            <w:r w:rsidRPr="00C8646A">
              <w:rPr>
                <w:rFonts w:cs="Arial"/>
                <w:sz w:val="22"/>
                <w:szCs w:val="22"/>
                <w:lang w:val="en-GB"/>
              </w:rPr>
              <w:t>Cyclophosphamide</w:t>
            </w:r>
            <w:r w:rsidR="00C8646A" w:rsidRPr="00C8646A">
              <w:rPr>
                <w:rFonts w:cs="Arial"/>
                <w:sz w:val="22"/>
                <w:szCs w:val="22"/>
                <w:lang w:val="en-GB"/>
              </w:rPr>
              <w:t xml:space="preserve"> plus dexamethasone</w:t>
            </w:r>
          </w:p>
        </w:tc>
      </w:tr>
      <w:tr w:rsidR="001967F4" w:rsidRPr="00E970E0" w14:paraId="623E0027" w14:textId="77777777" w:rsidTr="00F41649">
        <w:trPr>
          <w:cantSplit/>
        </w:trPr>
        <w:tc>
          <w:tcPr>
            <w:tcW w:w="2376" w:type="dxa"/>
            <w:shd w:val="clear" w:color="auto" w:fill="D9D9D9"/>
          </w:tcPr>
          <w:p w14:paraId="2DDF81D8" w14:textId="77777777" w:rsidR="001967F4" w:rsidRPr="00E970E0" w:rsidRDefault="001967F4" w:rsidP="00747737">
            <w:pPr>
              <w:pStyle w:val="Header"/>
              <w:tabs>
                <w:tab w:val="clear" w:pos="4153"/>
                <w:tab w:val="clear" w:pos="8306"/>
              </w:tabs>
              <w:spacing w:before="120"/>
              <w:rPr>
                <w:rFonts w:cs="Arial"/>
                <w:sz w:val="22"/>
                <w:szCs w:val="22"/>
                <w:lang w:val="en-GB"/>
              </w:rPr>
            </w:pPr>
            <w:r w:rsidRPr="00E970E0">
              <w:rPr>
                <w:rFonts w:cs="Arial"/>
                <w:b/>
                <w:bCs/>
                <w:sz w:val="22"/>
                <w:szCs w:val="22"/>
                <w:lang w:val="en-GB"/>
              </w:rPr>
              <w:t>Outcomes</w:t>
            </w:r>
          </w:p>
        </w:tc>
        <w:tc>
          <w:tcPr>
            <w:tcW w:w="6237" w:type="dxa"/>
          </w:tcPr>
          <w:p w14:paraId="728500D9" w14:textId="77777777" w:rsidR="001967F4" w:rsidRPr="00E970E0" w:rsidRDefault="001967F4" w:rsidP="00DC68B6">
            <w:pPr>
              <w:pStyle w:val="BodyText2"/>
              <w:rPr>
                <w:rFonts w:cs="Arial"/>
                <w:sz w:val="22"/>
                <w:szCs w:val="22"/>
                <w:lang w:val="en-GB"/>
              </w:rPr>
            </w:pPr>
            <w:r w:rsidRPr="00E970E0">
              <w:rPr>
                <w:rFonts w:cs="Arial"/>
                <w:sz w:val="22"/>
                <w:szCs w:val="22"/>
                <w:lang w:val="en-GB"/>
              </w:rPr>
              <w:t>The outcome measures to be considered include:</w:t>
            </w:r>
          </w:p>
          <w:p w14:paraId="56D5D0E7" w14:textId="5CDB4226" w:rsidR="00EE44A3" w:rsidRPr="00EE44A3" w:rsidRDefault="00EE44A3" w:rsidP="00EE44A3">
            <w:pPr>
              <w:pStyle w:val="BodyText2"/>
              <w:numPr>
                <w:ilvl w:val="0"/>
                <w:numId w:val="31"/>
              </w:numPr>
              <w:rPr>
                <w:rFonts w:cs="Arial"/>
                <w:sz w:val="22"/>
                <w:szCs w:val="22"/>
                <w:lang w:val="en-GB"/>
              </w:rPr>
            </w:pPr>
            <w:r w:rsidRPr="00EE44A3">
              <w:rPr>
                <w:rFonts w:cs="Arial"/>
                <w:sz w:val="22"/>
                <w:szCs w:val="22"/>
                <w:lang w:val="en-GB"/>
              </w:rPr>
              <w:t>overall survival</w:t>
            </w:r>
          </w:p>
          <w:p w14:paraId="63BC1E75" w14:textId="33B81552" w:rsidR="00EE44A3" w:rsidRPr="00EE44A3" w:rsidRDefault="00EE44A3" w:rsidP="00EE44A3">
            <w:pPr>
              <w:pStyle w:val="BodyText2"/>
              <w:numPr>
                <w:ilvl w:val="0"/>
                <w:numId w:val="31"/>
              </w:numPr>
              <w:rPr>
                <w:rFonts w:cs="Arial"/>
                <w:sz w:val="22"/>
                <w:szCs w:val="22"/>
                <w:lang w:val="en-GB"/>
              </w:rPr>
            </w:pPr>
            <w:r w:rsidRPr="00EE44A3">
              <w:rPr>
                <w:rFonts w:cs="Arial"/>
                <w:sz w:val="22"/>
                <w:szCs w:val="22"/>
                <w:lang w:val="en-GB"/>
              </w:rPr>
              <w:t>progression-free survival</w:t>
            </w:r>
          </w:p>
          <w:p w14:paraId="42E967F6" w14:textId="543D5DCA" w:rsidR="00EE44A3" w:rsidRPr="00EE44A3" w:rsidRDefault="00EE44A3" w:rsidP="00EE44A3">
            <w:pPr>
              <w:pStyle w:val="BodyText2"/>
              <w:numPr>
                <w:ilvl w:val="0"/>
                <w:numId w:val="31"/>
              </w:numPr>
              <w:rPr>
                <w:rFonts w:cs="Arial"/>
                <w:sz w:val="22"/>
                <w:szCs w:val="22"/>
                <w:lang w:val="en-GB"/>
              </w:rPr>
            </w:pPr>
            <w:r w:rsidRPr="00EE44A3">
              <w:rPr>
                <w:rFonts w:cs="Arial"/>
                <w:sz w:val="22"/>
                <w:szCs w:val="22"/>
                <w:lang w:val="en-GB"/>
              </w:rPr>
              <w:t>response rates</w:t>
            </w:r>
          </w:p>
          <w:p w14:paraId="656E13C6" w14:textId="1321DFD5" w:rsidR="001967F4" w:rsidRPr="00E970E0" w:rsidRDefault="001967F4" w:rsidP="00EE44A3">
            <w:pPr>
              <w:numPr>
                <w:ilvl w:val="0"/>
                <w:numId w:val="11"/>
              </w:numPr>
              <w:spacing w:before="120" w:after="120"/>
              <w:ind w:left="714" w:hanging="357"/>
              <w:rPr>
                <w:rFonts w:cs="Arial"/>
                <w:sz w:val="22"/>
                <w:szCs w:val="22"/>
              </w:rPr>
            </w:pPr>
            <w:r w:rsidRPr="00E970E0">
              <w:rPr>
                <w:rFonts w:cs="Arial"/>
                <w:sz w:val="22"/>
                <w:szCs w:val="22"/>
              </w:rPr>
              <w:t>adverse effects of treatment</w:t>
            </w:r>
          </w:p>
          <w:p w14:paraId="4AF98A5D" w14:textId="77777777" w:rsidR="00171A3A" w:rsidRPr="00171A3A" w:rsidRDefault="001967F4" w:rsidP="00171A3A">
            <w:pPr>
              <w:numPr>
                <w:ilvl w:val="0"/>
                <w:numId w:val="11"/>
              </w:numPr>
              <w:spacing w:before="120" w:after="120"/>
              <w:ind w:left="714" w:hanging="357"/>
              <w:rPr>
                <w:rFonts w:cs="Arial"/>
                <w:sz w:val="22"/>
                <w:szCs w:val="22"/>
              </w:rPr>
            </w:pPr>
            <w:r w:rsidRPr="00E970E0">
              <w:rPr>
                <w:rFonts w:cs="Arial"/>
                <w:sz w:val="22"/>
                <w:szCs w:val="22"/>
              </w:rPr>
              <w:t>health-related quality of life.</w:t>
            </w:r>
          </w:p>
        </w:tc>
      </w:tr>
      <w:tr w:rsidR="001967F4" w:rsidRPr="00E970E0" w14:paraId="75B6C011" w14:textId="77777777" w:rsidTr="00F41649">
        <w:trPr>
          <w:cantSplit/>
        </w:trPr>
        <w:tc>
          <w:tcPr>
            <w:tcW w:w="2376" w:type="dxa"/>
            <w:shd w:val="clear" w:color="auto" w:fill="D9D9D9"/>
          </w:tcPr>
          <w:p w14:paraId="7F98C75C" w14:textId="77777777" w:rsidR="001967F4" w:rsidRPr="00E970E0" w:rsidRDefault="001967F4" w:rsidP="00747737">
            <w:pPr>
              <w:pStyle w:val="Header"/>
              <w:tabs>
                <w:tab w:val="clear" w:pos="4153"/>
                <w:tab w:val="clear" w:pos="8306"/>
              </w:tabs>
              <w:spacing w:before="120"/>
              <w:rPr>
                <w:rFonts w:cs="Arial"/>
                <w:sz w:val="22"/>
                <w:szCs w:val="22"/>
                <w:lang w:val="en-GB"/>
              </w:rPr>
            </w:pPr>
            <w:r w:rsidRPr="00E970E0">
              <w:rPr>
                <w:rFonts w:cs="Arial"/>
                <w:b/>
                <w:bCs/>
                <w:sz w:val="22"/>
                <w:szCs w:val="22"/>
                <w:lang w:val="en-GB"/>
              </w:rPr>
              <w:lastRenderedPageBreak/>
              <w:t>Economic analysis</w:t>
            </w:r>
          </w:p>
        </w:tc>
        <w:tc>
          <w:tcPr>
            <w:tcW w:w="6237" w:type="dxa"/>
          </w:tcPr>
          <w:p w14:paraId="2325038B" w14:textId="77777777" w:rsidR="006246E7" w:rsidRDefault="001967F4" w:rsidP="006246E7">
            <w:pPr>
              <w:pStyle w:val="BodyText2"/>
              <w:rPr>
                <w:rFonts w:cs="Arial"/>
                <w:sz w:val="22"/>
                <w:szCs w:val="22"/>
                <w:lang w:val="en-GB"/>
              </w:rPr>
            </w:pPr>
            <w:r w:rsidRPr="00E970E0">
              <w:rPr>
                <w:rFonts w:cs="Arial"/>
                <w:sz w:val="22"/>
                <w:szCs w:val="22"/>
                <w:lang w:val="en-GB"/>
              </w:rPr>
              <w:t>The reference case stipulates that the cost effectiveness of treatments should be expressed in terms of incremental cost per quality-adjusted life year.</w:t>
            </w:r>
          </w:p>
          <w:p w14:paraId="58CC7852" w14:textId="1F529C7B" w:rsidR="004711C8" w:rsidRDefault="004711C8" w:rsidP="00456921">
            <w:pPr>
              <w:pStyle w:val="BodyText2"/>
              <w:rPr>
                <w:rFonts w:cs="Arial"/>
                <w:sz w:val="22"/>
                <w:szCs w:val="22"/>
                <w:lang w:val="en-GB"/>
              </w:rPr>
            </w:pPr>
            <w:r w:rsidRPr="004711C8">
              <w:rPr>
                <w:rFonts w:cs="Arial"/>
                <w:sz w:val="22"/>
                <w:szCs w:val="22"/>
                <w:lang w:val="en-GB"/>
              </w:rPr>
              <w:t>If the technology is likely to provide similar or greater health benefits at similar or lower cost than technologies recommended in published NICE technology appraisal guidance for the same indication, a cost comparison may be carried out.</w:t>
            </w:r>
          </w:p>
          <w:p w14:paraId="1AD86F4D" w14:textId="77777777" w:rsidR="00D000D2" w:rsidRPr="00E970E0" w:rsidRDefault="00D000D2" w:rsidP="00DC68B6">
            <w:pPr>
              <w:pStyle w:val="BodyText2"/>
              <w:rPr>
                <w:rFonts w:cs="Arial"/>
                <w:sz w:val="22"/>
                <w:szCs w:val="22"/>
                <w:lang w:val="en-GB"/>
              </w:rPr>
            </w:pPr>
            <w:r w:rsidRPr="00E970E0">
              <w:rPr>
                <w:rFonts w:cs="Arial"/>
                <w:sz w:val="22"/>
                <w:szCs w:val="22"/>
                <w:lang w:val="en-GB"/>
              </w:rPr>
              <w:t>The reference case stipulates that the time horizon for estimating clinical and cost effectiveness should be sufficiently long to reflect any differences in costs or outcomes between the technologies being compared.</w:t>
            </w:r>
          </w:p>
          <w:p w14:paraId="7C329E62" w14:textId="77777777" w:rsidR="001967F4" w:rsidRPr="00E970E0" w:rsidRDefault="001967F4" w:rsidP="00DC68B6">
            <w:pPr>
              <w:pStyle w:val="BodyText2"/>
              <w:rPr>
                <w:rFonts w:cs="Arial"/>
                <w:sz w:val="22"/>
                <w:szCs w:val="22"/>
                <w:lang w:val="en-GB"/>
              </w:rPr>
            </w:pPr>
            <w:r w:rsidRPr="00E970E0">
              <w:rPr>
                <w:rFonts w:cs="Arial"/>
                <w:sz w:val="22"/>
                <w:szCs w:val="22"/>
                <w:lang w:val="en-GB"/>
              </w:rPr>
              <w:t>Costs will be considered from an NHS and Personal Social Services perspective.</w:t>
            </w:r>
          </w:p>
          <w:p w14:paraId="3A08F316" w14:textId="4E3E0154" w:rsidR="00EE44A3" w:rsidRDefault="00EE44A3" w:rsidP="003C1BB0">
            <w:pPr>
              <w:pStyle w:val="BodyText2"/>
              <w:rPr>
                <w:rFonts w:cs="Arial"/>
                <w:sz w:val="22"/>
                <w:szCs w:val="22"/>
                <w:lang w:val="en-GB"/>
              </w:rPr>
            </w:pPr>
            <w:r w:rsidRPr="00EE44A3">
              <w:rPr>
                <w:rFonts w:cs="Arial"/>
                <w:sz w:val="22"/>
                <w:szCs w:val="22"/>
                <w:lang w:val="en-GB"/>
              </w:rPr>
              <w:t xml:space="preserve">The availability of any commercial arrangements for the intervention, comparator and subsequent treatment technologies will be </w:t>
            </w:r>
            <w:proofErr w:type="gramStart"/>
            <w:r w:rsidRPr="00EE44A3">
              <w:rPr>
                <w:rFonts w:cs="Arial"/>
                <w:sz w:val="22"/>
                <w:szCs w:val="22"/>
                <w:lang w:val="en-GB"/>
              </w:rPr>
              <w:t>taken into account</w:t>
            </w:r>
            <w:proofErr w:type="gramEnd"/>
            <w:r w:rsidRPr="00EE44A3">
              <w:rPr>
                <w:rFonts w:cs="Arial"/>
                <w:sz w:val="22"/>
                <w:szCs w:val="22"/>
                <w:lang w:val="en-GB"/>
              </w:rPr>
              <w:t>.</w:t>
            </w:r>
          </w:p>
          <w:p w14:paraId="3E76FC38" w14:textId="5077236D" w:rsidR="00BA2A7C" w:rsidRPr="00E970E0" w:rsidRDefault="00EE44A3" w:rsidP="00A341FE">
            <w:pPr>
              <w:pStyle w:val="BodyText2"/>
              <w:rPr>
                <w:rFonts w:cs="Arial"/>
                <w:sz w:val="22"/>
                <w:szCs w:val="22"/>
                <w:lang w:val="en-GB"/>
              </w:rPr>
            </w:pPr>
            <w:r w:rsidRPr="00EE44A3">
              <w:rPr>
                <w:rFonts w:cs="Arial"/>
                <w:sz w:val="22"/>
                <w:szCs w:val="22"/>
                <w:lang w:val="en-GB"/>
              </w:rPr>
              <w:t xml:space="preserve">The availability and cost of biosimilar and generic products should be </w:t>
            </w:r>
            <w:proofErr w:type="gramStart"/>
            <w:r w:rsidRPr="00EE44A3">
              <w:rPr>
                <w:rFonts w:cs="Arial"/>
                <w:sz w:val="22"/>
                <w:szCs w:val="22"/>
                <w:lang w:val="en-GB"/>
              </w:rPr>
              <w:t>taken into account</w:t>
            </w:r>
            <w:proofErr w:type="gramEnd"/>
            <w:r w:rsidRPr="00EE44A3">
              <w:rPr>
                <w:rFonts w:cs="Arial"/>
                <w:sz w:val="22"/>
                <w:szCs w:val="22"/>
                <w:lang w:val="en-GB"/>
              </w:rPr>
              <w:t>.</w:t>
            </w:r>
          </w:p>
        </w:tc>
      </w:tr>
      <w:tr w:rsidR="001967F4" w:rsidRPr="00E970E0" w14:paraId="7ABFFF03" w14:textId="77777777" w:rsidTr="00F41649">
        <w:trPr>
          <w:cantSplit/>
        </w:trPr>
        <w:tc>
          <w:tcPr>
            <w:tcW w:w="2376" w:type="dxa"/>
            <w:shd w:val="clear" w:color="auto" w:fill="D9D9D9"/>
          </w:tcPr>
          <w:p w14:paraId="7EF33034" w14:textId="77777777" w:rsidR="001967F4" w:rsidRPr="00E970E0" w:rsidRDefault="001967F4" w:rsidP="00747737">
            <w:pPr>
              <w:pStyle w:val="Header"/>
              <w:tabs>
                <w:tab w:val="clear" w:pos="4153"/>
                <w:tab w:val="clear" w:pos="8306"/>
              </w:tabs>
              <w:spacing w:before="120"/>
              <w:rPr>
                <w:rFonts w:cs="Arial"/>
                <w:sz w:val="22"/>
                <w:szCs w:val="22"/>
                <w:lang w:val="en-GB"/>
              </w:rPr>
            </w:pPr>
            <w:r w:rsidRPr="00E970E0">
              <w:rPr>
                <w:rFonts w:cs="Arial"/>
                <w:b/>
                <w:bCs/>
                <w:sz w:val="22"/>
                <w:szCs w:val="22"/>
                <w:lang w:val="en-GB"/>
              </w:rPr>
              <w:t xml:space="preserve">Other considerations </w:t>
            </w:r>
          </w:p>
        </w:tc>
        <w:tc>
          <w:tcPr>
            <w:tcW w:w="6237" w:type="dxa"/>
          </w:tcPr>
          <w:p w14:paraId="0C357B18" w14:textId="740FE5FE" w:rsidR="001967F4" w:rsidRPr="00E970E0" w:rsidRDefault="001967F4" w:rsidP="002E3A4D">
            <w:pPr>
              <w:pStyle w:val="BodyText2"/>
              <w:rPr>
                <w:rFonts w:cs="Arial"/>
                <w:sz w:val="22"/>
                <w:szCs w:val="22"/>
                <w:lang w:val="en-GB"/>
              </w:rPr>
            </w:pPr>
            <w:r w:rsidRPr="00E970E0">
              <w:rPr>
                <w:rFonts w:cs="Arial"/>
                <w:sz w:val="22"/>
                <w:szCs w:val="22"/>
                <w:lang w:val="en-GB"/>
              </w:rPr>
              <w:t>Guidance will only be issued in accordance with the marketing authorisation</w:t>
            </w:r>
            <w:bookmarkStart w:id="6" w:name="Text54"/>
            <w:r w:rsidR="00EE44A3">
              <w:rPr>
                <w:rFonts w:cs="Arial"/>
                <w:sz w:val="22"/>
                <w:szCs w:val="22"/>
                <w:lang w:val="en-GB"/>
              </w:rPr>
              <w:t>.</w:t>
            </w:r>
            <w:r w:rsidR="008F7317" w:rsidRPr="00E970E0">
              <w:rPr>
                <w:rFonts w:cs="Arial"/>
                <w:sz w:val="22"/>
                <w:szCs w:val="22"/>
                <w:lang w:val="en-GB"/>
              </w:rPr>
              <w:t xml:space="preserve"> </w:t>
            </w:r>
            <w:r w:rsidR="002E3A4D" w:rsidRPr="00E970E0">
              <w:rPr>
                <w:rFonts w:cs="Arial"/>
                <w:sz w:val="22"/>
                <w:szCs w:val="22"/>
              </w:rPr>
              <w:t>Where the wording of the therapeutic indication does not include specific treatment combinations, guidance will be issued only in the context of the evidence that has underpinned the marketing authorisation granted by the regulator.</w:t>
            </w:r>
            <w:bookmarkEnd w:id="6"/>
          </w:p>
        </w:tc>
      </w:tr>
      <w:tr w:rsidR="00230DA7" w:rsidRPr="00E970E0" w14:paraId="7C709D17" w14:textId="77777777" w:rsidTr="00F416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32A7183E" w14:textId="77777777" w:rsidR="00230DA7" w:rsidRPr="00E970E0" w:rsidRDefault="00230DA7" w:rsidP="00230DA7">
            <w:pPr>
              <w:pStyle w:val="Header"/>
              <w:tabs>
                <w:tab w:val="clear" w:pos="4153"/>
                <w:tab w:val="clear" w:pos="8306"/>
              </w:tabs>
              <w:spacing w:before="120"/>
              <w:rPr>
                <w:rFonts w:cs="Arial"/>
                <w:sz w:val="22"/>
                <w:szCs w:val="22"/>
                <w:lang w:val="en-GB"/>
              </w:rPr>
            </w:pPr>
            <w:r w:rsidRPr="00E970E0">
              <w:rPr>
                <w:rFonts w:cs="Arial"/>
                <w:b/>
                <w:bCs/>
                <w:sz w:val="22"/>
                <w:szCs w:val="22"/>
                <w:lang w:val="en-GB"/>
              </w:rPr>
              <w:t>Related NICE recommendations</w:t>
            </w:r>
            <w:r w:rsidR="003A5AFC" w:rsidRPr="00E970E0">
              <w:rPr>
                <w:rFonts w:cs="Arial"/>
                <w:b/>
                <w:bCs/>
                <w:sz w:val="22"/>
                <w:szCs w:val="22"/>
                <w:lang w:val="en-GB"/>
              </w:rPr>
              <w:t xml:space="preserve"> </w:t>
            </w:r>
          </w:p>
        </w:tc>
        <w:tc>
          <w:tcPr>
            <w:tcW w:w="6237" w:type="dxa"/>
          </w:tcPr>
          <w:p w14:paraId="42990DCA" w14:textId="77777777" w:rsidR="00230DA7" w:rsidRPr="008704E9" w:rsidRDefault="00230DA7" w:rsidP="00123602">
            <w:pPr>
              <w:pStyle w:val="BodyText2"/>
              <w:rPr>
                <w:rFonts w:cs="Arial"/>
                <w:b/>
                <w:bCs/>
                <w:sz w:val="22"/>
                <w:szCs w:val="22"/>
                <w:lang w:val="en-GB"/>
              </w:rPr>
            </w:pPr>
            <w:r w:rsidRPr="008704E9">
              <w:rPr>
                <w:rFonts w:cs="Arial"/>
                <w:b/>
                <w:bCs/>
                <w:sz w:val="22"/>
                <w:szCs w:val="22"/>
                <w:lang w:val="en-GB"/>
              </w:rPr>
              <w:t>Related Technology Appraisals:</w:t>
            </w:r>
          </w:p>
          <w:p w14:paraId="40208950" w14:textId="0D680A7D" w:rsidR="00E3346F" w:rsidRDefault="00BC4E46" w:rsidP="00123602">
            <w:pPr>
              <w:pStyle w:val="BodyText2"/>
              <w:rPr>
                <w:rFonts w:cs="Arial"/>
                <w:sz w:val="22"/>
                <w:szCs w:val="22"/>
                <w:lang w:val="en-GB"/>
              </w:rPr>
            </w:pPr>
            <w:hyperlink r:id="rId14" w:history="1">
              <w:r w:rsidR="00E3346F" w:rsidRPr="008B2F22">
                <w:rPr>
                  <w:rStyle w:val="Hyperlink"/>
                  <w:rFonts w:cs="Arial"/>
                  <w:sz w:val="22"/>
                  <w:szCs w:val="22"/>
                  <w:lang w:val="en-GB"/>
                </w:rPr>
                <w:t>‘Daratumumab monotherapy for treating relapsed and refractory multiple myeloma’</w:t>
              </w:r>
            </w:hyperlink>
            <w:r w:rsidR="00E3346F">
              <w:rPr>
                <w:rFonts w:cs="Arial"/>
                <w:sz w:val="22"/>
                <w:szCs w:val="22"/>
                <w:lang w:val="en-GB"/>
              </w:rPr>
              <w:t xml:space="preserve"> (2022) NICE t</w:t>
            </w:r>
            <w:r w:rsidR="00E3346F" w:rsidRPr="00E3346F">
              <w:rPr>
                <w:rFonts w:cs="Arial"/>
                <w:sz w:val="22"/>
                <w:szCs w:val="22"/>
                <w:lang w:val="en-GB"/>
              </w:rPr>
              <w:t>echnology appraisal guidance 783</w:t>
            </w:r>
            <w:r w:rsidR="00E3346F">
              <w:rPr>
                <w:rFonts w:cs="Arial"/>
                <w:sz w:val="22"/>
                <w:szCs w:val="22"/>
                <w:lang w:val="en-GB"/>
              </w:rPr>
              <w:t>. Review date 2025.</w:t>
            </w:r>
          </w:p>
          <w:p w14:paraId="64FBB027" w14:textId="0A987CD5" w:rsidR="00E3346F" w:rsidRPr="00E3346F" w:rsidRDefault="00E3346F" w:rsidP="00E3346F">
            <w:pPr>
              <w:pStyle w:val="BodyText2"/>
              <w:rPr>
                <w:rFonts w:cs="Arial"/>
                <w:sz w:val="22"/>
                <w:szCs w:val="22"/>
                <w:lang w:val="en-GB"/>
              </w:rPr>
            </w:pPr>
            <w:r>
              <w:rPr>
                <w:rFonts w:cs="Arial"/>
                <w:sz w:val="22"/>
                <w:szCs w:val="22"/>
                <w:lang w:val="en-GB"/>
              </w:rPr>
              <w:t>‘</w:t>
            </w:r>
            <w:hyperlink r:id="rId15" w:history="1">
              <w:proofErr w:type="spellStart"/>
              <w:r w:rsidRPr="00E3346F">
                <w:rPr>
                  <w:rStyle w:val="Hyperlink"/>
                  <w:rFonts w:cs="Arial"/>
                  <w:sz w:val="22"/>
                  <w:szCs w:val="22"/>
                </w:rPr>
                <w:t>Isatuximab</w:t>
              </w:r>
              <w:proofErr w:type="spellEnd"/>
              <w:r w:rsidRPr="00E3346F">
                <w:rPr>
                  <w:rStyle w:val="Hyperlink"/>
                  <w:rFonts w:cs="Arial"/>
                  <w:sz w:val="22"/>
                  <w:szCs w:val="22"/>
                </w:rPr>
                <w:t xml:space="preserve"> with pomalidomide and dexamethasone for treating relapsed and refractory multiple myeloma</w:t>
              </w:r>
            </w:hyperlink>
            <w:r>
              <w:rPr>
                <w:rFonts w:cs="Arial"/>
                <w:sz w:val="22"/>
                <w:szCs w:val="22"/>
                <w:lang w:val="en-GB"/>
              </w:rPr>
              <w:t>’</w:t>
            </w:r>
            <w:r w:rsidRPr="00E3346F">
              <w:rPr>
                <w:rFonts w:cs="Arial"/>
                <w:sz w:val="22"/>
                <w:szCs w:val="22"/>
              </w:rPr>
              <w:t xml:space="preserve"> (2020) NICE technology appraisal guidance 658</w:t>
            </w:r>
            <w:r>
              <w:rPr>
                <w:rFonts w:cs="Arial"/>
                <w:sz w:val="22"/>
                <w:szCs w:val="22"/>
                <w:lang w:val="en-GB"/>
              </w:rPr>
              <w:t>. Review date to be confirmed.</w:t>
            </w:r>
          </w:p>
          <w:p w14:paraId="0C3A5422" w14:textId="43D10181" w:rsidR="005E293E" w:rsidRPr="00E3346F" w:rsidRDefault="00BC4E46" w:rsidP="00E3346F">
            <w:pPr>
              <w:pStyle w:val="BodyText2"/>
              <w:rPr>
                <w:rFonts w:cs="Arial"/>
                <w:sz w:val="22"/>
                <w:szCs w:val="22"/>
                <w:lang w:val="en-GB"/>
              </w:rPr>
            </w:pPr>
            <w:hyperlink r:id="rId16" w:history="1">
              <w:r w:rsidR="005E293E" w:rsidRPr="005E293E">
                <w:rPr>
                  <w:rStyle w:val="Hyperlink"/>
                  <w:rFonts w:cs="Arial"/>
                  <w:sz w:val="22"/>
                  <w:szCs w:val="22"/>
                  <w:lang w:val="en-GB"/>
                </w:rPr>
                <w:t>‘Lenalidomide for the treatment of multiple myeloma in people who have received at least 2 prior therapies’</w:t>
              </w:r>
            </w:hyperlink>
            <w:r w:rsidR="005E293E">
              <w:rPr>
                <w:rFonts w:cs="Arial"/>
                <w:sz w:val="22"/>
                <w:szCs w:val="22"/>
                <w:lang w:val="en-GB"/>
              </w:rPr>
              <w:t xml:space="preserve"> (2019) </w:t>
            </w:r>
            <w:r w:rsidR="005E293E" w:rsidRPr="00E3346F">
              <w:rPr>
                <w:rFonts w:cs="Arial"/>
                <w:sz w:val="22"/>
                <w:szCs w:val="22"/>
              </w:rPr>
              <w:t xml:space="preserve">NICE technology appraisal guidance </w:t>
            </w:r>
            <w:r w:rsidR="005E293E">
              <w:rPr>
                <w:rFonts w:cs="Arial"/>
                <w:sz w:val="22"/>
                <w:szCs w:val="22"/>
                <w:lang w:val="en-GB"/>
              </w:rPr>
              <w:t>171.</w:t>
            </w:r>
            <w:r w:rsidR="005E293E" w:rsidRPr="00B11376">
              <w:rPr>
                <w:rFonts w:cs="Arial"/>
                <w:sz w:val="22"/>
                <w:szCs w:val="22"/>
                <w:lang w:val="en-GB"/>
              </w:rPr>
              <w:t xml:space="preserve"> No current plans to review this guidance.</w:t>
            </w:r>
          </w:p>
          <w:p w14:paraId="762FC878" w14:textId="2F6AAA6A" w:rsidR="00E3346F" w:rsidRDefault="00E3346F" w:rsidP="00E3346F">
            <w:pPr>
              <w:pStyle w:val="BodyText2"/>
              <w:rPr>
                <w:rFonts w:cs="Arial"/>
                <w:sz w:val="22"/>
                <w:szCs w:val="22"/>
                <w:lang w:val="en-GB"/>
              </w:rPr>
            </w:pPr>
            <w:r>
              <w:rPr>
                <w:rFonts w:cs="Arial"/>
                <w:sz w:val="22"/>
                <w:szCs w:val="22"/>
                <w:lang w:val="en-GB"/>
              </w:rPr>
              <w:t>‘</w:t>
            </w:r>
            <w:hyperlink r:id="rId17" w:history="1">
              <w:r w:rsidRPr="00E3346F">
                <w:rPr>
                  <w:rStyle w:val="Hyperlink"/>
                  <w:rFonts w:cs="Arial"/>
                  <w:sz w:val="22"/>
                  <w:szCs w:val="22"/>
                </w:rPr>
                <w:t>Pomalidomide for multiple myeloma previously treated with lenalidomide and bortezomib</w:t>
              </w:r>
            </w:hyperlink>
            <w:r>
              <w:rPr>
                <w:rFonts w:cs="Arial"/>
                <w:sz w:val="22"/>
                <w:szCs w:val="22"/>
                <w:lang w:val="en-GB"/>
              </w:rPr>
              <w:t>’</w:t>
            </w:r>
            <w:r w:rsidRPr="00E3346F">
              <w:rPr>
                <w:rFonts w:cs="Arial"/>
                <w:sz w:val="22"/>
                <w:szCs w:val="22"/>
              </w:rPr>
              <w:t xml:space="preserve"> (2017) NICE technology appraisal guidance 427</w:t>
            </w:r>
            <w:r>
              <w:rPr>
                <w:rFonts w:cs="Arial"/>
                <w:sz w:val="22"/>
                <w:szCs w:val="22"/>
                <w:lang w:val="en-GB"/>
              </w:rPr>
              <w:t>.</w:t>
            </w:r>
            <w:r>
              <w:rPr>
                <w:rFonts w:cs="Arial"/>
                <w:sz w:val="22"/>
                <w:szCs w:val="22"/>
              </w:rPr>
              <w:t xml:space="preserve"> </w:t>
            </w:r>
            <w:r>
              <w:rPr>
                <w:rFonts w:cs="Arial"/>
                <w:sz w:val="22"/>
                <w:szCs w:val="22"/>
                <w:lang w:val="en-GB"/>
              </w:rPr>
              <w:t>Review date to be confirmed.</w:t>
            </w:r>
          </w:p>
          <w:p w14:paraId="2A186EEA" w14:textId="7DA86D04" w:rsidR="005E293E" w:rsidRDefault="00BC4E46" w:rsidP="00E3346F">
            <w:pPr>
              <w:pStyle w:val="BodyText2"/>
              <w:rPr>
                <w:rFonts w:cs="Arial"/>
                <w:sz w:val="22"/>
                <w:szCs w:val="22"/>
                <w:lang w:val="en-GB"/>
              </w:rPr>
            </w:pPr>
            <w:hyperlink r:id="rId18" w:history="1">
              <w:r w:rsidR="005E293E" w:rsidRPr="005E293E">
                <w:rPr>
                  <w:rStyle w:val="Hyperlink"/>
                  <w:rFonts w:cs="Arial"/>
                  <w:sz w:val="22"/>
                  <w:szCs w:val="22"/>
                  <w:lang w:val="en-GB"/>
                </w:rPr>
                <w:t>‘Panobinostat for treating multiple myeloma after at least 2 previous treatments’</w:t>
              </w:r>
            </w:hyperlink>
            <w:r w:rsidR="005E293E">
              <w:rPr>
                <w:rFonts w:cs="Arial"/>
                <w:sz w:val="22"/>
                <w:szCs w:val="22"/>
                <w:lang w:val="en-GB"/>
              </w:rPr>
              <w:t xml:space="preserve"> (2016)</w:t>
            </w:r>
            <w:r w:rsidR="005E293E" w:rsidRPr="00E3346F">
              <w:rPr>
                <w:rFonts w:cs="Arial"/>
                <w:sz w:val="22"/>
                <w:szCs w:val="22"/>
              </w:rPr>
              <w:t xml:space="preserve"> NICE technology appraisal guidance </w:t>
            </w:r>
            <w:r w:rsidR="005E293E">
              <w:rPr>
                <w:rFonts w:cs="Arial"/>
                <w:sz w:val="22"/>
                <w:szCs w:val="22"/>
                <w:lang w:val="en-GB"/>
              </w:rPr>
              <w:t>380.</w:t>
            </w:r>
            <w:r w:rsidR="005E293E" w:rsidRPr="00B11376">
              <w:rPr>
                <w:rFonts w:cs="Arial"/>
                <w:sz w:val="22"/>
                <w:szCs w:val="22"/>
                <w:lang w:val="en-GB"/>
              </w:rPr>
              <w:t xml:space="preserve"> No current plans to review this guidance.</w:t>
            </w:r>
          </w:p>
          <w:p w14:paraId="65ECDBB2" w14:textId="5464A7BB" w:rsidR="001C1CB8" w:rsidRPr="00C35AD8" w:rsidRDefault="001C1CB8" w:rsidP="001C1CB8">
            <w:pPr>
              <w:pStyle w:val="BodyText2"/>
              <w:rPr>
                <w:rFonts w:cs="Arial"/>
                <w:sz w:val="22"/>
                <w:szCs w:val="22"/>
              </w:rPr>
            </w:pPr>
            <w:r w:rsidRPr="00C35AD8">
              <w:rPr>
                <w:rFonts w:cs="Arial"/>
                <w:sz w:val="22"/>
                <w:szCs w:val="22"/>
              </w:rPr>
              <w:t>‘</w:t>
            </w:r>
            <w:proofErr w:type="spellStart"/>
            <w:r>
              <w:fldChar w:fldCharType="begin"/>
            </w:r>
            <w:r>
              <w:instrText>HYPERLINK "https://www.nice.org.uk/guidance/indevelopment/gid-ta10781"</w:instrText>
            </w:r>
            <w:r>
              <w:fldChar w:fldCharType="separate"/>
            </w:r>
            <w:r w:rsidRPr="00C35AD8">
              <w:rPr>
                <w:rStyle w:val="Hyperlink"/>
                <w:rFonts w:cs="Arial"/>
                <w:sz w:val="22"/>
                <w:szCs w:val="22"/>
              </w:rPr>
              <w:t>Ixazomib</w:t>
            </w:r>
            <w:proofErr w:type="spellEnd"/>
            <w:r w:rsidRPr="00C35AD8">
              <w:rPr>
                <w:rStyle w:val="Hyperlink"/>
                <w:rFonts w:cs="Arial"/>
                <w:sz w:val="22"/>
                <w:szCs w:val="22"/>
              </w:rPr>
              <w:t xml:space="preserve"> with lenalidomide and dexamethasone for treating relapsed or refractory multiple myeloma (CDF review of </w:t>
            </w:r>
            <w:r w:rsidRPr="00C35AD8">
              <w:rPr>
                <w:rStyle w:val="Hyperlink"/>
                <w:rFonts w:cs="Arial"/>
                <w:sz w:val="22"/>
                <w:szCs w:val="22"/>
              </w:rPr>
              <w:lastRenderedPageBreak/>
              <w:t>TA505)</w:t>
            </w:r>
            <w:r>
              <w:rPr>
                <w:rStyle w:val="Hyperlink"/>
                <w:rFonts w:cs="Arial"/>
                <w:sz w:val="22"/>
                <w:szCs w:val="22"/>
              </w:rPr>
              <w:fldChar w:fldCharType="end"/>
            </w:r>
            <w:r w:rsidRPr="00C35AD8">
              <w:rPr>
                <w:rFonts w:cs="Arial"/>
                <w:sz w:val="22"/>
                <w:szCs w:val="22"/>
              </w:rPr>
              <w:t xml:space="preserve">’ </w:t>
            </w:r>
            <w:r w:rsidR="00CF5FCD">
              <w:rPr>
                <w:rFonts w:cs="Arial"/>
                <w:sz w:val="22"/>
                <w:szCs w:val="22"/>
                <w:lang w:val="en-GB"/>
              </w:rPr>
              <w:t xml:space="preserve">(2023) </w:t>
            </w:r>
            <w:r w:rsidRPr="00C35AD8">
              <w:rPr>
                <w:rFonts w:cs="Arial"/>
                <w:sz w:val="22"/>
                <w:szCs w:val="22"/>
              </w:rPr>
              <w:t xml:space="preserve">NICE technology appraisal guidance </w:t>
            </w:r>
            <w:r>
              <w:rPr>
                <w:rFonts w:cs="Arial"/>
                <w:sz w:val="22"/>
                <w:szCs w:val="22"/>
                <w:lang w:val="en-GB"/>
              </w:rPr>
              <w:t>870.</w:t>
            </w:r>
            <w:r w:rsidRPr="00C35AD8">
              <w:rPr>
                <w:rFonts w:cs="Arial"/>
                <w:sz w:val="22"/>
                <w:szCs w:val="22"/>
              </w:rPr>
              <w:t xml:space="preserve"> </w:t>
            </w:r>
            <w:r w:rsidRPr="001C1CB8">
              <w:rPr>
                <w:rFonts w:cs="Arial"/>
                <w:sz w:val="22"/>
                <w:szCs w:val="22"/>
              </w:rPr>
              <w:t>No current plans to review this guidance.</w:t>
            </w:r>
          </w:p>
          <w:p w14:paraId="5B37DEB9" w14:textId="77777777" w:rsidR="002C2160" w:rsidRPr="00E970E0" w:rsidRDefault="004323CF" w:rsidP="00123602">
            <w:pPr>
              <w:pStyle w:val="BodyText2"/>
              <w:rPr>
                <w:rFonts w:cs="Arial"/>
                <w:sz w:val="22"/>
                <w:szCs w:val="22"/>
                <w:lang w:val="en-GB"/>
              </w:rPr>
            </w:pPr>
            <w:r w:rsidRPr="008704E9">
              <w:rPr>
                <w:rFonts w:cs="Arial"/>
                <w:b/>
                <w:bCs/>
                <w:sz w:val="22"/>
                <w:szCs w:val="22"/>
                <w:lang w:val="en-GB"/>
              </w:rPr>
              <w:t>Related a</w:t>
            </w:r>
            <w:r w:rsidR="002C2160" w:rsidRPr="008704E9">
              <w:rPr>
                <w:rFonts w:cs="Arial"/>
                <w:b/>
                <w:bCs/>
                <w:sz w:val="22"/>
                <w:szCs w:val="22"/>
                <w:lang w:val="en-GB"/>
              </w:rPr>
              <w:t>ppraisals in development</w:t>
            </w:r>
            <w:r w:rsidRPr="008704E9">
              <w:rPr>
                <w:rFonts w:cs="Arial"/>
                <w:b/>
                <w:bCs/>
                <w:sz w:val="22"/>
                <w:szCs w:val="22"/>
                <w:lang w:val="en-GB"/>
              </w:rPr>
              <w:t>:</w:t>
            </w:r>
          </w:p>
          <w:p w14:paraId="049D0F05" w14:textId="2157F167" w:rsidR="00F046BC" w:rsidRPr="00F046BC" w:rsidRDefault="00BC4E46" w:rsidP="00F046BC">
            <w:pPr>
              <w:spacing w:before="120" w:after="120"/>
              <w:rPr>
                <w:sz w:val="22"/>
                <w:szCs w:val="22"/>
              </w:rPr>
            </w:pPr>
            <w:hyperlink r:id="rId19" w:history="1">
              <w:proofErr w:type="spellStart"/>
              <w:r w:rsidR="00F046BC" w:rsidRPr="005E3E9F">
                <w:rPr>
                  <w:rStyle w:val="Hyperlink"/>
                  <w:sz w:val="22"/>
                  <w:szCs w:val="22"/>
                </w:rPr>
                <w:t>Belantamab</w:t>
              </w:r>
              <w:proofErr w:type="spellEnd"/>
              <w:r w:rsidR="00F046BC" w:rsidRPr="005E3E9F">
                <w:rPr>
                  <w:rStyle w:val="Hyperlink"/>
                  <w:sz w:val="22"/>
                  <w:szCs w:val="22"/>
                </w:rPr>
                <w:t xml:space="preserve"> </w:t>
              </w:r>
              <w:proofErr w:type="spellStart"/>
              <w:r w:rsidR="00F046BC" w:rsidRPr="005E3E9F">
                <w:rPr>
                  <w:rStyle w:val="Hyperlink"/>
                  <w:sz w:val="22"/>
                  <w:szCs w:val="22"/>
                </w:rPr>
                <w:t>mafodotin</w:t>
              </w:r>
              <w:proofErr w:type="spellEnd"/>
              <w:r w:rsidR="00F046BC" w:rsidRPr="005E3E9F">
                <w:rPr>
                  <w:rStyle w:val="Hyperlink"/>
                  <w:sz w:val="22"/>
                  <w:szCs w:val="22"/>
                </w:rPr>
                <w:t xml:space="preserve"> for treating relapsed or refractory multiple myeloma after 2 therapies</w:t>
              </w:r>
            </w:hyperlink>
            <w:r w:rsidR="00F046BC" w:rsidRPr="005E3E9F">
              <w:rPr>
                <w:sz w:val="22"/>
                <w:szCs w:val="22"/>
              </w:rPr>
              <w:t xml:space="preserve"> </w:t>
            </w:r>
            <w:r w:rsidR="00F046BC" w:rsidRPr="00060C6F">
              <w:rPr>
                <w:sz w:val="22"/>
                <w:szCs w:val="22"/>
              </w:rPr>
              <w:t xml:space="preserve">NICE technology appraisal guidance </w:t>
            </w:r>
            <w:r w:rsidR="00F046BC" w:rsidRPr="005E3E9F">
              <w:rPr>
                <w:sz w:val="22"/>
                <w:szCs w:val="22"/>
              </w:rPr>
              <w:t>[ID5108].</w:t>
            </w:r>
            <w:r w:rsidR="00F046BC" w:rsidRPr="00060C6F">
              <w:rPr>
                <w:sz w:val="22"/>
                <w:szCs w:val="22"/>
              </w:rPr>
              <w:t xml:space="preserve"> Publication date to be confirmed. </w:t>
            </w:r>
          </w:p>
          <w:p w14:paraId="2E71A1E8" w14:textId="62C5D315" w:rsidR="00C35AD8" w:rsidRPr="00C35AD8" w:rsidRDefault="00BC4E46" w:rsidP="00C35AD8">
            <w:pPr>
              <w:pStyle w:val="BodyText2"/>
              <w:rPr>
                <w:rFonts w:cs="Arial"/>
                <w:sz w:val="22"/>
                <w:szCs w:val="22"/>
                <w:lang w:val="en-GB"/>
              </w:rPr>
            </w:pPr>
            <w:hyperlink r:id="rId20" w:history="1">
              <w:r w:rsidR="00C35AD8" w:rsidRPr="00C35AD8">
                <w:rPr>
                  <w:rStyle w:val="Hyperlink"/>
                  <w:rFonts w:cs="Arial"/>
                  <w:sz w:val="22"/>
                  <w:szCs w:val="22"/>
                  <w:lang w:val="en-GB"/>
                </w:rPr>
                <w:t>‘</w:t>
              </w:r>
              <w:proofErr w:type="spellStart"/>
              <w:r w:rsidR="00C35AD8" w:rsidRPr="00C35AD8">
                <w:rPr>
                  <w:rStyle w:val="Hyperlink"/>
                  <w:rFonts w:cs="Arial"/>
                  <w:sz w:val="22"/>
                  <w:szCs w:val="22"/>
                  <w:lang w:val="en-GB"/>
                </w:rPr>
                <w:t>Belantamab</w:t>
              </w:r>
              <w:proofErr w:type="spellEnd"/>
              <w:r w:rsidR="00C35AD8" w:rsidRPr="00C35AD8">
                <w:rPr>
                  <w:rStyle w:val="Hyperlink"/>
                  <w:rFonts w:cs="Arial"/>
                  <w:sz w:val="22"/>
                  <w:szCs w:val="22"/>
                  <w:lang w:val="en-GB"/>
                </w:rPr>
                <w:t xml:space="preserve"> </w:t>
              </w:r>
              <w:proofErr w:type="spellStart"/>
              <w:r w:rsidR="00C35AD8" w:rsidRPr="00C35AD8">
                <w:rPr>
                  <w:rStyle w:val="Hyperlink"/>
                  <w:rFonts w:cs="Arial"/>
                  <w:sz w:val="22"/>
                  <w:szCs w:val="22"/>
                  <w:lang w:val="en-GB"/>
                </w:rPr>
                <w:t>mafodotin</w:t>
              </w:r>
              <w:proofErr w:type="spellEnd"/>
              <w:r w:rsidR="00C35AD8" w:rsidRPr="00C35AD8">
                <w:rPr>
                  <w:rStyle w:val="Hyperlink"/>
                  <w:rFonts w:cs="Arial"/>
                  <w:sz w:val="22"/>
                  <w:szCs w:val="22"/>
                  <w:lang w:val="en-GB"/>
                </w:rPr>
                <w:t xml:space="preserve"> for treating relapsed or refractory multiple myeloma after 4 or more therapies’</w:t>
              </w:r>
            </w:hyperlink>
            <w:r w:rsidR="00C35AD8">
              <w:rPr>
                <w:rFonts w:cs="Arial"/>
                <w:sz w:val="22"/>
                <w:szCs w:val="22"/>
                <w:lang w:val="en-GB"/>
              </w:rPr>
              <w:t xml:space="preserve"> </w:t>
            </w:r>
            <w:r w:rsidR="00C35AD8" w:rsidRPr="00C35AD8">
              <w:rPr>
                <w:rFonts w:cs="Arial"/>
                <w:sz w:val="22"/>
                <w:szCs w:val="22"/>
              </w:rPr>
              <w:t>NICE technology appraisal guidance [ID270</w:t>
            </w:r>
            <w:r w:rsidR="00C35AD8">
              <w:rPr>
                <w:rFonts w:cs="Arial"/>
                <w:sz w:val="22"/>
                <w:szCs w:val="22"/>
                <w:lang w:val="en-GB"/>
              </w:rPr>
              <w:t>1</w:t>
            </w:r>
            <w:r w:rsidR="00C35AD8" w:rsidRPr="00C35AD8">
              <w:rPr>
                <w:rFonts w:cs="Arial"/>
                <w:sz w:val="22"/>
                <w:szCs w:val="22"/>
              </w:rPr>
              <w:t>].</w:t>
            </w:r>
            <w:r w:rsidR="00C35AD8">
              <w:t xml:space="preserve"> </w:t>
            </w:r>
            <w:r w:rsidR="00C35AD8" w:rsidRPr="00C35AD8">
              <w:rPr>
                <w:rFonts w:cs="Arial"/>
                <w:sz w:val="22"/>
                <w:szCs w:val="22"/>
              </w:rPr>
              <w:t xml:space="preserve">Publication expected </w:t>
            </w:r>
            <w:r w:rsidR="001C1CB8">
              <w:rPr>
                <w:rFonts w:cs="Arial"/>
                <w:sz w:val="22"/>
                <w:szCs w:val="22"/>
                <w:lang w:val="en-GB"/>
              </w:rPr>
              <w:t xml:space="preserve">August </w:t>
            </w:r>
            <w:r w:rsidR="00C35AD8">
              <w:rPr>
                <w:rFonts w:cs="Arial"/>
                <w:sz w:val="22"/>
                <w:szCs w:val="22"/>
                <w:lang w:val="en-GB"/>
              </w:rPr>
              <w:t>2023</w:t>
            </w:r>
            <w:r w:rsidR="00C35AD8" w:rsidRPr="00C35AD8">
              <w:rPr>
                <w:rFonts w:cs="Arial"/>
                <w:sz w:val="22"/>
                <w:szCs w:val="22"/>
              </w:rPr>
              <w:t>.</w:t>
            </w:r>
          </w:p>
          <w:p w14:paraId="5B6A1B2C" w14:textId="69A45C36" w:rsidR="00963A03" w:rsidRPr="00963A03" w:rsidRDefault="00963A03" w:rsidP="00963A03">
            <w:pPr>
              <w:pStyle w:val="BodyText2"/>
              <w:rPr>
                <w:rFonts w:cs="Arial"/>
                <w:sz w:val="22"/>
                <w:szCs w:val="22"/>
                <w:lang w:val="en-GB"/>
              </w:rPr>
            </w:pPr>
            <w:r>
              <w:rPr>
                <w:rFonts w:cs="Arial"/>
                <w:sz w:val="22"/>
                <w:szCs w:val="22"/>
                <w:lang w:val="en-GB"/>
              </w:rPr>
              <w:t>‘</w:t>
            </w:r>
            <w:proofErr w:type="spellStart"/>
            <w:r w:rsidR="00C14B47">
              <w:fldChar w:fldCharType="begin"/>
            </w:r>
            <w:r w:rsidR="00C14B47">
              <w:instrText>HYPERLINK "https://www.nice.org.uk/guidance/awaiting-development/gid-ta10905"</w:instrText>
            </w:r>
            <w:r w:rsidR="00C14B47">
              <w:fldChar w:fldCharType="separate"/>
            </w:r>
            <w:r w:rsidRPr="00963A03">
              <w:rPr>
                <w:rStyle w:val="Hyperlink"/>
                <w:rFonts w:cs="Arial"/>
                <w:sz w:val="22"/>
                <w:szCs w:val="22"/>
                <w:lang w:val="en-GB"/>
              </w:rPr>
              <w:t>Ciltacabtagene</w:t>
            </w:r>
            <w:proofErr w:type="spellEnd"/>
            <w:r w:rsidRPr="00963A03">
              <w:rPr>
                <w:rStyle w:val="Hyperlink"/>
                <w:rFonts w:cs="Arial"/>
                <w:sz w:val="22"/>
                <w:szCs w:val="22"/>
                <w:lang w:val="en-GB"/>
              </w:rPr>
              <w:t xml:space="preserve"> </w:t>
            </w:r>
            <w:proofErr w:type="spellStart"/>
            <w:r w:rsidRPr="00963A03">
              <w:rPr>
                <w:rStyle w:val="Hyperlink"/>
                <w:rFonts w:cs="Arial"/>
                <w:sz w:val="22"/>
                <w:szCs w:val="22"/>
                <w:lang w:val="en-GB"/>
              </w:rPr>
              <w:t>autoleucel</w:t>
            </w:r>
            <w:proofErr w:type="spellEnd"/>
            <w:r w:rsidRPr="00963A03">
              <w:rPr>
                <w:rStyle w:val="Hyperlink"/>
                <w:rFonts w:cs="Arial"/>
                <w:sz w:val="22"/>
                <w:szCs w:val="22"/>
                <w:lang w:val="en-GB"/>
              </w:rPr>
              <w:t xml:space="preserve"> for treating relapsed and lenalidomide-refractory multiple myeloma after 1 to 3 therapies</w:t>
            </w:r>
            <w:r w:rsidR="00C14B47">
              <w:rPr>
                <w:rStyle w:val="Hyperlink"/>
                <w:rFonts w:cs="Arial"/>
                <w:sz w:val="22"/>
                <w:szCs w:val="22"/>
                <w:lang w:val="en-GB"/>
              </w:rPr>
              <w:fldChar w:fldCharType="end"/>
            </w:r>
            <w:r>
              <w:rPr>
                <w:rFonts w:cs="Arial"/>
                <w:sz w:val="22"/>
                <w:szCs w:val="22"/>
                <w:lang w:val="en-GB"/>
              </w:rPr>
              <w:t>’</w:t>
            </w:r>
            <w:r w:rsidRPr="00963A03">
              <w:rPr>
                <w:rFonts w:cs="Arial"/>
                <w:sz w:val="22"/>
                <w:szCs w:val="22"/>
                <w:lang w:val="en-GB"/>
              </w:rPr>
              <w:t xml:space="preserve"> NICE technology appraisal guidance [ID4012]. Publication date to be confirmed.</w:t>
            </w:r>
          </w:p>
          <w:p w14:paraId="33959444" w14:textId="77777777" w:rsidR="00C35AD8" w:rsidRPr="00C35AD8" w:rsidRDefault="00C35AD8" w:rsidP="00C35AD8">
            <w:pPr>
              <w:pStyle w:val="BodyText2"/>
              <w:rPr>
                <w:rFonts w:cs="Arial"/>
                <w:sz w:val="22"/>
                <w:szCs w:val="22"/>
              </w:rPr>
            </w:pPr>
            <w:r w:rsidRPr="00C35AD8">
              <w:rPr>
                <w:rFonts w:cs="Arial"/>
                <w:sz w:val="22"/>
                <w:szCs w:val="22"/>
              </w:rPr>
              <w:t>‘</w:t>
            </w:r>
            <w:proofErr w:type="spellStart"/>
            <w:r w:rsidR="00C14B47">
              <w:fldChar w:fldCharType="begin"/>
            </w:r>
            <w:r w:rsidR="00C14B47">
              <w:instrText>HYPERLINK "https://www.nice.org.uk/guidance/indevelopment/gid-ta10672"</w:instrText>
            </w:r>
            <w:r w:rsidR="00C14B47">
              <w:fldChar w:fldCharType="separate"/>
            </w:r>
            <w:r w:rsidRPr="00C35AD8">
              <w:rPr>
                <w:rStyle w:val="Hyperlink"/>
                <w:rFonts w:cs="Arial"/>
                <w:sz w:val="22"/>
                <w:szCs w:val="22"/>
              </w:rPr>
              <w:t>Idecabtagene</w:t>
            </w:r>
            <w:proofErr w:type="spellEnd"/>
            <w:r w:rsidRPr="00C35AD8">
              <w:rPr>
                <w:rStyle w:val="Hyperlink"/>
                <w:rFonts w:cs="Arial"/>
                <w:sz w:val="22"/>
                <w:szCs w:val="22"/>
              </w:rPr>
              <w:t xml:space="preserve"> </w:t>
            </w:r>
            <w:proofErr w:type="spellStart"/>
            <w:r w:rsidRPr="00C35AD8">
              <w:rPr>
                <w:rStyle w:val="Hyperlink"/>
                <w:rFonts w:cs="Arial"/>
                <w:sz w:val="22"/>
                <w:szCs w:val="22"/>
              </w:rPr>
              <w:t>vicleucel</w:t>
            </w:r>
            <w:proofErr w:type="spellEnd"/>
            <w:r w:rsidRPr="00C35AD8">
              <w:rPr>
                <w:rStyle w:val="Hyperlink"/>
                <w:rFonts w:cs="Arial"/>
                <w:sz w:val="22"/>
                <w:szCs w:val="22"/>
              </w:rPr>
              <w:t xml:space="preserve"> for treating relapsed and refractory multiple myeloma in people who have received at least 3 prior therapies</w:t>
            </w:r>
            <w:r w:rsidR="00C14B47">
              <w:rPr>
                <w:rStyle w:val="Hyperlink"/>
                <w:rFonts w:cs="Arial"/>
                <w:sz w:val="22"/>
                <w:szCs w:val="22"/>
              </w:rPr>
              <w:fldChar w:fldCharType="end"/>
            </w:r>
            <w:r w:rsidRPr="00C35AD8">
              <w:rPr>
                <w:rFonts w:cs="Arial"/>
                <w:sz w:val="22"/>
                <w:szCs w:val="22"/>
              </w:rPr>
              <w:t>’ NICE technology appraisal guidance [ID1442]. Publication date to be confirmed.</w:t>
            </w:r>
          </w:p>
          <w:p w14:paraId="0C65D4EA" w14:textId="77777777" w:rsidR="00C35AD8" w:rsidRPr="00C35AD8" w:rsidRDefault="00C35AD8" w:rsidP="00C35AD8">
            <w:pPr>
              <w:pStyle w:val="BodyText2"/>
              <w:rPr>
                <w:rFonts w:cs="Arial"/>
                <w:sz w:val="22"/>
                <w:szCs w:val="22"/>
              </w:rPr>
            </w:pPr>
            <w:r w:rsidRPr="00C35AD8">
              <w:rPr>
                <w:rFonts w:cs="Arial"/>
                <w:sz w:val="22"/>
                <w:szCs w:val="22"/>
              </w:rPr>
              <w:t>‘</w:t>
            </w:r>
            <w:proofErr w:type="spellStart"/>
            <w:r w:rsidR="00C14B47">
              <w:fldChar w:fldCharType="begin"/>
            </w:r>
            <w:r w:rsidR="00C14B47">
              <w:instrText>HYPERLINK "https://www.nice.org.uk/guidance/indevelopment/gid-ta10979"</w:instrText>
            </w:r>
            <w:r w:rsidR="00C14B47">
              <w:fldChar w:fldCharType="separate"/>
            </w:r>
            <w:r w:rsidRPr="00C35AD8">
              <w:rPr>
                <w:rStyle w:val="Hyperlink"/>
                <w:rFonts w:cs="Arial"/>
                <w:sz w:val="22"/>
                <w:szCs w:val="22"/>
              </w:rPr>
              <w:t>Isatuximab</w:t>
            </w:r>
            <w:proofErr w:type="spellEnd"/>
            <w:r w:rsidRPr="00C35AD8">
              <w:rPr>
                <w:rStyle w:val="Hyperlink"/>
                <w:rFonts w:cs="Arial"/>
                <w:sz w:val="22"/>
                <w:szCs w:val="22"/>
              </w:rPr>
              <w:t xml:space="preserve"> with pomalidomide and dexamethasone for treating relapsed and refractory multiple myeloma [Review of TA658]</w:t>
            </w:r>
            <w:r w:rsidR="00C14B47">
              <w:rPr>
                <w:rStyle w:val="Hyperlink"/>
                <w:rFonts w:cs="Arial"/>
                <w:sz w:val="22"/>
                <w:szCs w:val="22"/>
              </w:rPr>
              <w:fldChar w:fldCharType="end"/>
            </w:r>
            <w:r w:rsidRPr="00C35AD8">
              <w:rPr>
                <w:rFonts w:cs="Arial"/>
                <w:sz w:val="22"/>
                <w:szCs w:val="22"/>
              </w:rPr>
              <w:t>’ NICE technology appraisal guidance [ID4067]. Publication date to be confirmed.</w:t>
            </w:r>
          </w:p>
          <w:p w14:paraId="29567FB8" w14:textId="7A85F84C" w:rsidR="00C35AD8" w:rsidRDefault="00C35AD8" w:rsidP="00C35AD8">
            <w:pPr>
              <w:pStyle w:val="BodyText2"/>
              <w:rPr>
                <w:rFonts w:cs="Arial"/>
                <w:sz w:val="22"/>
                <w:szCs w:val="22"/>
              </w:rPr>
            </w:pPr>
            <w:r w:rsidRPr="00C35AD8">
              <w:rPr>
                <w:rFonts w:cs="Arial"/>
                <w:sz w:val="22"/>
                <w:szCs w:val="22"/>
              </w:rPr>
              <w:t>‘</w:t>
            </w:r>
            <w:hyperlink r:id="rId21" w:history="1">
              <w:r w:rsidRPr="00C35AD8">
                <w:rPr>
                  <w:rStyle w:val="Hyperlink"/>
                  <w:rFonts w:cs="Arial"/>
                  <w:sz w:val="22"/>
                  <w:szCs w:val="22"/>
                </w:rPr>
                <w:t>Selinexor with bortezomib and low-dose dexamethasone for treating relapsed refractory multiple myeloma</w:t>
              </w:r>
            </w:hyperlink>
            <w:r w:rsidRPr="00C35AD8">
              <w:rPr>
                <w:rFonts w:cs="Arial"/>
                <w:sz w:val="22"/>
                <w:szCs w:val="22"/>
              </w:rPr>
              <w:t>’ NICE technology appraisal guidance [ID3797]. Publication date to be confirmed.</w:t>
            </w:r>
          </w:p>
          <w:p w14:paraId="01B9EC7F" w14:textId="77777777" w:rsidR="00230DA7" w:rsidRPr="008704E9" w:rsidRDefault="00230DA7" w:rsidP="00123602">
            <w:pPr>
              <w:pStyle w:val="BodyText2"/>
              <w:rPr>
                <w:rFonts w:cs="Arial"/>
                <w:b/>
                <w:bCs/>
                <w:sz w:val="22"/>
                <w:szCs w:val="22"/>
                <w:lang w:val="en-GB"/>
              </w:rPr>
            </w:pPr>
            <w:r w:rsidRPr="008704E9">
              <w:rPr>
                <w:rFonts w:cs="Arial"/>
                <w:b/>
                <w:bCs/>
                <w:sz w:val="22"/>
                <w:szCs w:val="22"/>
                <w:lang w:val="en-GB"/>
              </w:rPr>
              <w:t>Related Guidelines:</w:t>
            </w:r>
          </w:p>
          <w:p w14:paraId="54B276B6" w14:textId="4A6C1028" w:rsidR="002C2160" w:rsidRDefault="00BC4E46" w:rsidP="00123602">
            <w:pPr>
              <w:pStyle w:val="BodyText2"/>
              <w:rPr>
                <w:rFonts w:cs="Arial"/>
                <w:sz w:val="22"/>
                <w:szCs w:val="22"/>
                <w:lang w:val="en-GB"/>
              </w:rPr>
            </w:pPr>
            <w:hyperlink r:id="rId22" w:history="1">
              <w:r w:rsidR="002C2160" w:rsidRPr="009F7BCD">
                <w:rPr>
                  <w:rStyle w:val="Hyperlink"/>
                  <w:rFonts w:cs="Arial"/>
                  <w:sz w:val="22"/>
                  <w:szCs w:val="22"/>
                  <w:lang w:val="en-GB"/>
                </w:rPr>
                <w:t>‘</w:t>
              </w:r>
              <w:r w:rsidR="009F7BCD" w:rsidRPr="009F7BCD">
                <w:rPr>
                  <w:rStyle w:val="Hyperlink"/>
                  <w:rFonts w:cs="Arial"/>
                  <w:sz w:val="22"/>
                  <w:szCs w:val="22"/>
                  <w:lang w:val="en-GB"/>
                </w:rPr>
                <w:t>Myeloma: diagnosis and management</w:t>
              </w:r>
              <w:r w:rsidR="002C2160" w:rsidRPr="009F7BCD">
                <w:rPr>
                  <w:rStyle w:val="Hyperlink"/>
                  <w:rFonts w:cs="Arial"/>
                  <w:sz w:val="22"/>
                  <w:szCs w:val="22"/>
                  <w:lang w:val="en-GB"/>
                </w:rPr>
                <w:t>’</w:t>
              </w:r>
            </w:hyperlink>
            <w:r w:rsidR="002C2160" w:rsidRPr="00E970E0">
              <w:rPr>
                <w:rFonts w:cs="Arial"/>
                <w:sz w:val="22"/>
                <w:szCs w:val="22"/>
                <w:lang w:val="en-GB"/>
              </w:rPr>
              <w:t xml:space="preserve"> (</w:t>
            </w:r>
            <w:r w:rsidR="009F7BCD">
              <w:rPr>
                <w:rFonts w:cs="Arial"/>
                <w:sz w:val="22"/>
                <w:szCs w:val="22"/>
                <w:lang w:val="en-GB"/>
              </w:rPr>
              <w:t>2018</w:t>
            </w:r>
            <w:r w:rsidR="002C2160" w:rsidRPr="00E970E0">
              <w:rPr>
                <w:rFonts w:cs="Arial"/>
                <w:sz w:val="22"/>
                <w:szCs w:val="22"/>
                <w:lang w:val="en-GB"/>
              </w:rPr>
              <w:t>)</w:t>
            </w:r>
            <w:r w:rsidR="009C0B9D" w:rsidRPr="00E970E0">
              <w:rPr>
                <w:rFonts w:cs="Arial"/>
                <w:sz w:val="22"/>
                <w:szCs w:val="22"/>
                <w:lang w:val="en-GB"/>
              </w:rPr>
              <w:t>.</w:t>
            </w:r>
            <w:r w:rsidR="002C2160" w:rsidRPr="00E970E0">
              <w:rPr>
                <w:rFonts w:cs="Arial"/>
                <w:sz w:val="22"/>
                <w:szCs w:val="22"/>
                <w:lang w:val="en-GB"/>
              </w:rPr>
              <w:t xml:space="preserve"> </w:t>
            </w:r>
            <w:r w:rsidR="002C2160" w:rsidRPr="00E970E0">
              <w:rPr>
                <w:rFonts w:cs="Arial"/>
                <w:sz w:val="22"/>
                <w:szCs w:val="22"/>
              </w:rPr>
              <w:t xml:space="preserve">NICE </w:t>
            </w:r>
            <w:r w:rsidR="002C2160" w:rsidRPr="00E970E0">
              <w:rPr>
                <w:rFonts w:cs="Arial"/>
                <w:sz w:val="22"/>
                <w:szCs w:val="22"/>
                <w:lang w:val="en-GB"/>
              </w:rPr>
              <w:t xml:space="preserve">guideline </w:t>
            </w:r>
            <w:r w:rsidR="009F7BCD">
              <w:rPr>
                <w:rFonts w:cs="Arial"/>
                <w:sz w:val="22"/>
                <w:szCs w:val="22"/>
                <w:lang w:val="en-GB"/>
              </w:rPr>
              <w:t>35</w:t>
            </w:r>
            <w:r w:rsidR="003106ED">
              <w:rPr>
                <w:rFonts w:cs="Arial"/>
                <w:sz w:val="22"/>
                <w:szCs w:val="22"/>
                <w:lang w:val="en-GB"/>
              </w:rPr>
              <w:t>.</w:t>
            </w:r>
            <w:r w:rsidR="002C2160" w:rsidRPr="00E970E0">
              <w:rPr>
                <w:rFonts w:cs="Arial"/>
                <w:sz w:val="22"/>
                <w:szCs w:val="22"/>
                <w:lang w:val="en-GB"/>
              </w:rPr>
              <w:t xml:space="preserve"> </w:t>
            </w:r>
            <w:r w:rsidR="009F7BCD" w:rsidRPr="00B11376">
              <w:rPr>
                <w:rFonts w:cs="Arial"/>
                <w:sz w:val="22"/>
                <w:szCs w:val="22"/>
                <w:lang w:val="en-GB"/>
              </w:rPr>
              <w:t>No current plans to review this guidance.</w:t>
            </w:r>
          </w:p>
          <w:p w14:paraId="2EB4B423" w14:textId="37869EB2" w:rsidR="004711C8" w:rsidRDefault="004711C8" w:rsidP="00123602">
            <w:pPr>
              <w:pStyle w:val="BodyText2"/>
              <w:rPr>
                <w:rFonts w:cs="Arial"/>
                <w:sz w:val="22"/>
                <w:szCs w:val="22"/>
                <w:lang w:val="en-GB"/>
              </w:rPr>
            </w:pPr>
            <w:r w:rsidRPr="004711C8">
              <w:rPr>
                <w:rFonts w:cs="Arial"/>
                <w:sz w:val="22"/>
                <w:szCs w:val="22"/>
                <w:lang w:val="en-GB"/>
              </w:rPr>
              <w:t>‘</w:t>
            </w:r>
            <w:hyperlink r:id="rId23" w:history="1">
              <w:r w:rsidRPr="004711C8">
                <w:rPr>
                  <w:rStyle w:val="Hyperlink"/>
                  <w:rFonts w:cs="Arial"/>
                  <w:sz w:val="22"/>
                  <w:szCs w:val="22"/>
                  <w:lang w:val="en-GB"/>
                </w:rPr>
                <w:t>Haematological cancers: improving outcomes</w:t>
              </w:r>
            </w:hyperlink>
            <w:r w:rsidRPr="004711C8">
              <w:rPr>
                <w:rFonts w:cs="Arial"/>
                <w:sz w:val="22"/>
                <w:szCs w:val="22"/>
                <w:lang w:val="en-GB"/>
              </w:rPr>
              <w:t>’ (2016). NICE guidance 47. No current plans to review this guidance.</w:t>
            </w:r>
          </w:p>
          <w:p w14:paraId="20E6715C" w14:textId="77777777" w:rsidR="00230DA7" w:rsidRPr="008704E9" w:rsidRDefault="00230DA7" w:rsidP="00123602">
            <w:pPr>
              <w:pStyle w:val="BodyText2"/>
              <w:rPr>
                <w:rFonts w:cs="Arial"/>
                <w:b/>
                <w:bCs/>
                <w:sz w:val="22"/>
                <w:szCs w:val="22"/>
                <w:lang w:val="en-GB"/>
              </w:rPr>
            </w:pPr>
            <w:r w:rsidRPr="008704E9">
              <w:rPr>
                <w:rFonts w:cs="Arial"/>
                <w:b/>
                <w:bCs/>
                <w:sz w:val="22"/>
                <w:szCs w:val="22"/>
                <w:lang w:val="en-GB"/>
              </w:rPr>
              <w:t>Related Quality Standards</w:t>
            </w:r>
            <w:r w:rsidR="00AE26EF" w:rsidRPr="008704E9">
              <w:rPr>
                <w:rFonts w:cs="Arial"/>
                <w:b/>
                <w:bCs/>
                <w:sz w:val="22"/>
                <w:szCs w:val="22"/>
                <w:lang w:val="en-GB"/>
              </w:rPr>
              <w:t>:</w:t>
            </w:r>
          </w:p>
          <w:p w14:paraId="2938A076" w14:textId="2EAC86C2" w:rsidR="007676E9" w:rsidRPr="00E970E0" w:rsidRDefault="009F7BCD" w:rsidP="00123602">
            <w:pPr>
              <w:pStyle w:val="BodyText2"/>
              <w:rPr>
                <w:rFonts w:cs="Arial"/>
                <w:sz w:val="22"/>
                <w:szCs w:val="22"/>
                <w:lang w:val="en-GB"/>
              </w:rPr>
            </w:pPr>
            <w:r>
              <w:rPr>
                <w:rFonts w:cs="Arial"/>
                <w:sz w:val="22"/>
                <w:szCs w:val="22"/>
                <w:lang w:val="en-GB"/>
              </w:rPr>
              <w:t>‘</w:t>
            </w:r>
            <w:hyperlink r:id="rId24" w:history="1">
              <w:r w:rsidRPr="009F7BCD">
                <w:rPr>
                  <w:rStyle w:val="Hyperlink"/>
                  <w:rFonts w:cs="Arial"/>
                  <w:sz w:val="22"/>
                  <w:szCs w:val="22"/>
                  <w:lang w:val="en-GB"/>
                </w:rPr>
                <w:t>Haematological cancers</w:t>
              </w:r>
            </w:hyperlink>
            <w:r>
              <w:rPr>
                <w:rFonts w:cs="Arial"/>
                <w:sz w:val="22"/>
                <w:szCs w:val="22"/>
                <w:lang w:val="en-GB"/>
              </w:rPr>
              <w:t>’</w:t>
            </w:r>
            <w:r w:rsidRPr="009F7BCD">
              <w:rPr>
                <w:rFonts w:cs="Arial"/>
                <w:sz w:val="22"/>
                <w:szCs w:val="22"/>
                <w:lang w:val="en-GB"/>
              </w:rPr>
              <w:t xml:space="preserve"> (2017) NICE quality standard 150. No current plans to review this guidance.</w:t>
            </w:r>
          </w:p>
        </w:tc>
      </w:tr>
      <w:tr w:rsidR="00D31C02" w:rsidRPr="00E970E0" w14:paraId="00A66F15" w14:textId="77777777" w:rsidTr="00F04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07476D7A" w14:textId="77777777" w:rsidR="00D31C02" w:rsidRPr="00E970E0" w:rsidRDefault="009221E3" w:rsidP="009221E3">
            <w:pPr>
              <w:pStyle w:val="Header"/>
              <w:tabs>
                <w:tab w:val="clear" w:pos="4153"/>
                <w:tab w:val="clear" w:pos="8306"/>
              </w:tabs>
              <w:spacing w:before="120"/>
              <w:rPr>
                <w:rFonts w:cs="Arial"/>
                <w:b/>
                <w:bCs/>
                <w:sz w:val="22"/>
                <w:szCs w:val="22"/>
                <w:lang w:val="en-GB"/>
              </w:rPr>
            </w:pPr>
            <w:r w:rsidRPr="00E970E0">
              <w:rPr>
                <w:rFonts w:cs="Arial"/>
                <w:b/>
                <w:bCs/>
                <w:sz w:val="22"/>
                <w:szCs w:val="22"/>
                <w:lang w:val="en-GB"/>
              </w:rPr>
              <w:lastRenderedPageBreak/>
              <w:t xml:space="preserve">Related National </w:t>
            </w:r>
            <w:r w:rsidR="00D31C02" w:rsidRPr="00E970E0">
              <w:rPr>
                <w:rFonts w:cs="Arial"/>
                <w:b/>
                <w:bCs/>
                <w:sz w:val="22"/>
                <w:szCs w:val="22"/>
                <w:lang w:val="en-GB"/>
              </w:rPr>
              <w:t xml:space="preserve">Policy </w:t>
            </w:r>
          </w:p>
        </w:tc>
        <w:tc>
          <w:tcPr>
            <w:tcW w:w="6237" w:type="dxa"/>
          </w:tcPr>
          <w:p w14:paraId="6032E129" w14:textId="77777777" w:rsidR="006E4BB8" w:rsidRPr="00E970E0" w:rsidRDefault="006E4BB8" w:rsidP="00556857">
            <w:pPr>
              <w:rPr>
                <w:rFonts w:cs="Arial"/>
                <w:sz w:val="22"/>
                <w:szCs w:val="22"/>
              </w:rPr>
            </w:pPr>
            <w:r w:rsidRPr="00E970E0">
              <w:rPr>
                <w:rFonts w:cs="Arial"/>
                <w:sz w:val="22"/>
                <w:szCs w:val="22"/>
              </w:rPr>
              <w:t>The NHS Long Term Plan</w:t>
            </w:r>
            <w:r w:rsidR="00FB3BA2" w:rsidRPr="00E970E0">
              <w:rPr>
                <w:rFonts w:cs="Arial"/>
                <w:sz w:val="22"/>
                <w:szCs w:val="22"/>
              </w:rPr>
              <w:t>, 2019.</w:t>
            </w:r>
            <w:r w:rsidR="00556857" w:rsidRPr="00E970E0">
              <w:rPr>
                <w:rFonts w:cs="Arial"/>
                <w:sz w:val="22"/>
                <w:szCs w:val="22"/>
              </w:rPr>
              <w:t xml:space="preserve"> </w:t>
            </w:r>
            <w:hyperlink r:id="rId25" w:history="1">
              <w:r w:rsidRPr="00E970E0">
                <w:rPr>
                  <w:rStyle w:val="Hyperlink"/>
                  <w:rFonts w:cs="Arial"/>
                  <w:sz w:val="22"/>
                  <w:szCs w:val="22"/>
                </w:rPr>
                <w:t>NHS Long Term Plan</w:t>
              </w:r>
            </w:hyperlink>
          </w:p>
          <w:p w14:paraId="3DB749F7" w14:textId="77777777" w:rsidR="004E400A" w:rsidRDefault="005858DD" w:rsidP="001136C7">
            <w:pPr>
              <w:pStyle w:val="BodyText2"/>
              <w:rPr>
                <w:rStyle w:val="Hyperlink"/>
                <w:rFonts w:cs="Arial"/>
                <w:sz w:val="22"/>
                <w:szCs w:val="22"/>
              </w:rPr>
            </w:pPr>
            <w:r w:rsidRPr="00E970E0">
              <w:rPr>
                <w:rFonts w:cs="Arial"/>
                <w:sz w:val="22"/>
                <w:szCs w:val="22"/>
                <w:lang w:val="en-GB"/>
              </w:rPr>
              <w:t>NHS Engla</w:t>
            </w:r>
            <w:r w:rsidR="00FA3FC8" w:rsidRPr="00E970E0">
              <w:rPr>
                <w:rFonts w:cs="Arial"/>
                <w:sz w:val="22"/>
                <w:szCs w:val="22"/>
                <w:lang w:val="en-GB"/>
              </w:rPr>
              <w:t>nd (2018/2019</w:t>
            </w:r>
            <w:r w:rsidRPr="00E970E0">
              <w:rPr>
                <w:rFonts w:cs="Arial"/>
                <w:sz w:val="22"/>
                <w:szCs w:val="22"/>
                <w:lang w:val="en-GB"/>
              </w:rPr>
              <w:t xml:space="preserve">) </w:t>
            </w:r>
            <w:hyperlink r:id="rId26" w:history="1">
              <w:r w:rsidR="00FA3FC8" w:rsidRPr="00E970E0">
                <w:rPr>
                  <w:rStyle w:val="Hyperlink"/>
                  <w:rFonts w:cs="Arial"/>
                  <w:sz w:val="22"/>
                  <w:szCs w:val="22"/>
                </w:rPr>
                <w:t>NHS manual for prescribed specialist services (2018/2019)</w:t>
              </w:r>
            </w:hyperlink>
          </w:p>
          <w:p w14:paraId="3F00115A" w14:textId="3F000601" w:rsidR="00526C9B" w:rsidRPr="008704E9" w:rsidRDefault="004E400A" w:rsidP="001136C7">
            <w:pPr>
              <w:pStyle w:val="BodyText2"/>
              <w:rPr>
                <w:rFonts w:cs="Arial"/>
                <w:sz w:val="22"/>
                <w:szCs w:val="22"/>
              </w:rPr>
            </w:pPr>
            <w:r w:rsidRPr="00163E09">
              <w:rPr>
                <w:sz w:val="22"/>
                <w:szCs w:val="18"/>
              </w:rPr>
              <w:t xml:space="preserve">NHS England (2020) </w:t>
            </w:r>
            <w:hyperlink r:id="rId27" w:history="1">
              <w:r w:rsidRPr="00F046BC">
                <w:rPr>
                  <w:rStyle w:val="Hyperlink"/>
                  <w:sz w:val="22"/>
                  <w:szCs w:val="18"/>
                </w:rPr>
                <w:t>Bendamustine for relapsed multiple myeloma (all ages).</w:t>
              </w:r>
            </w:hyperlink>
            <w:r w:rsidRPr="00F046BC">
              <w:rPr>
                <w:sz w:val="22"/>
                <w:szCs w:val="18"/>
              </w:rPr>
              <w:t xml:space="preserve"> Clinical Commissioning Policy. Reference: 200604P</w:t>
            </w:r>
            <w:hyperlink w:history="1"/>
          </w:p>
        </w:tc>
      </w:tr>
    </w:tbl>
    <w:p w14:paraId="09FE0A1E" w14:textId="77777777" w:rsidR="00CC2A71" w:rsidRDefault="00CC2A71" w:rsidP="004328C4">
      <w:pPr>
        <w:pStyle w:val="BodyText"/>
        <w:spacing w:after="120"/>
        <w:rPr>
          <w:rFonts w:cs="Arial"/>
          <w:sz w:val="22"/>
          <w:szCs w:val="22"/>
          <w:lang w:val="en-GB"/>
        </w:rPr>
      </w:pPr>
    </w:p>
    <w:p w14:paraId="2DC5F6B8" w14:textId="77777777" w:rsidR="00D95441" w:rsidRPr="00E970E0" w:rsidRDefault="00D95441" w:rsidP="00D95441">
      <w:pPr>
        <w:pStyle w:val="Heading1"/>
        <w:spacing w:before="240"/>
        <w:rPr>
          <w:rFonts w:cs="Arial"/>
          <w:sz w:val="22"/>
          <w:szCs w:val="22"/>
          <w:lang w:val="en-GB"/>
        </w:rPr>
      </w:pPr>
      <w:r w:rsidRPr="00E970E0">
        <w:rPr>
          <w:rFonts w:cs="Arial"/>
          <w:sz w:val="22"/>
          <w:szCs w:val="22"/>
          <w:lang w:val="en-GB"/>
        </w:rPr>
        <w:lastRenderedPageBreak/>
        <w:t>References</w:t>
      </w:r>
    </w:p>
    <w:p w14:paraId="0E98F300" w14:textId="02F340F3" w:rsidR="00680A2F" w:rsidRDefault="00680A2F" w:rsidP="00680A2F">
      <w:pPr>
        <w:pStyle w:val="BodyText"/>
        <w:numPr>
          <w:ilvl w:val="0"/>
          <w:numId w:val="27"/>
        </w:numPr>
        <w:rPr>
          <w:rFonts w:cs="Arial"/>
          <w:sz w:val="22"/>
          <w:szCs w:val="22"/>
        </w:rPr>
      </w:pPr>
      <w:r w:rsidRPr="00680A2F">
        <w:rPr>
          <w:rFonts w:cs="Arial"/>
          <w:sz w:val="22"/>
          <w:szCs w:val="22"/>
        </w:rPr>
        <w:t xml:space="preserve">Cancer Research </w:t>
      </w:r>
      <w:r w:rsidRPr="00DD64BA">
        <w:rPr>
          <w:rFonts w:cs="Arial"/>
          <w:sz w:val="22"/>
          <w:szCs w:val="22"/>
        </w:rPr>
        <w:t xml:space="preserve">UK, </w:t>
      </w:r>
      <w:hyperlink r:id="rId28" w:anchor="heading-Zero" w:history="1">
        <w:r w:rsidR="00DD64BA" w:rsidRPr="00DD64BA">
          <w:rPr>
            <w:rStyle w:val="Hyperlink"/>
            <w:rFonts w:cs="Arial"/>
            <w:sz w:val="22"/>
            <w:szCs w:val="22"/>
            <w:lang w:val="en-GB"/>
          </w:rPr>
          <w:t>Myeloma incidence statistics</w:t>
        </w:r>
      </w:hyperlink>
      <w:r w:rsidRPr="00DD64BA">
        <w:rPr>
          <w:rFonts w:cs="Arial"/>
          <w:sz w:val="22"/>
          <w:szCs w:val="22"/>
        </w:rPr>
        <w:t>.</w:t>
      </w:r>
      <w:r w:rsidRPr="00680A2F">
        <w:rPr>
          <w:rFonts w:cs="Arial"/>
          <w:sz w:val="22"/>
          <w:szCs w:val="22"/>
        </w:rPr>
        <w:t xml:space="preserve"> Accessed </w:t>
      </w:r>
      <w:r>
        <w:rPr>
          <w:rFonts w:cs="Arial"/>
          <w:sz w:val="22"/>
          <w:szCs w:val="22"/>
          <w:lang w:val="en-GB"/>
        </w:rPr>
        <w:t>October</w:t>
      </w:r>
      <w:r w:rsidRPr="00680A2F">
        <w:rPr>
          <w:rFonts w:cs="Arial"/>
          <w:sz w:val="22"/>
          <w:szCs w:val="22"/>
        </w:rPr>
        <w:t xml:space="preserve"> 2022.</w:t>
      </w:r>
    </w:p>
    <w:p w14:paraId="616E7B1F" w14:textId="4B1478A6" w:rsidR="00DD64BA" w:rsidRPr="00DD64BA" w:rsidRDefault="00DD64BA" w:rsidP="00DD64BA">
      <w:pPr>
        <w:pStyle w:val="BodyText"/>
        <w:numPr>
          <w:ilvl w:val="0"/>
          <w:numId w:val="27"/>
        </w:numPr>
        <w:rPr>
          <w:rFonts w:cs="Arial"/>
          <w:sz w:val="22"/>
          <w:szCs w:val="22"/>
          <w:lang w:val="en-GB"/>
        </w:rPr>
      </w:pPr>
      <w:r w:rsidRPr="00DD64BA">
        <w:rPr>
          <w:rFonts w:cs="Arial"/>
          <w:sz w:val="22"/>
          <w:szCs w:val="22"/>
          <w:lang w:val="en-GB"/>
        </w:rPr>
        <w:t xml:space="preserve">United Kingdom Fact sheet, </w:t>
      </w:r>
      <w:hyperlink r:id="rId29" w:history="1">
        <w:r w:rsidRPr="00DD64BA">
          <w:rPr>
            <w:rStyle w:val="Hyperlink"/>
            <w:rFonts w:cs="Arial"/>
            <w:sz w:val="22"/>
            <w:szCs w:val="22"/>
            <w:lang w:val="en-GB"/>
          </w:rPr>
          <w:t>International Agency for Research on Cancer</w:t>
        </w:r>
      </w:hyperlink>
      <w:r w:rsidRPr="00DD64BA">
        <w:rPr>
          <w:rFonts w:cs="Arial"/>
          <w:sz w:val="22"/>
          <w:szCs w:val="22"/>
          <w:lang w:val="en-GB"/>
        </w:rPr>
        <w:t xml:space="preserve">. Accessed </w:t>
      </w:r>
      <w:r>
        <w:rPr>
          <w:rFonts w:cs="Arial"/>
          <w:sz w:val="22"/>
          <w:szCs w:val="22"/>
          <w:lang w:val="en-GB"/>
        </w:rPr>
        <w:t>October</w:t>
      </w:r>
      <w:r w:rsidRPr="00680A2F">
        <w:rPr>
          <w:rFonts w:cs="Arial"/>
          <w:sz w:val="22"/>
          <w:szCs w:val="22"/>
        </w:rPr>
        <w:t xml:space="preserve"> 2022</w:t>
      </w:r>
      <w:r w:rsidRPr="00DD64BA">
        <w:rPr>
          <w:rFonts w:cs="Arial"/>
          <w:sz w:val="22"/>
          <w:szCs w:val="22"/>
          <w:lang w:val="en-GB"/>
        </w:rPr>
        <w:t xml:space="preserve">. </w:t>
      </w:r>
    </w:p>
    <w:p w14:paraId="66764973" w14:textId="28A5ABC5" w:rsidR="00DD64BA" w:rsidRPr="00DD64BA" w:rsidRDefault="00DD64BA" w:rsidP="00DD64BA">
      <w:pPr>
        <w:pStyle w:val="BodyText"/>
        <w:numPr>
          <w:ilvl w:val="0"/>
          <w:numId w:val="27"/>
        </w:numPr>
        <w:rPr>
          <w:rFonts w:cs="Arial"/>
          <w:sz w:val="22"/>
          <w:szCs w:val="22"/>
        </w:rPr>
      </w:pPr>
      <w:r w:rsidRPr="00DD64BA">
        <w:rPr>
          <w:rFonts w:cs="Arial"/>
          <w:sz w:val="22"/>
          <w:szCs w:val="22"/>
          <w:lang w:val="en-GB"/>
        </w:rPr>
        <w:t xml:space="preserve">Cancer Research UK, </w:t>
      </w:r>
      <w:hyperlink r:id="rId30" w:anchor="heading-Zero" w:history="1">
        <w:r w:rsidRPr="00DD64BA">
          <w:rPr>
            <w:rStyle w:val="Hyperlink"/>
            <w:rFonts w:cs="Arial"/>
            <w:sz w:val="22"/>
            <w:szCs w:val="22"/>
            <w:lang w:val="en-GB"/>
          </w:rPr>
          <w:t>Myeloma survival statistics</w:t>
        </w:r>
      </w:hyperlink>
      <w:r w:rsidRPr="00DD64BA">
        <w:rPr>
          <w:rFonts w:cs="Arial"/>
          <w:sz w:val="22"/>
          <w:szCs w:val="22"/>
          <w:lang w:val="en-GB"/>
        </w:rPr>
        <w:t xml:space="preserve">. </w:t>
      </w:r>
      <w:r w:rsidRPr="00DD64BA">
        <w:rPr>
          <w:rFonts w:cs="Arial"/>
          <w:sz w:val="22"/>
          <w:szCs w:val="22"/>
        </w:rPr>
        <w:t xml:space="preserve">Accessed </w:t>
      </w:r>
      <w:r>
        <w:rPr>
          <w:rFonts w:cs="Arial"/>
          <w:sz w:val="22"/>
          <w:szCs w:val="22"/>
          <w:lang w:val="en-GB"/>
        </w:rPr>
        <w:t>October</w:t>
      </w:r>
      <w:r w:rsidRPr="00680A2F">
        <w:rPr>
          <w:rFonts w:cs="Arial"/>
          <w:sz w:val="22"/>
          <w:szCs w:val="22"/>
        </w:rPr>
        <w:t xml:space="preserve"> 2022</w:t>
      </w:r>
      <w:r w:rsidRPr="00DD64BA">
        <w:rPr>
          <w:rFonts w:cs="Arial"/>
          <w:sz w:val="22"/>
          <w:szCs w:val="22"/>
          <w:lang w:val="en-GB"/>
        </w:rPr>
        <w:t>.</w:t>
      </w:r>
    </w:p>
    <w:p w14:paraId="344F4803" w14:textId="29BB410B" w:rsidR="00003591" w:rsidRPr="00BB47EE" w:rsidRDefault="00DD64BA" w:rsidP="00BB47EE">
      <w:pPr>
        <w:pStyle w:val="BodyText"/>
        <w:numPr>
          <w:ilvl w:val="0"/>
          <w:numId w:val="27"/>
        </w:numPr>
        <w:rPr>
          <w:rFonts w:cs="Arial"/>
          <w:sz w:val="22"/>
          <w:szCs w:val="22"/>
          <w:lang w:val="en-GB"/>
        </w:rPr>
      </w:pPr>
      <w:r w:rsidRPr="00003591">
        <w:rPr>
          <w:rFonts w:cs="Arial"/>
          <w:sz w:val="22"/>
          <w:szCs w:val="22"/>
          <w:lang w:val="en-GB"/>
        </w:rPr>
        <w:t xml:space="preserve">Cancer Research UK, </w:t>
      </w:r>
      <w:hyperlink r:id="rId31" w:anchor="heading-Zero" w:history="1">
        <w:r w:rsidRPr="00003591">
          <w:rPr>
            <w:rStyle w:val="Hyperlink"/>
            <w:rFonts w:cs="Arial"/>
            <w:sz w:val="22"/>
            <w:szCs w:val="22"/>
            <w:lang w:val="en-GB"/>
          </w:rPr>
          <w:t>Myeloma statistics</w:t>
        </w:r>
      </w:hyperlink>
      <w:r w:rsidRPr="00003591">
        <w:rPr>
          <w:rFonts w:cs="Arial"/>
          <w:sz w:val="22"/>
          <w:szCs w:val="22"/>
          <w:lang w:val="en-GB"/>
        </w:rPr>
        <w:t>. Accessed October</w:t>
      </w:r>
      <w:r w:rsidRPr="00003591">
        <w:rPr>
          <w:rFonts w:cs="Arial"/>
          <w:sz w:val="22"/>
          <w:szCs w:val="22"/>
        </w:rPr>
        <w:t xml:space="preserve"> 2022</w:t>
      </w:r>
      <w:r w:rsidRPr="00003591">
        <w:rPr>
          <w:rFonts w:cs="Arial"/>
          <w:sz w:val="22"/>
          <w:szCs w:val="22"/>
          <w:lang w:val="en-GB"/>
        </w:rPr>
        <w:t xml:space="preserve">. </w:t>
      </w:r>
    </w:p>
    <w:sectPr w:rsidR="00003591" w:rsidRPr="00BB47EE" w:rsidSect="00792C5C">
      <w:headerReference w:type="default" r:id="rId32"/>
      <w:footerReference w:type="default" r:id="rId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FC2A" w14:textId="77777777" w:rsidR="00D46D5D" w:rsidRDefault="00D46D5D">
      <w:r>
        <w:separator/>
      </w:r>
    </w:p>
  </w:endnote>
  <w:endnote w:type="continuationSeparator" w:id="0">
    <w:p w14:paraId="1C21700D" w14:textId="77777777" w:rsidR="00D46D5D" w:rsidRDefault="00D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AB64" w14:textId="77777777" w:rsidR="00C67E2F" w:rsidRDefault="00C67E2F">
    <w:pPr>
      <w:pStyle w:val="Footer"/>
      <w:rPr>
        <w:sz w:val="20"/>
      </w:rPr>
    </w:pPr>
  </w:p>
  <w:p w14:paraId="3638FA90" w14:textId="71A6F64F" w:rsidR="00C67E2F" w:rsidRDefault="00103C74">
    <w:pPr>
      <w:pStyle w:val="Footer"/>
      <w:rPr>
        <w:sz w:val="20"/>
      </w:rPr>
    </w:pPr>
    <w:r>
      <w:rPr>
        <w:sz w:val="20"/>
      </w:rPr>
      <w:t>Final</w:t>
    </w:r>
    <w:r w:rsidR="00C67E2F">
      <w:rPr>
        <w:sz w:val="20"/>
      </w:rPr>
      <w:t xml:space="preserve"> scope for the </w:t>
    </w:r>
    <w:r w:rsidR="000C52F6">
      <w:rPr>
        <w:sz w:val="20"/>
      </w:rPr>
      <w:t xml:space="preserve">evaluation </w:t>
    </w:r>
    <w:r w:rsidR="00C67E2F">
      <w:rPr>
        <w:sz w:val="20"/>
      </w:rPr>
      <w:t xml:space="preserve">of </w:t>
    </w:r>
    <w:proofErr w:type="spellStart"/>
    <w:r w:rsidR="00692C87">
      <w:rPr>
        <w:sz w:val="20"/>
      </w:rPr>
      <w:t>e</w:t>
    </w:r>
    <w:r w:rsidR="00692C87" w:rsidRPr="00692C87">
      <w:rPr>
        <w:sz w:val="20"/>
      </w:rPr>
      <w:t>lranatamab</w:t>
    </w:r>
    <w:proofErr w:type="spellEnd"/>
    <w:r w:rsidR="00692C87" w:rsidRPr="00692C87">
      <w:rPr>
        <w:sz w:val="20"/>
      </w:rPr>
      <w:t xml:space="preserve"> for treating </w:t>
    </w:r>
    <w:r w:rsidR="00496500">
      <w:rPr>
        <w:sz w:val="20"/>
      </w:rPr>
      <w:t xml:space="preserve">relapsed or </w:t>
    </w:r>
    <w:r w:rsidR="00692C87" w:rsidRPr="00692C87">
      <w:rPr>
        <w:sz w:val="20"/>
      </w:rPr>
      <w:t xml:space="preserve">refractory multiple myeloma after 3 </w:t>
    </w:r>
    <w:proofErr w:type="gramStart"/>
    <w:r w:rsidR="00692C87" w:rsidRPr="00692C87">
      <w:rPr>
        <w:sz w:val="20"/>
      </w:rPr>
      <w:t>therapies</w:t>
    </w:r>
    <w:proofErr w:type="gramEnd"/>
  </w:p>
  <w:p w14:paraId="42F13AFB" w14:textId="34D510C6" w:rsidR="00C67E2F" w:rsidRDefault="00C67E2F">
    <w:pPr>
      <w:pStyle w:val="Footer"/>
      <w:rPr>
        <w:sz w:val="20"/>
      </w:rPr>
    </w:pPr>
    <w:r>
      <w:rPr>
        <w:sz w:val="20"/>
      </w:rPr>
      <w:t xml:space="preserve">Issue Date: </w:t>
    </w:r>
    <w:r w:rsidR="00103C74">
      <w:rPr>
        <w:sz w:val="20"/>
      </w:rPr>
      <w:t>August 2023</w:t>
    </w: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sidR="006A16FD">
      <w:rPr>
        <w:noProof/>
        <w:sz w:val="20"/>
      </w:rPr>
      <w:t>11</w:t>
    </w:r>
    <w:r>
      <w:rPr>
        <w:sz w:val="20"/>
      </w:rPr>
      <w:fldChar w:fldCharType="end"/>
    </w:r>
    <w:r>
      <w:rPr>
        <w:sz w:val="20"/>
      </w:rPr>
      <w:t xml:space="preserve"> of </w:t>
    </w:r>
    <w:r w:rsidRPr="004C25A1">
      <w:rPr>
        <w:sz w:val="20"/>
      </w:rPr>
      <w:fldChar w:fldCharType="begin"/>
    </w:r>
    <w:r w:rsidRPr="004C25A1">
      <w:rPr>
        <w:sz w:val="20"/>
      </w:rPr>
      <w:instrText xml:space="preserve"> NUMPAGES </w:instrText>
    </w:r>
    <w:r w:rsidRPr="004C25A1">
      <w:rPr>
        <w:sz w:val="20"/>
      </w:rPr>
      <w:fldChar w:fldCharType="separate"/>
    </w:r>
    <w:r w:rsidR="006A16FD">
      <w:rPr>
        <w:noProof/>
        <w:sz w:val="20"/>
      </w:rPr>
      <w:t>11</w:t>
    </w:r>
    <w:r w:rsidRPr="004C25A1">
      <w:rPr>
        <w:sz w:val="20"/>
      </w:rPr>
      <w:fldChar w:fldCharType="end"/>
    </w:r>
  </w:p>
  <w:p w14:paraId="3B7092C4" w14:textId="62309D70" w:rsidR="00B10464" w:rsidRPr="004C25A1" w:rsidRDefault="00B10464">
    <w:pPr>
      <w:pStyle w:val="Footer"/>
      <w:rPr>
        <w:sz w:val="20"/>
      </w:rPr>
    </w:pPr>
    <w:r w:rsidRPr="00B10464">
      <w:rPr>
        <w:sz w:val="20"/>
      </w:rPr>
      <w:t xml:space="preserve">© National Institute for Health and Care Excellence </w:t>
    </w:r>
    <w:r w:rsidR="00692C87">
      <w:rPr>
        <w:sz w:val="20"/>
      </w:rPr>
      <w:t>2022</w:t>
    </w:r>
    <w:r w:rsidRPr="00B10464">
      <w:rPr>
        <w:sz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3636" w14:textId="77777777" w:rsidR="00D46D5D" w:rsidRDefault="00D46D5D">
      <w:r>
        <w:separator/>
      </w:r>
    </w:p>
  </w:footnote>
  <w:footnote w:type="continuationSeparator" w:id="0">
    <w:p w14:paraId="76E297AA" w14:textId="77777777" w:rsidR="00D46D5D" w:rsidRDefault="00D4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1C2" w14:textId="2EA4BE1F" w:rsidR="00C67E2F" w:rsidRDefault="006B5D1A" w:rsidP="00406CE0">
    <w:pPr>
      <w:pStyle w:val="Header"/>
      <w:rPr>
        <w:b/>
      </w:rPr>
    </w:pPr>
    <w:r>
      <w:rPr>
        <w:b/>
      </w:rPr>
      <w:tab/>
    </w:r>
    <w:r w:rsidR="00C67E2F">
      <w:rPr>
        <w:b/>
      </w:rPr>
      <w:tab/>
      <w:t>Appendix B</w:t>
    </w:r>
  </w:p>
  <w:p w14:paraId="55C38C3B" w14:textId="77777777" w:rsidR="00C67E2F" w:rsidRDefault="00C67E2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FDE"/>
    <w:multiLevelType w:val="hybridMultilevel"/>
    <w:tmpl w:val="65E475A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37F5308"/>
    <w:multiLevelType w:val="hybridMultilevel"/>
    <w:tmpl w:val="1D209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443BF"/>
    <w:multiLevelType w:val="hybridMultilevel"/>
    <w:tmpl w:val="56E61C6E"/>
    <w:lvl w:ilvl="0" w:tplc="3EE2D8B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D6B99"/>
    <w:multiLevelType w:val="hybridMultilevel"/>
    <w:tmpl w:val="8B687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B4DD9"/>
    <w:multiLevelType w:val="hybridMultilevel"/>
    <w:tmpl w:val="7D16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42F5E"/>
    <w:multiLevelType w:val="hybridMultilevel"/>
    <w:tmpl w:val="ACEC89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51057"/>
    <w:multiLevelType w:val="hybridMultilevel"/>
    <w:tmpl w:val="164484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6B2FAC"/>
    <w:multiLevelType w:val="hybridMultilevel"/>
    <w:tmpl w:val="4178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B7EB0"/>
    <w:multiLevelType w:val="hybridMultilevel"/>
    <w:tmpl w:val="F996A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C6AEB"/>
    <w:multiLevelType w:val="hybridMultilevel"/>
    <w:tmpl w:val="11400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AA504D"/>
    <w:multiLevelType w:val="hybridMultilevel"/>
    <w:tmpl w:val="3B9AD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6448A"/>
    <w:multiLevelType w:val="hybridMultilevel"/>
    <w:tmpl w:val="47EEE5DC"/>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46736"/>
    <w:multiLevelType w:val="hybridMultilevel"/>
    <w:tmpl w:val="FFE0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5B1E3E"/>
    <w:multiLevelType w:val="hybridMultilevel"/>
    <w:tmpl w:val="A9ACB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0E2489"/>
    <w:multiLevelType w:val="multilevel"/>
    <w:tmpl w:val="CF7423B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C715F4"/>
    <w:multiLevelType w:val="hybridMultilevel"/>
    <w:tmpl w:val="E612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43471"/>
    <w:multiLevelType w:val="hybridMultilevel"/>
    <w:tmpl w:val="2386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6F1851"/>
    <w:multiLevelType w:val="hybridMultilevel"/>
    <w:tmpl w:val="44806604"/>
    <w:lvl w:ilvl="0" w:tplc="984AD822">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542D82"/>
    <w:multiLevelType w:val="hybridMultilevel"/>
    <w:tmpl w:val="B05C69F0"/>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0C35EAF"/>
    <w:multiLevelType w:val="hybridMultilevel"/>
    <w:tmpl w:val="D31A3F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4214D8"/>
    <w:multiLevelType w:val="hybridMultilevel"/>
    <w:tmpl w:val="1DC0D2AE"/>
    <w:lvl w:ilvl="0" w:tplc="08090001">
      <w:start w:val="1"/>
      <w:numFmt w:val="bullet"/>
      <w:lvlText w:val=""/>
      <w:lvlJc w:val="left"/>
      <w:pPr>
        <w:tabs>
          <w:tab w:val="num" w:pos="720"/>
        </w:tabs>
        <w:ind w:left="720" w:hanging="360"/>
      </w:pPr>
      <w:rPr>
        <w:rFonts w:ascii="Symbol" w:hAnsi="Symbol" w:hint="default"/>
      </w:rPr>
    </w:lvl>
    <w:lvl w:ilvl="1" w:tplc="436E3ED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57E2F"/>
    <w:multiLevelType w:val="hybridMultilevel"/>
    <w:tmpl w:val="2CAAFEF6"/>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F7A09"/>
    <w:multiLevelType w:val="hybridMultilevel"/>
    <w:tmpl w:val="BD0029BA"/>
    <w:lvl w:ilvl="0" w:tplc="D53E361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3752C5"/>
    <w:multiLevelType w:val="hybridMultilevel"/>
    <w:tmpl w:val="21CAAB2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8A11E7"/>
    <w:multiLevelType w:val="hybridMultilevel"/>
    <w:tmpl w:val="130C3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544955"/>
    <w:multiLevelType w:val="hybridMultilevel"/>
    <w:tmpl w:val="0122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CB2B60"/>
    <w:multiLevelType w:val="hybridMultilevel"/>
    <w:tmpl w:val="541C5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574956"/>
    <w:multiLevelType w:val="hybridMultilevel"/>
    <w:tmpl w:val="AD76FF80"/>
    <w:lvl w:ilvl="0" w:tplc="F47002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EB068F"/>
    <w:multiLevelType w:val="hybridMultilevel"/>
    <w:tmpl w:val="37C85548"/>
    <w:lvl w:ilvl="0" w:tplc="3EE2D8B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D6138E4"/>
    <w:multiLevelType w:val="hybridMultilevel"/>
    <w:tmpl w:val="783E4DC4"/>
    <w:lvl w:ilvl="0" w:tplc="3EE2D8B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673937">
    <w:abstractNumId w:val="0"/>
  </w:num>
  <w:num w:numId="2" w16cid:durableId="669992671">
    <w:abstractNumId w:val="1"/>
  </w:num>
  <w:num w:numId="3" w16cid:durableId="485391606">
    <w:abstractNumId w:val="24"/>
  </w:num>
  <w:num w:numId="4" w16cid:durableId="798886258">
    <w:abstractNumId w:val="3"/>
  </w:num>
  <w:num w:numId="5" w16cid:durableId="201089443">
    <w:abstractNumId w:val="5"/>
  </w:num>
  <w:num w:numId="6" w16cid:durableId="831873135">
    <w:abstractNumId w:val="6"/>
  </w:num>
  <w:num w:numId="7" w16cid:durableId="301690943">
    <w:abstractNumId w:val="28"/>
  </w:num>
  <w:num w:numId="8" w16cid:durableId="1378428242">
    <w:abstractNumId w:val="8"/>
  </w:num>
  <w:num w:numId="9" w16cid:durableId="9575947">
    <w:abstractNumId w:val="17"/>
  </w:num>
  <w:num w:numId="10" w16cid:durableId="152725062">
    <w:abstractNumId w:val="27"/>
  </w:num>
  <w:num w:numId="11" w16cid:durableId="624895275">
    <w:abstractNumId w:val="29"/>
  </w:num>
  <w:num w:numId="12" w16cid:durableId="976299359">
    <w:abstractNumId w:val="23"/>
  </w:num>
  <w:num w:numId="13" w16cid:durableId="1725832342">
    <w:abstractNumId w:val="30"/>
  </w:num>
  <w:num w:numId="14" w16cid:durableId="103885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3159828">
    <w:abstractNumId w:val="18"/>
  </w:num>
  <w:num w:numId="16" w16cid:durableId="735906767">
    <w:abstractNumId w:val="31"/>
  </w:num>
  <w:num w:numId="17" w16cid:durableId="14011008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829625">
    <w:abstractNumId w:val="15"/>
  </w:num>
  <w:num w:numId="19" w16cid:durableId="1226531784">
    <w:abstractNumId w:val="9"/>
  </w:num>
  <w:num w:numId="20" w16cid:durableId="1873960251">
    <w:abstractNumId w:val="21"/>
  </w:num>
  <w:num w:numId="21" w16cid:durableId="1633752768">
    <w:abstractNumId w:val="21"/>
  </w:num>
  <w:num w:numId="22" w16cid:durableId="681205830">
    <w:abstractNumId w:val="12"/>
  </w:num>
  <w:num w:numId="23" w16cid:durableId="623774881">
    <w:abstractNumId w:val="4"/>
  </w:num>
  <w:num w:numId="24" w16cid:durableId="616913544">
    <w:abstractNumId w:val="14"/>
  </w:num>
  <w:num w:numId="25" w16cid:durableId="845559996">
    <w:abstractNumId w:val="10"/>
  </w:num>
  <w:num w:numId="26" w16cid:durableId="403183799">
    <w:abstractNumId w:val="13"/>
  </w:num>
  <w:num w:numId="27" w16cid:durableId="1404064996">
    <w:abstractNumId w:val="32"/>
  </w:num>
  <w:num w:numId="28" w16cid:durableId="1097674131">
    <w:abstractNumId w:val="19"/>
  </w:num>
  <w:num w:numId="29" w16cid:durableId="465201773">
    <w:abstractNumId w:val="16"/>
  </w:num>
  <w:num w:numId="30" w16cid:durableId="1964577138">
    <w:abstractNumId w:val="2"/>
  </w:num>
  <w:num w:numId="31" w16cid:durableId="911550518">
    <w:abstractNumId w:val="25"/>
  </w:num>
  <w:num w:numId="32" w16cid:durableId="900139432">
    <w:abstractNumId w:val="11"/>
  </w:num>
  <w:num w:numId="33" w16cid:durableId="318536071">
    <w:abstractNumId w:val="34"/>
  </w:num>
  <w:num w:numId="34" w16cid:durableId="322591380">
    <w:abstractNumId w:val="26"/>
  </w:num>
  <w:num w:numId="35" w16cid:durableId="1959989732">
    <w:abstractNumId w:val="26"/>
  </w:num>
  <w:num w:numId="36" w16cid:durableId="1506549832">
    <w:abstractNumId w:val="33"/>
  </w:num>
  <w:num w:numId="37" w16cid:durableId="1313366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5D"/>
    <w:rsid w:val="00001A5D"/>
    <w:rsid w:val="00003591"/>
    <w:rsid w:val="00006ED9"/>
    <w:rsid w:val="000121BB"/>
    <w:rsid w:val="000177B7"/>
    <w:rsid w:val="0002088C"/>
    <w:rsid w:val="00031720"/>
    <w:rsid w:val="000400FB"/>
    <w:rsid w:val="00044E0F"/>
    <w:rsid w:val="000511D1"/>
    <w:rsid w:val="00051A0D"/>
    <w:rsid w:val="00052337"/>
    <w:rsid w:val="00055B33"/>
    <w:rsid w:val="00055E82"/>
    <w:rsid w:val="00056261"/>
    <w:rsid w:val="00056EC4"/>
    <w:rsid w:val="00065C8F"/>
    <w:rsid w:val="000661B6"/>
    <w:rsid w:val="00073DC5"/>
    <w:rsid w:val="00077FA3"/>
    <w:rsid w:val="00085BEE"/>
    <w:rsid w:val="00092AF1"/>
    <w:rsid w:val="00095E14"/>
    <w:rsid w:val="00096B24"/>
    <w:rsid w:val="000A2CE3"/>
    <w:rsid w:val="000A424C"/>
    <w:rsid w:val="000A7EBA"/>
    <w:rsid w:val="000B09BA"/>
    <w:rsid w:val="000B199A"/>
    <w:rsid w:val="000B2758"/>
    <w:rsid w:val="000B57C1"/>
    <w:rsid w:val="000B5B4F"/>
    <w:rsid w:val="000C0C27"/>
    <w:rsid w:val="000C2E94"/>
    <w:rsid w:val="000C44FC"/>
    <w:rsid w:val="000C52F6"/>
    <w:rsid w:val="000D05D0"/>
    <w:rsid w:val="000D2C86"/>
    <w:rsid w:val="000E1E94"/>
    <w:rsid w:val="000E2FFA"/>
    <w:rsid w:val="000E6D9A"/>
    <w:rsid w:val="000F549C"/>
    <w:rsid w:val="000F54B1"/>
    <w:rsid w:val="000F6101"/>
    <w:rsid w:val="001026B2"/>
    <w:rsid w:val="00103AF4"/>
    <w:rsid w:val="00103C74"/>
    <w:rsid w:val="001112DA"/>
    <w:rsid w:val="001136C7"/>
    <w:rsid w:val="00121949"/>
    <w:rsid w:val="00123602"/>
    <w:rsid w:val="00123ADE"/>
    <w:rsid w:val="00127D24"/>
    <w:rsid w:val="001308AD"/>
    <w:rsid w:val="00130F12"/>
    <w:rsid w:val="001435D4"/>
    <w:rsid w:val="001528F9"/>
    <w:rsid w:val="00153614"/>
    <w:rsid w:val="00157E25"/>
    <w:rsid w:val="00170AFE"/>
    <w:rsid w:val="00171A3A"/>
    <w:rsid w:val="00173B86"/>
    <w:rsid w:val="00175783"/>
    <w:rsid w:val="00180785"/>
    <w:rsid w:val="001876A5"/>
    <w:rsid w:val="00192D7C"/>
    <w:rsid w:val="001967F4"/>
    <w:rsid w:val="001A098D"/>
    <w:rsid w:val="001A2C73"/>
    <w:rsid w:val="001A34B0"/>
    <w:rsid w:val="001A3C07"/>
    <w:rsid w:val="001A44DC"/>
    <w:rsid w:val="001B21DD"/>
    <w:rsid w:val="001C15D7"/>
    <w:rsid w:val="001C1CB8"/>
    <w:rsid w:val="001C5190"/>
    <w:rsid w:val="001D14E9"/>
    <w:rsid w:val="001D3DB6"/>
    <w:rsid w:val="001D4351"/>
    <w:rsid w:val="001D5467"/>
    <w:rsid w:val="001D5D02"/>
    <w:rsid w:val="001E0A33"/>
    <w:rsid w:val="001E1A33"/>
    <w:rsid w:val="001E2112"/>
    <w:rsid w:val="001E3F5D"/>
    <w:rsid w:val="001E6A44"/>
    <w:rsid w:val="001F04FD"/>
    <w:rsid w:val="001F72CD"/>
    <w:rsid w:val="00204AC5"/>
    <w:rsid w:val="00214A4C"/>
    <w:rsid w:val="00215C13"/>
    <w:rsid w:val="00215E38"/>
    <w:rsid w:val="00217676"/>
    <w:rsid w:val="00217ACA"/>
    <w:rsid w:val="00220BB6"/>
    <w:rsid w:val="00220F28"/>
    <w:rsid w:val="002236A0"/>
    <w:rsid w:val="002246EC"/>
    <w:rsid w:val="00230DA7"/>
    <w:rsid w:val="00231D0A"/>
    <w:rsid w:val="002423B0"/>
    <w:rsid w:val="00243C15"/>
    <w:rsid w:val="00245358"/>
    <w:rsid w:val="00256901"/>
    <w:rsid w:val="002569BC"/>
    <w:rsid w:val="002633C1"/>
    <w:rsid w:val="002662BC"/>
    <w:rsid w:val="00281E93"/>
    <w:rsid w:val="002A2014"/>
    <w:rsid w:val="002A2BB4"/>
    <w:rsid w:val="002C086F"/>
    <w:rsid w:val="002C13B7"/>
    <w:rsid w:val="002C2160"/>
    <w:rsid w:val="002C2511"/>
    <w:rsid w:val="002C2706"/>
    <w:rsid w:val="002C3694"/>
    <w:rsid w:val="002D02C4"/>
    <w:rsid w:val="002D2D1E"/>
    <w:rsid w:val="002D4894"/>
    <w:rsid w:val="002D7C9D"/>
    <w:rsid w:val="002E00A8"/>
    <w:rsid w:val="002E0758"/>
    <w:rsid w:val="002E36B2"/>
    <w:rsid w:val="002E3A4D"/>
    <w:rsid w:val="002E3C2E"/>
    <w:rsid w:val="002F06BD"/>
    <w:rsid w:val="00301273"/>
    <w:rsid w:val="003106ED"/>
    <w:rsid w:val="00310C93"/>
    <w:rsid w:val="00324643"/>
    <w:rsid w:val="00327E3E"/>
    <w:rsid w:val="00331643"/>
    <w:rsid w:val="003348B9"/>
    <w:rsid w:val="00371AE7"/>
    <w:rsid w:val="003768EB"/>
    <w:rsid w:val="00380788"/>
    <w:rsid w:val="0038582C"/>
    <w:rsid w:val="003872E8"/>
    <w:rsid w:val="00393454"/>
    <w:rsid w:val="003A1D54"/>
    <w:rsid w:val="003A34E7"/>
    <w:rsid w:val="003A4334"/>
    <w:rsid w:val="003A5AFC"/>
    <w:rsid w:val="003A66C9"/>
    <w:rsid w:val="003A7D5C"/>
    <w:rsid w:val="003B3DD3"/>
    <w:rsid w:val="003B57C9"/>
    <w:rsid w:val="003C1801"/>
    <w:rsid w:val="003C1BB0"/>
    <w:rsid w:val="003C1CDD"/>
    <w:rsid w:val="003C23E7"/>
    <w:rsid w:val="003D01D0"/>
    <w:rsid w:val="003D3E9A"/>
    <w:rsid w:val="003E10B8"/>
    <w:rsid w:val="003E33EC"/>
    <w:rsid w:val="003E36E8"/>
    <w:rsid w:val="003E7D4F"/>
    <w:rsid w:val="003F1CE2"/>
    <w:rsid w:val="003F1DA0"/>
    <w:rsid w:val="003F365F"/>
    <w:rsid w:val="003F422E"/>
    <w:rsid w:val="003F5D14"/>
    <w:rsid w:val="003F6D5D"/>
    <w:rsid w:val="00400151"/>
    <w:rsid w:val="00401B20"/>
    <w:rsid w:val="00401C06"/>
    <w:rsid w:val="004063B3"/>
    <w:rsid w:val="00406CE0"/>
    <w:rsid w:val="00406E51"/>
    <w:rsid w:val="004073AF"/>
    <w:rsid w:val="00411957"/>
    <w:rsid w:val="00413050"/>
    <w:rsid w:val="00414E5E"/>
    <w:rsid w:val="00416301"/>
    <w:rsid w:val="004247C6"/>
    <w:rsid w:val="004250B5"/>
    <w:rsid w:val="00425941"/>
    <w:rsid w:val="004264D6"/>
    <w:rsid w:val="004323CF"/>
    <w:rsid w:val="004328C4"/>
    <w:rsid w:val="00432AEF"/>
    <w:rsid w:val="004335F0"/>
    <w:rsid w:val="00436848"/>
    <w:rsid w:val="004419D6"/>
    <w:rsid w:val="00456921"/>
    <w:rsid w:val="00461A4E"/>
    <w:rsid w:val="00462D23"/>
    <w:rsid w:val="00470940"/>
    <w:rsid w:val="004711C8"/>
    <w:rsid w:val="004742F7"/>
    <w:rsid w:val="00476B35"/>
    <w:rsid w:val="00483E50"/>
    <w:rsid w:val="00486199"/>
    <w:rsid w:val="00491BED"/>
    <w:rsid w:val="00496500"/>
    <w:rsid w:val="0049728B"/>
    <w:rsid w:val="004A1E6C"/>
    <w:rsid w:val="004A2B79"/>
    <w:rsid w:val="004A2C55"/>
    <w:rsid w:val="004A3658"/>
    <w:rsid w:val="004A413B"/>
    <w:rsid w:val="004A4F98"/>
    <w:rsid w:val="004A7611"/>
    <w:rsid w:val="004B1F76"/>
    <w:rsid w:val="004C02EF"/>
    <w:rsid w:val="004C1536"/>
    <w:rsid w:val="004C25A1"/>
    <w:rsid w:val="004D20E3"/>
    <w:rsid w:val="004D5315"/>
    <w:rsid w:val="004D6213"/>
    <w:rsid w:val="004E400A"/>
    <w:rsid w:val="004E74DC"/>
    <w:rsid w:val="004F0E82"/>
    <w:rsid w:val="004F23E4"/>
    <w:rsid w:val="004F4D49"/>
    <w:rsid w:val="004F6CCF"/>
    <w:rsid w:val="00501C57"/>
    <w:rsid w:val="00502583"/>
    <w:rsid w:val="0050422C"/>
    <w:rsid w:val="0050480E"/>
    <w:rsid w:val="00505867"/>
    <w:rsid w:val="00511EEA"/>
    <w:rsid w:val="00513DD1"/>
    <w:rsid w:val="005161FD"/>
    <w:rsid w:val="00517C9E"/>
    <w:rsid w:val="0052151C"/>
    <w:rsid w:val="00524EE1"/>
    <w:rsid w:val="005256ED"/>
    <w:rsid w:val="00526C9B"/>
    <w:rsid w:val="005304FF"/>
    <w:rsid w:val="005318C8"/>
    <w:rsid w:val="00533483"/>
    <w:rsid w:val="0053684A"/>
    <w:rsid w:val="0054193F"/>
    <w:rsid w:val="005451E1"/>
    <w:rsid w:val="0055049C"/>
    <w:rsid w:val="00556857"/>
    <w:rsid w:val="00556D21"/>
    <w:rsid w:val="005570C8"/>
    <w:rsid w:val="00557203"/>
    <w:rsid w:val="005605A4"/>
    <w:rsid w:val="005605A6"/>
    <w:rsid w:val="00564002"/>
    <w:rsid w:val="00565CEE"/>
    <w:rsid w:val="00571C1C"/>
    <w:rsid w:val="005723A3"/>
    <w:rsid w:val="00574C33"/>
    <w:rsid w:val="0057696B"/>
    <w:rsid w:val="005779DB"/>
    <w:rsid w:val="00577F14"/>
    <w:rsid w:val="005854A5"/>
    <w:rsid w:val="005858DD"/>
    <w:rsid w:val="0059219C"/>
    <w:rsid w:val="00595BDD"/>
    <w:rsid w:val="00595CDD"/>
    <w:rsid w:val="00595E96"/>
    <w:rsid w:val="005A1A51"/>
    <w:rsid w:val="005A401B"/>
    <w:rsid w:val="005A6E30"/>
    <w:rsid w:val="005B08F0"/>
    <w:rsid w:val="005B1D62"/>
    <w:rsid w:val="005B4FFB"/>
    <w:rsid w:val="005B7D32"/>
    <w:rsid w:val="005C38C6"/>
    <w:rsid w:val="005C509A"/>
    <w:rsid w:val="005C6231"/>
    <w:rsid w:val="005C68FB"/>
    <w:rsid w:val="005E293E"/>
    <w:rsid w:val="005E310B"/>
    <w:rsid w:val="005E52DA"/>
    <w:rsid w:val="005E62F9"/>
    <w:rsid w:val="005F2DE8"/>
    <w:rsid w:val="00600F0E"/>
    <w:rsid w:val="006044ED"/>
    <w:rsid w:val="006116CA"/>
    <w:rsid w:val="006169DF"/>
    <w:rsid w:val="00620044"/>
    <w:rsid w:val="00620B80"/>
    <w:rsid w:val="006223DA"/>
    <w:rsid w:val="006246E7"/>
    <w:rsid w:val="006260DE"/>
    <w:rsid w:val="006312CE"/>
    <w:rsid w:val="006326DA"/>
    <w:rsid w:val="0064011D"/>
    <w:rsid w:val="00643BFA"/>
    <w:rsid w:val="00643C40"/>
    <w:rsid w:val="00645FF6"/>
    <w:rsid w:val="0065509F"/>
    <w:rsid w:val="006604A0"/>
    <w:rsid w:val="00663CD0"/>
    <w:rsid w:val="00664C48"/>
    <w:rsid w:val="00673874"/>
    <w:rsid w:val="00675147"/>
    <w:rsid w:val="00676CB8"/>
    <w:rsid w:val="00680A2F"/>
    <w:rsid w:val="0068107B"/>
    <w:rsid w:val="00683DF2"/>
    <w:rsid w:val="00692C87"/>
    <w:rsid w:val="006933EC"/>
    <w:rsid w:val="00693EA6"/>
    <w:rsid w:val="00695657"/>
    <w:rsid w:val="006A16FD"/>
    <w:rsid w:val="006A364D"/>
    <w:rsid w:val="006A6C98"/>
    <w:rsid w:val="006A7D29"/>
    <w:rsid w:val="006A7FF5"/>
    <w:rsid w:val="006B5D1A"/>
    <w:rsid w:val="006B79C7"/>
    <w:rsid w:val="006C22AE"/>
    <w:rsid w:val="006C2337"/>
    <w:rsid w:val="006C2654"/>
    <w:rsid w:val="006C3A49"/>
    <w:rsid w:val="006C418B"/>
    <w:rsid w:val="006C57FB"/>
    <w:rsid w:val="006D0EA5"/>
    <w:rsid w:val="006D142A"/>
    <w:rsid w:val="006D2928"/>
    <w:rsid w:val="006D63CA"/>
    <w:rsid w:val="006E4BB8"/>
    <w:rsid w:val="006E7FF4"/>
    <w:rsid w:val="006F36DD"/>
    <w:rsid w:val="006F5591"/>
    <w:rsid w:val="006F7A5B"/>
    <w:rsid w:val="0070098A"/>
    <w:rsid w:val="0070099B"/>
    <w:rsid w:val="00702D8B"/>
    <w:rsid w:val="00713182"/>
    <w:rsid w:val="007153FC"/>
    <w:rsid w:val="00715783"/>
    <w:rsid w:val="00715CBE"/>
    <w:rsid w:val="0072298F"/>
    <w:rsid w:val="00722C21"/>
    <w:rsid w:val="00726A2B"/>
    <w:rsid w:val="00734FD5"/>
    <w:rsid w:val="007373E2"/>
    <w:rsid w:val="007375E5"/>
    <w:rsid w:val="00740274"/>
    <w:rsid w:val="00747737"/>
    <w:rsid w:val="00753CBB"/>
    <w:rsid w:val="00753D8D"/>
    <w:rsid w:val="00754398"/>
    <w:rsid w:val="007676E9"/>
    <w:rsid w:val="0077165B"/>
    <w:rsid w:val="00774192"/>
    <w:rsid w:val="00774F1E"/>
    <w:rsid w:val="0077613E"/>
    <w:rsid w:val="0078721E"/>
    <w:rsid w:val="00787268"/>
    <w:rsid w:val="00792C5C"/>
    <w:rsid w:val="0079526E"/>
    <w:rsid w:val="00795EA3"/>
    <w:rsid w:val="00797B1F"/>
    <w:rsid w:val="007A098D"/>
    <w:rsid w:val="007A40B9"/>
    <w:rsid w:val="007A5DA7"/>
    <w:rsid w:val="007A75FD"/>
    <w:rsid w:val="007B084A"/>
    <w:rsid w:val="007B0A3C"/>
    <w:rsid w:val="007B5165"/>
    <w:rsid w:val="007C2105"/>
    <w:rsid w:val="007D616A"/>
    <w:rsid w:val="007D6B2B"/>
    <w:rsid w:val="007E12C6"/>
    <w:rsid w:val="007E1B95"/>
    <w:rsid w:val="007E3100"/>
    <w:rsid w:val="007E5C05"/>
    <w:rsid w:val="007E67D1"/>
    <w:rsid w:val="007E7E7C"/>
    <w:rsid w:val="007F043C"/>
    <w:rsid w:val="007F2BA7"/>
    <w:rsid w:val="007F3F09"/>
    <w:rsid w:val="007F5886"/>
    <w:rsid w:val="007F6E28"/>
    <w:rsid w:val="0080050F"/>
    <w:rsid w:val="00806641"/>
    <w:rsid w:val="00806DE7"/>
    <w:rsid w:val="008252AD"/>
    <w:rsid w:val="00826364"/>
    <w:rsid w:val="00830F78"/>
    <w:rsid w:val="00832E10"/>
    <w:rsid w:val="008338E0"/>
    <w:rsid w:val="00837F0D"/>
    <w:rsid w:val="00842842"/>
    <w:rsid w:val="0084696F"/>
    <w:rsid w:val="00850018"/>
    <w:rsid w:val="00863795"/>
    <w:rsid w:val="0086652B"/>
    <w:rsid w:val="008704E9"/>
    <w:rsid w:val="00875B8D"/>
    <w:rsid w:val="008777B7"/>
    <w:rsid w:val="00877ADE"/>
    <w:rsid w:val="008817A7"/>
    <w:rsid w:val="00893DF9"/>
    <w:rsid w:val="008B158F"/>
    <w:rsid w:val="008B2F22"/>
    <w:rsid w:val="008C03C9"/>
    <w:rsid w:val="008C0E1D"/>
    <w:rsid w:val="008D29D7"/>
    <w:rsid w:val="008D4858"/>
    <w:rsid w:val="008D6420"/>
    <w:rsid w:val="008D7CFA"/>
    <w:rsid w:val="008E08DA"/>
    <w:rsid w:val="008E60AA"/>
    <w:rsid w:val="008E6B2F"/>
    <w:rsid w:val="008F7317"/>
    <w:rsid w:val="008F7799"/>
    <w:rsid w:val="009007E2"/>
    <w:rsid w:val="00906504"/>
    <w:rsid w:val="00907DD6"/>
    <w:rsid w:val="009122E6"/>
    <w:rsid w:val="00921CC5"/>
    <w:rsid w:val="009221E3"/>
    <w:rsid w:val="0092328B"/>
    <w:rsid w:val="00923340"/>
    <w:rsid w:val="00924CEA"/>
    <w:rsid w:val="00930420"/>
    <w:rsid w:val="00931C24"/>
    <w:rsid w:val="0093633E"/>
    <w:rsid w:val="009368E4"/>
    <w:rsid w:val="00940FB4"/>
    <w:rsid w:val="0094232E"/>
    <w:rsid w:val="00943FDF"/>
    <w:rsid w:val="009469F5"/>
    <w:rsid w:val="00956AE4"/>
    <w:rsid w:val="00960E71"/>
    <w:rsid w:val="00963A03"/>
    <w:rsid w:val="0096406A"/>
    <w:rsid w:val="009655DE"/>
    <w:rsid w:val="00972241"/>
    <w:rsid w:val="00972C6B"/>
    <w:rsid w:val="009750AA"/>
    <w:rsid w:val="009750DE"/>
    <w:rsid w:val="009764F1"/>
    <w:rsid w:val="0097795D"/>
    <w:rsid w:val="00980306"/>
    <w:rsid w:val="00987B0D"/>
    <w:rsid w:val="0099359F"/>
    <w:rsid w:val="00997D36"/>
    <w:rsid w:val="009A7CD7"/>
    <w:rsid w:val="009B1D30"/>
    <w:rsid w:val="009B3672"/>
    <w:rsid w:val="009C0B9D"/>
    <w:rsid w:val="009C12C2"/>
    <w:rsid w:val="009C12DA"/>
    <w:rsid w:val="009C2B6E"/>
    <w:rsid w:val="009C3473"/>
    <w:rsid w:val="009C43DA"/>
    <w:rsid w:val="009D2A8F"/>
    <w:rsid w:val="009D6742"/>
    <w:rsid w:val="009E150B"/>
    <w:rsid w:val="009F2CEC"/>
    <w:rsid w:val="009F7BCD"/>
    <w:rsid w:val="009F7F15"/>
    <w:rsid w:val="00A030B3"/>
    <w:rsid w:val="00A118E6"/>
    <w:rsid w:val="00A120CC"/>
    <w:rsid w:val="00A139A4"/>
    <w:rsid w:val="00A14FC9"/>
    <w:rsid w:val="00A17510"/>
    <w:rsid w:val="00A21B1D"/>
    <w:rsid w:val="00A27799"/>
    <w:rsid w:val="00A322B6"/>
    <w:rsid w:val="00A341FE"/>
    <w:rsid w:val="00A34AC7"/>
    <w:rsid w:val="00A34D07"/>
    <w:rsid w:val="00A36D32"/>
    <w:rsid w:val="00A41452"/>
    <w:rsid w:val="00A43457"/>
    <w:rsid w:val="00A454D1"/>
    <w:rsid w:val="00A65926"/>
    <w:rsid w:val="00A702AE"/>
    <w:rsid w:val="00A718D3"/>
    <w:rsid w:val="00A80987"/>
    <w:rsid w:val="00A81315"/>
    <w:rsid w:val="00A8627A"/>
    <w:rsid w:val="00A91D71"/>
    <w:rsid w:val="00A91FF8"/>
    <w:rsid w:val="00A941EB"/>
    <w:rsid w:val="00A9643C"/>
    <w:rsid w:val="00AA1B87"/>
    <w:rsid w:val="00AA5710"/>
    <w:rsid w:val="00AB082F"/>
    <w:rsid w:val="00AC3461"/>
    <w:rsid w:val="00AC79CC"/>
    <w:rsid w:val="00AE26EF"/>
    <w:rsid w:val="00AE3851"/>
    <w:rsid w:val="00AE6AB1"/>
    <w:rsid w:val="00AE7D10"/>
    <w:rsid w:val="00AF7008"/>
    <w:rsid w:val="00B015B1"/>
    <w:rsid w:val="00B024D4"/>
    <w:rsid w:val="00B06788"/>
    <w:rsid w:val="00B07F1A"/>
    <w:rsid w:val="00B10464"/>
    <w:rsid w:val="00B24030"/>
    <w:rsid w:val="00B26243"/>
    <w:rsid w:val="00B31077"/>
    <w:rsid w:val="00B32888"/>
    <w:rsid w:val="00B34617"/>
    <w:rsid w:val="00B36E20"/>
    <w:rsid w:val="00B37C3B"/>
    <w:rsid w:val="00B37DB3"/>
    <w:rsid w:val="00B37E99"/>
    <w:rsid w:val="00B400E8"/>
    <w:rsid w:val="00B40F51"/>
    <w:rsid w:val="00B42BB1"/>
    <w:rsid w:val="00B43455"/>
    <w:rsid w:val="00B43567"/>
    <w:rsid w:val="00B45006"/>
    <w:rsid w:val="00B74E39"/>
    <w:rsid w:val="00B7518A"/>
    <w:rsid w:val="00B768BF"/>
    <w:rsid w:val="00B76912"/>
    <w:rsid w:val="00B83462"/>
    <w:rsid w:val="00B8656F"/>
    <w:rsid w:val="00B86C6D"/>
    <w:rsid w:val="00B87C5C"/>
    <w:rsid w:val="00B87EBF"/>
    <w:rsid w:val="00B9206B"/>
    <w:rsid w:val="00B92932"/>
    <w:rsid w:val="00BA2A7C"/>
    <w:rsid w:val="00BA7A34"/>
    <w:rsid w:val="00BB3553"/>
    <w:rsid w:val="00BB47EE"/>
    <w:rsid w:val="00BB7F1B"/>
    <w:rsid w:val="00BC0234"/>
    <w:rsid w:val="00BC1B6D"/>
    <w:rsid w:val="00BC25DC"/>
    <w:rsid w:val="00BC35E7"/>
    <w:rsid w:val="00BC432E"/>
    <w:rsid w:val="00BC4E46"/>
    <w:rsid w:val="00BC7BC2"/>
    <w:rsid w:val="00BC7C30"/>
    <w:rsid w:val="00BD207D"/>
    <w:rsid w:val="00BD3DD8"/>
    <w:rsid w:val="00BD44D2"/>
    <w:rsid w:val="00BD5BCF"/>
    <w:rsid w:val="00BE42AD"/>
    <w:rsid w:val="00BE4A73"/>
    <w:rsid w:val="00BE53BF"/>
    <w:rsid w:val="00BF032A"/>
    <w:rsid w:val="00BF1535"/>
    <w:rsid w:val="00BF3A78"/>
    <w:rsid w:val="00BF3D54"/>
    <w:rsid w:val="00BF5BA2"/>
    <w:rsid w:val="00BF67AA"/>
    <w:rsid w:val="00C00E52"/>
    <w:rsid w:val="00C00E63"/>
    <w:rsid w:val="00C01948"/>
    <w:rsid w:val="00C035BF"/>
    <w:rsid w:val="00C045BD"/>
    <w:rsid w:val="00C05A72"/>
    <w:rsid w:val="00C06050"/>
    <w:rsid w:val="00C07203"/>
    <w:rsid w:val="00C07AD1"/>
    <w:rsid w:val="00C119C3"/>
    <w:rsid w:val="00C14B47"/>
    <w:rsid w:val="00C1601B"/>
    <w:rsid w:val="00C24DA1"/>
    <w:rsid w:val="00C256ED"/>
    <w:rsid w:val="00C267E4"/>
    <w:rsid w:val="00C35AD8"/>
    <w:rsid w:val="00C41DFF"/>
    <w:rsid w:val="00C44D14"/>
    <w:rsid w:val="00C54723"/>
    <w:rsid w:val="00C5586E"/>
    <w:rsid w:val="00C62FAB"/>
    <w:rsid w:val="00C6393E"/>
    <w:rsid w:val="00C65500"/>
    <w:rsid w:val="00C65871"/>
    <w:rsid w:val="00C67E2F"/>
    <w:rsid w:val="00C70CBA"/>
    <w:rsid w:val="00C74567"/>
    <w:rsid w:val="00C77511"/>
    <w:rsid w:val="00C8110A"/>
    <w:rsid w:val="00C83FE5"/>
    <w:rsid w:val="00C8646A"/>
    <w:rsid w:val="00C8689B"/>
    <w:rsid w:val="00C97A63"/>
    <w:rsid w:val="00CA4F07"/>
    <w:rsid w:val="00CB02D7"/>
    <w:rsid w:val="00CB0D20"/>
    <w:rsid w:val="00CB249E"/>
    <w:rsid w:val="00CB44A8"/>
    <w:rsid w:val="00CB5DA8"/>
    <w:rsid w:val="00CC0DA6"/>
    <w:rsid w:val="00CC2A71"/>
    <w:rsid w:val="00CC7424"/>
    <w:rsid w:val="00CD001B"/>
    <w:rsid w:val="00CD1BCF"/>
    <w:rsid w:val="00CD42ED"/>
    <w:rsid w:val="00CE365F"/>
    <w:rsid w:val="00CE5EAE"/>
    <w:rsid w:val="00CF5FCD"/>
    <w:rsid w:val="00CF7461"/>
    <w:rsid w:val="00D000D2"/>
    <w:rsid w:val="00D03282"/>
    <w:rsid w:val="00D07865"/>
    <w:rsid w:val="00D15937"/>
    <w:rsid w:val="00D245A1"/>
    <w:rsid w:val="00D25AA1"/>
    <w:rsid w:val="00D27902"/>
    <w:rsid w:val="00D27E95"/>
    <w:rsid w:val="00D31B2C"/>
    <w:rsid w:val="00D31C02"/>
    <w:rsid w:val="00D345BC"/>
    <w:rsid w:val="00D36557"/>
    <w:rsid w:val="00D44A86"/>
    <w:rsid w:val="00D469C4"/>
    <w:rsid w:val="00D46D5D"/>
    <w:rsid w:val="00D5711F"/>
    <w:rsid w:val="00D60BFA"/>
    <w:rsid w:val="00D60C6D"/>
    <w:rsid w:val="00D610E0"/>
    <w:rsid w:val="00D614DD"/>
    <w:rsid w:val="00D633F4"/>
    <w:rsid w:val="00D663F3"/>
    <w:rsid w:val="00D667C0"/>
    <w:rsid w:val="00D74287"/>
    <w:rsid w:val="00D91C5F"/>
    <w:rsid w:val="00D93A50"/>
    <w:rsid w:val="00D95441"/>
    <w:rsid w:val="00D95EAE"/>
    <w:rsid w:val="00DA0174"/>
    <w:rsid w:val="00DA351F"/>
    <w:rsid w:val="00DA4483"/>
    <w:rsid w:val="00DA4E1F"/>
    <w:rsid w:val="00DA5311"/>
    <w:rsid w:val="00DA7B05"/>
    <w:rsid w:val="00DB0D9C"/>
    <w:rsid w:val="00DB4D15"/>
    <w:rsid w:val="00DB6D14"/>
    <w:rsid w:val="00DC137A"/>
    <w:rsid w:val="00DC5A33"/>
    <w:rsid w:val="00DC68B6"/>
    <w:rsid w:val="00DC69C1"/>
    <w:rsid w:val="00DC7660"/>
    <w:rsid w:val="00DD0885"/>
    <w:rsid w:val="00DD1D6A"/>
    <w:rsid w:val="00DD26FB"/>
    <w:rsid w:val="00DD64BA"/>
    <w:rsid w:val="00DD7E8C"/>
    <w:rsid w:val="00DE4605"/>
    <w:rsid w:val="00DF1722"/>
    <w:rsid w:val="00DF5211"/>
    <w:rsid w:val="00E01D92"/>
    <w:rsid w:val="00E04C4A"/>
    <w:rsid w:val="00E100CD"/>
    <w:rsid w:val="00E15DE9"/>
    <w:rsid w:val="00E1609A"/>
    <w:rsid w:val="00E2261B"/>
    <w:rsid w:val="00E2434F"/>
    <w:rsid w:val="00E26006"/>
    <w:rsid w:val="00E27E74"/>
    <w:rsid w:val="00E3346F"/>
    <w:rsid w:val="00E3430A"/>
    <w:rsid w:val="00E370A5"/>
    <w:rsid w:val="00E4697F"/>
    <w:rsid w:val="00E47782"/>
    <w:rsid w:val="00E52AD6"/>
    <w:rsid w:val="00E54C12"/>
    <w:rsid w:val="00E57250"/>
    <w:rsid w:val="00E63084"/>
    <w:rsid w:val="00E67162"/>
    <w:rsid w:val="00E67706"/>
    <w:rsid w:val="00E717B4"/>
    <w:rsid w:val="00E72A0C"/>
    <w:rsid w:val="00E7523F"/>
    <w:rsid w:val="00E76755"/>
    <w:rsid w:val="00E774F2"/>
    <w:rsid w:val="00E826FF"/>
    <w:rsid w:val="00E84742"/>
    <w:rsid w:val="00E84B66"/>
    <w:rsid w:val="00E86AED"/>
    <w:rsid w:val="00E9238E"/>
    <w:rsid w:val="00E94D6C"/>
    <w:rsid w:val="00E94FC7"/>
    <w:rsid w:val="00E96F29"/>
    <w:rsid w:val="00E970E0"/>
    <w:rsid w:val="00E973CF"/>
    <w:rsid w:val="00EA0ABF"/>
    <w:rsid w:val="00EA4B5F"/>
    <w:rsid w:val="00EB09C6"/>
    <w:rsid w:val="00EB0B1F"/>
    <w:rsid w:val="00EB2335"/>
    <w:rsid w:val="00EB7DE2"/>
    <w:rsid w:val="00EC1E3B"/>
    <w:rsid w:val="00EC2498"/>
    <w:rsid w:val="00EC4D53"/>
    <w:rsid w:val="00EC620A"/>
    <w:rsid w:val="00EC7A8A"/>
    <w:rsid w:val="00ED08CD"/>
    <w:rsid w:val="00ED0D7D"/>
    <w:rsid w:val="00ED2C11"/>
    <w:rsid w:val="00ED3D9D"/>
    <w:rsid w:val="00ED4549"/>
    <w:rsid w:val="00ED5A4F"/>
    <w:rsid w:val="00ED6BDA"/>
    <w:rsid w:val="00EE01C4"/>
    <w:rsid w:val="00EE44A3"/>
    <w:rsid w:val="00EE662A"/>
    <w:rsid w:val="00EE70CB"/>
    <w:rsid w:val="00F015DF"/>
    <w:rsid w:val="00F04570"/>
    <w:rsid w:val="00F046BC"/>
    <w:rsid w:val="00F04CC4"/>
    <w:rsid w:val="00F11DC1"/>
    <w:rsid w:val="00F1205F"/>
    <w:rsid w:val="00F20158"/>
    <w:rsid w:val="00F274C5"/>
    <w:rsid w:val="00F27920"/>
    <w:rsid w:val="00F33638"/>
    <w:rsid w:val="00F33A58"/>
    <w:rsid w:val="00F41649"/>
    <w:rsid w:val="00F44EFA"/>
    <w:rsid w:val="00F6050C"/>
    <w:rsid w:val="00F66CC9"/>
    <w:rsid w:val="00F70960"/>
    <w:rsid w:val="00F72362"/>
    <w:rsid w:val="00F74B90"/>
    <w:rsid w:val="00F76164"/>
    <w:rsid w:val="00F807D2"/>
    <w:rsid w:val="00F84999"/>
    <w:rsid w:val="00F91822"/>
    <w:rsid w:val="00F95F66"/>
    <w:rsid w:val="00FA0C47"/>
    <w:rsid w:val="00FA2EE4"/>
    <w:rsid w:val="00FA3FC8"/>
    <w:rsid w:val="00FA5E92"/>
    <w:rsid w:val="00FA7094"/>
    <w:rsid w:val="00FB3BA2"/>
    <w:rsid w:val="00FB3EBD"/>
    <w:rsid w:val="00FC0550"/>
    <w:rsid w:val="00FC0982"/>
    <w:rsid w:val="00FC0AC3"/>
    <w:rsid w:val="00FC1952"/>
    <w:rsid w:val="00FC4DEE"/>
    <w:rsid w:val="00FD044C"/>
    <w:rsid w:val="00FD0B07"/>
    <w:rsid w:val="00FD2706"/>
    <w:rsid w:val="00FD2DA5"/>
    <w:rsid w:val="00FD6924"/>
    <w:rsid w:val="00FE0CF6"/>
    <w:rsid w:val="00FE1E7B"/>
    <w:rsid w:val="00FE66ED"/>
    <w:rsid w:val="00FE7C8E"/>
    <w:rsid w:val="00FF363F"/>
    <w:rsid w:val="00FF6135"/>
    <w:rsid w:val="00FF6981"/>
    <w:rsid w:val="00FF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2F4B6"/>
  <w15:chartTrackingRefBased/>
  <w15:docId w15:val="{820E2AA2-4B23-4529-BCAE-C9882AF1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C5C"/>
    <w:rPr>
      <w:rFonts w:ascii="Arial" w:hAnsi="Arial" w:cs="Courier New"/>
      <w:sz w:val="24"/>
      <w:lang w:eastAsia="en-US"/>
    </w:rPr>
  </w:style>
  <w:style w:type="paragraph" w:styleId="Heading1">
    <w:name w:val="heading 1"/>
    <w:basedOn w:val="BodyText"/>
    <w:next w:val="Normal"/>
    <w:qFormat/>
    <w:rsid w:val="00DC68B6"/>
    <w:pPr>
      <w:keepNext/>
      <w:spacing w:before="360" w:after="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C5C"/>
    <w:pPr>
      <w:jc w:val="center"/>
    </w:pPr>
    <w:rPr>
      <w:rFonts w:cs="Times New Roman"/>
      <w:b/>
      <w:bCs/>
      <w:lang w:val="x-none"/>
    </w:rPr>
  </w:style>
  <w:style w:type="paragraph" w:styleId="Header">
    <w:name w:val="header"/>
    <w:basedOn w:val="Normal"/>
    <w:link w:val="HeaderChar"/>
    <w:rsid w:val="00792C5C"/>
    <w:pPr>
      <w:tabs>
        <w:tab w:val="center" w:pos="4153"/>
        <w:tab w:val="right" w:pos="8306"/>
      </w:tabs>
    </w:pPr>
    <w:rPr>
      <w:rFonts w:cs="Times New Roman"/>
      <w:lang w:val="x-none"/>
    </w:rPr>
  </w:style>
  <w:style w:type="paragraph" w:styleId="Subtitle">
    <w:name w:val="Subtitle"/>
    <w:basedOn w:val="Normal"/>
    <w:qFormat/>
    <w:rsid w:val="00792C5C"/>
    <w:rPr>
      <w:b/>
      <w:bCs/>
    </w:rPr>
  </w:style>
  <w:style w:type="paragraph" w:styleId="FootnoteText">
    <w:name w:val="footnote text"/>
    <w:basedOn w:val="Normal"/>
    <w:semiHidden/>
    <w:rsid w:val="00792C5C"/>
    <w:rPr>
      <w:sz w:val="20"/>
    </w:rPr>
  </w:style>
  <w:style w:type="paragraph" w:styleId="Footer">
    <w:name w:val="footer"/>
    <w:basedOn w:val="Normal"/>
    <w:rsid w:val="00792C5C"/>
    <w:pPr>
      <w:tabs>
        <w:tab w:val="center" w:pos="4153"/>
        <w:tab w:val="right" w:pos="8306"/>
      </w:tabs>
    </w:pPr>
  </w:style>
  <w:style w:type="paragraph" w:styleId="EndnoteText">
    <w:name w:val="endnote text"/>
    <w:basedOn w:val="Normal"/>
    <w:semiHidden/>
    <w:rsid w:val="00792C5C"/>
    <w:rPr>
      <w:sz w:val="20"/>
    </w:rPr>
  </w:style>
  <w:style w:type="character" w:styleId="EndnoteReference">
    <w:name w:val="endnote reference"/>
    <w:semiHidden/>
    <w:rsid w:val="00792C5C"/>
    <w:rPr>
      <w:vertAlign w:val="superscript"/>
    </w:rPr>
  </w:style>
  <w:style w:type="paragraph" w:styleId="BodyText2">
    <w:name w:val="Body Text 2"/>
    <w:basedOn w:val="BodyText"/>
    <w:link w:val="BodyText2Char"/>
    <w:rsid w:val="00DC68B6"/>
    <w:pPr>
      <w:spacing w:before="120" w:after="120"/>
    </w:pPr>
  </w:style>
  <w:style w:type="character" w:styleId="FootnoteReference">
    <w:name w:val="footnote reference"/>
    <w:semiHidden/>
    <w:rsid w:val="00792C5C"/>
    <w:rPr>
      <w:vertAlign w:val="superscript"/>
    </w:rPr>
  </w:style>
  <w:style w:type="character" w:styleId="Hyperlink">
    <w:name w:val="Hyperlink"/>
    <w:uiPriority w:val="99"/>
    <w:rsid w:val="00792C5C"/>
    <w:rPr>
      <w:color w:val="0000FF"/>
      <w:u w:val="single"/>
    </w:rPr>
  </w:style>
  <w:style w:type="paragraph" w:styleId="BodyText">
    <w:name w:val="Body Text"/>
    <w:basedOn w:val="Normal"/>
    <w:link w:val="BodyTextChar"/>
    <w:rsid w:val="00DC68B6"/>
    <w:pPr>
      <w:spacing w:after="240"/>
    </w:pPr>
    <w:rPr>
      <w:rFonts w:cs="Times New Roman"/>
      <w:lang w:val="x-none"/>
    </w:rPr>
  </w:style>
  <w:style w:type="paragraph" w:styleId="BalloonText">
    <w:name w:val="Balloon Text"/>
    <w:basedOn w:val="Normal"/>
    <w:semiHidden/>
    <w:rsid w:val="00792C5C"/>
    <w:rPr>
      <w:rFonts w:ascii="Tahoma" w:hAnsi="Tahoma" w:cs="Tahoma"/>
      <w:sz w:val="16"/>
      <w:szCs w:val="16"/>
    </w:rPr>
  </w:style>
  <w:style w:type="character" w:styleId="CommentReference">
    <w:name w:val="annotation reference"/>
    <w:rsid w:val="00792C5C"/>
    <w:rPr>
      <w:sz w:val="16"/>
      <w:szCs w:val="16"/>
    </w:rPr>
  </w:style>
  <w:style w:type="paragraph" w:styleId="CommentText">
    <w:name w:val="annotation text"/>
    <w:basedOn w:val="Normal"/>
    <w:link w:val="CommentTextChar"/>
    <w:uiPriority w:val="99"/>
    <w:semiHidden/>
    <w:rsid w:val="00792C5C"/>
    <w:rPr>
      <w:rFonts w:cs="Times New Roman"/>
      <w:sz w:val="20"/>
      <w:lang w:val="x-none"/>
    </w:rPr>
  </w:style>
  <w:style w:type="paragraph" w:styleId="CommentSubject">
    <w:name w:val="annotation subject"/>
    <w:basedOn w:val="CommentText"/>
    <w:next w:val="CommentText"/>
    <w:semiHidden/>
    <w:rsid w:val="00792C5C"/>
    <w:rPr>
      <w:b/>
      <w:bCs/>
    </w:rPr>
  </w:style>
  <w:style w:type="character" w:styleId="PageNumber">
    <w:name w:val="page number"/>
    <w:basedOn w:val="DefaultParagraphFont"/>
    <w:rsid w:val="004C25A1"/>
  </w:style>
  <w:style w:type="character" w:styleId="PlaceholderText">
    <w:name w:val="Placeholder Text"/>
    <w:uiPriority w:val="99"/>
    <w:semiHidden/>
    <w:rsid w:val="00F33A58"/>
    <w:rPr>
      <w:color w:val="808080"/>
    </w:rPr>
  </w:style>
  <w:style w:type="character" w:customStyle="1" w:styleId="BodyTextChar">
    <w:name w:val="Body Text Char"/>
    <w:link w:val="BodyText"/>
    <w:rsid w:val="006C22AE"/>
    <w:rPr>
      <w:rFonts w:ascii="Arial" w:hAnsi="Arial" w:cs="Arial"/>
      <w:sz w:val="24"/>
      <w:lang w:eastAsia="en-US"/>
    </w:rPr>
  </w:style>
  <w:style w:type="paragraph" w:styleId="ListParagraph">
    <w:name w:val="List Paragraph"/>
    <w:basedOn w:val="Normal"/>
    <w:uiPriority w:val="34"/>
    <w:qFormat/>
    <w:rsid w:val="00CD1BCF"/>
    <w:pPr>
      <w:ind w:left="720"/>
      <w:contextualSpacing/>
    </w:pPr>
  </w:style>
  <w:style w:type="table" w:styleId="TableGrid">
    <w:name w:val="Table Grid"/>
    <w:basedOn w:val="TableNormal"/>
    <w:rsid w:val="00CD1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semiHidden/>
    <w:rsid w:val="006169DF"/>
    <w:rPr>
      <w:rFonts w:ascii="Arial" w:hAnsi="Arial" w:cs="Courier New"/>
      <w:lang w:eastAsia="en-US"/>
    </w:rPr>
  </w:style>
  <w:style w:type="paragraph" w:styleId="DocumentMap">
    <w:name w:val="Document Map"/>
    <w:basedOn w:val="Normal"/>
    <w:link w:val="DocumentMapChar"/>
    <w:rsid w:val="000F549C"/>
    <w:rPr>
      <w:rFonts w:ascii="Tahoma" w:hAnsi="Tahoma" w:cs="Times New Roman"/>
      <w:sz w:val="16"/>
      <w:szCs w:val="16"/>
      <w:lang w:val="x-none"/>
    </w:rPr>
  </w:style>
  <w:style w:type="character" w:customStyle="1" w:styleId="DocumentMapChar">
    <w:name w:val="Document Map Char"/>
    <w:link w:val="DocumentMap"/>
    <w:rsid w:val="000F549C"/>
    <w:rPr>
      <w:rFonts w:ascii="Tahoma" w:hAnsi="Tahoma" w:cs="Tahoma"/>
      <w:sz w:val="16"/>
      <w:szCs w:val="16"/>
      <w:lang w:eastAsia="en-US"/>
    </w:rPr>
  </w:style>
  <w:style w:type="paragraph" w:customStyle="1" w:styleId="Paragraph">
    <w:name w:val="Paragraph"/>
    <w:basedOn w:val="Normal"/>
    <w:uiPriority w:val="4"/>
    <w:qFormat/>
    <w:rsid w:val="000F549C"/>
    <w:pPr>
      <w:numPr>
        <w:numId w:val="15"/>
      </w:numPr>
      <w:spacing w:before="240" w:after="240" w:line="276" w:lineRule="auto"/>
      <w:ind w:left="709" w:hanging="709"/>
    </w:pPr>
    <w:rPr>
      <w:rFonts w:cs="Times New Roman"/>
      <w:szCs w:val="24"/>
      <w:lang w:eastAsia="en-GB"/>
    </w:rPr>
  </w:style>
  <w:style w:type="paragraph" w:customStyle="1" w:styleId="NICEnormal">
    <w:name w:val="NICE normal"/>
    <w:rsid w:val="007F3F09"/>
    <w:pPr>
      <w:spacing w:after="240" w:line="360" w:lineRule="auto"/>
    </w:pPr>
    <w:rPr>
      <w:rFonts w:ascii="Arial" w:hAnsi="Arial"/>
      <w:sz w:val="24"/>
      <w:szCs w:val="24"/>
      <w:lang w:val="en-US" w:eastAsia="en-US"/>
    </w:rPr>
  </w:style>
  <w:style w:type="character" w:customStyle="1" w:styleId="TitleChar">
    <w:name w:val="Title Char"/>
    <w:link w:val="Title"/>
    <w:rsid w:val="00230DA7"/>
    <w:rPr>
      <w:rFonts w:ascii="Arial" w:hAnsi="Arial" w:cs="Courier New"/>
      <w:b/>
      <w:bCs/>
      <w:sz w:val="24"/>
      <w:lang w:eastAsia="en-US"/>
    </w:rPr>
  </w:style>
  <w:style w:type="character" w:customStyle="1" w:styleId="HeaderChar">
    <w:name w:val="Header Char"/>
    <w:link w:val="Header"/>
    <w:rsid w:val="00230DA7"/>
    <w:rPr>
      <w:rFonts w:ascii="Arial" w:hAnsi="Arial" w:cs="Courier New"/>
      <w:sz w:val="24"/>
      <w:lang w:eastAsia="en-US"/>
    </w:rPr>
  </w:style>
  <w:style w:type="character" w:customStyle="1" w:styleId="BodyText2Char">
    <w:name w:val="Body Text 2 Char"/>
    <w:link w:val="BodyText2"/>
    <w:rsid w:val="00230DA7"/>
    <w:rPr>
      <w:rFonts w:ascii="Arial" w:hAnsi="Arial"/>
      <w:sz w:val="24"/>
      <w:lang w:eastAsia="en-US"/>
    </w:rPr>
  </w:style>
  <w:style w:type="character" w:styleId="FollowedHyperlink">
    <w:name w:val="FollowedHyperlink"/>
    <w:rsid w:val="00170AFE"/>
    <w:rPr>
      <w:color w:val="800080"/>
      <w:u w:val="single"/>
    </w:rPr>
  </w:style>
  <w:style w:type="paragraph" w:customStyle="1" w:styleId="Default">
    <w:name w:val="Default"/>
    <w:basedOn w:val="Normal"/>
    <w:rsid w:val="006D0EA5"/>
    <w:pPr>
      <w:autoSpaceDE w:val="0"/>
      <w:autoSpaceDN w:val="0"/>
    </w:pPr>
    <w:rPr>
      <w:rFonts w:eastAsia="Calibri" w:cs="Arial"/>
      <w:color w:val="000000"/>
      <w:szCs w:val="24"/>
      <w:lang w:eastAsia="en-GB"/>
    </w:rPr>
  </w:style>
  <w:style w:type="paragraph" w:styleId="Revision">
    <w:name w:val="Revision"/>
    <w:hidden/>
    <w:uiPriority w:val="99"/>
    <w:semiHidden/>
    <w:rsid w:val="00CC7424"/>
    <w:rPr>
      <w:rFonts w:ascii="Arial" w:hAnsi="Arial" w:cs="Courier New"/>
      <w:sz w:val="24"/>
      <w:lang w:eastAsia="en-US"/>
    </w:rPr>
  </w:style>
  <w:style w:type="paragraph" w:customStyle="1" w:styleId="Bulletindent1">
    <w:name w:val="Bullet indent 1"/>
    <w:basedOn w:val="NICEnormal"/>
    <w:link w:val="Bulletindent1Char"/>
    <w:rsid w:val="00C00E63"/>
    <w:pPr>
      <w:numPr>
        <w:numId w:val="24"/>
      </w:numPr>
      <w:spacing w:after="0"/>
    </w:pPr>
  </w:style>
  <w:style w:type="character" w:customStyle="1" w:styleId="Bulletindent1Char">
    <w:name w:val="Bullet indent 1 Char"/>
    <w:link w:val="Bulletindent1"/>
    <w:rsid w:val="00C00E63"/>
    <w:rPr>
      <w:rFonts w:ascii="Arial" w:hAnsi="Arial"/>
      <w:sz w:val="24"/>
      <w:szCs w:val="24"/>
      <w:lang w:val="en-US" w:eastAsia="en-US"/>
    </w:rPr>
  </w:style>
  <w:style w:type="character" w:styleId="UnresolvedMention">
    <w:name w:val="Unresolved Mention"/>
    <w:uiPriority w:val="99"/>
    <w:semiHidden/>
    <w:unhideWhenUsed/>
    <w:rsid w:val="007375E5"/>
    <w:rPr>
      <w:color w:val="605E5C"/>
      <w:shd w:val="clear" w:color="auto" w:fill="E1DFDD"/>
    </w:rPr>
  </w:style>
  <w:style w:type="paragraph" w:customStyle="1" w:styleId="pf0">
    <w:name w:val="pf0"/>
    <w:basedOn w:val="Normal"/>
    <w:rsid w:val="00006ED9"/>
    <w:pPr>
      <w:spacing w:before="100" w:beforeAutospacing="1" w:after="100" w:afterAutospacing="1"/>
    </w:pPr>
    <w:rPr>
      <w:rFonts w:ascii="Times New Roman" w:hAnsi="Times New Roman" w:cs="Times New Roman"/>
      <w:szCs w:val="24"/>
      <w:lang w:eastAsia="en-GB"/>
    </w:rPr>
  </w:style>
  <w:style w:type="character" w:customStyle="1" w:styleId="cf01">
    <w:name w:val="cf01"/>
    <w:basedOn w:val="DefaultParagraphFont"/>
    <w:rsid w:val="00006ED9"/>
    <w:rPr>
      <w:rFonts w:ascii="Segoe UI" w:hAnsi="Segoe UI" w:cs="Segoe UI" w:hint="default"/>
      <w:color w:val="0E0E0E"/>
      <w:sz w:val="18"/>
      <w:szCs w:val="18"/>
      <w:shd w:val="clear" w:color="auto" w:fill="FFFFFF"/>
    </w:rPr>
  </w:style>
  <w:style w:type="character" w:customStyle="1" w:styleId="cf11">
    <w:name w:val="cf11"/>
    <w:basedOn w:val="DefaultParagraphFont"/>
    <w:rsid w:val="00006E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7004">
      <w:bodyDiv w:val="1"/>
      <w:marLeft w:val="0"/>
      <w:marRight w:val="0"/>
      <w:marTop w:val="0"/>
      <w:marBottom w:val="0"/>
      <w:divBdr>
        <w:top w:val="none" w:sz="0" w:space="0" w:color="auto"/>
        <w:left w:val="none" w:sz="0" w:space="0" w:color="auto"/>
        <w:bottom w:val="none" w:sz="0" w:space="0" w:color="auto"/>
        <w:right w:val="none" w:sz="0" w:space="0" w:color="auto"/>
      </w:divBdr>
    </w:div>
    <w:div w:id="151257337">
      <w:bodyDiv w:val="1"/>
      <w:marLeft w:val="0"/>
      <w:marRight w:val="0"/>
      <w:marTop w:val="0"/>
      <w:marBottom w:val="0"/>
      <w:divBdr>
        <w:top w:val="none" w:sz="0" w:space="0" w:color="auto"/>
        <w:left w:val="none" w:sz="0" w:space="0" w:color="auto"/>
        <w:bottom w:val="none" w:sz="0" w:space="0" w:color="auto"/>
        <w:right w:val="none" w:sz="0" w:space="0" w:color="auto"/>
      </w:divBdr>
    </w:div>
    <w:div w:id="153573366">
      <w:bodyDiv w:val="1"/>
      <w:marLeft w:val="0"/>
      <w:marRight w:val="0"/>
      <w:marTop w:val="0"/>
      <w:marBottom w:val="0"/>
      <w:divBdr>
        <w:top w:val="none" w:sz="0" w:space="0" w:color="auto"/>
        <w:left w:val="none" w:sz="0" w:space="0" w:color="auto"/>
        <w:bottom w:val="none" w:sz="0" w:space="0" w:color="auto"/>
        <w:right w:val="none" w:sz="0" w:space="0" w:color="auto"/>
      </w:divBdr>
    </w:div>
    <w:div w:id="184440044">
      <w:bodyDiv w:val="1"/>
      <w:marLeft w:val="0"/>
      <w:marRight w:val="0"/>
      <w:marTop w:val="0"/>
      <w:marBottom w:val="0"/>
      <w:divBdr>
        <w:top w:val="none" w:sz="0" w:space="0" w:color="auto"/>
        <w:left w:val="none" w:sz="0" w:space="0" w:color="auto"/>
        <w:bottom w:val="none" w:sz="0" w:space="0" w:color="auto"/>
        <w:right w:val="none" w:sz="0" w:space="0" w:color="auto"/>
      </w:divBdr>
    </w:div>
    <w:div w:id="215437193">
      <w:bodyDiv w:val="1"/>
      <w:marLeft w:val="0"/>
      <w:marRight w:val="0"/>
      <w:marTop w:val="0"/>
      <w:marBottom w:val="0"/>
      <w:divBdr>
        <w:top w:val="none" w:sz="0" w:space="0" w:color="auto"/>
        <w:left w:val="none" w:sz="0" w:space="0" w:color="auto"/>
        <w:bottom w:val="none" w:sz="0" w:space="0" w:color="auto"/>
        <w:right w:val="none" w:sz="0" w:space="0" w:color="auto"/>
      </w:divBdr>
    </w:div>
    <w:div w:id="227620738">
      <w:bodyDiv w:val="1"/>
      <w:marLeft w:val="0"/>
      <w:marRight w:val="0"/>
      <w:marTop w:val="0"/>
      <w:marBottom w:val="0"/>
      <w:divBdr>
        <w:top w:val="none" w:sz="0" w:space="0" w:color="auto"/>
        <w:left w:val="none" w:sz="0" w:space="0" w:color="auto"/>
        <w:bottom w:val="none" w:sz="0" w:space="0" w:color="auto"/>
        <w:right w:val="none" w:sz="0" w:space="0" w:color="auto"/>
      </w:divBdr>
    </w:div>
    <w:div w:id="230311018">
      <w:bodyDiv w:val="1"/>
      <w:marLeft w:val="0"/>
      <w:marRight w:val="0"/>
      <w:marTop w:val="0"/>
      <w:marBottom w:val="0"/>
      <w:divBdr>
        <w:top w:val="none" w:sz="0" w:space="0" w:color="auto"/>
        <w:left w:val="none" w:sz="0" w:space="0" w:color="auto"/>
        <w:bottom w:val="none" w:sz="0" w:space="0" w:color="auto"/>
        <w:right w:val="none" w:sz="0" w:space="0" w:color="auto"/>
      </w:divBdr>
    </w:div>
    <w:div w:id="282886084">
      <w:bodyDiv w:val="1"/>
      <w:marLeft w:val="0"/>
      <w:marRight w:val="0"/>
      <w:marTop w:val="0"/>
      <w:marBottom w:val="0"/>
      <w:divBdr>
        <w:top w:val="none" w:sz="0" w:space="0" w:color="auto"/>
        <w:left w:val="none" w:sz="0" w:space="0" w:color="auto"/>
        <w:bottom w:val="none" w:sz="0" w:space="0" w:color="auto"/>
        <w:right w:val="none" w:sz="0" w:space="0" w:color="auto"/>
      </w:divBdr>
    </w:div>
    <w:div w:id="366226340">
      <w:bodyDiv w:val="1"/>
      <w:marLeft w:val="0"/>
      <w:marRight w:val="0"/>
      <w:marTop w:val="0"/>
      <w:marBottom w:val="0"/>
      <w:divBdr>
        <w:top w:val="none" w:sz="0" w:space="0" w:color="auto"/>
        <w:left w:val="none" w:sz="0" w:space="0" w:color="auto"/>
        <w:bottom w:val="none" w:sz="0" w:space="0" w:color="auto"/>
        <w:right w:val="none" w:sz="0" w:space="0" w:color="auto"/>
      </w:divBdr>
    </w:div>
    <w:div w:id="380598941">
      <w:bodyDiv w:val="1"/>
      <w:marLeft w:val="0"/>
      <w:marRight w:val="0"/>
      <w:marTop w:val="0"/>
      <w:marBottom w:val="0"/>
      <w:divBdr>
        <w:top w:val="none" w:sz="0" w:space="0" w:color="auto"/>
        <w:left w:val="none" w:sz="0" w:space="0" w:color="auto"/>
        <w:bottom w:val="none" w:sz="0" w:space="0" w:color="auto"/>
        <w:right w:val="none" w:sz="0" w:space="0" w:color="auto"/>
      </w:divBdr>
    </w:div>
    <w:div w:id="408159030">
      <w:bodyDiv w:val="1"/>
      <w:marLeft w:val="0"/>
      <w:marRight w:val="0"/>
      <w:marTop w:val="0"/>
      <w:marBottom w:val="0"/>
      <w:divBdr>
        <w:top w:val="none" w:sz="0" w:space="0" w:color="auto"/>
        <w:left w:val="none" w:sz="0" w:space="0" w:color="auto"/>
        <w:bottom w:val="none" w:sz="0" w:space="0" w:color="auto"/>
        <w:right w:val="none" w:sz="0" w:space="0" w:color="auto"/>
      </w:divBdr>
    </w:div>
    <w:div w:id="442922443">
      <w:bodyDiv w:val="1"/>
      <w:marLeft w:val="0"/>
      <w:marRight w:val="0"/>
      <w:marTop w:val="0"/>
      <w:marBottom w:val="0"/>
      <w:divBdr>
        <w:top w:val="none" w:sz="0" w:space="0" w:color="auto"/>
        <w:left w:val="none" w:sz="0" w:space="0" w:color="auto"/>
        <w:bottom w:val="none" w:sz="0" w:space="0" w:color="auto"/>
        <w:right w:val="none" w:sz="0" w:space="0" w:color="auto"/>
      </w:divBdr>
    </w:div>
    <w:div w:id="454786717">
      <w:bodyDiv w:val="1"/>
      <w:marLeft w:val="0"/>
      <w:marRight w:val="0"/>
      <w:marTop w:val="0"/>
      <w:marBottom w:val="0"/>
      <w:divBdr>
        <w:top w:val="none" w:sz="0" w:space="0" w:color="auto"/>
        <w:left w:val="none" w:sz="0" w:space="0" w:color="auto"/>
        <w:bottom w:val="none" w:sz="0" w:space="0" w:color="auto"/>
        <w:right w:val="none" w:sz="0" w:space="0" w:color="auto"/>
      </w:divBdr>
    </w:div>
    <w:div w:id="491414565">
      <w:bodyDiv w:val="1"/>
      <w:marLeft w:val="0"/>
      <w:marRight w:val="0"/>
      <w:marTop w:val="0"/>
      <w:marBottom w:val="0"/>
      <w:divBdr>
        <w:top w:val="none" w:sz="0" w:space="0" w:color="auto"/>
        <w:left w:val="none" w:sz="0" w:space="0" w:color="auto"/>
        <w:bottom w:val="none" w:sz="0" w:space="0" w:color="auto"/>
        <w:right w:val="none" w:sz="0" w:space="0" w:color="auto"/>
      </w:divBdr>
    </w:div>
    <w:div w:id="509297236">
      <w:bodyDiv w:val="1"/>
      <w:marLeft w:val="0"/>
      <w:marRight w:val="0"/>
      <w:marTop w:val="0"/>
      <w:marBottom w:val="0"/>
      <w:divBdr>
        <w:top w:val="none" w:sz="0" w:space="0" w:color="auto"/>
        <w:left w:val="none" w:sz="0" w:space="0" w:color="auto"/>
        <w:bottom w:val="none" w:sz="0" w:space="0" w:color="auto"/>
        <w:right w:val="none" w:sz="0" w:space="0" w:color="auto"/>
      </w:divBdr>
    </w:div>
    <w:div w:id="551576253">
      <w:bodyDiv w:val="1"/>
      <w:marLeft w:val="0"/>
      <w:marRight w:val="0"/>
      <w:marTop w:val="0"/>
      <w:marBottom w:val="0"/>
      <w:divBdr>
        <w:top w:val="none" w:sz="0" w:space="0" w:color="auto"/>
        <w:left w:val="none" w:sz="0" w:space="0" w:color="auto"/>
        <w:bottom w:val="none" w:sz="0" w:space="0" w:color="auto"/>
        <w:right w:val="none" w:sz="0" w:space="0" w:color="auto"/>
      </w:divBdr>
    </w:div>
    <w:div w:id="593050458">
      <w:bodyDiv w:val="1"/>
      <w:marLeft w:val="0"/>
      <w:marRight w:val="0"/>
      <w:marTop w:val="0"/>
      <w:marBottom w:val="0"/>
      <w:divBdr>
        <w:top w:val="none" w:sz="0" w:space="0" w:color="auto"/>
        <w:left w:val="none" w:sz="0" w:space="0" w:color="auto"/>
        <w:bottom w:val="none" w:sz="0" w:space="0" w:color="auto"/>
        <w:right w:val="none" w:sz="0" w:space="0" w:color="auto"/>
      </w:divBdr>
    </w:div>
    <w:div w:id="604115629">
      <w:bodyDiv w:val="1"/>
      <w:marLeft w:val="0"/>
      <w:marRight w:val="0"/>
      <w:marTop w:val="0"/>
      <w:marBottom w:val="0"/>
      <w:divBdr>
        <w:top w:val="none" w:sz="0" w:space="0" w:color="auto"/>
        <w:left w:val="none" w:sz="0" w:space="0" w:color="auto"/>
        <w:bottom w:val="none" w:sz="0" w:space="0" w:color="auto"/>
        <w:right w:val="none" w:sz="0" w:space="0" w:color="auto"/>
      </w:divBdr>
    </w:div>
    <w:div w:id="607196215">
      <w:bodyDiv w:val="1"/>
      <w:marLeft w:val="0"/>
      <w:marRight w:val="0"/>
      <w:marTop w:val="0"/>
      <w:marBottom w:val="0"/>
      <w:divBdr>
        <w:top w:val="none" w:sz="0" w:space="0" w:color="auto"/>
        <w:left w:val="none" w:sz="0" w:space="0" w:color="auto"/>
        <w:bottom w:val="none" w:sz="0" w:space="0" w:color="auto"/>
        <w:right w:val="none" w:sz="0" w:space="0" w:color="auto"/>
      </w:divBdr>
    </w:div>
    <w:div w:id="680544352">
      <w:bodyDiv w:val="1"/>
      <w:marLeft w:val="0"/>
      <w:marRight w:val="0"/>
      <w:marTop w:val="0"/>
      <w:marBottom w:val="0"/>
      <w:divBdr>
        <w:top w:val="none" w:sz="0" w:space="0" w:color="auto"/>
        <w:left w:val="none" w:sz="0" w:space="0" w:color="auto"/>
        <w:bottom w:val="none" w:sz="0" w:space="0" w:color="auto"/>
        <w:right w:val="none" w:sz="0" w:space="0" w:color="auto"/>
      </w:divBdr>
    </w:div>
    <w:div w:id="753093834">
      <w:bodyDiv w:val="1"/>
      <w:marLeft w:val="0"/>
      <w:marRight w:val="0"/>
      <w:marTop w:val="0"/>
      <w:marBottom w:val="0"/>
      <w:divBdr>
        <w:top w:val="none" w:sz="0" w:space="0" w:color="auto"/>
        <w:left w:val="none" w:sz="0" w:space="0" w:color="auto"/>
        <w:bottom w:val="none" w:sz="0" w:space="0" w:color="auto"/>
        <w:right w:val="none" w:sz="0" w:space="0" w:color="auto"/>
      </w:divBdr>
    </w:div>
    <w:div w:id="772866926">
      <w:bodyDiv w:val="1"/>
      <w:marLeft w:val="0"/>
      <w:marRight w:val="0"/>
      <w:marTop w:val="0"/>
      <w:marBottom w:val="0"/>
      <w:divBdr>
        <w:top w:val="none" w:sz="0" w:space="0" w:color="auto"/>
        <w:left w:val="none" w:sz="0" w:space="0" w:color="auto"/>
        <w:bottom w:val="none" w:sz="0" w:space="0" w:color="auto"/>
        <w:right w:val="none" w:sz="0" w:space="0" w:color="auto"/>
      </w:divBdr>
    </w:div>
    <w:div w:id="798839018">
      <w:bodyDiv w:val="1"/>
      <w:marLeft w:val="0"/>
      <w:marRight w:val="0"/>
      <w:marTop w:val="0"/>
      <w:marBottom w:val="0"/>
      <w:divBdr>
        <w:top w:val="none" w:sz="0" w:space="0" w:color="auto"/>
        <w:left w:val="none" w:sz="0" w:space="0" w:color="auto"/>
        <w:bottom w:val="none" w:sz="0" w:space="0" w:color="auto"/>
        <w:right w:val="none" w:sz="0" w:space="0" w:color="auto"/>
      </w:divBdr>
    </w:div>
    <w:div w:id="877355082">
      <w:bodyDiv w:val="1"/>
      <w:marLeft w:val="0"/>
      <w:marRight w:val="0"/>
      <w:marTop w:val="0"/>
      <w:marBottom w:val="0"/>
      <w:divBdr>
        <w:top w:val="none" w:sz="0" w:space="0" w:color="auto"/>
        <w:left w:val="none" w:sz="0" w:space="0" w:color="auto"/>
        <w:bottom w:val="none" w:sz="0" w:space="0" w:color="auto"/>
        <w:right w:val="none" w:sz="0" w:space="0" w:color="auto"/>
      </w:divBdr>
    </w:div>
    <w:div w:id="879514137">
      <w:bodyDiv w:val="1"/>
      <w:marLeft w:val="0"/>
      <w:marRight w:val="0"/>
      <w:marTop w:val="0"/>
      <w:marBottom w:val="0"/>
      <w:divBdr>
        <w:top w:val="none" w:sz="0" w:space="0" w:color="auto"/>
        <w:left w:val="none" w:sz="0" w:space="0" w:color="auto"/>
        <w:bottom w:val="none" w:sz="0" w:space="0" w:color="auto"/>
        <w:right w:val="none" w:sz="0" w:space="0" w:color="auto"/>
      </w:divBdr>
    </w:div>
    <w:div w:id="937325562">
      <w:bodyDiv w:val="1"/>
      <w:marLeft w:val="0"/>
      <w:marRight w:val="0"/>
      <w:marTop w:val="0"/>
      <w:marBottom w:val="0"/>
      <w:divBdr>
        <w:top w:val="none" w:sz="0" w:space="0" w:color="auto"/>
        <w:left w:val="none" w:sz="0" w:space="0" w:color="auto"/>
        <w:bottom w:val="none" w:sz="0" w:space="0" w:color="auto"/>
        <w:right w:val="none" w:sz="0" w:space="0" w:color="auto"/>
      </w:divBdr>
    </w:div>
    <w:div w:id="990599752">
      <w:bodyDiv w:val="1"/>
      <w:marLeft w:val="0"/>
      <w:marRight w:val="0"/>
      <w:marTop w:val="0"/>
      <w:marBottom w:val="0"/>
      <w:divBdr>
        <w:top w:val="none" w:sz="0" w:space="0" w:color="auto"/>
        <w:left w:val="none" w:sz="0" w:space="0" w:color="auto"/>
        <w:bottom w:val="none" w:sz="0" w:space="0" w:color="auto"/>
        <w:right w:val="none" w:sz="0" w:space="0" w:color="auto"/>
      </w:divBdr>
    </w:div>
    <w:div w:id="1007320544">
      <w:bodyDiv w:val="1"/>
      <w:marLeft w:val="0"/>
      <w:marRight w:val="0"/>
      <w:marTop w:val="0"/>
      <w:marBottom w:val="0"/>
      <w:divBdr>
        <w:top w:val="none" w:sz="0" w:space="0" w:color="auto"/>
        <w:left w:val="none" w:sz="0" w:space="0" w:color="auto"/>
        <w:bottom w:val="none" w:sz="0" w:space="0" w:color="auto"/>
        <w:right w:val="none" w:sz="0" w:space="0" w:color="auto"/>
      </w:divBdr>
    </w:div>
    <w:div w:id="1015767959">
      <w:bodyDiv w:val="1"/>
      <w:marLeft w:val="0"/>
      <w:marRight w:val="0"/>
      <w:marTop w:val="0"/>
      <w:marBottom w:val="0"/>
      <w:divBdr>
        <w:top w:val="none" w:sz="0" w:space="0" w:color="auto"/>
        <w:left w:val="none" w:sz="0" w:space="0" w:color="auto"/>
        <w:bottom w:val="none" w:sz="0" w:space="0" w:color="auto"/>
        <w:right w:val="none" w:sz="0" w:space="0" w:color="auto"/>
      </w:divBdr>
    </w:div>
    <w:div w:id="1059129956">
      <w:bodyDiv w:val="1"/>
      <w:marLeft w:val="0"/>
      <w:marRight w:val="0"/>
      <w:marTop w:val="0"/>
      <w:marBottom w:val="0"/>
      <w:divBdr>
        <w:top w:val="none" w:sz="0" w:space="0" w:color="auto"/>
        <w:left w:val="none" w:sz="0" w:space="0" w:color="auto"/>
        <w:bottom w:val="none" w:sz="0" w:space="0" w:color="auto"/>
        <w:right w:val="none" w:sz="0" w:space="0" w:color="auto"/>
      </w:divBdr>
    </w:div>
    <w:div w:id="1144740001">
      <w:bodyDiv w:val="1"/>
      <w:marLeft w:val="0"/>
      <w:marRight w:val="0"/>
      <w:marTop w:val="0"/>
      <w:marBottom w:val="0"/>
      <w:divBdr>
        <w:top w:val="none" w:sz="0" w:space="0" w:color="auto"/>
        <w:left w:val="none" w:sz="0" w:space="0" w:color="auto"/>
        <w:bottom w:val="none" w:sz="0" w:space="0" w:color="auto"/>
        <w:right w:val="none" w:sz="0" w:space="0" w:color="auto"/>
      </w:divBdr>
    </w:div>
    <w:div w:id="1187013796">
      <w:bodyDiv w:val="1"/>
      <w:marLeft w:val="0"/>
      <w:marRight w:val="0"/>
      <w:marTop w:val="0"/>
      <w:marBottom w:val="0"/>
      <w:divBdr>
        <w:top w:val="none" w:sz="0" w:space="0" w:color="auto"/>
        <w:left w:val="none" w:sz="0" w:space="0" w:color="auto"/>
        <w:bottom w:val="none" w:sz="0" w:space="0" w:color="auto"/>
        <w:right w:val="none" w:sz="0" w:space="0" w:color="auto"/>
      </w:divBdr>
    </w:div>
    <w:div w:id="1214734801">
      <w:bodyDiv w:val="1"/>
      <w:marLeft w:val="0"/>
      <w:marRight w:val="0"/>
      <w:marTop w:val="0"/>
      <w:marBottom w:val="0"/>
      <w:divBdr>
        <w:top w:val="none" w:sz="0" w:space="0" w:color="auto"/>
        <w:left w:val="none" w:sz="0" w:space="0" w:color="auto"/>
        <w:bottom w:val="none" w:sz="0" w:space="0" w:color="auto"/>
        <w:right w:val="none" w:sz="0" w:space="0" w:color="auto"/>
      </w:divBdr>
    </w:div>
    <w:div w:id="1247035124">
      <w:bodyDiv w:val="1"/>
      <w:marLeft w:val="0"/>
      <w:marRight w:val="0"/>
      <w:marTop w:val="0"/>
      <w:marBottom w:val="0"/>
      <w:divBdr>
        <w:top w:val="none" w:sz="0" w:space="0" w:color="auto"/>
        <w:left w:val="none" w:sz="0" w:space="0" w:color="auto"/>
        <w:bottom w:val="none" w:sz="0" w:space="0" w:color="auto"/>
        <w:right w:val="none" w:sz="0" w:space="0" w:color="auto"/>
      </w:divBdr>
    </w:div>
    <w:div w:id="1265452917">
      <w:bodyDiv w:val="1"/>
      <w:marLeft w:val="0"/>
      <w:marRight w:val="0"/>
      <w:marTop w:val="0"/>
      <w:marBottom w:val="0"/>
      <w:divBdr>
        <w:top w:val="none" w:sz="0" w:space="0" w:color="auto"/>
        <w:left w:val="none" w:sz="0" w:space="0" w:color="auto"/>
        <w:bottom w:val="none" w:sz="0" w:space="0" w:color="auto"/>
        <w:right w:val="none" w:sz="0" w:space="0" w:color="auto"/>
      </w:divBdr>
    </w:div>
    <w:div w:id="1312054168">
      <w:bodyDiv w:val="1"/>
      <w:marLeft w:val="0"/>
      <w:marRight w:val="0"/>
      <w:marTop w:val="0"/>
      <w:marBottom w:val="0"/>
      <w:divBdr>
        <w:top w:val="none" w:sz="0" w:space="0" w:color="auto"/>
        <w:left w:val="none" w:sz="0" w:space="0" w:color="auto"/>
        <w:bottom w:val="none" w:sz="0" w:space="0" w:color="auto"/>
        <w:right w:val="none" w:sz="0" w:space="0" w:color="auto"/>
      </w:divBdr>
    </w:div>
    <w:div w:id="1328049635">
      <w:bodyDiv w:val="1"/>
      <w:marLeft w:val="0"/>
      <w:marRight w:val="0"/>
      <w:marTop w:val="0"/>
      <w:marBottom w:val="0"/>
      <w:divBdr>
        <w:top w:val="none" w:sz="0" w:space="0" w:color="auto"/>
        <w:left w:val="none" w:sz="0" w:space="0" w:color="auto"/>
        <w:bottom w:val="none" w:sz="0" w:space="0" w:color="auto"/>
        <w:right w:val="none" w:sz="0" w:space="0" w:color="auto"/>
      </w:divBdr>
    </w:div>
    <w:div w:id="1378360923">
      <w:bodyDiv w:val="1"/>
      <w:marLeft w:val="0"/>
      <w:marRight w:val="0"/>
      <w:marTop w:val="0"/>
      <w:marBottom w:val="0"/>
      <w:divBdr>
        <w:top w:val="none" w:sz="0" w:space="0" w:color="auto"/>
        <w:left w:val="none" w:sz="0" w:space="0" w:color="auto"/>
        <w:bottom w:val="none" w:sz="0" w:space="0" w:color="auto"/>
        <w:right w:val="none" w:sz="0" w:space="0" w:color="auto"/>
      </w:divBdr>
    </w:div>
    <w:div w:id="1380789306">
      <w:bodyDiv w:val="1"/>
      <w:marLeft w:val="0"/>
      <w:marRight w:val="0"/>
      <w:marTop w:val="0"/>
      <w:marBottom w:val="0"/>
      <w:divBdr>
        <w:top w:val="none" w:sz="0" w:space="0" w:color="auto"/>
        <w:left w:val="none" w:sz="0" w:space="0" w:color="auto"/>
        <w:bottom w:val="none" w:sz="0" w:space="0" w:color="auto"/>
        <w:right w:val="none" w:sz="0" w:space="0" w:color="auto"/>
      </w:divBdr>
    </w:div>
    <w:div w:id="1541937604">
      <w:bodyDiv w:val="1"/>
      <w:marLeft w:val="0"/>
      <w:marRight w:val="0"/>
      <w:marTop w:val="0"/>
      <w:marBottom w:val="0"/>
      <w:divBdr>
        <w:top w:val="none" w:sz="0" w:space="0" w:color="auto"/>
        <w:left w:val="none" w:sz="0" w:space="0" w:color="auto"/>
        <w:bottom w:val="none" w:sz="0" w:space="0" w:color="auto"/>
        <w:right w:val="none" w:sz="0" w:space="0" w:color="auto"/>
      </w:divBdr>
    </w:div>
    <w:div w:id="1580098192">
      <w:bodyDiv w:val="1"/>
      <w:marLeft w:val="0"/>
      <w:marRight w:val="0"/>
      <w:marTop w:val="0"/>
      <w:marBottom w:val="0"/>
      <w:divBdr>
        <w:top w:val="none" w:sz="0" w:space="0" w:color="auto"/>
        <w:left w:val="none" w:sz="0" w:space="0" w:color="auto"/>
        <w:bottom w:val="none" w:sz="0" w:space="0" w:color="auto"/>
        <w:right w:val="none" w:sz="0" w:space="0" w:color="auto"/>
      </w:divBdr>
    </w:div>
    <w:div w:id="1641838292">
      <w:bodyDiv w:val="1"/>
      <w:marLeft w:val="0"/>
      <w:marRight w:val="0"/>
      <w:marTop w:val="0"/>
      <w:marBottom w:val="0"/>
      <w:divBdr>
        <w:top w:val="none" w:sz="0" w:space="0" w:color="auto"/>
        <w:left w:val="none" w:sz="0" w:space="0" w:color="auto"/>
        <w:bottom w:val="none" w:sz="0" w:space="0" w:color="auto"/>
        <w:right w:val="none" w:sz="0" w:space="0" w:color="auto"/>
      </w:divBdr>
    </w:div>
    <w:div w:id="1700622303">
      <w:bodyDiv w:val="1"/>
      <w:marLeft w:val="0"/>
      <w:marRight w:val="0"/>
      <w:marTop w:val="0"/>
      <w:marBottom w:val="0"/>
      <w:divBdr>
        <w:top w:val="none" w:sz="0" w:space="0" w:color="auto"/>
        <w:left w:val="none" w:sz="0" w:space="0" w:color="auto"/>
        <w:bottom w:val="none" w:sz="0" w:space="0" w:color="auto"/>
        <w:right w:val="none" w:sz="0" w:space="0" w:color="auto"/>
      </w:divBdr>
    </w:div>
    <w:div w:id="1720393641">
      <w:bodyDiv w:val="1"/>
      <w:marLeft w:val="0"/>
      <w:marRight w:val="0"/>
      <w:marTop w:val="0"/>
      <w:marBottom w:val="0"/>
      <w:divBdr>
        <w:top w:val="none" w:sz="0" w:space="0" w:color="auto"/>
        <w:left w:val="none" w:sz="0" w:space="0" w:color="auto"/>
        <w:bottom w:val="none" w:sz="0" w:space="0" w:color="auto"/>
        <w:right w:val="none" w:sz="0" w:space="0" w:color="auto"/>
      </w:divBdr>
    </w:div>
    <w:div w:id="1765104964">
      <w:bodyDiv w:val="1"/>
      <w:marLeft w:val="0"/>
      <w:marRight w:val="0"/>
      <w:marTop w:val="0"/>
      <w:marBottom w:val="0"/>
      <w:divBdr>
        <w:top w:val="none" w:sz="0" w:space="0" w:color="auto"/>
        <w:left w:val="none" w:sz="0" w:space="0" w:color="auto"/>
        <w:bottom w:val="none" w:sz="0" w:space="0" w:color="auto"/>
        <w:right w:val="none" w:sz="0" w:space="0" w:color="auto"/>
      </w:divBdr>
    </w:div>
    <w:div w:id="1866554304">
      <w:bodyDiv w:val="1"/>
      <w:marLeft w:val="0"/>
      <w:marRight w:val="0"/>
      <w:marTop w:val="0"/>
      <w:marBottom w:val="0"/>
      <w:divBdr>
        <w:top w:val="none" w:sz="0" w:space="0" w:color="auto"/>
        <w:left w:val="none" w:sz="0" w:space="0" w:color="auto"/>
        <w:bottom w:val="none" w:sz="0" w:space="0" w:color="auto"/>
        <w:right w:val="none" w:sz="0" w:space="0" w:color="auto"/>
      </w:divBdr>
    </w:div>
    <w:div w:id="1866820263">
      <w:bodyDiv w:val="1"/>
      <w:marLeft w:val="0"/>
      <w:marRight w:val="0"/>
      <w:marTop w:val="0"/>
      <w:marBottom w:val="0"/>
      <w:divBdr>
        <w:top w:val="none" w:sz="0" w:space="0" w:color="auto"/>
        <w:left w:val="none" w:sz="0" w:space="0" w:color="auto"/>
        <w:bottom w:val="none" w:sz="0" w:space="0" w:color="auto"/>
        <w:right w:val="none" w:sz="0" w:space="0" w:color="auto"/>
      </w:divBdr>
    </w:div>
    <w:div w:id="1890023946">
      <w:bodyDiv w:val="1"/>
      <w:marLeft w:val="0"/>
      <w:marRight w:val="0"/>
      <w:marTop w:val="0"/>
      <w:marBottom w:val="0"/>
      <w:divBdr>
        <w:top w:val="none" w:sz="0" w:space="0" w:color="auto"/>
        <w:left w:val="none" w:sz="0" w:space="0" w:color="auto"/>
        <w:bottom w:val="none" w:sz="0" w:space="0" w:color="auto"/>
        <w:right w:val="none" w:sz="0" w:space="0" w:color="auto"/>
      </w:divBdr>
    </w:div>
    <w:div w:id="1936554097">
      <w:bodyDiv w:val="1"/>
      <w:marLeft w:val="0"/>
      <w:marRight w:val="0"/>
      <w:marTop w:val="0"/>
      <w:marBottom w:val="0"/>
      <w:divBdr>
        <w:top w:val="none" w:sz="0" w:space="0" w:color="auto"/>
        <w:left w:val="none" w:sz="0" w:space="0" w:color="auto"/>
        <w:bottom w:val="none" w:sz="0" w:space="0" w:color="auto"/>
        <w:right w:val="none" w:sz="0" w:space="0" w:color="auto"/>
      </w:divBdr>
    </w:div>
    <w:div w:id="1954510994">
      <w:bodyDiv w:val="1"/>
      <w:marLeft w:val="0"/>
      <w:marRight w:val="0"/>
      <w:marTop w:val="0"/>
      <w:marBottom w:val="0"/>
      <w:divBdr>
        <w:top w:val="none" w:sz="0" w:space="0" w:color="auto"/>
        <w:left w:val="none" w:sz="0" w:space="0" w:color="auto"/>
        <w:bottom w:val="none" w:sz="0" w:space="0" w:color="auto"/>
        <w:right w:val="none" w:sz="0" w:space="0" w:color="auto"/>
      </w:divBdr>
    </w:div>
    <w:div w:id="1964649288">
      <w:bodyDiv w:val="1"/>
      <w:marLeft w:val="0"/>
      <w:marRight w:val="0"/>
      <w:marTop w:val="0"/>
      <w:marBottom w:val="0"/>
      <w:divBdr>
        <w:top w:val="none" w:sz="0" w:space="0" w:color="auto"/>
        <w:left w:val="none" w:sz="0" w:space="0" w:color="auto"/>
        <w:bottom w:val="none" w:sz="0" w:space="0" w:color="auto"/>
        <w:right w:val="none" w:sz="0" w:space="0" w:color="auto"/>
      </w:divBdr>
    </w:div>
    <w:div w:id="19814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658" TargetMode="External"/><Relationship Id="rId18" Type="http://schemas.openxmlformats.org/officeDocument/2006/relationships/hyperlink" Target="https://www.nice.org.uk/guidance/TA380" TargetMode="External"/><Relationship Id="rId26" Type="http://schemas.openxmlformats.org/officeDocument/2006/relationships/hyperlink" Target="https://www.england.nhs.uk/publication/manual-for-prescribed-specialised-services/" TargetMode="External"/><Relationship Id="rId3" Type="http://schemas.openxmlformats.org/officeDocument/2006/relationships/styles" Target="styles.xml"/><Relationship Id="rId21" Type="http://schemas.openxmlformats.org/officeDocument/2006/relationships/hyperlink" Target="https://www.nice.org.uk/guidance/indevelopment/gid-ta1064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ta783" TargetMode="External"/><Relationship Id="rId17" Type="http://schemas.openxmlformats.org/officeDocument/2006/relationships/hyperlink" Target="https://www.nice.org.uk/Guidance/TA427" TargetMode="External"/><Relationship Id="rId25" Type="http://schemas.openxmlformats.org/officeDocument/2006/relationships/hyperlink" Target="https://www.longtermplan.nhs.uk/publication/nhs-long-term-pla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ta171" TargetMode="External"/><Relationship Id="rId20" Type="http://schemas.openxmlformats.org/officeDocument/2006/relationships/hyperlink" Target="https://www.nice.org.uk/guidance/indevelopment/gid-ta10568" TargetMode="External"/><Relationship Id="rId29" Type="http://schemas.openxmlformats.org/officeDocument/2006/relationships/hyperlink" Target="https://gco.iarc.fr/today/data/factsheets/populations/826-united-kingdom-fact-shee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27" TargetMode="External"/><Relationship Id="rId24" Type="http://schemas.openxmlformats.org/officeDocument/2006/relationships/hyperlink" Target="https://www.nice.org.uk/guidance/qs15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Guidance/TA658" TargetMode="External"/><Relationship Id="rId23" Type="http://schemas.openxmlformats.org/officeDocument/2006/relationships/hyperlink" Target="https://www.nice.org.uk/guidance/ng47" TargetMode="External"/><Relationship Id="rId28" Type="http://schemas.openxmlformats.org/officeDocument/2006/relationships/hyperlink" Target="https://www.cancerresearchuk.org/health-professional/cancer-statistics/statistics-by-cancer-type/myeloma/incidence" TargetMode="External"/><Relationship Id="rId10" Type="http://schemas.openxmlformats.org/officeDocument/2006/relationships/hyperlink" Target="https://www.nice.org.uk/guidance/ta870" TargetMode="External"/><Relationship Id="rId19" Type="http://schemas.openxmlformats.org/officeDocument/2006/relationships/hyperlink" Target="https://www.nice.org.uk/guidance/awaiting-development/gid-ta11018" TargetMode="External"/><Relationship Id="rId31" Type="http://schemas.openxmlformats.org/officeDocument/2006/relationships/hyperlink" Target="https://www.cancerresearchuk.org/health-professional/cancer-statistics/statistics-by-cancer-type/myeloma" TargetMode="External"/><Relationship Id="rId4" Type="http://schemas.openxmlformats.org/officeDocument/2006/relationships/settings" Target="settings.xml"/><Relationship Id="rId9" Type="http://schemas.openxmlformats.org/officeDocument/2006/relationships/hyperlink" Target="https://www.nice.org.uk/guidance/TA380" TargetMode="External"/><Relationship Id="rId14" Type="http://schemas.openxmlformats.org/officeDocument/2006/relationships/hyperlink" Target="https://www.nice.org.uk/guidance/ta783" TargetMode="External"/><Relationship Id="rId22" Type="http://schemas.openxmlformats.org/officeDocument/2006/relationships/hyperlink" Target="https://www.nice.org.uk/guidance/ng35" TargetMode="External"/><Relationship Id="rId27" Type="http://schemas.openxmlformats.org/officeDocument/2006/relationships/hyperlink" Target="https://www.england.nhs.uk/wp-content/uploads/2020/07/1608-Policy-bendamustine-relapsed-multiple-myeloma.pdf" TargetMode="External"/><Relationship Id="rId30" Type="http://schemas.openxmlformats.org/officeDocument/2006/relationships/hyperlink" Target="https://www.cancerresearchuk.org/health-professional/cancer-statistics/statistics-by-cancer-type/myeloma/survival" TargetMode="External"/><Relationship Id="rId35" Type="http://schemas.openxmlformats.org/officeDocument/2006/relationships/theme" Target="theme/theme1.xml"/><Relationship Id="rId8" Type="http://schemas.openxmlformats.org/officeDocument/2006/relationships/hyperlink" Target="https://www.nice.org.uk/guidance/TA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D95E-3949-4BF0-862D-70519CA5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9978</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11239</CharactersWithSpaces>
  <SharedDoc>false</SharedDoc>
  <HLinks>
    <vt:vector size="24" baseType="variant">
      <vt:variant>
        <vt:i4>6553637</vt:i4>
      </vt:variant>
      <vt:variant>
        <vt:i4>126</vt:i4>
      </vt:variant>
      <vt:variant>
        <vt:i4>0</vt:i4>
      </vt:variant>
      <vt:variant>
        <vt:i4>5</vt:i4>
      </vt:variant>
      <vt:variant>
        <vt:lpwstr>https://www.england.nhs.uk/publication/manual-for-prescribed-specialised-services/</vt:lpwstr>
      </vt:variant>
      <vt:variant>
        <vt:lpwstr/>
      </vt:variant>
      <vt:variant>
        <vt:i4>2556000</vt:i4>
      </vt:variant>
      <vt:variant>
        <vt:i4>120</vt:i4>
      </vt:variant>
      <vt:variant>
        <vt:i4>0</vt:i4>
      </vt:variant>
      <vt:variant>
        <vt:i4>5</vt:i4>
      </vt:variant>
      <vt:variant>
        <vt:lpwstr>https://www.longtermplan.nhs.uk/publication/nhs-long-term-plan/</vt:lpwstr>
      </vt:variant>
      <vt:variant>
        <vt:lpwstr/>
      </vt:variant>
      <vt:variant>
        <vt:i4>4456532</vt:i4>
      </vt:variant>
      <vt:variant>
        <vt:i4>111</vt:i4>
      </vt:variant>
      <vt:variant>
        <vt:i4>0</vt:i4>
      </vt:variant>
      <vt:variant>
        <vt:i4>5</vt:i4>
      </vt:variant>
      <vt:variant>
        <vt:lpwstr>http://www.nice.org.uk/guidance/qualitystandards/qualitystandards.jsp</vt:lpwstr>
      </vt:variant>
      <vt:variant>
        <vt:lpwstr/>
      </vt:variant>
      <vt:variant>
        <vt:i4>1835076</vt:i4>
      </vt:variant>
      <vt:variant>
        <vt:i4>93</vt:i4>
      </vt:variant>
      <vt:variant>
        <vt:i4>0</vt:i4>
      </vt:variant>
      <vt:variant>
        <vt:i4>5</vt:i4>
      </vt:variant>
      <vt:variant>
        <vt:lpwstr>https://www.nice.org.uk/about/what-we-do/our-programmes/nice-guidance/nice-technology-appraisal-guidance/changes-to-health-technology-evaluation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Michelle Green</dc:creator>
  <cp:keywords/>
  <cp:lastModifiedBy>Wajeeha Asim</cp:lastModifiedBy>
  <cp:revision>2</cp:revision>
  <cp:lastPrinted>2004-04-14T09:59:00Z</cp:lastPrinted>
  <dcterms:created xsi:type="dcterms:W3CDTF">2023-08-14T16:19:00Z</dcterms:created>
  <dcterms:modified xsi:type="dcterms:W3CDTF">2023-08-14T16:19:00Z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2023-07-11T13:41:26Z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0ab051a4-8626-45d5-ba1f-e4ecaa1e396b</vt:lpwstr>
  </property>
  <property fmtid="{D5CDD505-2E9C-101B-9397-08002B2CF9AE}" pid="8" name="MSIP_Label_c69d85d5-6d9e-4305-a294-1f636ec0f2d6_ContentBits">
    <vt:lpwstr>0</vt:lpwstr>
  </property>
</Properties>
</file>