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jc w:val="both"/>
      </w:pPr>
      <w:r>
        <w:rPr>
          <w:color w:val="2E5395"/>
        </w:rPr>
        <w:t>Appeal</w:t>
      </w:r>
      <w:r>
        <w:rPr>
          <w:color w:val="2E5395"/>
          <w:spacing w:val="-3"/>
        </w:rPr>
        <w:t> </w:t>
      </w:r>
      <w:r>
        <w:rPr>
          <w:color w:val="2E5395"/>
        </w:rPr>
        <w:t>Appendix</w:t>
      </w:r>
      <w:r>
        <w:rPr>
          <w:color w:val="2E5395"/>
          <w:spacing w:val="-3"/>
        </w:rPr>
        <w:t> </w:t>
      </w:r>
      <w:r>
        <w:rPr>
          <w:color w:val="2E5395"/>
        </w:rPr>
        <w:t>1:</w:t>
      </w:r>
      <w:r>
        <w:rPr>
          <w:color w:val="2E5395"/>
          <w:spacing w:val="-2"/>
        </w:rPr>
        <w:t> </w:t>
      </w:r>
      <w:r>
        <w:rPr>
          <w:color w:val="2E5395"/>
        </w:rPr>
        <w:t>EAG</w:t>
      </w:r>
      <w:r>
        <w:rPr>
          <w:color w:val="2E5395"/>
          <w:spacing w:val="-2"/>
        </w:rPr>
        <w:t> modelling</w:t>
      </w:r>
    </w:p>
    <w:p>
      <w:pPr>
        <w:pStyle w:val="BodyText"/>
        <w:spacing w:line="273" w:lineRule="auto" w:before="38"/>
        <w:ind w:left="133" w:right="129" w:hanging="10"/>
        <w:jc w:val="both"/>
        <w:rPr>
          <w:rFonts w:ascii="Arial"/>
        </w:rPr>
      </w:pPr>
      <w:r>
        <w:rPr>
          <w:rFonts w:ascii="Arial"/>
        </w:rPr>
        <w:t>The Evidence Assessment Group (EAG) provided modelling results for their preferred scenarios (Table 1 below).</w:t>
      </w:r>
    </w:p>
    <w:p>
      <w:pPr>
        <w:pStyle w:val="BodyText"/>
        <w:spacing w:line="273" w:lineRule="auto" w:before="119"/>
        <w:ind w:left="152" w:right="127" w:hanging="12"/>
        <w:jc w:val="both"/>
        <w:rPr>
          <w:rFonts w:ascii="Arial" w:hAnsi="Arial"/>
        </w:rPr>
      </w:pPr>
      <w:r>
        <w:rPr>
          <w:rFonts w:ascii="Arial" w:hAnsi="Arial"/>
        </w:rPr>
        <w:t>Following the first committee meeting and issuing of the ACD in June 2022, Immunocore provided the file: ‘</w:t>
      </w:r>
      <w:r>
        <w:rPr>
          <w:rFonts w:ascii="Arial" w:hAnsi="Arial"/>
          <w:i/>
        </w:rPr>
        <w:t>NICE_ID1441_Addendum 2_updated B3_ACIC</w:t>
      </w:r>
      <w:r>
        <w:rPr>
          <w:rFonts w:ascii="Arial" w:hAnsi="Arial"/>
        </w:rPr>
        <w:t>’ and an accompanying updated cost-effectiveness model in September 2022. The EAG provided a report on this in July 2023.</w:t>
      </w:r>
    </w:p>
    <w:p>
      <w:pPr>
        <w:spacing w:line="240" w:lineRule="auto" w:before="4"/>
        <w:rPr>
          <w:sz w:val="25"/>
        </w:rPr>
      </w:pPr>
    </w:p>
    <w:p>
      <w:pPr>
        <w:spacing w:line="273" w:lineRule="auto" w:before="0"/>
        <w:ind w:left="152" w:right="130" w:hanging="12"/>
        <w:jc w:val="both"/>
        <w:rPr>
          <w:sz w:val="22"/>
        </w:rPr>
      </w:pPr>
      <w:r>
        <w:rPr>
          <w:sz w:val="22"/>
        </w:rPr>
        <w:t>The below details are a copy of the EAG document ‘</w:t>
      </w:r>
      <w:r>
        <w:rPr>
          <w:i/>
          <w:sz w:val="22"/>
        </w:rPr>
        <w:t>ID1441 tebentafusp EAG response to</w:t>
      </w:r>
      <w:r>
        <w:rPr>
          <w:i/>
          <w:sz w:val="22"/>
        </w:rPr>
        <w:t> addendum 2</w:t>
      </w:r>
      <w:r>
        <w:rPr>
          <w:sz w:val="22"/>
        </w:rPr>
        <w:t>’ - results provided in file: ‘</w:t>
      </w:r>
      <w:r>
        <w:rPr>
          <w:i/>
          <w:sz w:val="22"/>
        </w:rPr>
        <w:t>6a. ID1441 Tebentafusp EAG response to CS</w:t>
      </w:r>
      <w:r>
        <w:rPr>
          <w:i/>
          <w:sz w:val="22"/>
        </w:rPr>
        <w:t> Addendum 2 Results v0.1 23.06.23 [ACIC].</w:t>
      </w:r>
      <w:r>
        <w:rPr>
          <w:sz w:val="22"/>
        </w:rPr>
        <w:t>’</w:t>
      </w:r>
    </w:p>
    <w:p>
      <w:pPr>
        <w:spacing w:line="240" w:lineRule="auto" w:before="5"/>
        <w:rPr>
          <w:sz w:val="25"/>
        </w:rPr>
      </w:pPr>
    </w:p>
    <w:p>
      <w:pPr>
        <w:pStyle w:val="Heading2"/>
        <w:ind w:left="310" w:firstLine="0"/>
        <w:jc w:val="both"/>
        <w:rPr>
          <w:i/>
        </w:rPr>
      </w:pPr>
      <w:r>
        <w:rPr>
          <w:i/>
        </w:rPr>
        <w:t>‘‘1.</w:t>
      </w:r>
      <w:r>
        <w:rPr>
          <w:i/>
          <w:spacing w:val="-10"/>
        </w:rPr>
        <w:t> </w:t>
      </w:r>
      <w:r>
        <w:rPr>
          <w:i/>
        </w:rPr>
        <w:t>Cost-effectiveness</w:t>
      </w:r>
      <w:r>
        <w:rPr>
          <w:i/>
          <w:spacing w:val="-9"/>
        </w:rPr>
        <w:t> </w:t>
      </w:r>
      <w:r>
        <w:rPr>
          <w:i/>
          <w:spacing w:val="-2"/>
        </w:rPr>
        <w:t>results</w:t>
      </w:r>
    </w:p>
    <w:p>
      <w:pPr>
        <w:tabs>
          <w:tab w:pos="3222" w:val="left" w:leader="none"/>
        </w:tabs>
        <w:spacing w:line="273" w:lineRule="auto" w:before="102"/>
        <w:ind w:left="310" w:right="297" w:hanging="10"/>
        <w:jc w:val="both"/>
        <w:rPr>
          <w:i/>
          <w:sz w:val="22"/>
        </w:rPr>
      </w:pPr>
      <w:r>
        <w:rPr/>
        <mc:AlternateContent>
          <mc:Choice Requires="wps">
            <w:drawing>
              <wp:anchor distT="0" distB="0" distL="0" distR="0" allowOverlap="1" layoutInCell="1" locked="0" behindDoc="1" simplePos="0" relativeHeight="487389184">
                <wp:simplePos x="0" y="0"/>
                <wp:positionH relativeFrom="page">
                  <wp:posOffset>2423795</wp:posOffset>
                </wp:positionH>
                <wp:positionV relativeFrom="paragraph">
                  <wp:posOffset>1341854</wp:posOffset>
                </wp:positionV>
                <wp:extent cx="448309" cy="1619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48309" cy="161925"/>
                        </a:xfrm>
                        <a:custGeom>
                          <a:avLst/>
                          <a:gdLst/>
                          <a:ahLst/>
                          <a:cxnLst/>
                          <a:rect l="l" t="t" r="r" b="b"/>
                          <a:pathLst>
                            <a:path w="448309" h="161925">
                              <a:moveTo>
                                <a:pt x="448056" y="0"/>
                              </a:moveTo>
                              <a:lnTo>
                                <a:pt x="0" y="0"/>
                              </a:lnTo>
                              <a:lnTo>
                                <a:pt x="0" y="147828"/>
                              </a:lnTo>
                              <a:lnTo>
                                <a:pt x="0" y="158496"/>
                              </a:lnTo>
                              <a:lnTo>
                                <a:pt x="0" y="161544"/>
                              </a:lnTo>
                              <a:lnTo>
                                <a:pt x="448056" y="161544"/>
                              </a:lnTo>
                              <a:lnTo>
                                <a:pt x="448056" y="158496"/>
                              </a:lnTo>
                              <a:lnTo>
                                <a:pt x="448056" y="147828"/>
                              </a:lnTo>
                              <a:lnTo>
                                <a:pt x="448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90.850006pt;margin-top:105.657852pt;width:35.3pt;height:12.75pt;mso-position-horizontal-relative:page;mso-position-vertical-relative:paragraph;z-index:-15927296" id="docshape1" coordorigin="3817,2113" coordsize="706,255" path="m4523,2113l3817,2113,3817,2346,3817,2363,3817,2368,4523,2368,4523,2363,4523,2346,4523,2113xe" filled="true" fillcolor="#000000" stroked="false">
                <v:path arrowok="t"/>
                <v:fill type="solid"/>
                <w10:wrap type="none"/>
              </v:shape>
            </w:pict>
          </mc:Fallback>
        </mc:AlternateContent>
      </w:r>
      <w:r>
        <w:rPr>
          <w:i/>
          <w:sz w:val="22"/>
        </w:rPr>
        <w:t>Given</w:t>
      </w:r>
      <w:r>
        <w:rPr>
          <w:i/>
          <w:spacing w:val="-12"/>
          <w:sz w:val="22"/>
        </w:rPr>
        <w:t> </w:t>
      </w:r>
      <w:r>
        <w:rPr>
          <w:i/>
          <w:sz w:val="22"/>
        </w:rPr>
        <w:t>the</w:t>
      </w:r>
      <w:r>
        <w:rPr>
          <w:i/>
          <w:spacing w:val="-9"/>
          <w:sz w:val="22"/>
        </w:rPr>
        <w:t> </w:t>
      </w:r>
      <w:r>
        <w:rPr>
          <w:i/>
          <w:sz w:val="22"/>
        </w:rPr>
        <w:t>EAG</w:t>
      </w:r>
      <w:r>
        <w:rPr>
          <w:i/>
          <w:spacing w:val="-8"/>
          <w:sz w:val="22"/>
        </w:rPr>
        <w:t> </w:t>
      </w:r>
      <w:r>
        <w:rPr>
          <w:i/>
          <w:sz w:val="22"/>
        </w:rPr>
        <w:t>comments</w:t>
      </w:r>
      <w:r>
        <w:rPr>
          <w:i/>
          <w:spacing w:val="-8"/>
          <w:sz w:val="22"/>
        </w:rPr>
        <w:t> </w:t>
      </w:r>
      <w:r>
        <w:rPr>
          <w:i/>
          <w:sz w:val="22"/>
        </w:rPr>
        <w:t>provided</w:t>
      </w:r>
      <w:r>
        <w:rPr>
          <w:i/>
          <w:spacing w:val="-11"/>
          <w:sz w:val="22"/>
        </w:rPr>
        <w:t> </w:t>
      </w:r>
      <w:r>
        <w:rPr>
          <w:i/>
          <w:sz w:val="22"/>
        </w:rPr>
        <w:t>on</w:t>
      </w:r>
      <w:r>
        <w:rPr>
          <w:i/>
          <w:spacing w:val="-9"/>
          <w:sz w:val="22"/>
        </w:rPr>
        <w:t> </w:t>
      </w:r>
      <w:r>
        <w:rPr>
          <w:i/>
          <w:sz w:val="22"/>
        </w:rPr>
        <w:t>CS</w:t>
      </w:r>
      <w:r>
        <w:rPr>
          <w:i/>
          <w:spacing w:val="-12"/>
          <w:sz w:val="22"/>
        </w:rPr>
        <w:t> </w:t>
      </w:r>
      <w:r>
        <w:rPr>
          <w:i/>
          <w:sz w:val="22"/>
        </w:rPr>
        <w:t>addendum</w:t>
      </w:r>
      <w:r>
        <w:rPr>
          <w:i/>
          <w:spacing w:val="-8"/>
          <w:sz w:val="22"/>
        </w:rPr>
        <w:t> </w:t>
      </w:r>
      <w:r>
        <w:rPr>
          <w:i/>
          <w:sz w:val="22"/>
        </w:rPr>
        <w:t>2,</w:t>
      </w:r>
      <w:r>
        <w:rPr>
          <w:i/>
          <w:spacing w:val="-10"/>
          <w:sz w:val="22"/>
        </w:rPr>
        <w:t> </w:t>
      </w:r>
      <w:r>
        <w:rPr>
          <w:i/>
          <w:sz w:val="22"/>
        </w:rPr>
        <w:t>the</w:t>
      </w:r>
      <w:r>
        <w:rPr>
          <w:i/>
          <w:spacing w:val="-12"/>
          <w:sz w:val="22"/>
        </w:rPr>
        <w:t> </w:t>
      </w:r>
      <w:r>
        <w:rPr>
          <w:i/>
          <w:sz w:val="22"/>
        </w:rPr>
        <w:t>EAG</w:t>
      </w:r>
      <w:r>
        <w:rPr>
          <w:i/>
          <w:spacing w:val="-8"/>
          <w:sz w:val="22"/>
        </w:rPr>
        <w:t> </w:t>
      </w:r>
      <w:r>
        <w:rPr>
          <w:i/>
          <w:sz w:val="22"/>
        </w:rPr>
        <w:t>preferred</w:t>
      </w:r>
      <w:r>
        <w:rPr>
          <w:i/>
          <w:spacing w:val="-12"/>
          <w:sz w:val="22"/>
        </w:rPr>
        <w:t> </w:t>
      </w:r>
      <w:r>
        <w:rPr>
          <w:i/>
          <w:sz w:val="22"/>
        </w:rPr>
        <w:t>using</w:t>
      </w:r>
      <w:r>
        <w:rPr>
          <w:i/>
          <w:spacing w:val="-9"/>
          <w:sz w:val="22"/>
        </w:rPr>
        <w:t> </w:t>
      </w:r>
      <w:r>
        <w:rPr>
          <w:i/>
          <w:sz w:val="22"/>
        </w:rPr>
        <w:t>used</w:t>
      </w:r>
      <w:r>
        <w:rPr>
          <w:i/>
          <w:spacing w:val="-11"/>
          <w:sz w:val="22"/>
        </w:rPr>
        <w:t> </w:t>
      </w:r>
      <w:r>
        <w:rPr>
          <w:i/>
          <w:sz w:val="22"/>
        </w:rPr>
        <w:t>the</w:t>
      </w:r>
      <w:r>
        <w:rPr>
          <w:i/>
          <w:sz w:val="22"/>
        </w:rPr>
        <w:t> generalised</w:t>
      </w:r>
      <w:r>
        <w:rPr>
          <w:i/>
          <w:spacing w:val="-9"/>
          <w:sz w:val="22"/>
        </w:rPr>
        <w:t> </w:t>
      </w:r>
      <w:r>
        <w:rPr>
          <w:i/>
          <w:sz w:val="22"/>
        </w:rPr>
        <w:t>gamma</w:t>
      </w:r>
      <w:r>
        <w:rPr>
          <w:i/>
          <w:spacing w:val="-11"/>
          <w:sz w:val="22"/>
        </w:rPr>
        <w:t> </w:t>
      </w:r>
      <w:r>
        <w:rPr>
          <w:i/>
          <w:sz w:val="22"/>
        </w:rPr>
        <w:t>distribution</w:t>
      </w:r>
      <w:r>
        <w:rPr>
          <w:i/>
          <w:spacing w:val="-9"/>
          <w:sz w:val="22"/>
        </w:rPr>
        <w:t> </w:t>
      </w:r>
      <w:r>
        <w:rPr>
          <w:i/>
          <w:sz w:val="22"/>
        </w:rPr>
        <w:t>and</w:t>
      </w:r>
      <w:r>
        <w:rPr>
          <w:i/>
          <w:spacing w:val="-11"/>
          <w:sz w:val="22"/>
        </w:rPr>
        <w:t> </w:t>
      </w:r>
      <w:r>
        <w:rPr>
          <w:i/>
          <w:sz w:val="22"/>
        </w:rPr>
        <w:t>the</w:t>
      </w:r>
      <w:r>
        <w:rPr>
          <w:i/>
          <w:spacing w:val="-12"/>
          <w:sz w:val="22"/>
        </w:rPr>
        <w:t> </w:t>
      </w:r>
      <w:r>
        <w:rPr>
          <w:i/>
          <w:sz w:val="22"/>
        </w:rPr>
        <w:t>log-logistic</w:t>
      </w:r>
      <w:r>
        <w:rPr>
          <w:i/>
          <w:spacing w:val="-8"/>
          <w:sz w:val="22"/>
        </w:rPr>
        <w:t> </w:t>
      </w:r>
      <w:r>
        <w:rPr>
          <w:i/>
          <w:sz w:val="22"/>
        </w:rPr>
        <w:t>distribution</w:t>
      </w:r>
      <w:r>
        <w:rPr>
          <w:i/>
          <w:spacing w:val="-12"/>
          <w:sz w:val="22"/>
        </w:rPr>
        <w:t> </w:t>
      </w:r>
      <w:r>
        <w:rPr>
          <w:i/>
          <w:sz w:val="22"/>
        </w:rPr>
        <w:t>(producing</w:t>
      </w:r>
      <w:r>
        <w:rPr>
          <w:i/>
          <w:spacing w:val="-14"/>
          <w:sz w:val="22"/>
        </w:rPr>
        <w:t> </w:t>
      </w:r>
      <w:r>
        <w:rPr>
          <w:i/>
          <w:sz w:val="22"/>
        </w:rPr>
        <w:t>an</w:t>
      </w:r>
      <w:r>
        <w:rPr>
          <w:i/>
          <w:spacing w:val="-9"/>
          <w:sz w:val="22"/>
        </w:rPr>
        <w:t> </w:t>
      </w:r>
      <w:r>
        <w:rPr>
          <w:i/>
          <w:sz w:val="22"/>
        </w:rPr>
        <w:t>ICER</w:t>
      </w:r>
      <w:r>
        <w:rPr>
          <w:i/>
          <w:spacing w:val="-12"/>
          <w:sz w:val="22"/>
        </w:rPr>
        <w:t> </w:t>
      </w:r>
      <w:r>
        <w:rPr>
          <w:i/>
          <w:sz w:val="22"/>
        </w:rPr>
        <w:t>range) for OS and the generalised gamma distribution for both PFS and TTD (same distribution for both treatments for all three outcomes). Notably, the EAG could not produce the EAG consistent with the original EAG basecase as some functionality the EAG initially implemented in the economic model, e.g. monthly BSC costs per cycle in the PD health state,</w:t>
      </w:r>
      <w:r>
        <w:rPr>
          <w:i/>
          <w:spacing w:val="-8"/>
          <w:sz w:val="22"/>
        </w:rPr>
        <w:t> </w:t>
      </w:r>
      <w:r>
        <w:rPr>
          <w:i/>
          <w:sz w:val="22"/>
        </w:rPr>
        <w:t>was</w:t>
      </w:r>
      <w:r>
        <w:rPr>
          <w:i/>
          <w:spacing w:val="-10"/>
          <w:sz w:val="22"/>
        </w:rPr>
        <w:t> </w:t>
      </w:r>
      <w:r>
        <w:rPr>
          <w:i/>
          <w:sz w:val="22"/>
        </w:rPr>
        <w:t>not</w:t>
      </w:r>
      <w:r>
        <w:rPr>
          <w:i/>
          <w:spacing w:val="-8"/>
          <w:sz w:val="22"/>
        </w:rPr>
        <w:t> </w:t>
      </w:r>
      <w:r>
        <w:rPr>
          <w:i/>
          <w:sz w:val="22"/>
        </w:rPr>
        <w:t>implemented</w:t>
      </w:r>
      <w:r>
        <w:rPr>
          <w:i/>
          <w:spacing w:val="-10"/>
          <w:sz w:val="22"/>
        </w:rPr>
        <w:t> </w:t>
      </w:r>
      <w:r>
        <w:rPr>
          <w:i/>
          <w:sz w:val="22"/>
        </w:rPr>
        <w:t>in</w:t>
      </w:r>
      <w:r>
        <w:rPr>
          <w:i/>
          <w:spacing w:val="-10"/>
          <w:sz w:val="22"/>
        </w:rPr>
        <w:t> </w:t>
      </w:r>
      <w:r>
        <w:rPr>
          <w:i/>
          <w:sz w:val="22"/>
        </w:rPr>
        <w:t>the</w:t>
      </w:r>
      <w:r>
        <w:rPr>
          <w:i/>
          <w:spacing w:val="-10"/>
          <w:sz w:val="22"/>
        </w:rPr>
        <w:t> </w:t>
      </w:r>
      <w:r>
        <w:rPr>
          <w:i/>
          <w:sz w:val="22"/>
        </w:rPr>
        <w:t>updated</w:t>
      </w:r>
      <w:r>
        <w:rPr>
          <w:i/>
          <w:spacing w:val="-12"/>
          <w:sz w:val="22"/>
        </w:rPr>
        <w:t> </w:t>
      </w:r>
      <w:r>
        <w:rPr>
          <w:i/>
          <w:sz w:val="22"/>
        </w:rPr>
        <w:t>company’s</w:t>
      </w:r>
      <w:r>
        <w:rPr>
          <w:i/>
          <w:spacing w:val="-9"/>
          <w:sz w:val="22"/>
        </w:rPr>
        <w:t> </w:t>
      </w:r>
      <w:r>
        <w:rPr>
          <w:i/>
          <w:sz w:val="22"/>
        </w:rPr>
        <w:t>model</w:t>
      </w:r>
      <w:r>
        <w:rPr>
          <w:i/>
          <w:spacing w:val="-11"/>
          <w:sz w:val="22"/>
        </w:rPr>
        <w:t> </w:t>
      </w:r>
      <w:r>
        <w:rPr>
          <w:i/>
          <w:sz w:val="22"/>
        </w:rPr>
        <w:t>(this</w:t>
      </w:r>
      <w:r>
        <w:rPr>
          <w:i/>
          <w:spacing w:val="-9"/>
          <w:sz w:val="22"/>
        </w:rPr>
        <w:t> </w:t>
      </w:r>
      <w:r>
        <w:rPr>
          <w:i/>
          <w:sz w:val="22"/>
        </w:rPr>
        <w:t>adjustment</w:t>
      </w:r>
      <w:r>
        <w:rPr>
          <w:i/>
          <w:spacing w:val="-8"/>
          <w:sz w:val="22"/>
        </w:rPr>
        <w:t> </w:t>
      </w:r>
      <w:r>
        <w:rPr>
          <w:i/>
          <w:sz w:val="22"/>
        </w:rPr>
        <w:t>did</w:t>
      </w:r>
      <w:r>
        <w:rPr>
          <w:i/>
          <w:spacing w:val="-10"/>
          <w:sz w:val="22"/>
        </w:rPr>
        <w:t> </w:t>
      </w:r>
      <w:r>
        <w:rPr>
          <w:i/>
          <w:sz w:val="22"/>
        </w:rPr>
        <w:t>increase the ICER by roughly</w:t>
        <w:tab/>
        <w:t>; original ERG report Table 6.2). The EAG analyses are provided in Table 1.</w:t>
      </w:r>
      <w:r>
        <w:rPr>
          <w:b/>
          <w:i/>
          <w:sz w:val="22"/>
        </w:rPr>
        <w:t>’’</w:t>
      </w:r>
      <w:r>
        <w:rPr>
          <w:i/>
          <w:sz w:val="22"/>
        </w:rPr>
        <w:t>[sic]</w:t>
      </w:r>
    </w:p>
    <w:p>
      <w:pPr>
        <w:pStyle w:val="Heading2"/>
        <w:spacing w:line="256" w:lineRule="auto" w:before="193" w:after="2"/>
        <w:ind w:right="219"/>
      </w:pPr>
      <w:r>
        <w:rPr>
          <w:i/>
        </w:rPr>
        <w:t>Table</w:t>
      </w:r>
      <w:r>
        <w:rPr>
          <w:i/>
          <w:spacing w:val="-2"/>
        </w:rPr>
        <w:t> </w:t>
      </w:r>
      <w:r>
        <w:rPr>
          <w:i/>
        </w:rPr>
        <w:t>1:</w:t>
      </w:r>
      <w:r>
        <w:rPr>
          <w:i/>
          <w:spacing w:val="-2"/>
        </w:rPr>
        <w:t> </w:t>
      </w:r>
      <w:r>
        <w:rPr>
          <w:i/>
        </w:rPr>
        <w:t>Deterministic</w:t>
      </w:r>
      <w:r>
        <w:rPr>
          <w:i/>
          <w:spacing w:val="-5"/>
        </w:rPr>
        <w:t> </w:t>
      </w:r>
      <w:r>
        <w:rPr>
          <w:i/>
        </w:rPr>
        <w:t>ERG</w:t>
      </w:r>
      <w:r>
        <w:rPr>
          <w:i/>
          <w:spacing w:val="-1"/>
        </w:rPr>
        <w:t> </w:t>
      </w:r>
      <w:r>
        <w:rPr>
          <w:i/>
        </w:rPr>
        <w:t>base-case</w:t>
      </w:r>
      <w:r>
        <w:rPr>
          <w:i/>
          <w:spacing w:val="-5"/>
        </w:rPr>
        <w:t> </w:t>
      </w:r>
      <w:r>
        <w:rPr>
          <w:i/>
        </w:rPr>
        <w:t>(without</w:t>
      </w:r>
      <w:r>
        <w:rPr>
          <w:i/>
          <w:spacing w:val="-2"/>
        </w:rPr>
        <w:t> </w:t>
      </w:r>
      <w:r>
        <w:rPr>
          <w:i/>
        </w:rPr>
        <w:t>the</w:t>
      </w:r>
      <w:r>
        <w:rPr>
          <w:i/>
          <w:spacing w:val="-6"/>
        </w:rPr>
        <w:t> </w:t>
      </w:r>
      <w:r>
        <w:rPr>
          <w:i/>
        </w:rPr>
        <w:t>fixing</w:t>
      </w:r>
      <w:r>
        <w:rPr>
          <w:i/>
          <w:spacing w:val="-3"/>
        </w:rPr>
        <w:t> </w:t>
      </w:r>
      <w:r>
        <w:rPr>
          <w:i/>
        </w:rPr>
        <w:t>violation</w:t>
      </w:r>
      <w:r>
        <w:rPr>
          <w:i/>
          <w:spacing w:val="-6"/>
        </w:rPr>
        <w:t> </w:t>
      </w:r>
      <w:r>
        <w:rPr>
          <w:i/>
        </w:rPr>
        <w:t>for</w:t>
      </w:r>
      <w:r>
        <w:rPr>
          <w:i/>
          <w:spacing w:val="-4"/>
        </w:rPr>
        <w:t> </w:t>
      </w:r>
      <w:r>
        <w:rPr>
          <w:i/>
        </w:rPr>
        <w:t>post</w:t>
      </w:r>
      <w:r>
        <w:rPr/>
        <w:t> progression health state costs)</w:t>
      </w: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4"/>
        <w:gridCol w:w="1415"/>
        <w:gridCol w:w="1414"/>
        <w:gridCol w:w="1527"/>
        <w:gridCol w:w="1530"/>
        <w:gridCol w:w="1419"/>
      </w:tblGrid>
      <w:tr>
        <w:trPr>
          <w:trHeight w:val="650" w:hRule="atLeast"/>
        </w:trPr>
        <w:tc>
          <w:tcPr>
            <w:tcW w:w="1714" w:type="dxa"/>
            <w:shd w:val="clear" w:color="auto" w:fill="CCC0D9"/>
          </w:tcPr>
          <w:p>
            <w:pPr>
              <w:pStyle w:val="TableParagraph"/>
              <w:spacing w:before="57"/>
              <w:ind w:left="105"/>
              <w:rPr>
                <w:b/>
                <w:sz w:val="22"/>
              </w:rPr>
            </w:pPr>
            <w:r>
              <w:rPr>
                <w:b/>
                <w:spacing w:val="-2"/>
                <w:sz w:val="22"/>
              </w:rPr>
              <w:t>Technologies</w:t>
            </w:r>
          </w:p>
        </w:tc>
        <w:tc>
          <w:tcPr>
            <w:tcW w:w="1415" w:type="dxa"/>
            <w:shd w:val="clear" w:color="auto" w:fill="CCC0D9"/>
          </w:tcPr>
          <w:p>
            <w:pPr>
              <w:pStyle w:val="TableParagraph"/>
              <w:spacing w:line="259" w:lineRule="auto" w:before="57"/>
              <w:ind w:left="595" w:hanging="447"/>
              <w:rPr>
                <w:b/>
                <w:sz w:val="22"/>
              </w:rPr>
            </w:pPr>
            <w:r>
              <w:rPr>
                <w:b/>
                <w:sz w:val="22"/>
              </w:rPr>
              <w:t>Total</w:t>
            </w:r>
            <w:r>
              <w:rPr>
                <w:b/>
                <w:spacing w:val="-16"/>
                <w:sz w:val="22"/>
              </w:rPr>
              <w:t> </w:t>
            </w:r>
            <w:r>
              <w:rPr>
                <w:b/>
                <w:sz w:val="22"/>
              </w:rPr>
              <w:t>costs </w:t>
            </w:r>
            <w:r>
              <w:rPr>
                <w:b/>
                <w:spacing w:val="-4"/>
                <w:sz w:val="22"/>
              </w:rPr>
              <w:t>(£)</w:t>
            </w:r>
          </w:p>
        </w:tc>
        <w:tc>
          <w:tcPr>
            <w:tcW w:w="1414" w:type="dxa"/>
            <w:shd w:val="clear" w:color="auto" w:fill="CCC0D9"/>
          </w:tcPr>
          <w:p>
            <w:pPr>
              <w:pStyle w:val="TableParagraph"/>
              <w:spacing w:line="259" w:lineRule="auto" w:before="57"/>
              <w:ind w:left="339" w:right="321" w:firstLine="103"/>
              <w:rPr>
                <w:b/>
                <w:sz w:val="22"/>
              </w:rPr>
            </w:pPr>
            <w:r>
              <w:rPr>
                <w:b/>
                <w:spacing w:val="-2"/>
                <w:sz w:val="22"/>
              </w:rPr>
              <w:t>Total QALYs</w:t>
            </w:r>
          </w:p>
        </w:tc>
        <w:tc>
          <w:tcPr>
            <w:tcW w:w="1527" w:type="dxa"/>
            <w:shd w:val="clear" w:color="auto" w:fill="CCC0D9"/>
          </w:tcPr>
          <w:p>
            <w:pPr>
              <w:pStyle w:val="TableParagraph"/>
              <w:spacing w:line="259" w:lineRule="auto" w:before="57"/>
              <w:ind w:left="334" w:hanging="166"/>
              <w:rPr>
                <w:b/>
                <w:sz w:val="22"/>
              </w:rPr>
            </w:pPr>
            <w:r>
              <w:rPr>
                <w:b/>
                <w:spacing w:val="-2"/>
                <w:sz w:val="22"/>
              </w:rPr>
              <w:t>Incremental </w:t>
            </w:r>
            <w:r>
              <w:rPr>
                <w:b/>
                <w:sz w:val="22"/>
              </w:rPr>
              <w:t>costs (£)</w:t>
            </w:r>
          </w:p>
        </w:tc>
        <w:tc>
          <w:tcPr>
            <w:tcW w:w="1530" w:type="dxa"/>
            <w:shd w:val="clear" w:color="auto" w:fill="CCC0D9"/>
          </w:tcPr>
          <w:p>
            <w:pPr>
              <w:pStyle w:val="TableParagraph"/>
              <w:spacing w:line="259" w:lineRule="auto" w:before="57"/>
              <w:ind w:left="420" w:hanging="252"/>
              <w:rPr>
                <w:b/>
                <w:sz w:val="22"/>
              </w:rPr>
            </w:pPr>
            <w:r>
              <w:rPr>
                <w:b/>
                <w:spacing w:val="-2"/>
                <w:sz w:val="22"/>
              </w:rPr>
              <w:t>Incremental QALYs</w:t>
            </w:r>
          </w:p>
        </w:tc>
        <w:tc>
          <w:tcPr>
            <w:tcW w:w="1419" w:type="dxa"/>
            <w:shd w:val="clear" w:color="auto" w:fill="CCC0D9"/>
          </w:tcPr>
          <w:p>
            <w:pPr>
              <w:pStyle w:val="TableParagraph"/>
              <w:spacing w:line="259" w:lineRule="auto" w:before="57"/>
              <w:ind w:left="258" w:right="205" w:firstLine="208"/>
              <w:rPr>
                <w:b/>
                <w:sz w:val="22"/>
              </w:rPr>
            </w:pPr>
            <w:r>
              <w:rPr>
                <w:b/>
                <w:spacing w:val="-4"/>
                <w:sz w:val="22"/>
              </w:rPr>
              <w:t>ICER </w:t>
            </w:r>
            <w:r>
              <w:rPr>
                <w:b/>
                <w:spacing w:val="-2"/>
                <w:sz w:val="22"/>
              </w:rPr>
              <w:t>(£/QALY)</w:t>
            </w:r>
          </w:p>
        </w:tc>
      </w:tr>
      <w:tr>
        <w:trPr>
          <w:trHeight w:val="395" w:hRule="atLeast"/>
        </w:trPr>
        <w:tc>
          <w:tcPr>
            <w:tcW w:w="9019" w:type="dxa"/>
            <w:gridSpan w:val="6"/>
            <w:shd w:val="clear" w:color="auto" w:fill="DFD9F3"/>
          </w:tcPr>
          <w:p>
            <w:pPr>
              <w:pStyle w:val="TableParagraph"/>
              <w:spacing w:before="55"/>
              <w:ind w:left="105"/>
              <w:rPr>
                <w:b/>
                <w:sz w:val="22"/>
              </w:rPr>
            </w:pPr>
            <w:r>
              <w:rPr>
                <w:b/>
                <w:sz w:val="22"/>
              </w:rPr>
              <w:t>Original</w:t>
            </w:r>
            <w:r>
              <w:rPr>
                <w:b/>
                <w:spacing w:val="-6"/>
                <w:sz w:val="22"/>
              </w:rPr>
              <w:t> </w:t>
            </w:r>
            <w:r>
              <w:rPr>
                <w:b/>
                <w:sz w:val="22"/>
              </w:rPr>
              <w:t>EAG</w:t>
            </w:r>
            <w:r>
              <w:rPr>
                <w:b/>
                <w:spacing w:val="-4"/>
                <w:sz w:val="22"/>
              </w:rPr>
              <w:t> </w:t>
            </w:r>
            <w:r>
              <w:rPr>
                <w:b/>
                <w:sz w:val="22"/>
              </w:rPr>
              <w:t>base-case</w:t>
            </w:r>
            <w:r>
              <w:rPr>
                <w:b/>
                <w:spacing w:val="-5"/>
                <w:sz w:val="22"/>
              </w:rPr>
              <w:t> </w:t>
            </w:r>
            <w:r>
              <w:rPr>
                <w:b/>
                <w:sz w:val="22"/>
              </w:rPr>
              <w:t>1</w:t>
            </w:r>
            <w:r>
              <w:rPr>
                <w:b/>
                <w:spacing w:val="-6"/>
                <w:sz w:val="22"/>
              </w:rPr>
              <w:t> </w:t>
            </w:r>
            <w:r>
              <w:rPr>
                <w:b/>
                <w:sz w:val="22"/>
              </w:rPr>
              <w:t>(Extrapolation</w:t>
            </w:r>
            <w:r>
              <w:rPr>
                <w:b/>
                <w:spacing w:val="-6"/>
                <w:sz w:val="22"/>
              </w:rPr>
              <w:t> </w:t>
            </w:r>
            <w:r>
              <w:rPr>
                <w:b/>
                <w:sz w:val="22"/>
              </w:rPr>
              <w:t>of</w:t>
            </w:r>
            <w:r>
              <w:rPr>
                <w:b/>
                <w:spacing w:val="-6"/>
                <w:sz w:val="22"/>
              </w:rPr>
              <w:t> </w:t>
            </w:r>
            <w:r>
              <w:rPr>
                <w:b/>
                <w:sz w:val="22"/>
              </w:rPr>
              <w:t>OS</w:t>
            </w:r>
            <w:r>
              <w:rPr>
                <w:b/>
                <w:spacing w:val="-4"/>
                <w:sz w:val="22"/>
              </w:rPr>
              <w:t> </w:t>
            </w:r>
            <w:r>
              <w:rPr>
                <w:b/>
                <w:sz w:val="22"/>
              </w:rPr>
              <w:t>–</w:t>
            </w:r>
            <w:r>
              <w:rPr>
                <w:b/>
                <w:spacing w:val="-5"/>
                <w:sz w:val="22"/>
              </w:rPr>
              <w:t> </w:t>
            </w:r>
            <w:r>
              <w:rPr>
                <w:b/>
                <w:sz w:val="22"/>
              </w:rPr>
              <w:t>generalised</w:t>
            </w:r>
            <w:r>
              <w:rPr>
                <w:b/>
                <w:spacing w:val="-7"/>
                <w:sz w:val="22"/>
              </w:rPr>
              <w:t> </w:t>
            </w:r>
            <w:r>
              <w:rPr>
                <w:b/>
                <w:spacing w:val="-2"/>
                <w:sz w:val="22"/>
              </w:rPr>
              <w:t>gamma)</w:t>
            </w:r>
          </w:p>
        </w:tc>
      </w:tr>
      <w:tr>
        <w:trPr>
          <w:trHeight w:val="398" w:hRule="atLeast"/>
        </w:trPr>
        <w:tc>
          <w:tcPr>
            <w:tcW w:w="1714" w:type="dxa"/>
          </w:tcPr>
          <w:p>
            <w:pPr>
              <w:pStyle w:val="TableParagraph"/>
              <w:spacing w:before="57"/>
              <w:ind w:left="105"/>
              <w:rPr>
                <w:sz w:val="22"/>
              </w:rPr>
            </w:pPr>
            <w:r>
              <w:rPr>
                <w:spacing w:val="-2"/>
                <w:sz w:val="22"/>
              </w:rPr>
              <w:t>Tebentafusp</w:t>
            </w:r>
          </w:p>
        </w:tc>
        <w:tc>
          <w:tcPr>
            <w:tcW w:w="1415" w:type="dxa"/>
          </w:tcPr>
          <w:p>
            <w:pPr>
              <w:pStyle w:val="TableParagraph"/>
              <w:spacing w:before="9"/>
              <w:rPr>
                <w:b/>
                <w:i/>
                <w:sz w:val="4"/>
              </w:rPr>
            </w:pPr>
          </w:p>
          <w:p>
            <w:pPr>
              <w:pStyle w:val="TableParagraph"/>
              <w:ind w:left="428"/>
              <w:rPr>
                <w:sz w:val="20"/>
              </w:rPr>
            </w:pPr>
            <w:r>
              <w:rPr>
                <w:sz w:val="20"/>
              </w:rPr>
              <mc:AlternateContent>
                <mc:Choice Requires="wps">
                  <w:drawing>
                    <wp:inline distT="0" distB="0" distL="0" distR="0">
                      <wp:extent cx="351155" cy="161925"/>
                      <wp:effectExtent l="0" t="0" r="0" b="0"/>
                      <wp:docPr id="2" name="Group 2"/>
                      <wp:cNvGraphicFramePr>
                        <a:graphicFrameLocks/>
                      </wp:cNvGraphicFramePr>
                      <a:graphic>
                        <a:graphicData uri="http://schemas.microsoft.com/office/word/2010/wordprocessingGroup">
                          <wpg:wgp>
                            <wpg:cNvPr id="2" name="Group 2"/>
                            <wpg:cNvGrpSpPr/>
                            <wpg:grpSpPr>
                              <a:xfrm>
                                <a:off x="0" y="0"/>
                                <a:ext cx="351155" cy="161925"/>
                                <a:chExt cx="351155" cy="161925"/>
                              </a:xfrm>
                            </wpg:grpSpPr>
                            <wps:wsp>
                              <wps:cNvPr id="3" name="Graphic 3"/>
                              <wps:cNvSpPr/>
                              <wps:spPr>
                                <a:xfrm>
                                  <a:off x="0" y="0"/>
                                  <a:ext cx="351155" cy="161925"/>
                                </a:xfrm>
                                <a:custGeom>
                                  <a:avLst/>
                                  <a:gdLst/>
                                  <a:ahLst/>
                                  <a:cxnLst/>
                                  <a:rect l="l" t="t" r="r" b="b"/>
                                  <a:pathLst>
                                    <a:path w="351155" h="161925">
                                      <a:moveTo>
                                        <a:pt x="350824" y="0"/>
                                      </a:moveTo>
                                      <a:lnTo>
                                        <a:pt x="0" y="0"/>
                                      </a:lnTo>
                                      <a:lnTo>
                                        <a:pt x="0" y="147828"/>
                                      </a:lnTo>
                                      <a:lnTo>
                                        <a:pt x="0" y="158496"/>
                                      </a:lnTo>
                                      <a:lnTo>
                                        <a:pt x="0" y="161544"/>
                                      </a:lnTo>
                                      <a:lnTo>
                                        <a:pt x="350824" y="161544"/>
                                      </a:lnTo>
                                      <a:lnTo>
                                        <a:pt x="350824" y="158496"/>
                                      </a:lnTo>
                                      <a:lnTo>
                                        <a:pt x="350824" y="147828"/>
                                      </a:lnTo>
                                      <a:lnTo>
                                        <a:pt x="350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5pt;height:12.75pt;mso-position-horizontal-relative:char;mso-position-vertical-relative:line" id="docshapegroup2" coordorigin="0,0" coordsize="553,255">
                      <v:shape style="position:absolute;left:0;top:0;width:553;height:255" id="docshape3" coordorigin="0,0" coordsize="553,255" path="m552,0l0,0,0,233,0,250,0,254,552,254,552,250,552,233,552,0xe" filled="true" fillcolor="#000000" stroked="false">
                        <v:path arrowok="t"/>
                        <v:fill type="solid"/>
                      </v:shape>
                    </v:group>
                  </w:pict>
                </mc:Fallback>
              </mc:AlternateContent>
            </w:r>
            <w:r>
              <w:rPr>
                <w:sz w:val="20"/>
              </w:rPr>
            </w:r>
          </w:p>
        </w:tc>
        <w:tc>
          <w:tcPr>
            <w:tcW w:w="1414" w:type="dxa"/>
          </w:tcPr>
          <w:p>
            <w:pPr>
              <w:pStyle w:val="TableParagraph"/>
              <w:spacing w:before="9"/>
              <w:rPr>
                <w:b/>
                <w:i/>
                <w:sz w:val="4"/>
              </w:rPr>
            </w:pPr>
          </w:p>
          <w:p>
            <w:pPr>
              <w:pStyle w:val="TableParagraph"/>
              <w:ind w:left="430"/>
              <w:rPr>
                <w:sz w:val="20"/>
              </w:rPr>
            </w:pPr>
            <w:r>
              <w:rPr>
                <w:sz w:val="20"/>
              </w:rPr>
              <mc:AlternateContent>
                <mc:Choice Requires="wps">
                  <w:drawing>
                    <wp:inline distT="0" distB="0" distL="0" distR="0">
                      <wp:extent cx="349250" cy="161925"/>
                      <wp:effectExtent l="0" t="0" r="0" b="0"/>
                      <wp:docPr id="4" name="Group 4"/>
                      <wp:cNvGraphicFramePr>
                        <a:graphicFrameLocks/>
                      </wp:cNvGraphicFramePr>
                      <a:graphic>
                        <a:graphicData uri="http://schemas.microsoft.com/office/word/2010/wordprocessingGroup">
                          <wpg:wgp>
                            <wpg:cNvPr id="4" name="Group 4"/>
                            <wpg:cNvGrpSpPr/>
                            <wpg:grpSpPr>
                              <a:xfrm>
                                <a:off x="0" y="0"/>
                                <a:ext cx="349250" cy="161925"/>
                                <a:chExt cx="349250" cy="161925"/>
                              </a:xfrm>
                            </wpg:grpSpPr>
                            <wps:wsp>
                              <wps:cNvPr id="5" name="Graphic 5"/>
                              <wps:cNvSpPr/>
                              <wps:spPr>
                                <a:xfrm>
                                  <a:off x="0" y="0"/>
                                  <a:ext cx="349250" cy="161925"/>
                                </a:xfrm>
                                <a:custGeom>
                                  <a:avLst/>
                                  <a:gdLst/>
                                  <a:ahLst/>
                                  <a:cxnLst/>
                                  <a:rect l="l" t="t" r="r" b="b"/>
                                  <a:pathLst>
                                    <a:path w="349250" h="161925">
                                      <a:moveTo>
                                        <a:pt x="348996" y="0"/>
                                      </a:moveTo>
                                      <a:lnTo>
                                        <a:pt x="0" y="0"/>
                                      </a:lnTo>
                                      <a:lnTo>
                                        <a:pt x="0" y="147828"/>
                                      </a:lnTo>
                                      <a:lnTo>
                                        <a:pt x="0" y="158496"/>
                                      </a:lnTo>
                                      <a:lnTo>
                                        <a:pt x="0" y="161544"/>
                                      </a:lnTo>
                                      <a:lnTo>
                                        <a:pt x="348996" y="161544"/>
                                      </a:lnTo>
                                      <a:lnTo>
                                        <a:pt x="348996" y="158496"/>
                                      </a:lnTo>
                                      <a:lnTo>
                                        <a:pt x="348996" y="147828"/>
                                      </a:lnTo>
                                      <a:lnTo>
                                        <a:pt x="3489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5pt;height:12.75pt;mso-position-horizontal-relative:char;mso-position-vertical-relative:line" id="docshapegroup4" coordorigin="0,0" coordsize="550,255">
                      <v:shape style="position:absolute;left:0;top:0;width:550;height:255" id="docshape5" coordorigin="0,0" coordsize="550,255" path="m550,0l0,0,0,233,0,250,0,254,550,254,550,250,550,233,550,0xe" filled="true" fillcolor="#000000" stroked="false">
                        <v:path arrowok="t"/>
                        <v:fill type="solid"/>
                      </v:shape>
                    </v:group>
                  </w:pict>
                </mc:Fallback>
              </mc:AlternateContent>
            </w:r>
            <w:r>
              <w:rPr>
                <w:sz w:val="20"/>
              </w:rPr>
            </w:r>
          </w:p>
        </w:tc>
        <w:tc>
          <w:tcPr>
            <w:tcW w:w="1527" w:type="dxa"/>
          </w:tcPr>
          <w:p>
            <w:pPr>
              <w:pStyle w:val="TableParagraph"/>
              <w:rPr>
                <w:rFonts w:ascii="Times New Roman"/>
                <w:sz w:val="22"/>
              </w:rPr>
            </w:pPr>
          </w:p>
        </w:tc>
        <w:tc>
          <w:tcPr>
            <w:tcW w:w="1530" w:type="dxa"/>
          </w:tcPr>
          <w:p>
            <w:pPr>
              <w:pStyle w:val="TableParagraph"/>
              <w:rPr>
                <w:rFonts w:ascii="Times New Roman"/>
                <w:sz w:val="22"/>
              </w:rPr>
            </w:pPr>
          </w:p>
        </w:tc>
        <w:tc>
          <w:tcPr>
            <w:tcW w:w="1419" w:type="dxa"/>
          </w:tcPr>
          <w:p>
            <w:pPr>
              <w:pStyle w:val="TableParagraph"/>
              <w:rPr>
                <w:rFonts w:ascii="Times New Roman"/>
                <w:sz w:val="22"/>
              </w:rPr>
            </w:pPr>
          </w:p>
        </w:tc>
      </w:tr>
      <w:tr>
        <w:trPr>
          <w:trHeight w:val="397" w:hRule="atLeast"/>
        </w:trPr>
        <w:tc>
          <w:tcPr>
            <w:tcW w:w="1714" w:type="dxa"/>
          </w:tcPr>
          <w:p>
            <w:pPr>
              <w:pStyle w:val="TableParagraph"/>
              <w:spacing w:before="57"/>
              <w:ind w:left="105"/>
              <w:rPr>
                <w:sz w:val="22"/>
              </w:rPr>
            </w:pPr>
            <w:r>
              <w:rPr>
                <w:spacing w:val="-5"/>
                <w:sz w:val="22"/>
              </w:rPr>
              <w:t>IC</w:t>
            </w:r>
          </w:p>
        </w:tc>
        <w:tc>
          <w:tcPr>
            <w:tcW w:w="1415" w:type="dxa"/>
          </w:tcPr>
          <w:p>
            <w:pPr>
              <w:pStyle w:val="TableParagraph"/>
              <w:spacing w:before="9"/>
              <w:rPr>
                <w:b/>
                <w:i/>
                <w:sz w:val="4"/>
              </w:rPr>
            </w:pPr>
          </w:p>
          <w:p>
            <w:pPr>
              <w:pStyle w:val="TableParagraph"/>
              <w:ind w:left="428"/>
              <w:rPr>
                <w:sz w:val="20"/>
              </w:rPr>
            </w:pPr>
            <w:r>
              <w:rPr>
                <w:sz w:val="20"/>
              </w:rPr>
              <mc:AlternateContent>
                <mc:Choice Requires="wps">
                  <w:drawing>
                    <wp:inline distT="0" distB="0" distL="0" distR="0">
                      <wp:extent cx="349885" cy="161925"/>
                      <wp:effectExtent l="0" t="0" r="0" b="0"/>
                      <wp:docPr id="6" name="Group 6"/>
                      <wp:cNvGraphicFramePr>
                        <a:graphicFrameLocks/>
                      </wp:cNvGraphicFramePr>
                      <a:graphic>
                        <a:graphicData uri="http://schemas.microsoft.com/office/word/2010/wordprocessingGroup">
                          <wpg:wgp>
                            <wpg:cNvPr id="6" name="Group 6"/>
                            <wpg:cNvGrpSpPr/>
                            <wpg:grpSpPr>
                              <a:xfrm>
                                <a:off x="0" y="0"/>
                                <a:ext cx="349885" cy="161925"/>
                                <a:chExt cx="349885" cy="161925"/>
                              </a:xfrm>
                            </wpg:grpSpPr>
                            <wps:wsp>
                              <wps:cNvPr id="7" name="Graphic 7"/>
                              <wps:cNvSpPr/>
                              <wps:spPr>
                                <a:xfrm>
                                  <a:off x="0" y="0"/>
                                  <a:ext cx="349885" cy="161925"/>
                                </a:xfrm>
                                <a:custGeom>
                                  <a:avLst/>
                                  <a:gdLst/>
                                  <a:ahLst/>
                                  <a:cxnLst/>
                                  <a:rect l="l" t="t" r="r" b="b"/>
                                  <a:pathLst>
                                    <a:path w="349885" h="161925">
                                      <a:moveTo>
                                        <a:pt x="349300" y="0"/>
                                      </a:moveTo>
                                      <a:lnTo>
                                        <a:pt x="0" y="0"/>
                                      </a:lnTo>
                                      <a:lnTo>
                                        <a:pt x="0" y="147828"/>
                                      </a:lnTo>
                                      <a:lnTo>
                                        <a:pt x="0" y="158496"/>
                                      </a:lnTo>
                                      <a:lnTo>
                                        <a:pt x="0" y="161544"/>
                                      </a:lnTo>
                                      <a:lnTo>
                                        <a:pt x="349300" y="161544"/>
                                      </a:lnTo>
                                      <a:lnTo>
                                        <a:pt x="349300" y="158496"/>
                                      </a:lnTo>
                                      <a:lnTo>
                                        <a:pt x="349300" y="147828"/>
                                      </a:lnTo>
                                      <a:lnTo>
                                        <a:pt x="349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55pt;height:12.75pt;mso-position-horizontal-relative:char;mso-position-vertical-relative:line" id="docshapegroup6" coordorigin="0,0" coordsize="551,255">
                      <v:shape style="position:absolute;left:0;top:0;width:551;height:255" id="docshape7" coordorigin="0,0" coordsize="551,255" path="m550,0l0,0,0,233,0,250,0,254,550,254,550,250,550,233,550,0xe" filled="true" fillcolor="#000000" stroked="false">
                        <v:path arrowok="t"/>
                        <v:fill type="solid"/>
                      </v:shape>
                    </v:group>
                  </w:pict>
                </mc:Fallback>
              </mc:AlternateContent>
            </w:r>
            <w:r>
              <w:rPr>
                <w:sz w:val="20"/>
              </w:rPr>
            </w:r>
          </w:p>
        </w:tc>
        <w:tc>
          <w:tcPr>
            <w:tcW w:w="1414" w:type="dxa"/>
          </w:tcPr>
          <w:p>
            <w:pPr>
              <w:pStyle w:val="TableParagraph"/>
              <w:spacing w:before="9"/>
              <w:rPr>
                <w:b/>
                <w:i/>
                <w:sz w:val="4"/>
              </w:rPr>
            </w:pPr>
          </w:p>
          <w:p>
            <w:pPr>
              <w:pStyle w:val="TableParagraph"/>
              <w:ind w:left="430"/>
              <w:rPr>
                <w:sz w:val="20"/>
              </w:rPr>
            </w:pPr>
            <w:r>
              <w:rPr>
                <w:sz w:val="20"/>
              </w:rPr>
              <mc:AlternateContent>
                <mc:Choice Requires="wps">
                  <w:drawing>
                    <wp:inline distT="0" distB="0" distL="0" distR="0">
                      <wp:extent cx="350520" cy="161925"/>
                      <wp:effectExtent l="0" t="0" r="0" b="0"/>
                      <wp:docPr id="8" name="Group 8"/>
                      <wp:cNvGraphicFramePr>
                        <a:graphicFrameLocks/>
                      </wp:cNvGraphicFramePr>
                      <a:graphic>
                        <a:graphicData uri="http://schemas.microsoft.com/office/word/2010/wordprocessingGroup">
                          <wpg:wgp>
                            <wpg:cNvPr id="8" name="Group 8"/>
                            <wpg:cNvGrpSpPr/>
                            <wpg:grpSpPr>
                              <a:xfrm>
                                <a:off x="0" y="0"/>
                                <a:ext cx="350520" cy="161925"/>
                                <a:chExt cx="350520" cy="161925"/>
                              </a:xfrm>
                            </wpg:grpSpPr>
                            <wps:wsp>
                              <wps:cNvPr id="9" name="Graphic 9"/>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8" coordorigin="0,0" coordsize="552,255">
                      <v:shape style="position:absolute;left:0;top:0;width:552;height:255" id="docshape9" coordorigin="0,0" coordsize="552,255" path="m552,0l0,0,0,233,0,250,0,254,552,254,552,250,552,233,552,0xe" filled="true" fillcolor="#000000" stroked="false">
                        <v:path arrowok="t"/>
                        <v:fill type="solid"/>
                      </v:shape>
                    </v:group>
                  </w:pict>
                </mc:Fallback>
              </mc:AlternateContent>
            </w:r>
            <w:r>
              <w:rPr>
                <w:sz w:val="20"/>
              </w:rPr>
            </w:r>
          </w:p>
        </w:tc>
        <w:tc>
          <w:tcPr>
            <w:tcW w:w="1527" w:type="dxa"/>
          </w:tcPr>
          <w:p>
            <w:pPr>
              <w:pStyle w:val="TableParagraph"/>
              <w:spacing w:before="9"/>
              <w:rPr>
                <w:b/>
                <w:i/>
                <w:sz w:val="4"/>
              </w:rPr>
            </w:pPr>
          </w:p>
          <w:p>
            <w:pPr>
              <w:pStyle w:val="TableParagraph"/>
              <w:ind w:left="488"/>
              <w:rPr>
                <w:sz w:val="20"/>
              </w:rPr>
            </w:pPr>
            <w:r>
              <w:rPr>
                <w:sz w:val="20"/>
              </w:rPr>
              <mc:AlternateContent>
                <mc:Choice Requires="wps">
                  <w:drawing>
                    <wp:inline distT="0" distB="0" distL="0" distR="0">
                      <wp:extent cx="350520" cy="161925"/>
                      <wp:effectExtent l="0" t="0" r="0" b="0"/>
                      <wp:docPr id="10" name="Group 10"/>
                      <wp:cNvGraphicFramePr>
                        <a:graphicFrameLocks/>
                      </wp:cNvGraphicFramePr>
                      <a:graphic>
                        <a:graphicData uri="http://schemas.microsoft.com/office/word/2010/wordprocessingGroup">
                          <wpg:wgp>
                            <wpg:cNvPr id="10" name="Group 10"/>
                            <wpg:cNvGrpSpPr/>
                            <wpg:grpSpPr>
                              <a:xfrm>
                                <a:off x="0" y="0"/>
                                <a:ext cx="350520" cy="161925"/>
                                <a:chExt cx="350520" cy="161925"/>
                              </a:xfrm>
                            </wpg:grpSpPr>
                            <wps:wsp>
                              <wps:cNvPr id="11" name="Graphic 11"/>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10" coordorigin="0,0" coordsize="552,255">
                      <v:shape style="position:absolute;left:0;top:0;width:552;height:255" id="docshape11" coordorigin="0,0" coordsize="552,255" path="m552,0l0,0,0,233,0,250,0,254,552,254,552,250,552,233,552,0xe" filled="true" fillcolor="#000000" stroked="false">
                        <v:path arrowok="t"/>
                        <v:fill type="solid"/>
                      </v:shape>
                    </v:group>
                  </w:pict>
                </mc:Fallback>
              </mc:AlternateContent>
            </w:r>
            <w:r>
              <w:rPr>
                <w:sz w:val="20"/>
              </w:rPr>
            </w:r>
          </w:p>
        </w:tc>
        <w:tc>
          <w:tcPr>
            <w:tcW w:w="1530" w:type="dxa"/>
          </w:tcPr>
          <w:p>
            <w:pPr>
              <w:pStyle w:val="TableParagraph"/>
              <w:spacing w:before="9"/>
              <w:rPr>
                <w:b/>
                <w:i/>
                <w:sz w:val="4"/>
              </w:rPr>
            </w:pPr>
          </w:p>
          <w:p>
            <w:pPr>
              <w:pStyle w:val="TableParagraph"/>
              <w:ind w:left="487"/>
              <w:rPr>
                <w:sz w:val="20"/>
              </w:rPr>
            </w:pPr>
            <w:r>
              <w:rPr>
                <w:sz w:val="20"/>
              </w:rPr>
              <mc:AlternateContent>
                <mc:Choice Requires="wps">
                  <w:drawing>
                    <wp:inline distT="0" distB="0" distL="0" distR="0">
                      <wp:extent cx="350520" cy="1619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350520" cy="161925"/>
                                <a:chExt cx="350520" cy="161925"/>
                              </a:xfrm>
                            </wpg:grpSpPr>
                            <wps:wsp>
                              <wps:cNvPr id="13" name="Graphic 13"/>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12" coordorigin="0,0" coordsize="552,255">
                      <v:shape style="position:absolute;left:0;top:0;width:552;height:255" id="docshape13" coordorigin="0,0" coordsize="552,255" path="m552,0l0,0,0,233,0,250,0,254,552,254,552,250,552,233,552,0xe" filled="true" fillcolor="#000000" stroked="false">
                        <v:path arrowok="t"/>
                        <v:fill type="solid"/>
                      </v:shape>
                    </v:group>
                  </w:pict>
                </mc:Fallback>
              </mc:AlternateContent>
            </w:r>
            <w:r>
              <w:rPr>
                <w:sz w:val="20"/>
              </w:rPr>
            </w:r>
          </w:p>
        </w:tc>
        <w:tc>
          <w:tcPr>
            <w:tcW w:w="1419" w:type="dxa"/>
          </w:tcPr>
          <w:p>
            <w:pPr>
              <w:pStyle w:val="TableParagraph"/>
              <w:spacing w:before="9"/>
              <w:rPr>
                <w:b/>
                <w:i/>
                <w:sz w:val="4"/>
              </w:rPr>
            </w:pPr>
          </w:p>
          <w:p>
            <w:pPr>
              <w:pStyle w:val="TableParagraph"/>
              <w:ind w:left="431"/>
              <w:rPr>
                <w:sz w:val="20"/>
              </w:rPr>
            </w:pPr>
            <w:r>
              <w:rPr>
                <w:sz w:val="20"/>
              </w:rPr>
              <mc:AlternateContent>
                <mc:Choice Requires="wps">
                  <w:drawing>
                    <wp:inline distT="0" distB="0" distL="0" distR="0">
                      <wp:extent cx="350520" cy="1619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350520" cy="161925"/>
                                <a:chExt cx="350520" cy="161925"/>
                              </a:xfrm>
                            </wpg:grpSpPr>
                            <wps:wsp>
                              <wps:cNvPr id="15" name="Graphic 15"/>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14" coordorigin="0,0" coordsize="552,255">
                      <v:shape style="position:absolute;left:0;top:0;width:552;height:255" id="docshape15" coordorigin="0,0" coordsize="552,255" path="m552,0l0,0,0,233,0,250,0,254,552,254,552,250,552,233,552,0xe" filled="true" fillcolor="#000000" stroked="false">
                        <v:path arrowok="t"/>
                        <v:fill type="solid"/>
                      </v:shape>
                    </v:group>
                  </w:pict>
                </mc:Fallback>
              </mc:AlternateContent>
            </w:r>
            <w:r>
              <w:rPr>
                <w:sz w:val="20"/>
              </w:rPr>
            </w:r>
          </w:p>
        </w:tc>
      </w:tr>
      <w:tr>
        <w:trPr>
          <w:trHeight w:val="395" w:hRule="atLeast"/>
        </w:trPr>
        <w:tc>
          <w:tcPr>
            <w:tcW w:w="9019" w:type="dxa"/>
            <w:gridSpan w:val="6"/>
            <w:shd w:val="clear" w:color="auto" w:fill="DFD9F3"/>
          </w:tcPr>
          <w:p>
            <w:pPr>
              <w:pStyle w:val="TableParagraph"/>
              <w:spacing w:before="57"/>
              <w:ind w:left="105"/>
              <w:rPr>
                <w:b/>
                <w:sz w:val="22"/>
              </w:rPr>
            </w:pPr>
            <w:r>
              <w:rPr>
                <w:b/>
                <w:sz w:val="22"/>
              </w:rPr>
              <w:t>Original</w:t>
            </w:r>
            <w:r>
              <w:rPr>
                <w:b/>
                <w:spacing w:val="-5"/>
                <w:sz w:val="22"/>
              </w:rPr>
              <w:t> </w:t>
            </w:r>
            <w:r>
              <w:rPr>
                <w:b/>
                <w:sz w:val="22"/>
              </w:rPr>
              <w:t>EAG</w:t>
            </w:r>
            <w:r>
              <w:rPr>
                <w:b/>
                <w:spacing w:val="-2"/>
                <w:sz w:val="22"/>
              </w:rPr>
              <w:t> </w:t>
            </w:r>
            <w:r>
              <w:rPr>
                <w:b/>
                <w:sz w:val="22"/>
              </w:rPr>
              <w:t>base-case</w:t>
            </w:r>
            <w:r>
              <w:rPr>
                <w:b/>
                <w:spacing w:val="-5"/>
                <w:sz w:val="22"/>
              </w:rPr>
              <w:t> </w:t>
            </w:r>
            <w:r>
              <w:rPr>
                <w:b/>
                <w:sz w:val="22"/>
              </w:rPr>
              <w:t>2</w:t>
            </w:r>
            <w:r>
              <w:rPr>
                <w:b/>
                <w:spacing w:val="-5"/>
                <w:sz w:val="22"/>
              </w:rPr>
              <w:t> </w:t>
            </w:r>
            <w:r>
              <w:rPr>
                <w:b/>
                <w:sz w:val="22"/>
              </w:rPr>
              <w:t>(Extrapolation</w:t>
            </w:r>
            <w:r>
              <w:rPr>
                <w:b/>
                <w:spacing w:val="-4"/>
                <w:sz w:val="22"/>
              </w:rPr>
              <w:t> </w:t>
            </w:r>
            <w:r>
              <w:rPr>
                <w:b/>
                <w:sz w:val="22"/>
              </w:rPr>
              <w:t>of</w:t>
            </w:r>
            <w:r>
              <w:rPr>
                <w:b/>
                <w:spacing w:val="-6"/>
                <w:sz w:val="22"/>
              </w:rPr>
              <w:t> </w:t>
            </w:r>
            <w:r>
              <w:rPr>
                <w:b/>
                <w:sz w:val="22"/>
              </w:rPr>
              <w:t>OS</w:t>
            </w:r>
            <w:r>
              <w:rPr>
                <w:b/>
                <w:spacing w:val="-2"/>
                <w:sz w:val="22"/>
              </w:rPr>
              <w:t> </w:t>
            </w:r>
            <w:r>
              <w:rPr>
                <w:b/>
                <w:sz w:val="22"/>
              </w:rPr>
              <w:t>–</w:t>
            </w:r>
            <w:r>
              <w:rPr>
                <w:b/>
                <w:spacing w:val="-5"/>
                <w:sz w:val="22"/>
              </w:rPr>
              <w:t> </w:t>
            </w:r>
            <w:r>
              <w:rPr>
                <w:b/>
                <w:sz w:val="22"/>
              </w:rPr>
              <w:t>log</w:t>
            </w:r>
            <w:r>
              <w:rPr>
                <w:b/>
                <w:spacing w:val="-8"/>
                <w:sz w:val="22"/>
              </w:rPr>
              <w:t> </w:t>
            </w:r>
            <w:r>
              <w:rPr>
                <w:b/>
                <w:spacing w:val="-2"/>
                <w:sz w:val="22"/>
              </w:rPr>
              <w:t>logistic)</w:t>
            </w:r>
          </w:p>
        </w:tc>
      </w:tr>
      <w:tr>
        <w:trPr>
          <w:trHeight w:val="398" w:hRule="atLeast"/>
        </w:trPr>
        <w:tc>
          <w:tcPr>
            <w:tcW w:w="1714" w:type="dxa"/>
          </w:tcPr>
          <w:p>
            <w:pPr>
              <w:pStyle w:val="TableParagraph"/>
              <w:spacing w:before="55"/>
              <w:ind w:left="105"/>
              <w:rPr>
                <w:sz w:val="22"/>
              </w:rPr>
            </w:pPr>
            <w:r>
              <w:rPr>
                <w:spacing w:val="-2"/>
                <w:sz w:val="22"/>
              </w:rPr>
              <w:t>Tebentafusp</w:t>
            </w:r>
          </w:p>
        </w:tc>
        <w:tc>
          <w:tcPr>
            <w:tcW w:w="1415" w:type="dxa"/>
          </w:tcPr>
          <w:p>
            <w:pPr>
              <w:pStyle w:val="TableParagraph"/>
              <w:spacing w:before="6"/>
              <w:rPr>
                <w:b/>
                <w:i/>
                <w:sz w:val="4"/>
              </w:rPr>
            </w:pPr>
          </w:p>
          <w:p>
            <w:pPr>
              <w:pStyle w:val="TableParagraph"/>
              <w:ind w:left="428"/>
              <w:rPr>
                <w:sz w:val="20"/>
              </w:rPr>
            </w:pPr>
            <w:r>
              <w:rPr>
                <w:sz w:val="20"/>
              </w:rPr>
              <mc:AlternateContent>
                <mc:Choice Requires="wps">
                  <w:drawing>
                    <wp:inline distT="0" distB="0" distL="0" distR="0">
                      <wp:extent cx="351155" cy="161925"/>
                      <wp:effectExtent l="0" t="0" r="0" b="0"/>
                      <wp:docPr id="16" name="Group 16"/>
                      <wp:cNvGraphicFramePr>
                        <a:graphicFrameLocks/>
                      </wp:cNvGraphicFramePr>
                      <a:graphic>
                        <a:graphicData uri="http://schemas.microsoft.com/office/word/2010/wordprocessingGroup">
                          <wpg:wgp>
                            <wpg:cNvPr id="16" name="Group 16"/>
                            <wpg:cNvGrpSpPr/>
                            <wpg:grpSpPr>
                              <a:xfrm>
                                <a:off x="0" y="0"/>
                                <a:ext cx="351155" cy="161925"/>
                                <a:chExt cx="351155" cy="161925"/>
                              </a:xfrm>
                            </wpg:grpSpPr>
                            <wps:wsp>
                              <wps:cNvPr id="17" name="Graphic 17"/>
                              <wps:cNvSpPr/>
                              <wps:spPr>
                                <a:xfrm>
                                  <a:off x="0" y="0"/>
                                  <a:ext cx="351155" cy="161925"/>
                                </a:xfrm>
                                <a:custGeom>
                                  <a:avLst/>
                                  <a:gdLst/>
                                  <a:ahLst/>
                                  <a:cxnLst/>
                                  <a:rect l="l" t="t" r="r" b="b"/>
                                  <a:pathLst>
                                    <a:path w="351155" h="161925">
                                      <a:moveTo>
                                        <a:pt x="350824" y="0"/>
                                      </a:moveTo>
                                      <a:lnTo>
                                        <a:pt x="0" y="0"/>
                                      </a:lnTo>
                                      <a:lnTo>
                                        <a:pt x="0" y="147828"/>
                                      </a:lnTo>
                                      <a:lnTo>
                                        <a:pt x="0" y="158496"/>
                                      </a:lnTo>
                                      <a:lnTo>
                                        <a:pt x="0" y="161544"/>
                                      </a:lnTo>
                                      <a:lnTo>
                                        <a:pt x="350824" y="161544"/>
                                      </a:lnTo>
                                      <a:lnTo>
                                        <a:pt x="350824" y="158496"/>
                                      </a:lnTo>
                                      <a:lnTo>
                                        <a:pt x="350824" y="147828"/>
                                      </a:lnTo>
                                      <a:lnTo>
                                        <a:pt x="350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5pt;height:12.75pt;mso-position-horizontal-relative:char;mso-position-vertical-relative:line" id="docshapegroup16" coordorigin="0,0" coordsize="553,255">
                      <v:shape style="position:absolute;left:0;top:0;width:553;height:255" id="docshape17" coordorigin="0,0" coordsize="553,255" path="m552,0l0,0,0,233,0,250,0,254,552,254,552,250,552,233,552,0xe" filled="true" fillcolor="#000000" stroked="false">
                        <v:path arrowok="t"/>
                        <v:fill type="solid"/>
                      </v:shape>
                    </v:group>
                  </w:pict>
                </mc:Fallback>
              </mc:AlternateContent>
            </w:r>
            <w:r>
              <w:rPr>
                <w:sz w:val="20"/>
              </w:rPr>
            </w:r>
          </w:p>
        </w:tc>
        <w:tc>
          <w:tcPr>
            <w:tcW w:w="1414" w:type="dxa"/>
          </w:tcPr>
          <w:p>
            <w:pPr>
              <w:pStyle w:val="TableParagraph"/>
              <w:spacing w:before="6"/>
              <w:rPr>
                <w:b/>
                <w:i/>
                <w:sz w:val="4"/>
              </w:rPr>
            </w:pPr>
          </w:p>
          <w:p>
            <w:pPr>
              <w:pStyle w:val="TableParagraph"/>
              <w:ind w:left="430"/>
              <w:rPr>
                <w:sz w:val="20"/>
              </w:rPr>
            </w:pPr>
            <w:r>
              <w:rPr>
                <w:sz w:val="20"/>
              </w:rPr>
              <mc:AlternateContent>
                <mc:Choice Requires="wps">
                  <w:drawing>
                    <wp:inline distT="0" distB="0" distL="0" distR="0">
                      <wp:extent cx="350520" cy="161925"/>
                      <wp:effectExtent l="0" t="0" r="0" b="0"/>
                      <wp:docPr id="18" name="Group 18"/>
                      <wp:cNvGraphicFramePr>
                        <a:graphicFrameLocks/>
                      </wp:cNvGraphicFramePr>
                      <a:graphic>
                        <a:graphicData uri="http://schemas.microsoft.com/office/word/2010/wordprocessingGroup">
                          <wpg:wgp>
                            <wpg:cNvPr id="18" name="Group 18"/>
                            <wpg:cNvGrpSpPr/>
                            <wpg:grpSpPr>
                              <a:xfrm>
                                <a:off x="0" y="0"/>
                                <a:ext cx="350520" cy="161925"/>
                                <a:chExt cx="350520" cy="161925"/>
                              </a:xfrm>
                            </wpg:grpSpPr>
                            <wps:wsp>
                              <wps:cNvPr id="19" name="Graphic 19"/>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18" coordorigin="0,0" coordsize="552,255">
                      <v:shape style="position:absolute;left:0;top:0;width:552;height:255" id="docshape19" coordorigin="0,0" coordsize="552,255" path="m552,0l0,0,0,233,0,250,0,254,552,254,552,250,552,233,552,0xe" filled="true" fillcolor="#000000" stroked="false">
                        <v:path arrowok="t"/>
                        <v:fill type="solid"/>
                      </v:shape>
                    </v:group>
                  </w:pict>
                </mc:Fallback>
              </mc:AlternateContent>
            </w:r>
            <w:r>
              <w:rPr>
                <w:sz w:val="20"/>
              </w:rPr>
            </w:r>
          </w:p>
        </w:tc>
        <w:tc>
          <w:tcPr>
            <w:tcW w:w="1527" w:type="dxa"/>
          </w:tcPr>
          <w:p>
            <w:pPr>
              <w:pStyle w:val="TableParagraph"/>
              <w:spacing w:before="6"/>
              <w:rPr>
                <w:b/>
                <w:i/>
                <w:sz w:val="4"/>
              </w:rPr>
            </w:pPr>
          </w:p>
          <w:p>
            <w:pPr>
              <w:pStyle w:val="TableParagraph"/>
              <w:ind w:left="514"/>
              <w:rPr>
                <w:sz w:val="20"/>
              </w:rPr>
            </w:pPr>
            <w:r>
              <w:rPr>
                <w:sz w:val="20"/>
              </w:rPr>
              <mc:AlternateContent>
                <mc:Choice Requires="wps">
                  <w:drawing>
                    <wp:inline distT="0" distB="0" distL="0" distR="0">
                      <wp:extent cx="350520" cy="161925"/>
                      <wp:effectExtent l="0" t="0" r="0" b="0"/>
                      <wp:docPr id="20" name="Group 20"/>
                      <wp:cNvGraphicFramePr>
                        <a:graphicFrameLocks/>
                      </wp:cNvGraphicFramePr>
                      <a:graphic>
                        <a:graphicData uri="http://schemas.microsoft.com/office/word/2010/wordprocessingGroup">
                          <wpg:wgp>
                            <wpg:cNvPr id="20" name="Group 20"/>
                            <wpg:cNvGrpSpPr/>
                            <wpg:grpSpPr>
                              <a:xfrm>
                                <a:off x="0" y="0"/>
                                <a:ext cx="350520" cy="161925"/>
                                <a:chExt cx="350520" cy="161925"/>
                              </a:xfrm>
                            </wpg:grpSpPr>
                            <wps:wsp>
                              <wps:cNvPr id="21" name="Graphic 21"/>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20" coordorigin="0,0" coordsize="552,255">
                      <v:shape style="position:absolute;left:0;top:0;width:552;height:255" id="docshape21" coordorigin="0,0" coordsize="552,255" path="m552,0l0,0,0,233,0,250,0,254,552,254,552,250,552,233,552,0xe" filled="true" fillcolor="#000000" stroked="false">
                        <v:path arrowok="t"/>
                        <v:fill type="solid"/>
                      </v:shape>
                    </v:group>
                  </w:pict>
                </mc:Fallback>
              </mc:AlternateContent>
            </w:r>
            <w:r>
              <w:rPr>
                <w:sz w:val="20"/>
              </w:rPr>
            </w:r>
          </w:p>
        </w:tc>
        <w:tc>
          <w:tcPr>
            <w:tcW w:w="1530" w:type="dxa"/>
          </w:tcPr>
          <w:p>
            <w:pPr>
              <w:pStyle w:val="TableParagraph"/>
              <w:spacing w:before="6"/>
              <w:rPr>
                <w:b/>
                <w:i/>
                <w:sz w:val="4"/>
              </w:rPr>
            </w:pPr>
          </w:p>
          <w:p>
            <w:pPr>
              <w:pStyle w:val="TableParagraph"/>
              <w:ind w:left="513"/>
              <w:rPr>
                <w:sz w:val="20"/>
              </w:rPr>
            </w:pPr>
            <w:r>
              <w:rPr>
                <w:sz w:val="20"/>
              </w:rPr>
              <mc:AlternateContent>
                <mc:Choice Requires="wps">
                  <w:drawing>
                    <wp:inline distT="0" distB="0" distL="0" distR="0">
                      <wp:extent cx="350520" cy="161925"/>
                      <wp:effectExtent l="0" t="0" r="0" b="0"/>
                      <wp:docPr id="22" name="Group 22"/>
                      <wp:cNvGraphicFramePr>
                        <a:graphicFrameLocks/>
                      </wp:cNvGraphicFramePr>
                      <a:graphic>
                        <a:graphicData uri="http://schemas.microsoft.com/office/word/2010/wordprocessingGroup">
                          <wpg:wgp>
                            <wpg:cNvPr id="22" name="Group 22"/>
                            <wpg:cNvGrpSpPr/>
                            <wpg:grpSpPr>
                              <a:xfrm>
                                <a:off x="0" y="0"/>
                                <a:ext cx="350520" cy="161925"/>
                                <a:chExt cx="350520" cy="161925"/>
                              </a:xfrm>
                            </wpg:grpSpPr>
                            <wps:wsp>
                              <wps:cNvPr id="23" name="Graphic 23"/>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22" coordorigin="0,0" coordsize="552,255">
                      <v:shape style="position:absolute;left:0;top:0;width:552;height:255" id="docshape23" coordorigin="0,0" coordsize="552,255" path="m552,0l0,0,0,233,0,250,0,254,552,254,552,250,552,233,552,0xe" filled="true" fillcolor="#000000" stroked="false">
                        <v:path arrowok="t"/>
                        <v:fill type="solid"/>
                      </v:shape>
                    </v:group>
                  </w:pict>
                </mc:Fallback>
              </mc:AlternateContent>
            </w:r>
            <w:r>
              <w:rPr>
                <w:sz w:val="20"/>
              </w:rPr>
            </w:r>
          </w:p>
        </w:tc>
        <w:tc>
          <w:tcPr>
            <w:tcW w:w="1419" w:type="dxa"/>
          </w:tcPr>
          <w:p>
            <w:pPr>
              <w:pStyle w:val="TableParagraph"/>
              <w:spacing w:before="6"/>
              <w:rPr>
                <w:b/>
                <w:i/>
                <w:sz w:val="4"/>
              </w:rPr>
            </w:pPr>
          </w:p>
          <w:p>
            <w:pPr>
              <w:pStyle w:val="TableParagraph"/>
              <w:ind w:left="458"/>
              <w:rPr>
                <w:sz w:val="20"/>
              </w:rPr>
            </w:pPr>
            <w:r>
              <w:rPr>
                <w:sz w:val="20"/>
              </w:rPr>
              <mc:AlternateContent>
                <mc:Choice Requires="wps">
                  <w:drawing>
                    <wp:inline distT="0" distB="0" distL="0" distR="0">
                      <wp:extent cx="350520" cy="161925"/>
                      <wp:effectExtent l="0" t="0" r="0" b="0"/>
                      <wp:docPr id="24" name="Group 24"/>
                      <wp:cNvGraphicFramePr>
                        <a:graphicFrameLocks/>
                      </wp:cNvGraphicFramePr>
                      <a:graphic>
                        <a:graphicData uri="http://schemas.microsoft.com/office/word/2010/wordprocessingGroup">
                          <wpg:wgp>
                            <wpg:cNvPr id="24" name="Group 24"/>
                            <wpg:cNvGrpSpPr/>
                            <wpg:grpSpPr>
                              <a:xfrm>
                                <a:off x="0" y="0"/>
                                <a:ext cx="350520" cy="161925"/>
                                <a:chExt cx="350520" cy="161925"/>
                              </a:xfrm>
                            </wpg:grpSpPr>
                            <wps:wsp>
                              <wps:cNvPr id="25" name="Graphic 25"/>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24" coordorigin="0,0" coordsize="552,255">
                      <v:shape style="position:absolute;left:0;top:0;width:552;height:255" id="docshape25" coordorigin="0,0" coordsize="552,255" path="m552,0l0,0,0,233,0,250,0,254,552,254,552,250,552,233,552,0xe" filled="true" fillcolor="#000000" stroked="false">
                        <v:path arrowok="t"/>
                        <v:fill type="solid"/>
                      </v:shape>
                    </v:group>
                  </w:pict>
                </mc:Fallback>
              </mc:AlternateContent>
            </w:r>
            <w:r>
              <w:rPr>
                <w:sz w:val="20"/>
              </w:rPr>
            </w:r>
          </w:p>
        </w:tc>
      </w:tr>
      <w:tr>
        <w:trPr>
          <w:trHeight w:val="397" w:hRule="atLeast"/>
        </w:trPr>
        <w:tc>
          <w:tcPr>
            <w:tcW w:w="1714" w:type="dxa"/>
          </w:tcPr>
          <w:p>
            <w:pPr>
              <w:pStyle w:val="TableParagraph"/>
              <w:spacing w:before="55"/>
              <w:ind w:left="105"/>
              <w:rPr>
                <w:sz w:val="22"/>
              </w:rPr>
            </w:pPr>
            <w:r>
              <w:rPr>
                <w:spacing w:val="-5"/>
                <w:sz w:val="22"/>
              </w:rPr>
              <w:t>IC</w:t>
            </w:r>
          </w:p>
        </w:tc>
        <w:tc>
          <w:tcPr>
            <w:tcW w:w="1415" w:type="dxa"/>
          </w:tcPr>
          <w:p>
            <w:pPr>
              <w:pStyle w:val="TableParagraph"/>
              <w:spacing w:before="6"/>
              <w:rPr>
                <w:b/>
                <w:i/>
                <w:sz w:val="4"/>
              </w:rPr>
            </w:pPr>
          </w:p>
          <w:p>
            <w:pPr>
              <w:pStyle w:val="TableParagraph"/>
              <w:ind w:left="428"/>
              <w:rPr>
                <w:sz w:val="20"/>
              </w:rPr>
            </w:pPr>
            <w:r>
              <w:rPr>
                <w:sz w:val="20"/>
              </w:rPr>
              <mc:AlternateContent>
                <mc:Choice Requires="wps">
                  <w:drawing>
                    <wp:inline distT="0" distB="0" distL="0" distR="0">
                      <wp:extent cx="351155" cy="161925"/>
                      <wp:effectExtent l="0" t="0" r="0" b="0"/>
                      <wp:docPr id="26" name="Group 26"/>
                      <wp:cNvGraphicFramePr>
                        <a:graphicFrameLocks/>
                      </wp:cNvGraphicFramePr>
                      <a:graphic>
                        <a:graphicData uri="http://schemas.microsoft.com/office/word/2010/wordprocessingGroup">
                          <wpg:wgp>
                            <wpg:cNvPr id="26" name="Group 26"/>
                            <wpg:cNvGrpSpPr/>
                            <wpg:grpSpPr>
                              <a:xfrm>
                                <a:off x="0" y="0"/>
                                <a:ext cx="351155" cy="161925"/>
                                <a:chExt cx="351155" cy="161925"/>
                              </a:xfrm>
                            </wpg:grpSpPr>
                            <wps:wsp>
                              <wps:cNvPr id="27" name="Graphic 27"/>
                              <wps:cNvSpPr/>
                              <wps:spPr>
                                <a:xfrm>
                                  <a:off x="0" y="0"/>
                                  <a:ext cx="351155" cy="161925"/>
                                </a:xfrm>
                                <a:custGeom>
                                  <a:avLst/>
                                  <a:gdLst/>
                                  <a:ahLst/>
                                  <a:cxnLst/>
                                  <a:rect l="l" t="t" r="r" b="b"/>
                                  <a:pathLst>
                                    <a:path w="351155" h="161925">
                                      <a:moveTo>
                                        <a:pt x="350824" y="0"/>
                                      </a:moveTo>
                                      <a:lnTo>
                                        <a:pt x="0" y="0"/>
                                      </a:lnTo>
                                      <a:lnTo>
                                        <a:pt x="0" y="147840"/>
                                      </a:lnTo>
                                      <a:lnTo>
                                        <a:pt x="0" y="158496"/>
                                      </a:lnTo>
                                      <a:lnTo>
                                        <a:pt x="0" y="161544"/>
                                      </a:lnTo>
                                      <a:lnTo>
                                        <a:pt x="350824" y="161544"/>
                                      </a:lnTo>
                                      <a:lnTo>
                                        <a:pt x="350824" y="158496"/>
                                      </a:lnTo>
                                      <a:lnTo>
                                        <a:pt x="350824" y="147840"/>
                                      </a:lnTo>
                                      <a:lnTo>
                                        <a:pt x="350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5pt;height:12.75pt;mso-position-horizontal-relative:char;mso-position-vertical-relative:line" id="docshapegroup26" coordorigin="0,0" coordsize="553,255">
                      <v:shape style="position:absolute;left:0;top:0;width:553;height:255" id="docshape27" coordorigin="0,0" coordsize="553,255" path="m552,0l0,0,0,233,0,250,0,254,552,254,552,250,552,233,552,0xe" filled="true" fillcolor="#000000" stroked="false">
                        <v:path arrowok="t"/>
                        <v:fill type="solid"/>
                      </v:shape>
                    </v:group>
                  </w:pict>
                </mc:Fallback>
              </mc:AlternateContent>
            </w:r>
            <w:r>
              <w:rPr>
                <w:sz w:val="20"/>
              </w:rPr>
            </w:r>
          </w:p>
        </w:tc>
        <w:tc>
          <w:tcPr>
            <w:tcW w:w="1414" w:type="dxa"/>
          </w:tcPr>
          <w:p>
            <w:pPr>
              <w:pStyle w:val="TableParagraph"/>
              <w:spacing w:before="6"/>
              <w:rPr>
                <w:b/>
                <w:i/>
                <w:sz w:val="4"/>
              </w:rPr>
            </w:pPr>
          </w:p>
          <w:p>
            <w:pPr>
              <w:pStyle w:val="TableParagraph"/>
              <w:ind w:left="430"/>
              <w:rPr>
                <w:sz w:val="20"/>
              </w:rPr>
            </w:pPr>
            <w:r>
              <w:rPr>
                <w:sz w:val="20"/>
              </w:rPr>
              <mc:AlternateContent>
                <mc:Choice Requires="wps">
                  <w:drawing>
                    <wp:inline distT="0" distB="0" distL="0" distR="0">
                      <wp:extent cx="350520" cy="161925"/>
                      <wp:effectExtent l="0" t="0" r="0" b="0"/>
                      <wp:docPr id="28" name="Group 28"/>
                      <wp:cNvGraphicFramePr>
                        <a:graphicFrameLocks/>
                      </wp:cNvGraphicFramePr>
                      <a:graphic>
                        <a:graphicData uri="http://schemas.microsoft.com/office/word/2010/wordprocessingGroup">
                          <wpg:wgp>
                            <wpg:cNvPr id="28" name="Group 28"/>
                            <wpg:cNvGrpSpPr/>
                            <wpg:grpSpPr>
                              <a:xfrm>
                                <a:off x="0" y="0"/>
                                <a:ext cx="350520" cy="161925"/>
                                <a:chExt cx="350520" cy="161925"/>
                              </a:xfrm>
                            </wpg:grpSpPr>
                            <wps:wsp>
                              <wps:cNvPr id="29" name="Graphic 29"/>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28" coordorigin="0,0" coordsize="552,255">
                      <v:shape style="position:absolute;left:0;top:0;width:552;height:255" id="docshape29" coordorigin="0,0" coordsize="552,255" path="m552,0l0,0,0,233,0,250,0,254,552,254,552,250,552,233,552,0xe" filled="true" fillcolor="#000000" stroked="false">
                        <v:path arrowok="t"/>
                        <v:fill type="solid"/>
                      </v:shape>
                    </v:group>
                  </w:pict>
                </mc:Fallback>
              </mc:AlternateContent>
            </w:r>
            <w:r>
              <w:rPr>
                <w:sz w:val="20"/>
              </w:rPr>
            </w:r>
          </w:p>
        </w:tc>
        <w:tc>
          <w:tcPr>
            <w:tcW w:w="1527" w:type="dxa"/>
          </w:tcPr>
          <w:p>
            <w:pPr>
              <w:pStyle w:val="TableParagraph"/>
              <w:spacing w:before="6"/>
              <w:rPr>
                <w:b/>
                <w:i/>
                <w:sz w:val="4"/>
              </w:rPr>
            </w:pPr>
          </w:p>
          <w:p>
            <w:pPr>
              <w:pStyle w:val="TableParagraph"/>
              <w:ind w:left="488"/>
              <w:rPr>
                <w:sz w:val="20"/>
              </w:rPr>
            </w:pPr>
            <w:r>
              <w:rPr>
                <w:sz w:val="20"/>
              </w:rPr>
              <mc:AlternateContent>
                <mc:Choice Requires="wps">
                  <w:drawing>
                    <wp:inline distT="0" distB="0" distL="0" distR="0">
                      <wp:extent cx="350520" cy="161925"/>
                      <wp:effectExtent l="0" t="0" r="0" b="0"/>
                      <wp:docPr id="30" name="Group 30"/>
                      <wp:cNvGraphicFramePr>
                        <a:graphicFrameLocks/>
                      </wp:cNvGraphicFramePr>
                      <a:graphic>
                        <a:graphicData uri="http://schemas.microsoft.com/office/word/2010/wordprocessingGroup">
                          <wpg:wgp>
                            <wpg:cNvPr id="30" name="Group 30"/>
                            <wpg:cNvGrpSpPr/>
                            <wpg:grpSpPr>
                              <a:xfrm>
                                <a:off x="0" y="0"/>
                                <a:ext cx="350520" cy="161925"/>
                                <a:chExt cx="350520" cy="161925"/>
                              </a:xfrm>
                            </wpg:grpSpPr>
                            <wps:wsp>
                              <wps:cNvPr id="31" name="Graphic 31"/>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30" coordorigin="0,0" coordsize="552,255">
                      <v:shape style="position:absolute;left:0;top:0;width:552;height:255" id="docshape31" coordorigin="0,0" coordsize="552,255" path="m552,0l0,0,0,233,0,250,0,254,552,254,552,250,552,233,552,0xe" filled="true" fillcolor="#000000" stroked="false">
                        <v:path arrowok="t"/>
                        <v:fill type="solid"/>
                      </v:shape>
                    </v:group>
                  </w:pict>
                </mc:Fallback>
              </mc:AlternateContent>
            </w:r>
            <w:r>
              <w:rPr>
                <w:sz w:val="20"/>
              </w:rPr>
            </w:r>
          </w:p>
        </w:tc>
        <w:tc>
          <w:tcPr>
            <w:tcW w:w="1530" w:type="dxa"/>
          </w:tcPr>
          <w:p>
            <w:pPr>
              <w:pStyle w:val="TableParagraph"/>
              <w:spacing w:before="6"/>
              <w:rPr>
                <w:b/>
                <w:i/>
                <w:sz w:val="4"/>
              </w:rPr>
            </w:pPr>
          </w:p>
          <w:p>
            <w:pPr>
              <w:pStyle w:val="TableParagraph"/>
              <w:ind w:left="487"/>
              <w:rPr>
                <w:sz w:val="20"/>
              </w:rPr>
            </w:pPr>
            <w:r>
              <w:rPr>
                <w:sz w:val="20"/>
              </w:rPr>
              <mc:AlternateContent>
                <mc:Choice Requires="wps">
                  <w:drawing>
                    <wp:inline distT="0" distB="0" distL="0" distR="0">
                      <wp:extent cx="350520" cy="161925"/>
                      <wp:effectExtent l="0" t="0" r="0" b="0"/>
                      <wp:docPr id="32" name="Group 32"/>
                      <wp:cNvGraphicFramePr>
                        <a:graphicFrameLocks/>
                      </wp:cNvGraphicFramePr>
                      <a:graphic>
                        <a:graphicData uri="http://schemas.microsoft.com/office/word/2010/wordprocessingGroup">
                          <wpg:wgp>
                            <wpg:cNvPr id="32" name="Group 32"/>
                            <wpg:cNvGrpSpPr/>
                            <wpg:grpSpPr>
                              <a:xfrm>
                                <a:off x="0" y="0"/>
                                <a:ext cx="350520" cy="161925"/>
                                <a:chExt cx="350520" cy="161925"/>
                              </a:xfrm>
                            </wpg:grpSpPr>
                            <wps:wsp>
                              <wps:cNvPr id="33" name="Graphic 33"/>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32" coordorigin="0,0" coordsize="552,255">
                      <v:shape style="position:absolute;left:0;top:0;width:552;height:255" id="docshape33" coordorigin="0,0" coordsize="552,255" path="m552,0l0,0,0,233,0,250,0,254,552,254,552,250,552,233,552,0xe" filled="true" fillcolor="#000000" stroked="false">
                        <v:path arrowok="t"/>
                        <v:fill type="solid"/>
                      </v:shape>
                    </v:group>
                  </w:pict>
                </mc:Fallback>
              </mc:AlternateContent>
            </w:r>
            <w:r>
              <w:rPr>
                <w:sz w:val="20"/>
              </w:rPr>
            </w:r>
          </w:p>
        </w:tc>
        <w:tc>
          <w:tcPr>
            <w:tcW w:w="1419" w:type="dxa"/>
          </w:tcPr>
          <w:p>
            <w:pPr>
              <w:pStyle w:val="TableParagraph"/>
              <w:spacing w:before="6"/>
              <w:rPr>
                <w:b/>
                <w:i/>
                <w:sz w:val="4"/>
              </w:rPr>
            </w:pPr>
          </w:p>
          <w:p>
            <w:pPr>
              <w:pStyle w:val="TableParagraph"/>
              <w:ind w:left="431"/>
              <w:rPr>
                <w:sz w:val="20"/>
              </w:rPr>
            </w:pPr>
            <w:r>
              <w:rPr>
                <w:sz w:val="20"/>
              </w:rPr>
              <mc:AlternateContent>
                <mc:Choice Requires="wps">
                  <w:drawing>
                    <wp:inline distT="0" distB="0" distL="0" distR="0">
                      <wp:extent cx="350520" cy="161925"/>
                      <wp:effectExtent l="0" t="0" r="0" b="0"/>
                      <wp:docPr id="34" name="Group 34"/>
                      <wp:cNvGraphicFramePr>
                        <a:graphicFrameLocks/>
                      </wp:cNvGraphicFramePr>
                      <a:graphic>
                        <a:graphicData uri="http://schemas.microsoft.com/office/word/2010/wordprocessingGroup">
                          <wpg:wgp>
                            <wpg:cNvPr id="34" name="Group 34"/>
                            <wpg:cNvGrpSpPr/>
                            <wpg:grpSpPr>
                              <a:xfrm>
                                <a:off x="0" y="0"/>
                                <a:ext cx="350520" cy="161925"/>
                                <a:chExt cx="350520" cy="161925"/>
                              </a:xfrm>
                            </wpg:grpSpPr>
                            <wps:wsp>
                              <wps:cNvPr id="35" name="Graphic 35"/>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34" coordorigin="0,0" coordsize="552,255">
                      <v:shape style="position:absolute;left:0;top:0;width:552;height:255" id="docshape35" coordorigin="0,0" coordsize="552,255" path="m552,0l0,0,0,233,0,250,0,254,552,254,552,250,552,233,552,0xe" filled="true" fillcolor="#000000" stroked="false">
                        <v:path arrowok="t"/>
                        <v:fill type="solid"/>
                      </v:shape>
                    </v:group>
                  </w:pict>
                </mc:Fallback>
              </mc:AlternateContent>
            </w:r>
            <w:r>
              <w:rPr>
                <w:sz w:val="20"/>
              </w:rPr>
            </w:r>
          </w:p>
        </w:tc>
      </w:tr>
      <w:tr>
        <w:trPr>
          <w:trHeight w:val="645" w:hRule="atLeast"/>
        </w:trPr>
        <w:tc>
          <w:tcPr>
            <w:tcW w:w="9019" w:type="dxa"/>
            <w:gridSpan w:val="6"/>
            <w:shd w:val="clear" w:color="auto" w:fill="DFD9F3"/>
          </w:tcPr>
          <w:p>
            <w:pPr>
              <w:pStyle w:val="TableParagraph"/>
              <w:spacing w:line="259" w:lineRule="auto" w:before="55"/>
              <w:ind w:left="105"/>
              <w:rPr>
                <w:b/>
                <w:sz w:val="22"/>
              </w:rPr>
            </w:pPr>
            <w:r>
              <w:rPr>
                <w:b/>
                <w:sz w:val="22"/>
              </w:rPr>
              <w:t>Updated</w:t>
            </w:r>
            <w:r>
              <w:rPr>
                <w:b/>
                <w:spacing w:val="-3"/>
                <w:sz w:val="22"/>
              </w:rPr>
              <w:t> </w:t>
            </w:r>
            <w:r>
              <w:rPr>
                <w:b/>
                <w:sz w:val="22"/>
              </w:rPr>
              <w:t>EAG</w:t>
            </w:r>
            <w:r>
              <w:rPr>
                <w:b/>
                <w:spacing w:val="-4"/>
                <w:sz w:val="22"/>
              </w:rPr>
              <w:t> </w:t>
            </w:r>
            <w:r>
              <w:rPr>
                <w:b/>
                <w:sz w:val="22"/>
              </w:rPr>
              <w:t>base-case</w:t>
            </w:r>
            <w:r>
              <w:rPr>
                <w:b/>
                <w:spacing w:val="-3"/>
                <w:sz w:val="22"/>
              </w:rPr>
              <w:t> </w:t>
            </w:r>
            <w:r>
              <w:rPr>
                <w:b/>
                <w:sz w:val="22"/>
              </w:rPr>
              <w:t>1</w:t>
            </w:r>
            <w:r>
              <w:rPr>
                <w:b/>
                <w:spacing w:val="-4"/>
                <w:sz w:val="22"/>
              </w:rPr>
              <w:t> </w:t>
            </w:r>
            <w:r>
              <w:rPr>
                <w:b/>
                <w:sz w:val="22"/>
              </w:rPr>
              <w:t>(Extrapolation</w:t>
            </w:r>
            <w:r>
              <w:rPr>
                <w:b/>
                <w:spacing w:val="-3"/>
                <w:sz w:val="22"/>
              </w:rPr>
              <w:t> </w:t>
            </w:r>
            <w:r>
              <w:rPr>
                <w:b/>
                <w:sz w:val="22"/>
              </w:rPr>
              <w:t>of</w:t>
            </w:r>
            <w:r>
              <w:rPr>
                <w:b/>
                <w:spacing w:val="-4"/>
                <w:sz w:val="22"/>
              </w:rPr>
              <w:t> </w:t>
            </w:r>
            <w:r>
              <w:rPr>
                <w:b/>
                <w:sz w:val="22"/>
              </w:rPr>
              <w:t>OS</w:t>
            </w:r>
            <w:r>
              <w:rPr>
                <w:b/>
                <w:spacing w:val="-1"/>
                <w:sz w:val="22"/>
              </w:rPr>
              <w:t> </w:t>
            </w:r>
            <w:r>
              <w:rPr>
                <w:b/>
                <w:sz w:val="22"/>
              </w:rPr>
              <w:t>–</w:t>
            </w:r>
            <w:r>
              <w:rPr>
                <w:b/>
                <w:spacing w:val="-3"/>
                <w:sz w:val="22"/>
              </w:rPr>
              <w:t> </w:t>
            </w:r>
            <w:r>
              <w:rPr>
                <w:b/>
                <w:sz w:val="22"/>
              </w:rPr>
              <w:t>generalised</w:t>
            </w:r>
            <w:r>
              <w:rPr>
                <w:b/>
                <w:spacing w:val="-5"/>
                <w:sz w:val="22"/>
              </w:rPr>
              <w:t> </w:t>
            </w:r>
            <w:r>
              <w:rPr>
                <w:b/>
                <w:sz w:val="22"/>
              </w:rPr>
              <w:t>gamma) –</w:t>
            </w:r>
            <w:r>
              <w:rPr>
                <w:b/>
                <w:spacing w:val="-5"/>
                <w:sz w:val="22"/>
              </w:rPr>
              <w:t> </w:t>
            </w:r>
            <w:r>
              <w:rPr>
                <w:b/>
                <w:sz w:val="22"/>
              </w:rPr>
              <w:t>without</w:t>
            </w:r>
            <w:r>
              <w:rPr>
                <w:b/>
                <w:spacing w:val="-4"/>
                <w:sz w:val="22"/>
              </w:rPr>
              <w:t> </w:t>
            </w:r>
            <w:r>
              <w:rPr>
                <w:b/>
                <w:sz w:val="22"/>
              </w:rPr>
              <w:t>the fixing violation for post progression health state costs</w:t>
            </w:r>
          </w:p>
        </w:tc>
      </w:tr>
      <w:tr>
        <w:trPr>
          <w:trHeight w:val="398" w:hRule="atLeast"/>
        </w:trPr>
        <w:tc>
          <w:tcPr>
            <w:tcW w:w="1714" w:type="dxa"/>
          </w:tcPr>
          <w:p>
            <w:pPr>
              <w:pStyle w:val="TableParagraph"/>
              <w:spacing w:before="57"/>
              <w:ind w:left="105"/>
              <w:rPr>
                <w:sz w:val="22"/>
              </w:rPr>
            </w:pPr>
            <w:r>
              <w:rPr>
                <w:spacing w:val="-2"/>
                <w:sz w:val="22"/>
              </w:rPr>
              <w:t>Tebentafusp</w:t>
            </w:r>
          </w:p>
        </w:tc>
        <w:tc>
          <w:tcPr>
            <w:tcW w:w="1415" w:type="dxa"/>
          </w:tcPr>
          <w:p>
            <w:pPr>
              <w:pStyle w:val="TableParagraph"/>
              <w:spacing w:before="9"/>
              <w:rPr>
                <w:b/>
                <w:i/>
                <w:sz w:val="4"/>
              </w:rPr>
            </w:pPr>
          </w:p>
          <w:p>
            <w:pPr>
              <w:pStyle w:val="TableParagraph"/>
              <w:ind w:left="428"/>
              <w:rPr>
                <w:sz w:val="20"/>
              </w:rPr>
            </w:pPr>
            <w:r>
              <w:rPr>
                <w:sz w:val="20"/>
              </w:rPr>
              <mc:AlternateContent>
                <mc:Choice Requires="wps">
                  <w:drawing>
                    <wp:inline distT="0" distB="0" distL="0" distR="0">
                      <wp:extent cx="351155" cy="161925"/>
                      <wp:effectExtent l="0" t="0" r="0" b="0"/>
                      <wp:docPr id="36" name="Group 36"/>
                      <wp:cNvGraphicFramePr>
                        <a:graphicFrameLocks/>
                      </wp:cNvGraphicFramePr>
                      <a:graphic>
                        <a:graphicData uri="http://schemas.microsoft.com/office/word/2010/wordprocessingGroup">
                          <wpg:wgp>
                            <wpg:cNvPr id="36" name="Group 36"/>
                            <wpg:cNvGrpSpPr/>
                            <wpg:grpSpPr>
                              <a:xfrm>
                                <a:off x="0" y="0"/>
                                <a:ext cx="351155" cy="161925"/>
                                <a:chExt cx="351155" cy="161925"/>
                              </a:xfrm>
                            </wpg:grpSpPr>
                            <wps:wsp>
                              <wps:cNvPr id="37" name="Graphic 37"/>
                              <wps:cNvSpPr/>
                              <wps:spPr>
                                <a:xfrm>
                                  <a:off x="0" y="0"/>
                                  <a:ext cx="351155" cy="161925"/>
                                </a:xfrm>
                                <a:custGeom>
                                  <a:avLst/>
                                  <a:gdLst/>
                                  <a:ahLst/>
                                  <a:cxnLst/>
                                  <a:rect l="l" t="t" r="r" b="b"/>
                                  <a:pathLst>
                                    <a:path w="351155" h="161925">
                                      <a:moveTo>
                                        <a:pt x="350824" y="0"/>
                                      </a:moveTo>
                                      <a:lnTo>
                                        <a:pt x="0" y="0"/>
                                      </a:lnTo>
                                      <a:lnTo>
                                        <a:pt x="0" y="147828"/>
                                      </a:lnTo>
                                      <a:lnTo>
                                        <a:pt x="0" y="158496"/>
                                      </a:lnTo>
                                      <a:lnTo>
                                        <a:pt x="0" y="161544"/>
                                      </a:lnTo>
                                      <a:lnTo>
                                        <a:pt x="350824" y="161544"/>
                                      </a:lnTo>
                                      <a:lnTo>
                                        <a:pt x="350824" y="158496"/>
                                      </a:lnTo>
                                      <a:lnTo>
                                        <a:pt x="350824" y="147828"/>
                                      </a:lnTo>
                                      <a:lnTo>
                                        <a:pt x="350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5pt;height:12.75pt;mso-position-horizontal-relative:char;mso-position-vertical-relative:line" id="docshapegroup36" coordorigin="0,0" coordsize="553,255">
                      <v:shape style="position:absolute;left:0;top:0;width:553;height:255" id="docshape37" coordorigin="0,0" coordsize="553,255" path="m552,0l0,0,0,233,0,250,0,254,552,254,552,250,552,233,552,0xe" filled="true" fillcolor="#000000" stroked="false">
                        <v:path arrowok="t"/>
                        <v:fill type="solid"/>
                      </v:shape>
                    </v:group>
                  </w:pict>
                </mc:Fallback>
              </mc:AlternateContent>
            </w:r>
            <w:r>
              <w:rPr>
                <w:sz w:val="20"/>
              </w:rPr>
            </w:r>
          </w:p>
        </w:tc>
        <w:tc>
          <w:tcPr>
            <w:tcW w:w="1414" w:type="dxa"/>
          </w:tcPr>
          <w:p>
            <w:pPr>
              <w:pStyle w:val="TableParagraph"/>
              <w:spacing w:before="9"/>
              <w:rPr>
                <w:b/>
                <w:i/>
                <w:sz w:val="4"/>
              </w:rPr>
            </w:pPr>
          </w:p>
          <w:p>
            <w:pPr>
              <w:pStyle w:val="TableParagraph"/>
              <w:ind w:left="430"/>
              <w:rPr>
                <w:sz w:val="20"/>
              </w:rPr>
            </w:pPr>
            <w:r>
              <w:rPr>
                <w:sz w:val="20"/>
              </w:rPr>
              <mc:AlternateContent>
                <mc:Choice Requires="wps">
                  <w:drawing>
                    <wp:inline distT="0" distB="0" distL="0" distR="0">
                      <wp:extent cx="350520" cy="161925"/>
                      <wp:effectExtent l="0" t="0" r="0" b="0"/>
                      <wp:docPr id="38" name="Group 38"/>
                      <wp:cNvGraphicFramePr>
                        <a:graphicFrameLocks/>
                      </wp:cNvGraphicFramePr>
                      <a:graphic>
                        <a:graphicData uri="http://schemas.microsoft.com/office/word/2010/wordprocessingGroup">
                          <wpg:wgp>
                            <wpg:cNvPr id="38" name="Group 38"/>
                            <wpg:cNvGrpSpPr/>
                            <wpg:grpSpPr>
                              <a:xfrm>
                                <a:off x="0" y="0"/>
                                <a:ext cx="350520" cy="161925"/>
                                <a:chExt cx="350520" cy="161925"/>
                              </a:xfrm>
                            </wpg:grpSpPr>
                            <wps:wsp>
                              <wps:cNvPr id="39" name="Graphic 39"/>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38" coordorigin="0,0" coordsize="552,255">
                      <v:shape style="position:absolute;left:0;top:0;width:552;height:255" id="docshape39" coordorigin="0,0" coordsize="552,255" path="m552,0l0,0,0,233,0,250,0,254,552,254,552,250,552,233,552,0xe" filled="true" fillcolor="#000000" stroked="false">
                        <v:path arrowok="t"/>
                        <v:fill type="solid"/>
                      </v:shape>
                    </v:group>
                  </w:pict>
                </mc:Fallback>
              </mc:AlternateContent>
            </w:r>
            <w:r>
              <w:rPr>
                <w:sz w:val="20"/>
              </w:rPr>
            </w:r>
          </w:p>
        </w:tc>
        <w:tc>
          <w:tcPr>
            <w:tcW w:w="1527" w:type="dxa"/>
          </w:tcPr>
          <w:p>
            <w:pPr>
              <w:pStyle w:val="TableParagraph"/>
              <w:spacing w:before="9"/>
              <w:rPr>
                <w:b/>
                <w:i/>
                <w:sz w:val="4"/>
              </w:rPr>
            </w:pPr>
          </w:p>
          <w:p>
            <w:pPr>
              <w:pStyle w:val="TableParagraph"/>
              <w:ind w:left="514"/>
              <w:rPr>
                <w:sz w:val="20"/>
              </w:rPr>
            </w:pPr>
            <w:r>
              <w:rPr>
                <w:sz w:val="20"/>
              </w:rPr>
              <mc:AlternateContent>
                <mc:Choice Requires="wps">
                  <w:drawing>
                    <wp:inline distT="0" distB="0" distL="0" distR="0">
                      <wp:extent cx="350520" cy="161925"/>
                      <wp:effectExtent l="0" t="0" r="0" b="0"/>
                      <wp:docPr id="40" name="Group 40"/>
                      <wp:cNvGraphicFramePr>
                        <a:graphicFrameLocks/>
                      </wp:cNvGraphicFramePr>
                      <a:graphic>
                        <a:graphicData uri="http://schemas.microsoft.com/office/word/2010/wordprocessingGroup">
                          <wpg:wgp>
                            <wpg:cNvPr id="40" name="Group 40"/>
                            <wpg:cNvGrpSpPr/>
                            <wpg:grpSpPr>
                              <a:xfrm>
                                <a:off x="0" y="0"/>
                                <a:ext cx="350520" cy="161925"/>
                                <a:chExt cx="350520" cy="161925"/>
                              </a:xfrm>
                            </wpg:grpSpPr>
                            <wps:wsp>
                              <wps:cNvPr id="41" name="Graphic 41"/>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40" coordorigin="0,0" coordsize="552,255">
                      <v:shape style="position:absolute;left:0;top:0;width:552;height:255" id="docshape41" coordorigin="0,0" coordsize="552,255" path="m552,0l0,0,0,233,0,250,0,254,552,254,552,250,552,233,552,0xe" filled="true" fillcolor="#000000" stroked="false">
                        <v:path arrowok="t"/>
                        <v:fill type="solid"/>
                      </v:shape>
                    </v:group>
                  </w:pict>
                </mc:Fallback>
              </mc:AlternateContent>
            </w:r>
            <w:r>
              <w:rPr>
                <w:sz w:val="20"/>
              </w:rPr>
            </w:r>
          </w:p>
        </w:tc>
        <w:tc>
          <w:tcPr>
            <w:tcW w:w="1530" w:type="dxa"/>
          </w:tcPr>
          <w:p>
            <w:pPr>
              <w:pStyle w:val="TableParagraph"/>
              <w:spacing w:before="9"/>
              <w:rPr>
                <w:b/>
                <w:i/>
                <w:sz w:val="4"/>
              </w:rPr>
            </w:pPr>
          </w:p>
          <w:p>
            <w:pPr>
              <w:pStyle w:val="TableParagraph"/>
              <w:ind w:left="513"/>
              <w:rPr>
                <w:sz w:val="20"/>
              </w:rPr>
            </w:pPr>
            <w:r>
              <w:rPr>
                <w:sz w:val="20"/>
              </w:rPr>
              <mc:AlternateContent>
                <mc:Choice Requires="wps">
                  <w:drawing>
                    <wp:inline distT="0" distB="0" distL="0" distR="0">
                      <wp:extent cx="350520" cy="161925"/>
                      <wp:effectExtent l="0" t="0" r="0" b="0"/>
                      <wp:docPr id="42" name="Group 42"/>
                      <wp:cNvGraphicFramePr>
                        <a:graphicFrameLocks/>
                      </wp:cNvGraphicFramePr>
                      <a:graphic>
                        <a:graphicData uri="http://schemas.microsoft.com/office/word/2010/wordprocessingGroup">
                          <wpg:wgp>
                            <wpg:cNvPr id="42" name="Group 42"/>
                            <wpg:cNvGrpSpPr/>
                            <wpg:grpSpPr>
                              <a:xfrm>
                                <a:off x="0" y="0"/>
                                <a:ext cx="350520" cy="161925"/>
                                <a:chExt cx="350520" cy="161925"/>
                              </a:xfrm>
                            </wpg:grpSpPr>
                            <wps:wsp>
                              <wps:cNvPr id="43" name="Graphic 43"/>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42" coordorigin="0,0" coordsize="552,255">
                      <v:shape style="position:absolute;left:0;top:0;width:552;height:255" id="docshape43" coordorigin="0,0" coordsize="552,255" path="m552,0l0,0,0,233,0,250,0,254,552,254,552,250,552,233,552,0xe" filled="true" fillcolor="#000000" stroked="false">
                        <v:path arrowok="t"/>
                        <v:fill type="solid"/>
                      </v:shape>
                    </v:group>
                  </w:pict>
                </mc:Fallback>
              </mc:AlternateContent>
            </w:r>
            <w:r>
              <w:rPr>
                <w:sz w:val="20"/>
              </w:rPr>
            </w:r>
          </w:p>
        </w:tc>
        <w:tc>
          <w:tcPr>
            <w:tcW w:w="1419" w:type="dxa"/>
          </w:tcPr>
          <w:p>
            <w:pPr>
              <w:pStyle w:val="TableParagraph"/>
              <w:spacing w:before="9"/>
              <w:rPr>
                <w:b/>
                <w:i/>
                <w:sz w:val="4"/>
              </w:rPr>
            </w:pPr>
          </w:p>
          <w:p>
            <w:pPr>
              <w:pStyle w:val="TableParagraph"/>
              <w:ind w:left="458"/>
              <w:rPr>
                <w:sz w:val="20"/>
              </w:rPr>
            </w:pPr>
            <w:r>
              <w:rPr>
                <w:sz w:val="20"/>
              </w:rPr>
              <mc:AlternateContent>
                <mc:Choice Requires="wps">
                  <w:drawing>
                    <wp:inline distT="0" distB="0" distL="0" distR="0">
                      <wp:extent cx="350520" cy="161925"/>
                      <wp:effectExtent l="0" t="0" r="0" b="0"/>
                      <wp:docPr id="44" name="Group 44"/>
                      <wp:cNvGraphicFramePr>
                        <a:graphicFrameLocks/>
                      </wp:cNvGraphicFramePr>
                      <a:graphic>
                        <a:graphicData uri="http://schemas.microsoft.com/office/word/2010/wordprocessingGroup">
                          <wpg:wgp>
                            <wpg:cNvPr id="44" name="Group 44"/>
                            <wpg:cNvGrpSpPr/>
                            <wpg:grpSpPr>
                              <a:xfrm>
                                <a:off x="0" y="0"/>
                                <a:ext cx="350520" cy="161925"/>
                                <a:chExt cx="350520" cy="161925"/>
                              </a:xfrm>
                            </wpg:grpSpPr>
                            <wps:wsp>
                              <wps:cNvPr id="45" name="Graphic 45"/>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44" coordorigin="0,0" coordsize="552,255">
                      <v:shape style="position:absolute;left:0;top:0;width:552;height:255" id="docshape45" coordorigin="0,0" coordsize="552,255" path="m552,0l0,0,0,233,0,250,0,254,552,254,552,250,552,233,552,0xe" filled="true" fillcolor="#000000" stroked="false">
                        <v:path arrowok="t"/>
                        <v:fill type="solid"/>
                      </v:shape>
                    </v:group>
                  </w:pict>
                </mc:Fallback>
              </mc:AlternateContent>
            </w:r>
            <w:r>
              <w:rPr>
                <w:sz w:val="20"/>
              </w:rPr>
            </w:r>
          </w:p>
        </w:tc>
      </w:tr>
      <w:tr>
        <w:trPr>
          <w:trHeight w:val="400" w:hRule="atLeast"/>
        </w:trPr>
        <w:tc>
          <w:tcPr>
            <w:tcW w:w="1714" w:type="dxa"/>
          </w:tcPr>
          <w:p>
            <w:pPr>
              <w:pStyle w:val="TableParagraph"/>
              <w:spacing w:before="57"/>
              <w:ind w:left="105"/>
              <w:rPr>
                <w:sz w:val="22"/>
              </w:rPr>
            </w:pPr>
            <w:r>
              <w:rPr>
                <w:spacing w:val="-2"/>
                <w:sz w:val="22"/>
              </w:rPr>
              <w:t>Pembrolizumab</w:t>
            </w:r>
          </w:p>
        </w:tc>
        <w:tc>
          <w:tcPr>
            <w:tcW w:w="1415" w:type="dxa"/>
          </w:tcPr>
          <w:p>
            <w:pPr>
              <w:pStyle w:val="TableParagraph"/>
              <w:spacing w:before="9"/>
              <w:rPr>
                <w:b/>
                <w:i/>
                <w:sz w:val="4"/>
              </w:rPr>
            </w:pPr>
          </w:p>
          <w:p>
            <w:pPr>
              <w:pStyle w:val="TableParagraph"/>
              <w:ind w:left="428"/>
              <w:rPr>
                <w:sz w:val="20"/>
              </w:rPr>
            </w:pPr>
            <w:r>
              <w:rPr>
                <w:sz w:val="20"/>
              </w:rPr>
              <mc:AlternateContent>
                <mc:Choice Requires="wps">
                  <w:drawing>
                    <wp:inline distT="0" distB="0" distL="0" distR="0">
                      <wp:extent cx="351155" cy="161925"/>
                      <wp:effectExtent l="0" t="0" r="0" b="0"/>
                      <wp:docPr id="46" name="Group 46"/>
                      <wp:cNvGraphicFramePr>
                        <a:graphicFrameLocks/>
                      </wp:cNvGraphicFramePr>
                      <a:graphic>
                        <a:graphicData uri="http://schemas.microsoft.com/office/word/2010/wordprocessingGroup">
                          <wpg:wgp>
                            <wpg:cNvPr id="46" name="Group 46"/>
                            <wpg:cNvGrpSpPr/>
                            <wpg:grpSpPr>
                              <a:xfrm>
                                <a:off x="0" y="0"/>
                                <a:ext cx="351155" cy="161925"/>
                                <a:chExt cx="351155" cy="161925"/>
                              </a:xfrm>
                            </wpg:grpSpPr>
                            <wps:wsp>
                              <wps:cNvPr id="47" name="Graphic 47"/>
                              <wps:cNvSpPr/>
                              <wps:spPr>
                                <a:xfrm>
                                  <a:off x="0" y="0"/>
                                  <a:ext cx="351155" cy="161925"/>
                                </a:xfrm>
                                <a:custGeom>
                                  <a:avLst/>
                                  <a:gdLst/>
                                  <a:ahLst/>
                                  <a:cxnLst/>
                                  <a:rect l="l" t="t" r="r" b="b"/>
                                  <a:pathLst>
                                    <a:path w="351155" h="161925">
                                      <a:moveTo>
                                        <a:pt x="350824" y="0"/>
                                      </a:moveTo>
                                      <a:lnTo>
                                        <a:pt x="0" y="0"/>
                                      </a:lnTo>
                                      <a:lnTo>
                                        <a:pt x="0" y="147828"/>
                                      </a:lnTo>
                                      <a:lnTo>
                                        <a:pt x="0" y="158496"/>
                                      </a:lnTo>
                                      <a:lnTo>
                                        <a:pt x="0" y="161544"/>
                                      </a:lnTo>
                                      <a:lnTo>
                                        <a:pt x="350824" y="161544"/>
                                      </a:lnTo>
                                      <a:lnTo>
                                        <a:pt x="350824" y="158496"/>
                                      </a:lnTo>
                                      <a:lnTo>
                                        <a:pt x="350824" y="147828"/>
                                      </a:lnTo>
                                      <a:lnTo>
                                        <a:pt x="350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5pt;height:12.75pt;mso-position-horizontal-relative:char;mso-position-vertical-relative:line" id="docshapegroup46" coordorigin="0,0" coordsize="553,255">
                      <v:shape style="position:absolute;left:0;top:0;width:553;height:255" id="docshape47" coordorigin="0,0" coordsize="553,255" path="m552,0l0,0,0,233,0,250,0,254,552,254,552,250,552,233,552,0xe" filled="true" fillcolor="#000000" stroked="false">
                        <v:path arrowok="t"/>
                        <v:fill type="solid"/>
                      </v:shape>
                    </v:group>
                  </w:pict>
                </mc:Fallback>
              </mc:AlternateContent>
            </w:r>
            <w:r>
              <w:rPr>
                <w:sz w:val="20"/>
              </w:rPr>
            </w:r>
          </w:p>
        </w:tc>
        <w:tc>
          <w:tcPr>
            <w:tcW w:w="1414" w:type="dxa"/>
          </w:tcPr>
          <w:p>
            <w:pPr>
              <w:pStyle w:val="TableParagraph"/>
              <w:spacing w:before="9"/>
              <w:rPr>
                <w:b/>
                <w:i/>
                <w:sz w:val="4"/>
              </w:rPr>
            </w:pPr>
          </w:p>
          <w:p>
            <w:pPr>
              <w:pStyle w:val="TableParagraph"/>
              <w:ind w:left="430"/>
              <w:rPr>
                <w:sz w:val="20"/>
              </w:rPr>
            </w:pPr>
            <w:r>
              <w:rPr>
                <w:sz w:val="20"/>
              </w:rPr>
              <mc:AlternateContent>
                <mc:Choice Requires="wps">
                  <w:drawing>
                    <wp:inline distT="0" distB="0" distL="0" distR="0">
                      <wp:extent cx="350520" cy="161925"/>
                      <wp:effectExtent l="0" t="0" r="0" b="0"/>
                      <wp:docPr id="48" name="Group 48"/>
                      <wp:cNvGraphicFramePr>
                        <a:graphicFrameLocks/>
                      </wp:cNvGraphicFramePr>
                      <a:graphic>
                        <a:graphicData uri="http://schemas.microsoft.com/office/word/2010/wordprocessingGroup">
                          <wpg:wgp>
                            <wpg:cNvPr id="48" name="Group 48"/>
                            <wpg:cNvGrpSpPr/>
                            <wpg:grpSpPr>
                              <a:xfrm>
                                <a:off x="0" y="0"/>
                                <a:ext cx="350520" cy="161925"/>
                                <a:chExt cx="350520" cy="161925"/>
                              </a:xfrm>
                            </wpg:grpSpPr>
                            <wps:wsp>
                              <wps:cNvPr id="49" name="Graphic 49"/>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48" coordorigin="0,0" coordsize="552,255">
                      <v:shape style="position:absolute;left:0;top:0;width:552;height:255" id="docshape49" coordorigin="0,0" coordsize="552,255" path="m552,0l0,0,0,233,0,250,0,254,552,254,552,250,552,233,552,0xe" filled="true" fillcolor="#000000" stroked="false">
                        <v:path arrowok="t"/>
                        <v:fill type="solid"/>
                      </v:shape>
                    </v:group>
                  </w:pict>
                </mc:Fallback>
              </mc:AlternateContent>
            </w:r>
            <w:r>
              <w:rPr>
                <w:sz w:val="20"/>
              </w:rPr>
            </w:r>
          </w:p>
        </w:tc>
        <w:tc>
          <w:tcPr>
            <w:tcW w:w="1527" w:type="dxa"/>
          </w:tcPr>
          <w:p>
            <w:pPr>
              <w:pStyle w:val="TableParagraph"/>
              <w:spacing w:before="9"/>
              <w:rPr>
                <w:b/>
                <w:i/>
                <w:sz w:val="4"/>
              </w:rPr>
            </w:pPr>
          </w:p>
          <w:p>
            <w:pPr>
              <w:pStyle w:val="TableParagraph"/>
              <w:ind w:left="488"/>
              <w:rPr>
                <w:sz w:val="20"/>
              </w:rPr>
            </w:pPr>
            <w:r>
              <w:rPr>
                <w:sz w:val="20"/>
              </w:rPr>
              <mc:AlternateContent>
                <mc:Choice Requires="wps">
                  <w:drawing>
                    <wp:inline distT="0" distB="0" distL="0" distR="0">
                      <wp:extent cx="350520" cy="161925"/>
                      <wp:effectExtent l="0" t="0" r="0" b="0"/>
                      <wp:docPr id="50" name="Group 50"/>
                      <wp:cNvGraphicFramePr>
                        <a:graphicFrameLocks/>
                      </wp:cNvGraphicFramePr>
                      <a:graphic>
                        <a:graphicData uri="http://schemas.microsoft.com/office/word/2010/wordprocessingGroup">
                          <wpg:wgp>
                            <wpg:cNvPr id="50" name="Group 50"/>
                            <wpg:cNvGrpSpPr/>
                            <wpg:grpSpPr>
                              <a:xfrm>
                                <a:off x="0" y="0"/>
                                <a:ext cx="350520" cy="161925"/>
                                <a:chExt cx="350520" cy="161925"/>
                              </a:xfrm>
                            </wpg:grpSpPr>
                            <wps:wsp>
                              <wps:cNvPr id="51" name="Graphic 51"/>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50" coordorigin="0,0" coordsize="552,255">
                      <v:shape style="position:absolute;left:0;top:0;width:552;height:255" id="docshape51" coordorigin="0,0" coordsize="552,255" path="m552,0l0,0,0,233,0,250,0,254,552,254,552,250,552,233,552,0xe" filled="true" fillcolor="#000000" stroked="false">
                        <v:path arrowok="t"/>
                        <v:fill type="solid"/>
                      </v:shape>
                    </v:group>
                  </w:pict>
                </mc:Fallback>
              </mc:AlternateContent>
            </w:r>
            <w:r>
              <w:rPr>
                <w:sz w:val="20"/>
              </w:rPr>
            </w:r>
          </w:p>
        </w:tc>
        <w:tc>
          <w:tcPr>
            <w:tcW w:w="1530" w:type="dxa"/>
          </w:tcPr>
          <w:p>
            <w:pPr>
              <w:pStyle w:val="TableParagraph"/>
              <w:spacing w:before="9"/>
              <w:rPr>
                <w:b/>
                <w:i/>
                <w:sz w:val="4"/>
              </w:rPr>
            </w:pPr>
          </w:p>
          <w:p>
            <w:pPr>
              <w:pStyle w:val="TableParagraph"/>
              <w:ind w:left="487"/>
              <w:rPr>
                <w:sz w:val="20"/>
              </w:rPr>
            </w:pPr>
            <w:r>
              <w:rPr>
                <w:sz w:val="20"/>
              </w:rPr>
              <mc:AlternateContent>
                <mc:Choice Requires="wps">
                  <w:drawing>
                    <wp:inline distT="0" distB="0" distL="0" distR="0">
                      <wp:extent cx="350520" cy="161925"/>
                      <wp:effectExtent l="0" t="0" r="0" b="0"/>
                      <wp:docPr id="52" name="Group 52"/>
                      <wp:cNvGraphicFramePr>
                        <a:graphicFrameLocks/>
                      </wp:cNvGraphicFramePr>
                      <a:graphic>
                        <a:graphicData uri="http://schemas.microsoft.com/office/word/2010/wordprocessingGroup">
                          <wpg:wgp>
                            <wpg:cNvPr id="52" name="Group 52"/>
                            <wpg:cNvGrpSpPr/>
                            <wpg:grpSpPr>
                              <a:xfrm>
                                <a:off x="0" y="0"/>
                                <a:ext cx="350520" cy="161925"/>
                                <a:chExt cx="350520" cy="161925"/>
                              </a:xfrm>
                            </wpg:grpSpPr>
                            <wps:wsp>
                              <wps:cNvPr id="53" name="Graphic 53"/>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52" coordorigin="0,0" coordsize="552,255">
                      <v:shape style="position:absolute;left:0;top:0;width:552;height:255" id="docshape53" coordorigin="0,0" coordsize="552,255" path="m552,0l0,0,0,233,0,250,0,254,552,254,552,250,552,233,552,0xe" filled="true" fillcolor="#000000" stroked="false">
                        <v:path arrowok="t"/>
                        <v:fill type="solid"/>
                      </v:shape>
                    </v:group>
                  </w:pict>
                </mc:Fallback>
              </mc:AlternateContent>
            </w:r>
            <w:r>
              <w:rPr>
                <w:sz w:val="20"/>
              </w:rPr>
            </w:r>
          </w:p>
        </w:tc>
        <w:tc>
          <w:tcPr>
            <w:tcW w:w="1419" w:type="dxa"/>
          </w:tcPr>
          <w:p>
            <w:pPr>
              <w:pStyle w:val="TableParagraph"/>
              <w:spacing w:before="9"/>
              <w:rPr>
                <w:b/>
                <w:i/>
                <w:sz w:val="4"/>
              </w:rPr>
            </w:pPr>
          </w:p>
          <w:p>
            <w:pPr>
              <w:pStyle w:val="TableParagraph"/>
              <w:ind w:left="431"/>
              <w:rPr>
                <w:sz w:val="20"/>
              </w:rPr>
            </w:pPr>
            <w:r>
              <w:rPr>
                <w:sz w:val="20"/>
              </w:rPr>
              <mc:AlternateContent>
                <mc:Choice Requires="wps">
                  <w:drawing>
                    <wp:inline distT="0" distB="0" distL="0" distR="0">
                      <wp:extent cx="350520" cy="161925"/>
                      <wp:effectExtent l="0" t="0" r="0" b="0"/>
                      <wp:docPr id="54" name="Group 54"/>
                      <wp:cNvGraphicFramePr>
                        <a:graphicFrameLocks/>
                      </wp:cNvGraphicFramePr>
                      <a:graphic>
                        <a:graphicData uri="http://schemas.microsoft.com/office/word/2010/wordprocessingGroup">
                          <wpg:wgp>
                            <wpg:cNvPr id="54" name="Group 54"/>
                            <wpg:cNvGrpSpPr/>
                            <wpg:grpSpPr>
                              <a:xfrm>
                                <a:off x="0" y="0"/>
                                <a:ext cx="350520" cy="161925"/>
                                <a:chExt cx="350520" cy="161925"/>
                              </a:xfrm>
                            </wpg:grpSpPr>
                            <wps:wsp>
                              <wps:cNvPr id="55" name="Graphic 55"/>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54" coordorigin="0,0" coordsize="552,255">
                      <v:shape style="position:absolute;left:0;top:0;width:552;height:255" id="docshape55" coordorigin="0,0" coordsize="552,255" path="m552,0l0,0,0,233,0,250,0,254,552,254,552,250,552,233,552,0xe" filled="true" fillcolor="#000000" stroked="false">
                        <v:path arrowok="t"/>
                        <v:fill type="solid"/>
                      </v:shape>
                    </v:group>
                  </w:pict>
                </mc:Fallback>
              </mc:AlternateContent>
            </w:r>
            <w:r>
              <w:rPr>
                <w:sz w:val="20"/>
              </w:rPr>
            </w:r>
          </w:p>
        </w:tc>
      </w:tr>
      <w:tr>
        <w:trPr>
          <w:trHeight w:val="647" w:hRule="atLeast"/>
        </w:trPr>
        <w:tc>
          <w:tcPr>
            <w:tcW w:w="9019" w:type="dxa"/>
            <w:gridSpan w:val="6"/>
            <w:shd w:val="clear" w:color="auto" w:fill="DFD9F3"/>
          </w:tcPr>
          <w:p>
            <w:pPr>
              <w:pStyle w:val="TableParagraph"/>
              <w:spacing w:line="256" w:lineRule="auto" w:before="57"/>
              <w:ind w:left="105"/>
              <w:rPr>
                <w:b/>
                <w:sz w:val="22"/>
              </w:rPr>
            </w:pPr>
            <w:r>
              <w:rPr>
                <w:b/>
                <w:sz w:val="22"/>
              </w:rPr>
              <w:t>Updated</w:t>
            </w:r>
            <w:r>
              <w:rPr>
                <w:b/>
                <w:spacing w:val="-3"/>
                <w:sz w:val="22"/>
              </w:rPr>
              <w:t> </w:t>
            </w:r>
            <w:r>
              <w:rPr>
                <w:b/>
                <w:sz w:val="22"/>
              </w:rPr>
              <w:t>EAG</w:t>
            </w:r>
            <w:r>
              <w:rPr>
                <w:b/>
                <w:spacing w:val="-3"/>
                <w:sz w:val="22"/>
              </w:rPr>
              <w:t> </w:t>
            </w:r>
            <w:r>
              <w:rPr>
                <w:b/>
                <w:sz w:val="22"/>
              </w:rPr>
              <w:t>base-case</w:t>
            </w:r>
            <w:r>
              <w:rPr>
                <w:b/>
                <w:spacing w:val="-3"/>
                <w:sz w:val="22"/>
              </w:rPr>
              <w:t> </w:t>
            </w:r>
            <w:r>
              <w:rPr>
                <w:b/>
                <w:sz w:val="22"/>
              </w:rPr>
              <w:t>2</w:t>
            </w:r>
            <w:r>
              <w:rPr>
                <w:b/>
                <w:spacing w:val="-3"/>
                <w:sz w:val="22"/>
              </w:rPr>
              <w:t> </w:t>
            </w:r>
            <w:r>
              <w:rPr>
                <w:b/>
                <w:sz w:val="22"/>
              </w:rPr>
              <w:t>(Extrapolation</w:t>
            </w:r>
            <w:r>
              <w:rPr>
                <w:b/>
                <w:spacing w:val="-3"/>
                <w:sz w:val="22"/>
              </w:rPr>
              <w:t> </w:t>
            </w:r>
            <w:r>
              <w:rPr>
                <w:b/>
                <w:sz w:val="22"/>
              </w:rPr>
              <w:t>of</w:t>
            </w:r>
            <w:r>
              <w:rPr>
                <w:b/>
                <w:spacing w:val="-3"/>
                <w:sz w:val="22"/>
              </w:rPr>
              <w:t> </w:t>
            </w:r>
            <w:r>
              <w:rPr>
                <w:b/>
                <w:sz w:val="22"/>
              </w:rPr>
              <w:t>OS</w:t>
            </w:r>
            <w:r>
              <w:rPr>
                <w:b/>
                <w:spacing w:val="-1"/>
                <w:sz w:val="22"/>
              </w:rPr>
              <w:t> </w:t>
            </w:r>
            <w:r>
              <w:rPr>
                <w:b/>
                <w:sz w:val="22"/>
              </w:rPr>
              <w:t>–</w:t>
            </w:r>
            <w:r>
              <w:rPr>
                <w:b/>
                <w:spacing w:val="-3"/>
                <w:sz w:val="22"/>
              </w:rPr>
              <w:t> </w:t>
            </w:r>
            <w:r>
              <w:rPr>
                <w:b/>
                <w:sz w:val="22"/>
              </w:rPr>
              <w:t>log</w:t>
            </w:r>
            <w:r>
              <w:rPr>
                <w:b/>
                <w:spacing w:val="-7"/>
                <w:sz w:val="22"/>
              </w:rPr>
              <w:t> </w:t>
            </w:r>
            <w:r>
              <w:rPr>
                <w:b/>
                <w:sz w:val="22"/>
              </w:rPr>
              <w:t>logistic) –</w:t>
            </w:r>
            <w:r>
              <w:rPr>
                <w:b/>
                <w:spacing w:val="-4"/>
                <w:sz w:val="22"/>
              </w:rPr>
              <w:t> </w:t>
            </w:r>
            <w:r>
              <w:rPr>
                <w:b/>
                <w:sz w:val="22"/>
              </w:rPr>
              <w:t>without</w:t>
            </w:r>
            <w:r>
              <w:rPr>
                <w:b/>
                <w:spacing w:val="-2"/>
                <w:sz w:val="22"/>
              </w:rPr>
              <w:t> </w:t>
            </w:r>
            <w:r>
              <w:rPr>
                <w:b/>
                <w:sz w:val="22"/>
              </w:rPr>
              <w:t>the</w:t>
            </w:r>
            <w:r>
              <w:rPr>
                <w:b/>
                <w:spacing w:val="-5"/>
                <w:sz w:val="22"/>
              </w:rPr>
              <w:t> </w:t>
            </w:r>
            <w:r>
              <w:rPr>
                <w:b/>
                <w:sz w:val="22"/>
              </w:rPr>
              <w:t>fixing violation for post progression health state costs</w:t>
            </w:r>
          </w:p>
        </w:tc>
      </w:tr>
      <w:tr>
        <w:trPr>
          <w:trHeight w:val="397" w:hRule="atLeast"/>
        </w:trPr>
        <w:tc>
          <w:tcPr>
            <w:tcW w:w="1714" w:type="dxa"/>
          </w:tcPr>
          <w:p>
            <w:pPr>
              <w:pStyle w:val="TableParagraph"/>
              <w:spacing w:before="55"/>
              <w:ind w:left="105"/>
              <w:rPr>
                <w:sz w:val="22"/>
              </w:rPr>
            </w:pPr>
            <w:r>
              <w:rPr>
                <w:spacing w:val="-2"/>
                <w:sz w:val="22"/>
              </w:rPr>
              <w:t>Tebentafusp</w:t>
            </w:r>
          </w:p>
        </w:tc>
        <w:tc>
          <w:tcPr>
            <w:tcW w:w="1415" w:type="dxa"/>
          </w:tcPr>
          <w:p>
            <w:pPr>
              <w:pStyle w:val="TableParagraph"/>
              <w:spacing w:before="6"/>
              <w:rPr>
                <w:b/>
                <w:i/>
                <w:sz w:val="4"/>
              </w:rPr>
            </w:pPr>
          </w:p>
          <w:p>
            <w:pPr>
              <w:pStyle w:val="TableParagraph"/>
              <w:ind w:left="428"/>
              <w:rPr>
                <w:sz w:val="20"/>
              </w:rPr>
            </w:pPr>
            <w:r>
              <w:rPr>
                <w:sz w:val="20"/>
              </w:rPr>
              <mc:AlternateContent>
                <mc:Choice Requires="wps">
                  <w:drawing>
                    <wp:inline distT="0" distB="0" distL="0" distR="0">
                      <wp:extent cx="351155" cy="161925"/>
                      <wp:effectExtent l="0" t="0" r="0" b="0"/>
                      <wp:docPr id="56" name="Group 56"/>
                      <wp:cNvGraphicFramePr>
                        <a:graphicFrameLocks/>
                      </wp:cNvGraphicFramePr>
                      <a:graphic>
                        <a:graphicData uri="http://schemas.microsoft.com/office/word/2010/wordprocessingGroup">
                          <wpg:wgp>
                            <wpg:cNvPr id="56" name="Group 56"/>
                            <wpg:cNvGrpSpPr/>
                            <wpg:grpSpPr>
                              <a:xfrm>
                                <a:off x="0" y="0"/>
                                <a:ext cx="351155" cy="161925"/>
                                <a:chExt cx="351155" cy="161925"/>
                              </a:xfrm>
                            </wpg:grpSpPr>
                            <wps:wsp>
                              <wps:cNvPr id="57" name="Graphic 57"/>
                              <wps:cNvSpPr/>
                              <wps:spPr>
                                <a:xfrm>
                                  <a:off x="0" y="0"/>
                                  <a:ext cx="351155" cy="161925"/>
                                </a:xfrm>
                                <a:custGeom>
                                  <a:avLst/>
                                  <a:gdLst/>
                                  <a:ahLst/>
                                  <a:cxnLst/>
                                  <a:rect l="l" t="t" r="r" b="b"/>
                                  <a:pathLst>
                                    <a:path w="351155" h="161925">
                                      <a:moveTo>
                                        <a:pt x="350824" y="0"/>
                                      </a:moveTo>
                                      <a:lnTo>
                                        <a:pt x="0" y="0"/>
                                      </a:lnTo>
                                      <a:lnTo>
                                        <a:pt x="0" y="147840"/>
                                      </a:lnTo>
                                      <a:lnTo>
                                        <a:pt x="0" y="158496"/>
                                      </a:lnTo>
                                      <a:lnTo>
                                        <a:pt x="0" y="161544"/>
                                      </a:lnTo>
                                      <a:lnTo>
                                        <a:pt x="350824" y="161544"/>
                                      </a:lnTo>
                                      <a:lnTo>
                                        <a:pt x="350824" y="158496"/>
                                      </a:lnTo>
                                      <a:lnTo>
                                        <a:pt x="350824" y="147840"/>
                                      </a:lnTo>
                                      <a:lnTo>
                                        <a:pt x="350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5pt;height:12.75pt;mso-position-horizontal-relative:char;mso-position-vertical-relative:line" id="docshapegroup56" coordorigin="0,0" coordsize="553,255">
                      <v:shape style="position:absolute;left:0;top:0;width:553;height:255" id="docshape57" coordorigin="0,0" coordsize="553,255" path="m552,0l0,0,0,233,0,250,0,254,552,254,552,250,552,233,552,0xe" filled="true" fillcolor="#000000" stroked="false">
                        <v:path arrowok="t"/>
                        <v:fill type="solid"/>
                      </v:shape>
                    </v:group>
                  </w:pict>
                </mc:Fallback>
              </mc:AlternateContent>
            </w:r>
            <w:r>
              <w:rPr>
                <w:sz w:val="20"/>
              </w:rPr>
            </w:r>
          </w:p>
        </w:tc>
        <w:tc>
          <w:tcPr>
            <w:tcW w:w="1414" w:type="dxa"/>
          </w:tcPr>
          <w:p>
            <w:pPr>
              <w:pStyle w:val="TableParagraph"/>
              <w:spacing w:before="6"/>
              <w:rPr>
                <w:b/>
                <w:i/>
                <w:sz w:val="4"/>
              </w:rPr>
            </w:pPr>
          </w:p>
          <w:p>
            <w:pPr>
              <w:pStyle w:val="TableParagraph"/>
              <w:ind w:left="430"/>
              <w:rPr>
                <w:sz w:val="20"/>
              </w:rPr>
            </w:pPr>
            <w:r>
              <w:rPr>
                <w:sz w:val="20"/>
              </w:rPr>
              <mc:AlternateContent>
                <mc:Choice Requires="wps">
                  <w:drawing>
                    <wp:inline distT="0" distB="0" distL="0" distR="0">
                      <wp:extent cx="350520" cy="161925"/>
                      <wp:effectExtent l="0" t="0" r="0" b="0"/>
                      <wp:docPr id="58" name="Group 58"/>
                      <wp:cNvGraphicFramePr>
                        <a:graphicFrameLocks/>
                      </wp:cNvGraphicFramePr>
                      <a:graphic>
                        <a:graphicData uri="http://schemas.microsoft.com/office/word/2010/wordprocessingGroup">
                          <wpg:wgp>
                            <wpg:cNvPr id="58" name="Group 58"/>
                            <wpg:cNvGrpSpPr/>
                            <wpg:grpSpPr>
                              <a:xfrm>
                                <a:off x="0" y="0"/>
                                <a:ext cx="350520" cy="161925"/>
                                <a:chExt cx="350520" cy="161925"/>
                              </a:xfrm>
                            </wpg:grpSpPr>
                            <wps:wsp>
                              <wps:cNvPr id="59" name="Graphic 59"/>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58" coordorigin="0,0" coordsize="552,255">
                      <v:shape style="position:absolute;left:0;top:0;width:552;height:255" id="docshape59" coordorigin="0,0" coordsize="552,255" path="m552,0l0,0,0,233,0,250,0,254,552,254,552,250,552,233,552,0xe" filled="true" fillcolor="#000000" stroked="false">
                        <v:path arrowok="t"/>
                        <v:fill type="solid"/>
                      </v:shape>
                    </v:group>
                  </w:pict>
                </mc:Fallback>
              </mc:AlternateContent>
            </w:r>
            <w:r>
              <w:rPr>
                <w:sz w:val="20"/>
              </w:rPr>
            </w:r>
          </w:p>
        </w:tc>
        <w:tc>
          <w:tcPr>
            <w:tcW w:w="1527" w:type="dxa"/>
          </w:tcPr>
          <w:p>
            <w:pPr>
              <w:pStyle w:val="TableParagraph"/>
              <w:spacing w:before="6"/>
              <w:rPr>
                <w:b/>
                <w:i/>
                <w:sz w:val="4"/>
              </w:rPr>
            </w:pPr>
          </w:p>
          <w:p>
            <w:pPr>
              <w:pStyle w:val="TableParagraph"/>
              <w:ind w:left="514"/>
              <w:rPr>
                <w:sz w:val="20"/>
              </w:rPr>
            </w:pPr>
            <w:r>
              <w:rPr>
                <w:sz w:val="20"/>
              </w:rPr>
              <mc:AlternateContent>
                <mc:Choice Requires="wps">
                  <w:drawing>
                    <wp:inline distT="0" distB="0" distL="0" distR="0">
                      <wp:extent cx="350520" cy="161925"/>
                      <wp:effectExtent l="0" t="0" r="0" b="0"/>
                      <wp:docPr id="60" name="Group 60"/>
                      <wp:cNvGraphicFramePr>
                        <a:graphicFrameLocks/>
                      </wp:cNvGraphicFramePr>
                      <a:graphic>
                        <a:graphicData uri="http://schemas.microsoft.com/office/word/2010/wordprocessingGroup">
                          <wpg:wgp>
                            <wpg:cNvPr id="60" name="Group 60"/>
                            <wpg:cNvGrpSpPr/>
                            <wpg:grpSpPr>
                              <a:xfrm>
                                <a:off x="0" y="0"/>
                                <a:ext cx="350520" cy="161925"/>
                                <a:chExt cx="350520" cy="161925"/>
                              </a:xfrm>
                            </wpg:grpSpPr>
                            <wps:wsp>
                              <wps:cNvPr id="61" name="Graphic 61"/>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60" coordorigin="0,0" coordsize="552,255">
                      <v:shape style="position:absolute;left:0;top:0;width:552;height:255" id="docshape61" coordorigin="0,0" coordsize="552,255" path="m552,0l0,0,0,233,0,250,0,254,552,254,552,250,552,233,552,0xe" filled="true" fillcolor="#000000" stroked="false">
                        <v:path arrowok="t"/>
                        <v:fill type="solid"/>
                      </v:shape>
                    </v:group>
                  </w:pict>
                </mc:Fallback>
              </mc:AlternateContent>
            </w:r>
            <w:r>
              <w:rPr>
                <w:sz w:val="20"/>
              </w:rPr>
            </w:r>
          </w:p>
        </w:tc>
        <w:tc>
          <w:tcPr>
            <w:tcW w:w="1530" w:type="dxa"/>
          </w:tcPr>
          <w:p>
            <w:pPr>
              <w:pStyle w:val="TableParagraph"/>
              <w:spacing w:before="6"/>
              <w:rPr>
                <w:b/>
                <w:i/>
                <w:sz w:val="4"/>
              </w:rPr>
            </w:pPr>
          </w:p>
          <w:p>
            <w:pPr>
              <w:pStyle w:val="TableParagraph"/>
              <w:ind w:left="513"/>
              <w:rPr>
                <w:sz w:val="20"/>
              </w:rPr>
            </w:pPr>
            <w:r>
              <w:rPr>
                <w:sz w:val="20"/>
              </w:rPr>
              <mc:AlternateContent>
                <mc:Choice Requires="wps">
                  <w:drawing>
                    <wp:inline distT="0" distB="0" distL="0" distR="0">
                      <wp:extent cx="350520" cy="161925"/>
                      <wp:effectExtent l="0" t="0" r="0" b="0"/>
                      <wp:docPr id="62" name="Group 62"/>
                      <wp:cNvGraphicFramePr>
                        <a:graphicFrameLocks/>
                      </wp:cNvGraphicFramePr>
                      <a:graphic>
                        <a:graphicData uri="http://schemas.microsoft.com/office/word/2010/wordprocessingGroup">
                          <wpg:wgp>
                            <wpg:cNvPr id="62" name="Group 62"/>
                            <wpg:cNvGrpSpPr/>
                            <wpg:grpSpPr>
                              <a:xfrm>
                                <a:off x="0" y="0"/>
                                <a:ext cx="350520" cy="161925"/>
                                <a:chExt cx="350520" cy="161925"/>
                              </a:xfrm>
                            </wpg:grpSpPr>
                            <wps:wsp>
                              <wps:cNvPr id="63" name="Graphic 63"/>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62" coordorigin="0,0" coordsize="552,255">
                      <v:shape style="position:absolute;left:0;top:0;width:552;height:255" id="docshape63" coordorigin="0,0" coordsize="552,255" path="m552,0l0,0,0,233,0,250,0,254,552,254,552,250,552,233,552,0xe" filled="true" fillcolor="#000000" stroked="false">
                        <v:path arrowok="t"/>
                        <v:fill type="solid"/>
                      </v:shape>
                    </v:group>
                  </w:pict>
                </mc:Fallback>
              </mc:AlternateContent>
            </w:r>
            <w:r>
              <w:rPr>
                <w:sz w:val="20"/>
              </w:rPr>
            </w:r>
          </w:p>
        </w:tc>
        <w:tc>
          <w:tcPr>
            <w:tcW w:w="1419" w:type="dxa"/>
          </w:tcPr>
          <w:p>
            <w:pPr>
              <w:pStyle w:val="TableParagraph"/>
              <w:spacing w:before="6"/>
              <w:rPr>
                <w:b/>
                <w:i/>
                <w:sz w:val="4"/>
              </w:rPr>
            </w:pPr>
          </w:p>
          <w:p>
            <w:pPr>
              <w:pStyle w:val="TableParagraph"/>
              <w:ind w:left="458"/>
              <w:rPr>
                <w:sz w:val="20"/>
              </w:rPr>
            </w:pPr>
            <w:r>
              <w:rPr>
                <w:sz w:val="20"/>
              </w:rPr>
              <mc:AlternateContent>
                <mc:Choice Requires="wps">
                  <w:drawing>
                    <wp:inline distT="0" distB="0" distL="0" distR="0">
                      <wp:extent cx="350520" cy="161925"/>
                      <wp:effectExtent l="0" t="0" r="0" b="0"/>
                      <wp:docPr id="64" name="Group 64"/>
                      <wp:cNvGraphicFramePr>
                        <a:graphicFrameLocks/>
                      </wp:cNvGraphicFramePr>
                      <a:graphic>
                        <a:graphicData uri="http://schemas.microsoft.com/office/word/2010/wordprocessingGroup">
                          <wpg:wgp>
                            <wpg:cNvPr id="64" name="Group 64"/>
                            <wpg:cNvGrpSpPr/>
                            <wpg:grpSpPr>
                              <a:xfrm>
                                <a:off x="0" y="0"/>
                                <a:ext cx="350520" cy="161925"/>
                                <a:chExt cx="350520" cy="161925"/>
                              </a:xfrm>
                            </wpg:grpSpPr>
                            <wps:wsp>
                              <wps:cNvPr id="65" name="Graphic 65"/>
                              <wps:cNvSpPr/>
                              <wps:spPr>
                                <a:xfrm>
                                  <a:off x="0" y="0"/>
                                  <a:ext cx="350520" cy="161925"/>
                                </a:xfrm>
                                <a:custGeom>
                                  <a:avLst/>
                                  <a:gdLst/>
                                  <a:ahLst/>
                                  <a:cxnLst/>
                                  <a:rect l="l" t="t" r="r" b="b"/>
                                  <a:pathLst>
                                    <a:path w="350520" h="161925">
                                      <a:moveTo>
                                        <a:pt x="350520" y="0"/>
                                      </a:moveTo>
                                      <a:lnTo>
                                        <a:pt x="0" y="0"/>
                                      </a:lnTo>
                                      <a:lnTo>
                                        <a:pt x="0" y="147840"/>
                                      </a:lnTo>
                                      <a:lnTo>
                                        <a:pt x="0" y="158496"/>
                                      </a:lnTo>
                                      <a:lnTo>
                                        <a:pt x="0" y="161544"/>
                                      </a:lnTo>
                                      <a:lnTo>
                                        <a:pt x="350520" y="161544"/>
                                      </a:lnTo>
                                      <a:lnTo>
                                        <a:pt x="350520" y="158496"/>
                                      </a:lnTo>
                                      <a:lnTo>
                                        <a:pt x="350520" y="147840"/>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64" coordorigin="0,0" coordsize="552,255">
                      <v:shape style="position:absolute;left:0;top:0;width:552;height:255" id="docshape65" coordorigin="0,0" coordsize="552,255" path="m552,0l0,0,0,233,0,250,0,254,552,254,552,250,552,233,552,0xe" filled="true" fillcolor="#000000" stroked="false">
                        <v:path arrowok="t"/>
                        <v:fill type="solid"/>
                      </v:shape>
                    </v:group>
                  </w:pict>
                </mc:Fallback>
              </mc:AlternateContent>
            </w:r>
            <w:r>
              <w:rPr>
                <w:sz w:val="20"/>
              </w:rPr>
            </w:r>
          </w:p>
        </w:tc>
      </w:tr>
      <w:tr>
        <w:trPr>
          <w:trHeight w:val="395" w:hRule="atLeast"/>
        </w:trPr>
        <w:tc>
          <w:tcPr>
            <w:tcW w:w="1714" w:type="dxa"/>
          </w:tcPr>
          <w:p>
            <w:pPr>
              <w:pStyle w:val="TableParagraph"/>
              <w:spacing w:before="55"/>
              <w:ind w:left="105"/>
              <w:rPr>
                <w:sz w:val="22"/>
              </w:rPr>
            </w:pPr>
            <w:r>
              <w:rPr>
                <w:spacing w:val="-2"/>
                <w:sz w:val="22"/>
              </w:rPr>
              <w:t>Pembrolizumab</w:t>
            </w:r>
          </w:p>
        </w:tc>
        <w:tc>
          <w:tcPr>
            <w:tcW w:w="1415" w:type="dxa"/>
          </w:tcPr>
          <w:p>
            <w:pPr>
              <w:pStyle w:val="TableParagraph"/>
              <w:spacing w:before="6"/>
              <w:rPr>
                <w:b/>
                <w:i/>
                <w:sz w:val="4"/>
              </w:rPr>
            </w:pPr>
          </w:p>
          <w:p>
            <w:pPr>
              <w:pStyle w:val="TableParagraph"/>
              <w:ind w:left="428"/>
              <w:rPr>
                <w:sz w:val="20"/>
              </w:rPr>
            </w:pPr>
            <w:r>
              <w:rPr>
                <w:sz w:val="20"/>
              </w:rPr>
              <mc:AlternateContent>
                <mc:Choice Requires="wps">
                  <w:drawing>
                    <wp:inline distT="0" distB="0" distL="0" distR="0">
                      <wp:extent cx="351155" cy="161925"/>
                      <wp:effectExtent l="0" t="0" r="0" b="0"/>
                      <wp:docPr id="66" name="Group 66"/>
                      <wp:cNvGraphicFramePr>
                        <a:graphicFrameLocks/>
                      </wp:cNvGraphicFramePr>
                      <a:graphic>
                        <a:graphicData uri="http://schemas.microsoft.com/office/word/2010/wordprocessingGroup">
                          <wpg:wgp>
                            <wpg:cNvPr id="66" name="Group 66"/>
                            <wpg:cNvGrpSpPr/>
                            <wpg:grpSpPr>
                              <a:xfrm>
                                <a:off x="0" y="0"/>
                                <a:ext cx="351155" cy="161925"/>
                                <a:chExt cx="351155" cy="161925"/>
                              </a:xfrm>
                            </wpg:grpSpPr>
                            <wps:wsp>
                              <wps:cNvPr id="67" name="Graphic 67"/>
                              <wps:cNvSpPr/>
                              <wps:spPr>
                                <a:xfrm>
                                  <a:off x="0" y="0"/>
                                  <a:ext cx="351155" cy="161925"/>
                                </a:xfrm>
                                <a:custGeom>
                                  <a:avLst/>
                                  <a:gdLst/>
                                  <a:ahLst/>
                                  <a:cxnLst/>
                                  <a:rect l="l" t="t" r="r" b="b"/>
                                  <a:pathLst>
                                    <a:path w="351155" h="161925">
                                      <a:moveTo>
                                        <a:pt x="350824" y="0"/>
                                      </a:moveTo>
                                      <a:lnTo>
                                        <a:pt x="0" y="0"/>
                                      </a:lnTo>
                                      <a:lnTo>
                                        <a:pt x="0" y="147828"/>
                                      </a:lnTo>
                                      <a:lnTo>
                                        <a:pt x="0" y="158496"/>
                                      </a:lnTo>
                                      <a:lnTo>
                                        <a:pt x="0" y="161544"/>
                                      </a:lnTo>
                                      <a:lnTo>
                                        <a:pt x="350824" y="161544"/>
                                      </a:lnTo>
                                      <a:lnTo>
                                        <a:pt x="350824" y="158496"/>
                                      </a:lnTo>
                                      <a:lnTo>
                                        <a:pt x="350824" y="147828"/>
                                      </a:lnTo>
                                      <a:lnTo>
                                        <a:pt x="350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5pt;height:12.75pt;mso-position-horizontal-relative:char;mso-position-vertical-relative:line" id="docshapegroup66" coordorigin="0,0" coordsize="553,255">
                      <v:shape style="position:absolute;left:0;top:0;width:553;height:255" id="docshape67" coordorigin="0,0" coordsize="553,255" path="m552,0l0,0,0,233,0,250,0,254,552,254,552,250,552,233,552,0xe" filled="true" fillcolor="#000000" stroked="false">
                        <v:path arrowok="t"/>
                        <v:fill type="solid"/>
                      </v:shape>
                    </v:group>
                  </w:pict>
                </mc:Fallback>
              </mc:AlternateContent>
            </w:r>
            <w:r>
              <w:rPr>
                <w:sz w:val="20"/>
              </w:rPr>
            </w:r>
          </w:p>
        </w:tc>
        <w:tc>
          <w:tcPr>
            <w:tcW w:w="1414" w:type="dxa"/>
          </w:tcPr>
          <w:p>
            <w:pPr>
              <w:pStyle w:val="TableParagraph"/>
              <w:spacing w:before="6"/>
              <w:rPr>
                <w:b/>
                <w:i/>
                <w:sz w:val="4"/>
              </w:rPr>
            </w:pPr>
          </w:p>
          <w:p>
            <w:pPr>
              <w:pStyle w:val="TableParagraph"/>
              <w:ind w:left="430"/>
              <w:rPr>
                <w:sz w:val="20"/>
              </w:rPr>
            </w:pPr>
            <w:r>
              <w:rPr>
                <w:sz w:val="20"/>
              </w:rPr>
              <mc:AlternateContent>
                <mc:Choice Requires="wps">
                  <w:drawing>
                    <wp:inline distT="0" distB="0" distL="0" distR="0">
                      <wp:extent cx="350520" cy="161925"/>
                      <wp:effectExtent l="0" t="0" r="0" b="0"/>
                      <wp:docPr id="68" name="Group 68"/>
                      <wp:cNvGraphicFramePr>
                        <a:graphicFrameLocks/>
                      </wp:cNvGraphicFramePr>
                      <a:graphic>
                        <a:graphicData uri="http://schemas.microsoft.com/office/word/2010/wordprocessingGroup">
                          <wpg:wgp>
                            <wpg:cNvPr id="68" name="Group 68"/>
                            <wpg:cNvGrpSpPr/>
                            <wpg:grpSpPr>
                              <a:xfrm>
                                <a:off x="0" y="0"/>
                                <a:ext cx="350520" cy="161925"/>
                                <a:chExt cx="350520" cy="161925"/>
                              </a:xfrm>
                            </wpg:grpSpPr>
                            <wps:wsp>
                              <wps:cNvPr id="69" name="Graphic 69"/>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68" coordorigin="0,0" coordsize="552,255">
                      <v:shape style="position:absolute;left:0;top:0;width:552;height:255" id="docshape69" coordorigin="0,0" coordsize="552,255" path="m552,0l0,0,0,233,0,250,0,254,552,254,552,250,552,233,552,0xe" filled="true" fillcolor="#000000" stroked="false">
                        <v:path arrowok="t"/>
                        <v:fill type="solid"/>
                      </v:shape>
                    </v:group>
                  </w:pict>
                </mc:Fallback>
              </mc:AlternateContent>
            </w:r>
            <w:r>
              <w:rPr>
                <w:sz w:val="20"/>
              </w:rPr>
            </w:r>
          </w:p>
        </w:tc>
        <w:tc>
          <w:tcPr>
            <w:tcW w:w="1527" w:type="dxa"/>
          </w:tcPr>
          <w:p>
            <w:pPr>
              <w:pStyle w:val="TableParagraph"/>
              <w:spacing w:before="6"/>
              <w:rPr>
                <w:b/>
                <w:i/>
                <w:sz w:val="4"/>
              </w:rPr>
            </w:pPr>
          </w:p>
          <w:p>
            <w:pPr>
              <w:pStyle w:val="TableParagraph"/>
              <w:ind w:left="488"/>
              <w:rPr>
                <w:sz w:val="20"/>
              </w:rPr>
            </w:pPr>
            <w:r>
              <w:rPr>
                <w:sz w:val="20"/>
              </w:rPr>
              <mc:AlternateContent>
                <mc:Choice Requires="wps">
                  <w:drawing>
                    <wp:inline distT="0" distB="0" distL="0" distR="0">
                      <wp:extent cx="350520" cy="161925"/>
                      <wp:effectExtent l="0" t="0" r="0" b="0"/>
                      <wp:docPr id="70" name="Group 70"/>
                      <wp:cNvGraphicFramePr>
                        <a:graphicFrameLocks/>
                      </wp:cNvGraphicFramePr>
                      <a:graphic>
                        <a:graphicData uri="http://schemas.microsoft.com/office/word/2010/wordprocessingGroup">
                          <wpg:wgp>
                            <wpg:cNvPr id="70" name="Group 70"/>
                            <wpg:cNvGrpSpPr/>
                            <wpg:grpSpPr>
                              <a:xfrm>
                                <a:off x="0" y="0"/>
                                <a:ext cx="350520" cy="161925"/>
                                <a:chExt cx="350520" cy="161925"/>
                              </a:xfrm>
                            </wpg:grpSpPr>
                            <wps:wsp>
                              <wps:cNvPr id="71" name="Graphic 71"/>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70" coordorigin="0,0" coordsize="552,255">
                      <v:shape style="position:absolute;left:0;top:0;width:552;height:255" id="docshape71" coordorigin="0,0" coordsize="552,255" path="m552,0l0,0,0,233,0,250,0,254,552,254,552,250,552,233,552,0xe" filled="true" fillcolor="#000000" stroked="false">
                        <v:path arrowok="t"/>
                        <v:fill type="solid"/>
                      </v:shape>
                    </v:group>
                  </w:pict>
                </mc:Fallback>
              </mc:AlternateContent>
            </w:r>
            <w:r>
              <w:rPr>
                <w:sz w:val="20"/>
              </w:rPr>
            </w:r>
          </w:p>
        </w:tc>
        <w:tc>
          <w:tcPr>
            <w:tcW w:w="1530" w:type="dxa"/>
          </w:tcPr>
          <w:p>
            <w:pPr>
              <w:pStyle w:val="TableParagraph"/>
              <w:spacing w:before="6"/>
              <w:rPr>
                <w:b/>
                <w:i/>
                <w:sz w:val="4"/>
              </w:rPr>
            </w:pPr>
          </w:p>
          <w:p>
            <w:pPr>
              <w:pStyle w:val="TableParagraph"/>
              <w:ind w:left="487"/>
              <w:rPr>
                <w:sz w:val="20"/>
              </w:rPr>
            </w:pPr>
            <w:r>
              <w:rPr>
                <w:sz w:val="20"/>
              </w:rPr>
              <mc:AlternateContent>
                <mc:Choice Requires="wps">
                  <w:drawing>
                    <wp:inline distT="0" distB="0" distL="0" distR="0">
                      <wp:extent cx="350520" cy="161925"/>
                      <wp:effectExtent l="0" t="0" r="0" b="0"/>
                      <wp:docPr id="72" name="Group 72"/>
                      <wp:cNvGraphicFramePr>
                        <a:graphicFrameLocks/>
                      </wp:cNvGraphicFramePr>
                      <a:graphic>
                        <a:graphicData uri="http://schemas.microsoft.com/office/word/2010/wordprocessingGroup">
                          <wpg:wgp>
                            <wpg:cNvPr id="72" name="Group 72"/>
                            <wpg:cNvGrpSpPr/>
                            <wpg:grpSpPr>
                              <a:xfrm>
                                <a:off x="0" y="0"/>
                                <a:ext cx="350520" cy="161925"/>
                                <a:chExt cx="350520" cy="161925"/>
                              </a:xfrm>
                            </wpg:grpSpPr>
                            <wps:wsp>
                              <wps:cNvPr id="73" name="Graphic 73"/>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72" coordorigin="0,0" coordsize="552,255">
                      <v:shape style="position:absolute;left:0;top:0;width:552;height:255" id="docshape73" coordorigin="0,0" coordsize="552,255" path="m552,0l0,0,0,233,0,250,0,254,552,254,552,250,552,233,552,0xe" filled="true" fillcolor="#000000" stroked="false">
                        <v:path arrowok="t"/>
                        <v:fill type="solid"/>
                      </v:shape>
                    </v:group>
                  </w:pict>
                </mc:Fallback>
              </mc:AlternateContent>
            </w:r>
            <w:r>
              <w:rPr>
                <w:sz w:val="20"/>
              </w:rPr>
            </w:r>
          </w:p>
        </w:tc>
        <w:tc>
          <w:tcPr>
            <w:tcW w:w="1419" w:type="dxa"/>
          </w:tcPr>
          <w:p>
            <w:pPr>
              <w:pStyle w:val="TableParagraph"/>
              <w:spacing w:before="6"/>
              <w:rPr>
                <w:b/>
                <w:i/>
                <w:sz w:val="4"/>
              </w:rPr>
            </w:pPr>
          </w:p>
          <w:p>
            <w:pPr>
              <w:pStyle w:val="TableParagraph"/>
              <w:ind w:left="431"/>
              <w:rPr>
                <w:sz w:val="20"/>
              </w:rPr>
            </w:pPr>
            <w:r>
              <w:rPr>
                <w:sz w:val="20"/>
              </w:rPr>
              <mc:AlternateContent>
                <mc:Choice Requires="wps">
                  <w:drawing>
                    <wp:inline distT="0" distB="0" distL="0" distR="0">
                      <wp:extent cx="350520" cy="161925"/>
                      <wp:effectExtent l="0" t="0" r="0" b="0"/>
                      <wp:docPr id="74" name="Group 74"/>
                      <wp:cNvGraphicFramePr>
                        <a:graphicFrameLocks/>
                      </wp:cNvGraphicFramePr>
                      <a:graphic>
                        <a:graphicData uri="http://schemas.microsoft.com/office/word/2010/wordprocessingGroup">
                          <wpg:wgp>
                            <wpg:cNvPr id="74" name="Group 74"/>
                            <wpg:cNvGrpSpPr/>
                            <wpg:grpSpPr>
                              <a:xfrm>
                                <a:off x="0" y="0"/>
                                <a:ext cx="350520" cy="161925"/>
                                <a:chExt cx="350520" cy="161925"/>
                              </a:xfrm>
                            </wpg:grpSpPr>
                            <wps:wsp>
                              <wps:cNvPr id="75" name="Graphic 75"/>
                              <wps:cNvSpPr/>
                              <wps:spPr>
                                <a:xfrm>
                                  <a:off x="0" y="0"/>
                                  <a:ext cx="350520" cy="161925"/>
                                </a:xfrm>
                                <a:custGeom>
                                  <a:avLst/>
                                  <a:gdLst/>
                                  <a:ahLst/>
                                  <a:cxnLst/>
                                  <a:rect l="l" t="t" r="r" b="b"/>
                                  <a:pathLst>
                                    <a:path w="350520" h="161925">
                                      <a:moveTo>
                                        <a:pt x="350520" y="0"/>
                                      </a:moveTo>
                                      <a:lnTo>
                                        <a:pt x="0" y="0"/>
                                      </a:lnTo>
                                      <a:lnTo>
                                        <a:pt x="0" y="147828"/>
                                      </a:lnTo>
                                      <a:lnTo>
                                        <a:pt x="0" y="158496"/>
                                      </a:lnTo>
                                      <a:lnTo>
                                        <a:pt x="0" y="161544"/>
                                      </a:lnTo>
                                      <a:lnTo>
                                        <a:pt x="350520" y="161544"/>
                                      </a:lnTo>
                                      <a:lnTo>
                                        <a:pt x="350520" y="158496"/>
                                      </a:lnTo>
                                      <a:lnTo>
                                        <a:pt x="350520" y="147828"/>
                                      </a:lnTo>
                                      <a:lnTo>
                                        <a:pt x="350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6pt;height:12.75pt;mso-position-horizontal-relative:char;mso-position-vertical-relative:line" id="docshapegroup74" coordorigin="0,0" coordsize="552,255">
                      <v:shape style="position:absolute;left:0;top:0;width:552;height:255" id="docshape75" coordorigin="0,0" coordsize="552,255" path="m552,0l0,0,0,233,0,250,0,254,552,254,552,250,552,233,552,0xe" filled="true" fillcolor="#000000" stroked="false">
                        <v:path arrowok="t"/>
                        <v:fill type="solid"/>
                      </v:shape>
                    </v:group>
                  </w:pict>
                </mc:Fallback>
              </mc:AlternateContent>
            </w:r>
            <w:r>
              <w:rPr>
                <w:sz w:val="20"/>
              </w:rPr>
            </w:r>
          </w:p>
        </w:tc>
      </w:tr>
    </w:tbl>
    <w:p>
      <w:pPr>
        <w:spacing w:after="0"/>
        <w:rPr>
          <w:sz w:val="20"/>
        </w:rPr>
        <w:sectPr>
          <w:type w:val="continuous"/>
          <w:pgSz w:w="11910" w:h="16840"/>
          <w:pgMar w:top="1600" w:bottom="280" w:left="1300" w:right="1300"/>
        </w:sectPr>
      </w:pPr>
    </w:p>
    <w:p>
      <w:pPr>
        <w:spacing w:line="240" w:lineRule="auto"/>
        <w:ind w:left="147" w:right="0" w:firstLine="0"/>
        <w:rPr>
          <w:sz w:val="20"/>
        </w:rPr>
      </w:pPr>
      <w:r>
        <w:rPr>
          <w:sz w:val="20"/>
        </w:rPr>
        <mc:AlternateContent>
          <mc:Choice Requires="wps">
            <w:drawing>
              <wp:inline distT="0" distB="0" distL="0" distR="0">
                <wp:extent cx="5725160" cy="552450"/>
                <wp:effectExtent l="9525" t="0" r="0" b="9525"/>
                <wp:docPr id="76" name="Textbox 76"/>
                <wp:cNvGraphicFramePr>
                  <a:graphicFrameLocks/>
                </wp:cNvGraphicFramePr>
                <a:graphic>
                  <a:graphicData uri="http://schemas.microsoft.com/office/word/2010/wordprocessingShape">
                    <wps:wsp>
                      <wps:cNvPr id="76" name="Textbox 76"/>
                      <wps:cNvSpPr txBox="1"/>
                      <wps:spPr>
                        <a:xfrm>
                          <a:off x="0" y="0"/>
                          <a:ext cx="5725160" cy="552450"/>
                        </a:xfrm>
                        <a:prstGeom prst="rect">
                          <a:avLst/>
                        </a:prstGeom>
                        <a:ln w="6095">
                          <a:solidFill>
                            <a:srgbClr val="000000"/>
                          </a:solidFill>
                          <a:prstDash val="solid"/>
                        </a:ln>
                      </wps:spPr>
                      <wps:txbx>
                        <w:txbxContent>
                          <w:p>
                            <w:pPr>
                              <w:spacing w:line="256" w:lineRule="auto" w:before="55"/>
                              <w:ind w:left="100" w:right="104" w:firstLine="0"/>
                              <w:jc w:val="both"/>
                              <w:rPr>
                                <w:sz w:val="20"/>
                              </w:rPr>
                            </w:pPr>
                            <w:r>
                              <w:rPr>
                                <w:sz w:val="20"/>
                              </w:rPr>
                              <w:t>CS</w:t>
                            </w:r>
                            <w:r>
                              <w:rPr>
                                <w:spacing w:val="-4"/>
                                <w:sz w:val="20"/>
                              </w:rPr>
                              <w:t> </w:t>
                            </w:r>
                            <w:r>
                              <w:rPr>
                                <w:sz w:val="20"/>
                              </w:rPr>
                              <w:t>=</w:t>
                            </w:r>
                            <w:r>
                              <w:rPr>
                                <w:spacing w:val="-1"/>
                                <w:sz w:val="20"/>
                              </w:rPr>
                              <w:t> </w:t>
                            </w:r>
                            <w:r>
                              <w:rPr>
                                <w:sz w:val="20"/>
                              </w:rPr>
                              <w:t>company</w:t>
                            </w:r>
                            <w:r>
                              <w:rPr>
                                <w:spacing w:val="-3"/>
                                <w:sz w:val="20"/>
                              </w:rPr>
                              <w:t> </w:t>
                            </w:r>
                            <w:r>
                              <w:rPr>
                                <w:sz w:val="20"/>
                              </w:rPr>
                              <w:t>submission;</w:t>
                            </w:r>
                            <w:r>
                              <w:rPr>
                                <w:spacing w:val="-2"/>
                                <w:sz w:val="20"/>
                              </w:rPr>
                              <w:t> </w:t>
                            </w:r>
                            <w:r>
                              <w:rPr>
                                <w:sz w:val="20"/>
                              </w:rPr>
                              <w:t>ERG</w:t>
                            </w:r>
                            <w:r>
                              <w:rPr>
                                <w:spacing w:val="-1"/>
                                <w:sz w:val="20"/>
                              </w:rPr>
                              <w:t> </w:t>
                            </w:r>
                            <w:r>
                              <w:rPr>
                                <w:sz w:val="20"/>
                              </w:rPr>
                              <w:t>=</w:t>
                            </w:r>
                            <w:r>
                              <w:rPr>
                                <w:spacing w:val="-1"/>
                                <w:sz w:val="20"/>
                              </w:rPr>
                              <w:t> </w:t>
                            </w:r>
                            <w:r>
                              <w:rPr>
                                <w:sz w:val="20"/>
                              </w:rPr>
                              <w:t>Evidence</w:t>
                            </w:r>
                            <w:r>
                              <w:rPr>
                                <w:spacing w:val="-2"/>
                                <w:sz w:val="20"/>
                              </w:rPr>
                              <w:t> </w:t>
                            </w:r>
                            <w:r>
                              <w:rPr>
                                <w:sz w:val="20"/>
                              </w:rPr>
                              <w:t>Review</w:t>
                            </w:r>
                            <w:r>
                              <w:rPr>
                                <w:spacing w:val="-1"/>
                                <w:sz w:val="20"/>
                              </w:rPr>
                              <w:t> </w:t>
                            </w:r>
                            <w:r>
                              <w:rPr>
                                <w:sz w:val="20"/>
                              </w:rPr>
                              <w:t>Group;</w:t>
                            </w:r>
                            <w:r>
                              <w:rPr>
                                <w:spacing w:val="-2"/>
                                <w:sz w:val="20"/>
                              </w:rPr>
                              <w:t> </w:t>
                            </w:r>
                            <w:r>
                              <w:rPr>
                                <w:sz w:val="20"/>
                              </w:rPr>
                              <w:t>ICER</w:t>
                            </w:r>
                            <w:r>
                              <w:rPr>
                                <w:spacing w:val="-4"/>
                                <w:sz w:val="20"/>
                              </w:rPr>
                              <w:t> </w:t>
                            </w:r>
                            <w:r>
                              <w:rPr>
                                <w:sz w:val="20"/>
                              </w:rPr>
                              <w:t>=</w:t>
                            </w:r>
                            <w:r>
                              <w:rPr>
                                <w:spacing w:val="-1"/>
                                <w:sz w:val="20"/>
                              </w:rPr>
                              <w:t> </w:t>
                            </w:r>
                            <w:r>
                              <w:rPr>
                                <w:sz w:val="20"/>
                              </w:rPr>
                              <w:t>incremental</w:t>
                            </w:r>
                            <w:r>
                              <w:rPr>
                                <w:spacing w:val="-3"/>
                                <w:sz w:val="20"/>
                              </w:rPr>
                              <w:t> </w:t>
                            </w:r>
                            <w:r>
                              <w:rPr>
                                <w:sz w:val="20"/>
                              </w:rPr>
                              <w:t>cost</w:t>
                            </w:r>
                            <w:r>
                              <w:rPr>
                                <w:spacing w:val="-4"/>
                                <w:sz w:val="20"/>
                              </w:rPr>
                              <w:t> </w:t>
                            </w:r>
                            <w:r>
                              <w:rPr>
                                <w:sz w:val="20"/>
                              </w:rPr>
                              <w:t>effectiveness ratio; IC = investigator’s choice; OS = overall survival; PFS = progression-free survival; QALY = quality adjusted life years; TTD = time to treatment discontinuation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50.8pt;height:43.5pt;mso-position-horizontal-relative:char;mso-position-vertical-relative:line" type="#_x0000_t202" id="docshape76" filled="false" stroked="true" strokeweight=".47998pt" strokecolor="#000000">
                <w10:anchorlock/>
                <v:textbox inset="0,0,0,0">
                  <w:txbxContent>
                    <w:p>
                      <w:pPr>
                        <w:spacing w:line="256" w:lineRule="auto" w:before="55"/>
                        <w:ind w:left="100" w:right="104" w:firstLine="0"/>
                        <w:jc w:val="both"/>
                        <w:rPr>
                          <w:sz w:val="20"/>
                        </w:rPr>
                      </w:pPr>
                      <w:r>
                        <w:rPr>
                          <w:sz w:val="20"/>
                        </w:rPr>
                        <w:t>CS</w:t>
                      </w:r>
                      <w:r>
                        <w:rPr>
                          <w:spacing w:val="-4"/>
                          <w:sz w:val="20"/>
                        </w:rPr>
                        <w:t> </w:t>
                      </w:r>
                      <w:r>
                        <w:rPr>
                          <w:sz w:val="20"/>
                        </w:rPr>
                        <w:t>=</w:t>
                      </w:r>
                      <w:r>
                        <w:rPr>
                          <w:spacing w:val="-1"/>
                          <w:sz w:val="20"/>
                        </w:rPr>
                        <w:t> </w:t>
                      </w:r>
                      <w:r>
                        <w:rPr>
                          <w:sz w:val="20"/>
                        </w:rPr>
                        <w:t>company</w:t>
                      </w:r>
                      <w:r>
                        <w:rPr>
                          <w:spacing w:val="-3"/>
                          <w:sz w:val="20"/>
                        </w:rPr>
                        <w:t> </w:t>
                      </w:r>
                      <w:r>
                        <w:rPr>
                          <w:sz w:val="20"/>
                        </w:rPr>
                        <w:t>submission;</w:t>
                      </w:r>
                      <w:r>
                        <w:rPr>
                          <w:spacing w:val="-2"/>
                          <w:sz w:val="20"/>
                        </w:rPr>
                        <w:t> </w:t>
                      </w:r>
                      <w:r>
                        <w:rPr>
                          <w:sz w:val="20"/>
                        </w:rPr>
                        <w:t>ERG</w:t>
                      </w:r>
                      <w:r>
                        <w:rPr>
                          <w:spacing w:val="-1"/>
                          <w:sz w:val="20"/>
                        </w:rPr>
                        <w:t> </w:t>
                      </w:r>
                      <w:r>
                        <w:rPr>
                          <w:sz w:val="20"/>
                        </w:rPr>
                        <w:t>=</w:t>
                      </w:r>
                      <w:r>
                        <w:rPr>
                          <w:spacing w:val="-1"/>
                          <w:sz w:val="20"/>
                        </w:rPr>
                        <w:t> </w:t>
                      </w:r>
                      <w:r>
                        <w:rPr>
                          <w:sz w:val="20"/>
                        </w:rPr>
                        <w:t>Evidence</w:t>
                      </w:r>
                      <w:r>
                        <w:rPr>
                          <w:spacing w:val="-2"/>
                          <w:sz w:val="20"/>
                        </w:rPr>
                        <w:t> </w:t>
                      </w:r>
                      <w:r>
                        <w:rPr>
                          <w:sz w:val="20"/>
                        </w:rPr>
                        <w:t>Review</w:t>
                      </w:r>
                      <w:r>
                        <w:rPr>
                          <w:spacing w:val="-1"/>
                          <w:sz w:val="20"/>
                        </w:rPr>
                        <w:t> </w:t>
                      </w:r>
                      <w:r>
                        <w:rPr>
                          <w:sz w:val="20"/>
                        </w:rPr>
                        <w:t>Group;</w:t>
                      </w:r>
                      <w:r>
                        <w:rPr>
                          <w:spacing w:val="-2"/>
                          <w:sz w:val="20"/>
                        </w:rPr>
                        <w:t> </w:t>
                      </w:r>
                      <w:r>
                        <w:rPr>
                          <w:sz w:val="20"/>
                        </w:rPr>
                        <w:t>ICER</w:t>
                      </w:r>
                      <w:r>
                        <w:rPr>
                          <w:spacing w:val="-4"/>
                          <w:sz w:val="20"/>
                        </w:rPr>
                        <w:t> </w:t>
                      </w:r>
                      <w:r>
                        <w:rPr>
                          <w:sz w:val="20"/>
                        </w:rPr>
                        <w:t>=</w:t>
                      </w:r>
                      <w:r>
                        <w:rPr>
                          <w:spacing w:val="-1"/>
                          <w:sz w:val="20"/>
                        </w:rPr>
                        <w:t> </w:t>
                      </w:r>
                      <w:r>
                        <w:rPr>
                          <w:sz w:val="20"/>
                        </w:rPr>
                        <w:t>incremental</w:t>
                      </w:r>
                      <w:r>
                        <w:rPr>
                          <w:spacing w:val="-3"/>
                          <w:sz w:val="20"/>
                        </w:rPr>
                        <w:t> </w:t>
                      </w:r>
                      <w:r>
                        <w:rPr>
                          <w:sz w:val="20"/>
                        </w:rPr>
                        <w:t>cost</w:t>
                      </w:r>
                      <w:r>
                        <w:rPr>
                          <w:spacing w:val="-4"/>
                          <w:sz w:val="20"/>
                        </w:rPr>
                        <w:t> </w:t>
                      </w:r>
                      <w:r>
                        <w:rPr>
                          <w:sz w:val="20"/>
                        </w:rPr>
                        <w:t>effectiveness ratio; IC = investigator’s choice; OS = overall survival; PFS = progression-free survival; QALY = quality adjusted life years; TTD = time to treatment discontinuation</w:t>
                      </w:r>
                    </w:p>
                  </w:txbxContent>
                </v:textbox>
                <v:stroke dashstyle="solid"/>
              </v:shape>
            </w:pict>
          </mc:Fallback>
        </mc:AlternateContent>
      </w:r>
      <w:r>
        <w:rPr>
          <w:sz w:val="20"/>
        </w:rPr>
      </w:r>
    </w:p>
    <w:p>
      <w:pPr>
        <w:spacing w:line="240" w:lineRule="auto" w:before="0"/>
        <w:rPr>
          <w:b/>
          <w:i/>
          <w:sz w:val="20"/>
        </w:rPr>
      </w:pPr>
    </w:p>
    <w:p>
      <w:pPr>
        <w:spacing w:line="240" w:lineRule="auto" w:before="2"/>
        <w:rPr>
          <w:b/>
          <w:i/>
          <w:sz w:val="24"/>
        </w:rPr>
      </w:pPr>
      <w:r>
        <w:rPr/>
        <mc:AlternateContent>
          <mc:Choice Requires="wps">
            <w:drawing>
              <wp:anchor distT="0" distB="0" distL="0" distR="0" allowOverlap="1" layoutInCell="1" locked="0" behindDoc="1" simplePos="0" relativeHeight="487607808">
                <wp:simplePos x="0" y="0"/>
                <wp:positionH relativeFrom="page">
                  <wp:posOffset>896416</wp:posOffset>
                </wp:positionH>
                <wp:positionV relativeFrom="paragraph">
                  <wp:posOffset>192163</wp:posOffset>
                </wp:positionV>
                <wp:extent cx="5772785" cy="635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772785" cy="6350"/>
                        </a:xfrm>
                        <a:custGeom>
                          <a:avLst/>
                          <a:gdLst/>
                          <a:ahLst/>
                          <a:cxnLst/>
                          <a:rect l="l" t="t" r="r" b="b"/>
                          <a:pathLst>
                            <a:path w="5772785" h="6350">
                              <a:moveTo>
                                <a:pt x="5772277" y="0"/>
                              </a:moveTo>
                              <a:lnTo>
                                <a:pt x="0" y="0"/>
                              </a:lnTo>
                              <a:lnTo>
                                <a:pt x="0" y="6096"/>
                              </a:lnTo>
                              <a:lnTo>
                                <a:pt x="5772277" y="6096"/>
                              </a:lnTo>
                              <a:lnTo>
                                <a:pt x="5772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130946pt;width:454.51pt;height:.48001pt;mso-position-horizontal-relative:page;mso-position-vertical-relative:paragraph;z-index:-15708672;mso-wrap-distance-left:0;mso-wrap-distance-right:0" id="docshape77" filled="true" fillcolor="#000000" stroked="false">
                <v:fill type="solid"/>
                <w10:wrap type="topAndBottom"/>
              </v:rect>
            </w:pict>
          </mc:Fallback>
        </mc:AlternateContent>
      </w:r>
    </w:p>
    <w:p>
      <w:pPr>
        <w:spacing w:line="240" w:lineRule="auto" w:before="10"/>
        <w:rPr>
          <w:b/>
          <w:i/>
          <w:sz w:val="15"/>
        </w:rPr>
      </w:pPr>
    </w:p>
    <w:p>
      <w:pPr>
        <w:spacing w:before="93"/>
        <w:ind w:left="140" w:right="0" w:firstLine="0"/>
        <w:jc w:val="left"/>
        <w:rPr>
          <w:b/>
          <w:sz w:val="22"/>
        </w:rPr>
      </w:pPr>
      <w:r>
        <w:rPr>
          <w:b/>
          <w:sz w:val="22"/>
        </w:rPr>
        <w:t>Company</w:t>
      </w:r>
      <w:r>
        <w:rPr>
          <w:b/>
          <w:spacing w:val="-7"/>
          <w:sz w:val="22"/>
        </w:rPr>
        <w:t> </w:t>
      </w:r>
      <w:r>
        <w:rPr>
          <w:b/>
          <w:spacing w:val="-2"/>
          <w:sz w:val="22"/>
        </w:rPr>
        <w:t>response</w:t>
      </w:r>
    </w:p>
    <w:p>
      <w:pPr>
        <w:pStyle w:val="BodyText"/>
        <w:tabs>
          <w:tab w:pos="1537" w:val="left" w:leader="none"/>
          <w:tab w:pos="2670" w:val="left" w:leader="none"/>
        </w:tabs>
        <w:spacing w:line="276" w:lineRule="auto" w:before="158"/>
        <w:ind w:right="157"/>
        <w:rPr>
          <w:rFonts w:ascii="Arial" w:hAnsi="Arial"/>
        </w:rPr>
      </w:pPr>
      <w:r>
        <w:rPr/>
        <mc:AlternateContent>
          <mc:Choice Requires="wps">
            <w:drawing>
              <wp:anchor distT="0" distB="0" distL="0" distR="0" allowOverlap="1" layoutInCell="1" locked="0" behindDoc="1" simplePos="0" relativeHeight="487390720">
                <wp:simplePos x="0" y="0"/>
                <wp:positionH relativeFrom="page">
                  <wp:posOffset>1413002</wp:posOffset>
                </wp:positionH>
                <wp:positionV relativeFrom="paragraph">
                  <wp:posOffset>1393035</wp:posOffset>
                </wp:positionV>
                <wp:extent cx="349250" cy="16192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349250" cy="161925"/>
                        </a:xfrm>
                        <a:custGeom>
                          <a:avLst/>
                          <a:gdLst/>
                          <a:ahLst/>
                          <a:cxnLst/>
                          <a:rect l="l" t="t" r="r" b="b"/>
                          <a:pathLst>
                            <a:path w="349250" h="161925">
                              <a:moveTo>
                                <a:pt x="348996" y="0"/>
                              </a:moveTo>
                              <a:lnTo>
                                <a:pt x="0" y="0"/>
                              </a:lnTo>
                              <a:lnTo>
                                <a:pt x="0" y="146304"/>
                              </a:lnTo>
                              <a:lnTo>
                                <a:pt x="0" y="156972"/>
                              </a:lnTo>
                              <a:lnTo>
                                <a:pt x="0" y="161544"/>
                              </a:lnTo>
                              <a:lnTo>
                                <a:pt x="348996" y="161544"/>
                              </a:lnTo>
                              <a:lnTo>
                                <a:pt x="348996" y="156972"/>
                              </a:lnTo>
                              <a:lnTo>
                                <a:pt x="348996" y="146304"/>
                              </a:lnTo>
                              <a:lnTo>
                                <a:pt x="348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1.260002pt;margin-top:109.68782pt;width:27.5pt;height:12.75pt;mso-position-horizontal-relative:page;mso-position-vertical-relative:paragraph;z-index:-15925760" id="docshape78" coordorigin="2225,2194" coordsize="550,255" path="m2775,2194l2225,2194,2225,2424,2225,2441,2225,2448,2775,2448,2775,2441,2775,2424,2775,2194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91232">
                <wp:simplePos x="0" y="0"/>
                <wp:positionH relativeFrom="page">
                  <wp:posOffset>2336546</wp:posOffset>
                </wp:positionH>
                <wp:positionV relativeFrom="paragraph">
                  <wp:posOffset>1393035</wp:posOffset>
                </wp:positionV>
                <wp:extent cx="184785" cy="16192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84785" cy="161925"/>
                        </a:xfrm>
                        <a:custGeom>
                          <a:avLst/>
                          <a:gdLst/>
                          <a:ahLst/>
                          <a:cxnLst/>
                          <a:rect l="l" t="t" r="r" b="b"/>
                          <a:pathLst>
                            <a:path w="184785" h="161925">
                              <a:moveTo>
                                <a:pt x="184708" y="0"/>
                              </a:moveTo>
                              <a:lnTo>
                                <a:pt x="0" y="0"/>
                              </a:lnTo>
                              <a:lnTo>
                                <a:pt x="0" y="146304"/>
                              </a:lnTo>
                              <a:lnTo>
                                <a:pt x="0" y="156972"/>
                              </a:lnTo>
                              <a:lnTo>
                                <a:pt x="0" y="161544"/>
                              </a:lnTo>
                              <a:lnTo>
                                <a:pt x="184708" y="161544"/>
                              </a:lnTo>
                              <a:lnTo>
                                <a:pt x="184708" y="156972"/>
                              </a:lnTo>
                              <a:lnTo>
                                <a:pt x="184708" y="146304"/>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83.980011pt;margin-top:109.68782pt;width:14.55pt;height:12.75pt;mso-position-horizontal-relative:page;mso-position-vertical-relative:paragraph;z-index:-15925248" id="docshape79" coordorigin="3680,2194" coordsize="291,255" path="m3970,2194l3680,2194,3680,2424,3680,2441,3680,2448,3970,2448,3970,2441,3970,2424,3970,2194xe" filled="true" fillcolor="#000000" stroked="false">
                <v:path arrowok="t"/>
                <v:fill type="solid"/>
                <w10:wrap type="none"/>
              </v:shape>
            </w:pict>
          </mc:Fallback>
        </mc:AlternateContent>
      </w:r>
      <w:r>
        <w:rPr>
          <w:rFonts w:ascii="Arial" w:hAnsi="Arial"/>
        </w:rPr>
        <w:t>In discussing the ICERs and stating their preference for the EAGs scenarios, the Committee’s</w:t>
      </w:r>
      <w:r>
        <w:rPr>
          <w:rFonts w:ascii="Arial" w:hAnsi="Arial"/>
          <w:spacing w:val="-2"/>
        </w:rPr>
        <w:t> </w:t>
      </w:r>
      <w:r>
        <w:rPr>
          <w:rFonts w:ascii="Arial" w:hAnsi="Arial"/>
        </w:rPr>
        <w:t>preference</w:t>
      </w:r>
      <w:r>
        <w:rPr>
          <w:rFonts w:ascii="Arial" w:hAnsi="Arial"/>
          <w:spacing w:val="-5"/>
        </w:rPr>
        <w:t> </w:t>
      </w:r>
      <w:r>
        <w:rPr>
          <w:rFonts w:ascii="Arial" w:hAnsi="Arial"/>
        </w:rPr>
        <w:t>has</w:t>
      </w:r>
      <w:r>
        <w:rPr>
          <w:rFonts w:ascii="Arial" w:hAnsi="Arial"/>
          <w:spacing w:val="-1"/>
        </w:rPr>
        <w:t> </w:t>
      </w:r>
      <w:r>
        <w:rPr>
          <w:rFonts w:ascii="Arial" w:hAnsi="Arial"/>
        </w:rPr>
        <w:t>resulted</w:t>
      </w:r>
      <w:r>
        <w:rPr>
          <w:rFonts w:ascii="Arial" w:hAnsi="Arial"/>
          <w:spacing w:val="-3"/>
        </w:rPr>
        <w:t> </w:t>
      </w:r>
      <w:r>
        <w:rPr>
          <w:rFonts w:ascii="Arial" w:hAnsi="Arial"/>
        </w:rPr>
        <w:t>in</w:t>
      </w:r>
      <w:r>
        <w:rPr>
          <w:rFonts w:ascii="Arial" w:hAnsi="Arial"/>
          <w:spacing w:val="-3"/>
        </w:rPr>
        <w:t> </w:t>
      </w:r>
      <w:r>
        <w:rPr>
          <w:rFonts w:ascii="Arial" w:hAnsi="Arial"/>
        </w:rPr>
        <w:t>a</w:t>
      </w:r>
      <w:r>
        <w:rPr>
          <w:rFonts w:ascii="Arial" w:hAnsi="Arial"/>
          <w:spacing w:val="-4"/>
        </w:rPr>
        <w:t> </w:t>
      </w:r>
      <w:r>
        <w:rPr>
          <w:rFonts w:ascii="Arial" w:hAnsi="Arial"/>
        </w:rPr>
        <w:t>situation</w:t>
      </w:r>
      <w:r>
        <w:rPr>
          <w:rFonts w:ascii="Arial" w:hAnsi="Arial"/>
          <w:spacing w:val="-3"/>
        </w:rPr>
        <w:t> </w:t>
      </w:r>
      <w:r>
        <w:rPr>
          <w:rFonts w:ascii="Arial" w:hAnsi="Arial"/>
        </w:rPr>
        <w:t>where</w:t>
      </w:r>
      <w:r>
        <w:rPr>
          <w:rFonts w:ascii="Arial" w:hAnsi="Arial"/>
          <w:spacing w:val="-3"/>
        </w:rPr>
        <w:t> </w:t>
      </w:r>
      <w:r>
        <w:rPr>
          <w:rFonts w:ascii="Arial" w:hAnsi="Arial"/>
        </w:rPr>
        <w:t>a</w:t>
      </w:r>
      <w:r>
        <w:rPr>
          <w:rFonts w:ascii="Arial" w:hAnsi="Arial"/>
          <w:spacing w:val="-3"/>
        </w:rPr>
        <w:t> </w:t>
      </w:r>
      <w:r>
        <w:rPr>
          <w:rFonts w:ascii="Arial" w:hAnsi="Arial"/>
        </w:rPr>
        <w:t>price</w:t>
      </w:r>
      <w:r>
        <w:rPr>
          <w:rFonts w:ascii="Arial" w:hAnsi="Arial"/>
          <w:spacing w:val="-5"/>
        </w:rPr>
        <w:t> </w:t>
      </w:r>
      <w:r>
        <w:rPr>
          <w:rFonts w:ascii="Arial" w:hAnsi="Arial"/>
        </w:rPr>
        <w:t>that</w:t>
      </w:r>
      <w:r>
        <w:rPr>
          <w:rFonts w:ascii="Arial" w:hAnsi="Arial"/>
          <w:spacing w:val="-1"/>
        </w:rPr>
        <w:t> </w:t>
      </w:r>
      <w:r>
        <w:rPr>
          <w:rFonts w:ascii="Arial" w:hAnsi="Arial"/>
        </w:rPr>
        <w:t>would</w:t>
      </w:r>
      <w:r>
        <w:rPr>
          <w:rFonts w:ascii="Arial" w:hAnsi="Arial"/>
          <w:spacing w:val="-2"/>
        </w:rPr>
        <w:t> </w:t>
      </w:r>
      <w:r>
        <w:rPr>
          <w:rFonts w:ascii="Arial" w:hAnsi="Arial"/>
        </w:rPr>
        <w:t>be</w:t>
      </w:r>
      <w:r>
        <w:rPr>
          <w:rFonts w:ascii="Arial" w:hAnsi="Arial"/>
          <w:spacing w:val="-3"/>
        </w:rPr>
        <w:t> </w:t>
      </w:r>
      <w:r>
        <w:rPr>
          <w:rFonts w:ascii="Arial" w:hAnsi="Arial"/>
        </w:rPr>
        <w:t>cost-effective for tebentafusp is simply not feasible.</w:t>
      </w:r>
      <w:r>
        <w:rPr>
          <w:rFonts w:ascii="Arial" w:hAnsi="Arial"/>
          <w:spacing w:val="40"/>
        </w:rPr>
        <w:t> </w:t>
      </w:r>
      <w:r>
        <w:rPr>
          <w:rFonts w:ascii="Arial" w:hAnsi="Arial"/>
        </w:rPr>
        <w:t>This is due to the fact that the Committee has been unable to land on a set of preferred assumptions that result in a reasonably certain ICER</w:t>
      </w:r>
      <w:r>
        <w:rPr>
          <w:rFonts w:ascii="Arial" w:hAnsi="Arial"/>
          <w:spacing w:val="40"/>
        </w:rPr>
        <w:t> </w:t>
      </w:r>
      <w:r>
        <w:rPr>
          <w:rFonts w:ascii="Arial" w:hAnsi="Arial"/>
        </w:rPr>
        <w:t>and which could be made acceptable with a simple change to the price.</w:t>
      </w:r>
      <w:r>
        <w:rPr>
          <w:rFonts w:ascii="Arial" w:hAnsi="Arial"/>
          <w:spacing w:val="80"/>
        </w:rPr>
        <w:t> </w:t>
      </w:r>
      <w:r>
        <w:rPr>
          <w:rFonts w:ascii="Arial" w:hAnsi="Arial"/>
        </w:rPr>
        <w:t>Nevertheless, and as stated above, the Committee preferred the EAG’s preferred assumptions to those of the company and these produced very high ICERs even when the company provided a PAS price of</w:t>
        <w:tab/>
        <w:t>per vial (</w:t>
        <w:tab/>
        <w:t>% of the list price).</w:t>
      </w:r>
    </w:p>
    <w:p>
      <w:pPr>
        <w:spacing w:line="240" w:lineRule="auto" w:before="2"/>
        <w:rPr>
          <w:sz w:val="17"/>
        </w:rPr>
      </w:pPr>
    </w:p>
    <w:p>
      <w:pPr>
        <w:pStyle w:val="BodyText"/>
        <w:tabs>
          <w:tab w:pos="3980" w:val="left" w:leader="none"/>
          <w:tab w:pos="8400" w:val="left" w:leader="none"/>
        </w:tabs>
        <w:spacing w:line="276" w:lineRule="auto" w:before="94"/>
        <w:ind w:right="171"/>
        <w:rPr>
          <w:rFonts w:ascii="Arial" w:hAnsi="Arial"/>
        </w:rPr>
      </w:pPr>
      <w:r>
        <w:rPr/>
        <mc:AlternateContent>
          <mc:Choice Requires="wps">
            <w:drawing>
              <wp:anchor distT="0" distB="0" distL="0" distR="0" allowOverlap="1" layoutInCell="1" locked="0" behindDoc="1" simplePos="0" relativeHeight="487391744">
                <wp:simplePos x="0" y="0"/>
                <wp:positionH relativeFrom="page">
                  <wp:posOffset>5771134</wp:posOffset>
                </wp:positionH>
                <wp:positionV relativeFrom="paragraph">
                  <wp:posOffset>428470</wp:posOffset>
                </wp:positionV>
                <wp:extent cx="349250" cy="16002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349250" cy="160020"/>
                        </a:xfrm>
                        <a:custGeom>
                          <a:avLst/>
                          <a:gdLst/>
                          <a:ahLst/>
                          <a:cxnLst/>
                          <a:rect l="l" t="t" r="r" b="b"/>
                          <a:pathLst>
                            <a:path w="349250" h="160020">
                              <a:moveTo>
                                <a:pt x="348996" y="0"/>
                              </a:moveTo>
                              <a:lnTo>
                                <a:pt x="0" y="0"/>
                              </a:lnTo>
                              <a:lnTo>
                                <a:pt x="0" y="146316"/>
                              </a:lnTo>
                              <a:lnTo>
                                <a:pt x="0" y="156972"/>
                              </a:lnTo>
                              <a:lnTo>
                                <a:pt x="0" y="160020"/>
                              </a:lnTo>
                              <a:lnTo>
                                <a:pt x="348996" y="160020"/>
                              </a:lnTo>
                              <a:lnTo>
                                <a:pt x="348996" y="156972"/>
                              </a:lnTo>
                              <a:lnTo>
                                <a:pt x="348996" y="146316"/>
                              </a:lnTo>
                              <a:lnTo>
                                <a:pt x="348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4.420013pt;margin-top:33.737869pt;width:27.5pt;height:12.6pt;mso-position-horizontal-relative:page;mso-position-vertical-relative:paragraph;z-index:-15924736" id="docshape80" coordorigin="9088,675" coordsize="550,252" path="m9638,675l9088,675,9088,905,9088,922,9088,927,9638,927,9638,922,9638,905,9638,675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92256">
                <wp:simplePos x="0" y="0"/>
                <wp:positionH relativeFrom="page">
                  <wp:posOffset>3214751</wp:posOffset>
                </wp:positionH>
                <wp:positionV relativeFrom="paragraph">
                  <wp:posOffset>798802</wp:posOffset>
                </wp:positionV>
                <wp:extent cx="139065" cy="16002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39065" cy="160020"/>
                        </a:xfrm>
                        <a:custGeom>
                          <a:avLst/>
                          <a:gdLst/>
                          <a:ahLst/>
                          <a:cxnLst/>
                          <a:rect l="l" t="t" r="r" b="b"/>
                          <a:pathLst>
                            <a:path w="139065" h="160020">
                              <a:moveTo>
                                <a:pt x="138684" y="0"/>
                              </a:moveTo>
                              <a:lnTo>
                                <a:pt x="0" y="0"/>
                              </a:lnTo>
                              <a:lnTo>
                                <a:pt x="0" y="146304"/>
                              </a:lnTo>
                              <a:lnTo>
                                <a:pt x="0" y="156972"/>
                              </a:lnTo>
                              <a:lnTo>
                                <a:pt x="0" y="160020"/>
                              </a:lnTo>
                              <a:lnTo>
                                <a:pt x="138684" y="160020"/>
                              </a:lnTo>
                              <a:lnTo>
                                <a:pt x="138684" y="156972"/>
                              </a:lnTo>
                              <a:lnTo>
                                <a:pt x="138684" y="146304"/>
                              </a:lnTo>
                              <a:lnTo>
                                <a:pt x="138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3.130005pt;margin-top:62.897869pt;width:10.95pt;height:12.6pt;mso-position-horizontal-relative:page;mso-position-vertical-relative:paragraph;z-index:-15924224" id="docshape81" coordorigin="5063,1258" coordsize="219,252" path="m5281,1258l5063,1258,5063,1488,5063,1505,5063,1510,5281,1510,5281,1505,5281,1488,5281,125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92768">
                <wp:simplePos x="0" y="0"/>
                <wp:positionH relativeFrom="page">
                  <wp:posOffset>6206998</wp:posOffset>
                </wp:positionH>
                <wp:positionV relativeFrom="paragraph">
                  <wp:posOffset>798802</wp:posOffset>
                </wp:positionV>
                <wp:extent cx="279400" cy="16002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279400" cy="160020"/>
                        </a:xfrm>
                        <a:custGeom>
                          <a:avLst/>
                          <a:gdLst/>
                          <a:ahLst/>
                          <a:cxnLst/>
                          <a:rect l="l" t="t" r="r" b="b"/>
                          <a:pathLst>
                            <a:path w="279400" h="160020">
                              <a:moveTo>
                                <a:pt x="278892" y="0"/>
                              </a:moveTo>
                              <a:lnTo>
                                <a:pt x="0" y="0"/>
                              </a:lnTo>
                              <a:lnTo>
                                <a:pt x="0" y="146304"/>
                              </a:lnTo>
                              <a:lnTo>
                                <a:pt x="0" y="156972"/>
                              </a:lnTo>
                              <a:lnTo>
                                <a:pt x="0" y="160020"/>
                              </a:lnTo>
                              <a:lnTo>
                                <a:pt x="278892" y="160020"/>
                              </a:lnTo>
                              <a:lnTo>
                                <a:pt x="278892" y="156972"/>
                              </a:lnTo>
                              <a:lnTo>
                                <a:pt x="278892" y="146304"/>
                              </a:lnTo>
                              <a:lnTo>
                                <a:pt x="278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8.740021pt;margin-top:62.897869pt;width:22pt;height:12.6pt;mso-position-horizontal-relative:page;mso-position-vertical-relative:paragraph;z-index:-15923712" id="docshape82" coordorigin="9775,1258" coordsize="440,252" path="m10214,1258l9775,1258,9775,1488,9775,1505,9775,1510,10214,1510,10214,1505,10214,1488,10214,1258xe" filled="true" fillcolor="#000000" stroked="false">
                <v:path arrowok="t"/>
                <v:fill type="solid"/>
                <w10:wrap type="none"/>
              </v:shape>
            </w:pict>
          </mc:Fallback>
        </mc:AlternateContent>
      </w:r>
      <w:r>
        <w:rPr>
          <w:rFonts w:ascii="Arial" w:hAnsi="Arial"/>
        </w:rPr>
        <w:t>In the absence of the EAG calculating a cost-effective price for tebentafusp according to</w:t>
      </w:r>
      <w:r>
        <w:rPr>
          <w:rFonts w:ascii="Arial" w:hAnsi="Arial"/>
          <w:spacing w:val="40"/>
        </w:rPr>
        <w:t> </w:t>
      </w:r>
      <w:r>
        <w:rPr>
          <w:rFonts w:ascii="Arial" w:hAnsi="Arial"/>
        </w:rPr>
        <w:t>their</w:t>
      </w:r>
      <w:r>
        <w:rPr>
          <w:rFonts w:ascii="Arial" w:hAnsi="Arial"/>
          <w:spacing w:val="-2"/>
        </w:rPr>
        <w:t> </w:t>
      </w:r>
      <w:r>
        <w:rPr>
          <w:rFonts w:ascii="Arial" w:hAnsi="Arial"/>
        </w:rPr>
        <w:t>preferred</w:t>
      </w:r>
      <w:r>
        <w:rPr>
          <w:rFonts w:ascii="Arial" w:hAnsi="Arial"/>
          <w:spacing w:val="-5"/>
        </w:rPr>
        <w:t> </w:t>
      </w:r>
      <w:r>
        <w:rPr>
          <w:rFonts w:ascii="Arial" w:hAnsi="Arial"/>
        </w:rPr>
        <w:t>scenarios</w:t>
      </w:r>
      <w:r>
        <w:rPr>
          <w:rFonts w:ascii="Arial" w:hAnsi="Arial"/>
          <w:spacing w:val="-5"/>
        </w:rPr>
        <w:t> </w:t>
      </w:r>
      <w:r>
        <w:rPr>
          <w:rFonts w:ascii="Arial" w:hAnsi="Arial"/>
        </w:rPr>
        <w:t>(above),</w:t>
      </w:r>
      <w:r>
        <w:rPr>
          <w:rFonts w:ascii="Arial" w:hAnsi="Arial"/>
          <w:spacing w:val="-4"/>
        </w:rPr>
        <w:t> </w:t>
      </w:r>
      <w:r>
        <w:rPr>
          <w:rFonts w:ascii="Arial" w:hAnsi="Arial"/>
        </w:rPr>
        <w:t>the</w:t>
      </w:r>
      <w:r>
        <w:rPr>
          <w:rFonts w:ascii="Arial" w:hAnsi="Arial"/>
          <w:spacing w:val="-3"/>
        </w:rPr>
        <w:t> </w:t>
      </w:r>
      <w:r>
        <w:rPr>
          <w:rFonts w:ascii="Arial" w:hAnsi="Arial"/>
        </w:rPr>
        <w:t>company</w:t>
      </w:r>
      <w:r>
        <w:rPr>
          <w:rFonts w:ascii="Arial" w:hAnsi="Arial"/>
          <w:spacing w:val="-4"/>
        </w:rPr>
        <w:t> </w:t>
      </w:r>
      <w:r>
        <w:rPr>
          <w:rFonts w:ascii="Arial" w:hAnsi="Arial"/>
        </w:rPr>
        <w:t>replicated</w:t>
      </w:r>
      <w:r>
        <w:rPr>
          <w:rFonts w:ascii="Arial" w:hAnsi="Arial"/>
          <w:spacing w:val="-1"/>
        </w:rPr>
        <w:t> </w:t>
      </w:r>
      <w:r>
        <w:rPr>
          <w:rFonts w:ascii="Arial" w:hAnsi="Arial"/>
        </w:rPr>
        <w:t>the</w:t>
      </w:r>
      <w:r>
        <w:rPr>
          <w:rFonts w:ascii="Arial" w:hAnsi="Arial"/>
          <w:spacing w:val="-5"/>
        </w:rPr>
        <w:t> </w:t>
      </w:r>
      <w:r>
        <w:rPr>
          <w:rFonts w:ascii="Arial" w:hAnsi="Arial"/>
        </w:rPr>
        <w:t>EAG’s</w:t>
      </w:r>
      <w:r>
        <w:rPr>
          <w:rFonts w:ascii="Arial" w:hAnsi="Arial"/>
          <w:spacing w:val="-5"/>
        </w:rPr>
        <w:t> </w:t>
      </w:r>
      <w:r>
        <w:rPr>
          <w:rFonts w:ascii="Arial" w:hAnsi="Arial"/>
        </w:rPr>
        <w:t>scenarios. According</w:t>
      </w:r>
      <w:r>
        <w:rPr>
          <w:rFonts w:ascii="Arial" w:hAnsi="Arial"/>
          <w:spacing w:val="-5"/>
        </w:rPr>
        <w:t> </w:t>
      </w:r>
      <w:r>
        <w:rPr>
          <w:rFonts w:ascii="Arial" w:hAnsi="Arial"/>
        </w:rPr>
        <w:t>to the EAG scenarios in Table 1, factoring in the increase in the ICER by roughly</w:t>
        <w:tab/>
      </w:r>
      <w:r>
        <w:rPr>
          <w:rFonts w:ascii="Arial" w:hAnsi="Arial"/>
          <w:spacing w:val="-6"/>
        </w:rPr>
        <w:t>to </w:t>
      </w:r>
      <w:r>
        <w:rPr>
          <w:rFonts w:ascii="Arial" w:hAnsi="Arial"/>
        </w:rPr>
        <w:t>account for</w:t>
      </w:r>
      <w:r>
        <w:rPr>
          <w:rFonts w:ascii="Arial" w:hAnsi="Arial"/>
          <w:spacing w:val="-1"/>
        </w:rPr>
        <w:t> </w:t>
      </w:r>
      <w:r>
        <w:rPr>
          <w:rFonts w:ascii="Arial" w:hAnsi="Arial"/>
        </w:rPr>
        <w:t>monthly BSC costs per cycle in the PD health state and applying an assumption for the discount of pembrolizumab of</w:t>
        <w:tab/>
        <w:t>%, the price for tebentafusp would need to be</w:t>
      </w:r>
    </w:p>
    <w:p>
      <w:pPr>
        <w:pStyle w:val="BodyText"/>
        <w:spacing w:line="276" w:lineRule="auto"/>
        <w:ind w:left="754" w:right="219" w:hanging="615"/>
        <w:rPr>
          <w:rFonts w:ascii="Arial" w:hAnsi="Arial"/>
        </w:rPr>
      </w:pPr>
      <w:r>
        <w:rPr/>
        <mc:AlternateContent>
          <mc:Choice Requires="wps">
            <w:drawing>
              <wp:anchor distT="0" distB="0" distL="0" distR="0" allowOverlap="1" layoutInCell="1" locked="0" behindDoc="0" simplePos="0" relativeHeight="15751680">
                <wp:simplePos x="0" y="0"/>
                <wp:positionH relativeFrom="page">
                  <wp:posOffset>914704</wp:posOffset>
                </wp:positionH>
                <wp:positionV relativeFrom="paragraph">
                  <wp:posOffset>184376</wp:posOffset>
                </wp:positionV>
                <wp:extent cx="350520" cy="16002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350520" cy="160020"/>
                        </a:xfrm>
                        <a:custGeom>
                          <a:avLst/>
                          <a:gdLst/>
                          <a:ahLst/>
                          <a:cxnLst/>
                          <a:rect l="l" t="t" r="r" b="b"/>
                          <a:pathLst>
                            <a:path w="350520" h="160020">
                              <a:moveTo>
                                <a:pt x="350520" y="0"/>
                              </a:moveTo>
                              <a:lnTo>
                                <a:pt x="0" y="0"/>
                              </a:lnTo>
                              <a:lnTo>
                                <a:pt x="0" y="146304"/>
                              </a:lnTo>
                              <a:lnTo>
                                <a:pt x="0" y="156972"/>
                              </a:lnTo>
                              <a:lnTo>
                                <a:pt x="0" y="160020"/>
                              </a:lnTo>
                              <a:lnTo>
                                <a:pt x="350520" y="160020"/>
                              </a:lnTo>
                              <a:lnTo>
                                <a:pt x="350520" y="156972"/>
                              </a:lnTo>
                              <a:lnTo>
                                <a:pt x="350520" y="146304"/>
                              </a:lnTo>
                              <a:lnTo>
                                <a:pt x="350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14.51784pt;width:27.6pt;height:12.6pt;mso-position-horizontal-relative:page;mso-position-vertical-relative:paragraph;z-index:15751680" id="docshape83" coordorigin="1440,290" coordsize="552,252" path="m1992,290l1440,290,1440,521,1440,538,1440,542,1992,542,1992,538,1992,521,1992,290xe" filled="true" fillcolor="#000000" stroked="false">
                <v:path arrowok="t"/>
                <v:fill type="solid"/>
                <w10:wrap type="none"/>
              </v:shape>
            </w:pict>
          </mc:Fallback>
        </mc:AlternateContent>
      </w:r>
      <w:r>
        <w:rPr>
          <w:rFonts w:ascii="Arial" w:hAnsi="Arial"/>
        </w:rPr>
        <w:t>per</w:t>
      </w:r>
      <w:r>
        <w:rPr>
          <w:rFonts w:ascii="Arial" w:hAnsi="Arial"/>
          <w:spacing w:val="-1"/>
        </w:rPr>
        <w:t> </w:t>
      </w:r>
      <w:r>
        <w:rPr>
          <w:rFonts w:ascii="Arial" w:hAnsi="Arial"/>
        </w:rPr>
        <w:t>vial</w:t>
      </w:r>
      <w:r>
        <w:rPr>
          <w:rFonts w:ascii="Arial" w:hAnsi="Arial"/>
          <w:spacing w:val="-5"/>
        </w:rPr>
        <w:t> </w:t>
      </w:r>
      <w:r>
        <w:rPr>
          <w:rFonts w:ascii="Arial" w:hAnsi="Arial"/>
        </w:rPr>
        <w:t>to</w:t>
      </w:r>
      <w:r>
        <w:rPr>
          <w:rFonts w:ascii="Arial" w:hAnsi="Arial"/>
          <w:spacing w:val="-4"/>
        </w:rPr>
        <w:t> </w:t>
      </w:r>
      <w:r>
        <w:rPr>
          <w:rFonts w:ascii="Arial" w:hAnsi="Arial"/>
        </w:rPr>
        <w:t>reach</w:t>
      </w:r>
      <w:r>
        <w:rPr>
          <w:rFonts w:ascii="Arial" w:hAnsi="Arial"/>
          <w:spacing w:val="-2"/>
        </w:rPr>
        <w:t> </w:t>
      </w:r>
      <w:r>
        <w:rPr>
          <w:rFonts w:ascii="Arial" w:hAnsi="Arial"/>
        </w:rPr>
        <w:t>an</w:t>
      </w:r>
      <w:r>
        <w:rPr>
          <w:rFonts w:ascii="Arial" w:hAnsi="Arial"/>
          <w:spacing w:val="-4"/>
        </w:rPr>
        <w:t> </w:t>
      </w:r>
      <w:r>
        <w:rPr>
          <w:rFonts w:ascii="Arial" w:hAnsi="Arial"/>
        </w:rPr>
        <w:t>ICER</w:t>
      </w:r>
      <w:r>
        <w:rPr>
          <w:rFonts w:ascii="Arial" w:hAnsi="Arial"/>
          <w:spacing w:val="-2"/>
        </w:rPr>
        <w:t> </w:t>
      </w:r>
      <w:r>
        <w:rPr>
          <w:rFonts w:ascii="Arial" w:hAnsi="Arial"/>
        </w:rPr>
        <w:t>less</w:t>
      </w:r>
      <w:r>
        <w:rPr>
          <w:rFonts w:ascii="Arial" w:hAnsi="Arial"/>
          <w:spacing w:val="-2"/>
        </w:rPr>
        <w:t> </w:t>
      </w:r>
      <w:r>
        <w:rPr>
          <w:rFonts w:ascii="Arial" w:hAnsi="Arial"/>
        </w:rPr>
        <w:t>than</w:t>
      </w:r>
      <w:r>
        <w:rPr>
          <w:rFonts w:ascii="Arial" w:hAnsi="Arial"/>
          <w:spacing w:val="-3"/>
        </w:rPr>
        <w:t> </w:t>
      </w:r>
      <w:r>
        <w:rPr>
          <w:rFonts w:ascii="Arial" w:hAnsi="Arial"/>
        </w:rPr>
        <w:t>£50,000.</w:t>
      </w:r>
      <w:r>
        <w:rPr>
          <w:rFonts w:ascii="Arial" w:hAnsi="Arial"/>
          <w:spacing w:val="-3"/>
        </w:rPr>
        <w:t> </w:t>
      </w:r>
      <w:r>
        <w:rPr>
          <w:rFonts w:ascii="Arial" w:hAnsi="Arial"/>
        </w:rPr>
        <w:t>The</w:t>
      </w:r>
      <w:r>
        <w:rPr>
          <w:rFonts w:ascii="Arial" w:hAnsi="Arial"/>
          <w:spacing w:val="-1"/>
        </w:rPr>
        <w:t> </w:t>
      </w:r>
      <w:r>
        <w:rPr>
          <w:rFonts w:ascii="Arial" w:hAnsi="Arial"/>
        </w:rPr>
        <w:t>cost</w:t>
      </w:r>
      <w:r>
        <w:rPr>
          <w:rFonts w:ascii="Arial" w:hAnsi="Arial"/>
          <w:spacing w:val="-3"/>
        </w:rPr>
        <w:t> </w:t>
      </w:r>
      <w:r>
        <w:rPr>
          <w:rFonts w:ascii="Arial" w:hAnsi="Arial"/>
        </w:rPr>
        <w:t>of</w:t>
      </w:r>
      <w:r>
        <w:rPr>
          <w:rFonts w:ascii="Arial" w:hAnsi="Arial"/>
          <w:spacing w:val="-5"/>
        </w:rPr>
        <w:t> </w:t>
      </w:r>
      <w:r>
        <w:rPr>
          <w:rFonts w:ascii="Arial" w:hAnsi="Arial"/>
        </w:rPr>
        <w:t>tebentafusp</w:t>
      </w:r>
      <w:r>
        <w:rPr>
          <w:rFonts w:ascii="Arial" w:hAnsi="Arial"/>
          <w:spacing w:val="-2"/>
        </w:rPr>
        <w:t> </w:t>
      </w:r>
      <w:r>
        <w:rPr>
          <w:rFonts w:ascii="Arial" w:hAnsi="Arial"/>
        </w:rPr>
        <w:t>per</w:t>
      </w:r>
      <w:r>
        <w:rPr>
          <w:rFonts w:ascii="Arial" w:hAnsi="Arial"/>
          <w:spacing w:val="-3"/>
        </w:rPr>
        <w:t> </w:t>
      </w:r>
      <w:r>
        <w:rPr>
          <w:rFonts w:ascii="Arial" w:hAnsi="Arial"/>
        </w:rPr>
        <w:t>patient</w:t>
      </w:r>
      <w:r>
        <w:rPr>
          <w:rFonts w:ascii="Arial" w:hAnsi="Arial"/>
          <w:spacing w:val="-1"/>
        </w:rPr>
        <w:t> </w:t>
      </w:r>
      <w:r>
        <w:rPr>
          <w:rFonts w:ascii="Arial" w:hAnsi="Arial"/>
        </w:rPr>
        <w:t>would</w:t>
      </w:r>
      <w:r>
        <w:rPr>
          <w:rFonts w:ascii="Arial" w:hAnsi="Arial"/>
          <w:spacing w:val="-2"/>
        </w:rPr>
        <w:t> </w:t>
      </w:r>
      <w:r>
        <w:rPr>
          <w:rFonts w:ascii="Arial" w:hAnsi="Arial"/>
        </w:rPr>
        <w:t>be and is significantly below cost of providing tebentafusp in England, Wales and</w:t>
      </w:r>
    </w:p>
    <w:p>
      <w:pPr>
        <w:pStyle w:val="BodyText"/>
        <w:spacing w:line="278" w:lineRule="auto"/>
        <w:ind w:right="219"/>
        <w:rPr>
          <w:rFonts w:ascii="Arial" w:hAnsi="Arial"/>
        </w:rPr>
      </w:pPr>
      <w:r>
        <w:rPr>
          <w:rFonts w:ascii="Arial" w:hAnsi="Arial"/>
        </w:rPr>
        <w:t>Northern</w:t>
      </w:r>
      <w:r>
        <w:rPr>
          <w:rFonts w:ascii="Arial" w:hAnsi="Arial"/>
          <w:spacing w:val="-4"/>
        </w:rPr>
        <w:t> </w:t>
      </w:r>
      <w:r>
        <w:rPr>
          <w:rFonts w:ascii="Arial" w:hAnsi="Arial"/>
        </w:rPr>
        <w:t>Ireland.</w:t>
      </w:r>
      <w:r>
        <w:rPr>
          <w:rFonts w:ascii="Arial" w:hAnsi="Arial"/>
          <w:spacing w:val="-3"/>
        </w:rPr>
        <w:t> </w:t>
      </w:r>
      <w:r>
        <w:rPr>
          <w:rFonts w:ascii="Arial" w:hAnsi="Arial"/>
        </w:rPr>
        <w:t>Clearly,</w:t>
      </w:r>
      <w:r>
        <w:rPr>
          <w:rFonts w:ascii="Arial" w:hAnsi="Arial"/>
          <w:spacing w:val="-3"/>
        </w:rPr>
        <w:t> </w:t>
      </w:r>
      <w:r>
        <w:rPr>
          <w:rFonts w:ascii="Arial" w:hAnsi="Arial"/>
        </w:rPr>
        <w:t>this is</w:t>
      </w:r>
      <w:r>
        <w:rPr>
          <w:rFonts w:ascii="Arial" w:hAnsi="Arial"/>
          <w:spacing w:val="-1"/>
        </w:rPr>
        <w:t> </w:t>
      </w:r>
      <w:r>
        <w:rPr>
          <w:rFonts w:ascii="Arial" w:hAnsi="Arial"/>
        </w:rPr>
        <w:t>not a</w:t>
      </w:r>
      <w:r>
        <w:rPr>
          <w:rFonts w:ascii="Arial" w:hAnsi="Arial"/>
          <w:spacing w:val="-4"/>
        </w:rPr>
        <w:t> </w:t>
      </w:r>
      <w:r>
        <w:rPr>
          <w:rFonts w:ascii="Arial" w:hAnsi="Arial"/>
        </w:rPr>
        <w:t>viable</w:t>
      </w:r>
      <w:r>
        <w:rPr>
          <w:rFonts w:ascii="Arial" w:hAnsi="Arial"/>
          <w:spacing w:val="-2"/>
        </w:rPr>
        <w:t> </w:t>
      </w:r>
      <w:r>
        <w:rPr>
          <w:rFonts w:ascii="Arial" w:hAnsi="Arial"/>
        </w:rPr>
        <w:t>option</w:t>
      </w:r>
      <w:r>
        <w:rPr>
          <w:rFonts w:ascii="Arial" w:hAnsi="Arial"/>
          <w:spacing w:val="-2"/>
        </w:rPr>
        <w:t> </w:t>
      </w:r>
      <w:r>
        <w:rPr>
          <w:rFonts w:ascii="Arial" w:hAnsi="Arial"/>
        </w:rPr>
        <w:t>for</w:t>
      </w:r>
      <w:r>
        <w:rPr>
          <w:rFonts w:ascii="Arial" w:hAnsi="Arial"/>
          <w:spacing w:val="-3"/>
        </w:rPr>
        <w:t> </w:t>
      </w:r>
      <w:r>
        <w:rPr>
          <w:rFonts w:ascii="Arial" w:hAnsi="Arial"/>
        </w:rPr>
        <w:t>the company.</w:t>
      </w:r>
      <w:r>
        <w:rPr>
          <w:rFonts w:ascii="Arial" w:hAnsi="Arial"/>
          <w:spacing w:val="-3"/>
        </w:rPr>
        <w:t> </w:t>
      </w:r>
      <w:r>
        <w:rPr>
          <w:rFonts w:ascii="Arial" w:hAnsi="Arial"/>
        </w:rPr>
        <w:t>It</w:t>
      </w:r>
      <w:r>
        <w:rPr>
          <w:rFonts w:ascii="Arial" w:hAnsi="Arial"/>
          <w:spacing w:val="-2"/>
        </w:rPr>
        <w:t> </w:t>
      </w:r>
      <w:r>
        <w:rPr>
          <w:rFonts w:ascii="Arial" w:hAnsi="Arial"/>
        </w:rPr>
        <w:t>simply</w:t>
      </w:r>
      <w:r>
        <w:rPr>
          <w:rFonts w:ascii="Arial" w:hAnsi="Arial"/>
          <w:spacing w:val="-1"/>
        </w:rPr>
        <w:t> </w:t>
      </w:r>
      <w:r>
        <w:rPr>
          <w:rFonts w:ascii="Arial" w:hAnsi="Arial"/>
        </w:rPr>
        <w:t>does</w:t>
      </w:r>
      <w:r>
        <w:rPr>
          <w:rFonts w:ascii="Arial" w:hAnsi="Arial"/>
          <w:spacing w:val="-2"/>
        </w:rPr>
        <w:t> </w:t>
      </w:r>
      <w:r>
        <w:rPr>
          <w:rFonts w:ascii="Arial" w:hAnsi="Arial"/>
        </w:rPr>
        <w:t>not add up, is illogical and is a result of the committee’s conclusions that are fundamentally wrong.</w:t>
      </w:r>
    </w:p>
    <w:p>
      <w:pPr>
        <w:spacing w:after="0" w:line="278" w:lineRule="auto"/>
        <w:rPr>
          <w:rFonts w:ascii="Arial" w:hAnsi="Arial"/>
        </w:rPr>
        <w:sectPr>
          <w:pgSz w:w="11910" w:h="16840"/>
          <w:pgMar w:top="1420" w:bottom="280" w:left="1300" w:right="1300"/>
        </w:sectPr>
      </w:pPr>
    </w:p>
    <w:p>
      <w:pPr>
        <w:pStyle w:val="Heading1"/>
        <w:spacing w:before="73" w:after="38"/>
      </w:pPr>
      <w:r>
        <w:rPr>
          <w:color w:val="2E5395"/>
        </w:rPr>
        <w:t>Appeal</w:t>
      </w:r>
      <w:r>
        <w:rPr>
          <w:color w:val="2E5395"/>
          <w:spacing w:val="-4"/>
        </w:rPr>
        <w:t> </w:t>
      </w:r>
      <w:r>
        <w:rPr>
          <w:color w:val="2E5395"/>
        </w:rPr>
        <w:t>Appendix</w:t>
      </w:r>
      <w:r>
        <w:rPr>
          <w:color w:val="2E5395"/>
          <w:spacing w:val="-3"/>
        </w:rPr>
        <w:t> </w:t>
      </w:r>
      <w:r>
        <w:rPr>
          <w:color w:val="2E5395"/>
        </w:rPr>
        <w:t>2:</w:t>
      </w:r>
      <w:r>
        <w:rPr>
          <w:color w:val="2E5395"/>
          <w:spacing w:val="-2"/>
        </w:rPr>
        <w:t> </w:t>
      </w:r>
      <w:r>
        <w:rPr>
          <w:color w:val="2E5395"/>
        </w:rPr>
        <w:t>Tebentafusp</w:t>
      </w:r>
      <w:r>
        <w:rPr>
          <w:color w:val="2E5395"/>
          <w:spacing w:val="-3"/>
        </w:rPr>
        <w:t> </w:t>
      </w:r>
      <w:r>
        <w:rPr>
          <w:color w:val="2E5395"/>
        </w:rPr>
        <w:t>evidence</w:t>
      </w:r>
      <w:r>
        <w:rPr>
          <w:color w:val="2E5395"/>
          <w:spacing w:val="-3"/>
        </w:rPr>
        <w:t> </w:t>
      </w:r>
      <w:r>
        <w:rPr>
          <w:color w:val="2E5395"/>
        </w:rPr>
        <w:t>for</w:t>
      </w:r>
      <w:r>
        <w:rPr>
          <w:color w:val="2E5395"/>
          <w:spacing w:val="-7"/>
        </w:rPr>
        <w:t> </w:t>
      </w:r>
      <w:r>
        <w:rPr>
          <w:color w:val="2E5395"/>
        </w:rPr>
        <w:t>NICE</w:t>
      </w:r>
      <w:r>
        <w:rPr>
          <w:color w:val="2E5395"/>
          <w:spacing w:val="-4"/>
        </w:rPr>
        <w:t> </w:t>
      </w:r>
      <w:r>
        <w:rPr>
          <w:color w:val="2E5395"/>
        </w:rPr>
        <w:t>HST</w:t>
      </w:r>
      <w:r>
        <w:rPr>
          <w:color w:val="2E5395"/>
          <w:spacing w:val="-3"/>
        </w:rPr>
        <w:t> </w:t>
      </w:r>
      <w:r>
        <w:rPr>
          <w:color w:val="2E5395"/>
          <w:spacing w:val="-2"/>
        </w:rPr>
        <w:t>criteria</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6047"/>
      </w:tblGrid>
      <w:tr>
        <w:trPr>
          <w:trHeight w:val="2898" w:hRule="atLeast"/>
        </w:trPr>
        <w:tc>
          <w:tcPr>
            <w:tcW w:w="2972" w:type="dxa"/>
          </w:tcPr>
          <w:p>
            <w:pPr>
              <w:pStyle w:val="TableParagraph"/>
              <w:spacing w:line="273" w:lineRule="auto" w:before="2"/>
              <w:ind w:left="117" w:hanging="10"/>
              <w:rPr>
                <w:b/>
                <w:sz w:val="22"/>
              </w:rPr>
            </w:pPr>
            <w:r>
              <w:rPr>
                <w:b/>
                <w:sz w:val="22"/>
              </w:rPr>
              <w:t>The</w:t>
            </w:r>
            <w:r>
              <w:rPr>
                <w:b/>
                <w:spacing w:val="-8"/>
                <w:sz w:val="22"/>
              </w:rPr>
              <w:t> </w:t>
            </w:r>
            <w:r>
              <w:rPr>
                <w:b/>
                <w:sz w:val="22"/>
              </w:rPr>
              <w:t>condition</w:t>
            </w:r>
            <w:r>
              <w:rPr>
                <w:b/>
                <w:spacing w:val="-11"/>
                <w:sz w:val="22"/>
              </w:rPr>
              <w:t> </w:t>
            </w:r>
            <w:r>
              <w:rPr>
                <w:b/>
                <w:sz w:val="22"/>
              </w:rPr>
              <w:t>is</w:t>
            </w:r>
            <w:r>
              <w:rPr>
                <w:b/>
                <w:spacing w:val="-10"/>
                <w:sz w:val="22"/>
              </w:rPr>
              <w:t> </w:t>
            </w:r>
            <w:r>
              <w:rPr>
                <w:b/>
                <w:sz w:val="22"/>
              </w:rPr>
              <w:t>very</w:t>
            </w:r>
            <w:r>
              <w:rPr>
                <w:b/>
                <w:spacing w:val="-10"/>
                <w:sz w:val="22"/>
              </w:rPr>
              <w:t> </w:t>
            </w:r>
            <w:r>
              <w:rPr>
                <w:b/>
                <w:sz w:val="22"/>
              </w:rPr>
              <w:t>rare defined by 1:50,000 in</w:t>
            </w:r>
          </w:p>
          <w:p>
            <w:pPr>
              <w:pStyle w:val="TableParagraph"/>
              <w:spacing w:line="252" w:lineRule="exact"/>
              <w:ind w:left="117"/>
              <w:rPr>
                <w:b/>
                <w:sz w:val="22"/>
              </w:rPr>
            </w:pPr>
            <w:r>
              <w:rPr>
                <w:b/>
                <w:spacing w:val="-2"/>
                <w:sz w:val="22"/>
              </w:rPr>
              <w:t>England</w:t>
            </w:r>
          </w:p>
        </w:tc>
        <w:tc>
          <w:tcPr>
            <w:tcW w:w="6047" w:type="dxa"/>
          </w:tcPr>
          <w:p>
            <w:pPr>
              <w:pStyle w:val="TableParagraph"/>
              <w:spacing w:line="273" w:lineRule="auto" w:before="2"/>
              <w:ind w:left="117" w:right="166" w:hanging="10"/>
              <w:rPr>
                <w:sz w:val="22"/>
              </w:rPr>
            </w:pPr>
            <w:r>
              <w:rPr>
                <w:sz w:val="22"/>
              </w:rPr>
              <w:t>The Office of National Statistics data for total incidence population of uveal melanoma (UM) is 540 in England (diagnostic codes C69.3 and C69.4) (1). The incidence numbers</w:t>
            </w:r>
            <w:r>
              <w:rPr>
                <w:spacing w:val="-6"/>
                <w:sz w:val="22"/>
              </w:rPr>
              <w:t> </w:t>
            </w:r>
            <w:r>
              <w:rPr>
                <w:sz w:val="22"/>
              </w:rPr>
              <w:t>for</w:t>
            </w:r>
            <w:r>
              <w:rPr>
                <w:spacing w:val="-4"/>
                <w:sz w:val="22"/>
              </w:rPr>
              <w:t> </w:t>
            </w:r>
            <w:r>
              <w:rPr>
                <w:sz w:val="22"/>
              </w:rPr>
              <w:t>primary</w:t>
            </w:r>
            <w:r>
              <w:rPr>
                <w:spacing w:val="-2"/>
                <w:sz w:val="22"/>
              </w:rPr>
              <w:t> </w:t>
            </w:r>
            <w:r>
              <w:rPr>
                <w:sz w:val="22"/>
              </w:rPr>
              <w:t>UM</w:t>
            </w:r>
            <w:r>
              <w:rPr>
                <w:spacing w:val="-6"/>
                <w:sz w:val="22"/>
              </w:rPr>
              <w:t> </w:t>
            </w:r>
            <w:r>
              <w:rPr>
                <w:sz w:val="22"/>
              </w:rPr>
              <w:t>are</w:t>
            </w:r>
            <w:r>
              <w:rPr>
                <w:spacing w:val="-6"/>
                <w:sz w:val="22"/>
              </w:rPr>
              <w:t> </w:t>
            </w:r>
            <w:r>
              <w:rPr>
                <w:sz w:val="22"/>
              </w:rPr>
              <w:t>therefore</w:t>
            </w:r>
            <w:r>
              <w:rPr>
                <w:spacing w:val="-6"/>
                <w:sz w:val="22"/>
              </w:rPr>
              <w:t> </w:t>
            </w:r>
            <w:r>
              <w:rPr>
                <w:sz w:val="22"/>
              </w:rPr>
              <w:t>equivalent</w:t>
            </w:r>
            <w:r>
              <w:rPr>
                <w:spacing w:val="-6"/>
                <w:sz w:val="22"/>
              </w:rPr>
              <w:t> </w:t>
            </w:r>
            <w:r>
              <w:rPr>
                <w:sz w:val="22"/>
              </w:rPr>
              <w:t>to</w:t>
            </w:r>
            <w:r>
              <w:rPr>
                <w:spacing w:val="-5"/>
                <w:sz w:val="22"/>
              </w:rPr>
              <w:t> </w:t>
            </w:r>
            <w:r>
              <w:rPr>
                <w:sz w:val="22"/>
              </w:rPr>
              <w:t>&gt;0.5 per 50,000.</w:t>
            </w:r>
          </w:p>
          <w:p>
            <w:pPr>
              <w:pStyle w:val="TableParagraph"/>
              <w:spacing w:line="273" w:lineRule="auto" w:before="197"/>
              <w:ind w:left="117" w:right="68" w:hanging="10"/>
              <w:rPr>
                <w:sz w:val="22"/>
              </w:rPr>
            </w:pPr>
            <w:r>
              <w:rPr>
                <w:sz w:val="22"/>
              </w:rPr>
              <w:t>Approximately</w:t>
            </w:r>
            <w:r>
              <w:rPr>
                <w:spacing w:val="-7"/>
                <w:sz w:val="22"/>
              </w:rPr>
              <w:t> </w:t>
            </w:r>
            <w:r>
              <w:rPr>
                <w:sz w:val="22"/>
              </w:rPr>
              <w:t>50%</w:t>
            </w:r>
            <w:r>
              <w:rPr>
                <w:spacing w:val="-6"/>
                <w:sz w:val="22"/>
              </w:rPr>
              <w:t> </w:t>
            </w:r>
            <w:r>
              <w:rPr>
                <w:sz w:val="22"/>
              </w:rPr>
              <w:t>of</w:t>
            </w:r>
            <w:r>
              <w:rPr>
                <w:spacing w:val="-6"/>
                <w:sz w:val="22"/>
              </w:rPr>
              <w:t> </w:t>
            </w:r>
            <w:r>
              <w:rPr>
                <w:sz w:val="22"/>
              </w:rPr>
              <w:t>these</w:t>
            </w:r>
            <w:r>
              <w:rPr>
                <w:spacing w:val="-5"/>
                <w:sz w:val="22"/>
              </w:rPr>
              <w:t> </w:t>
            </w:r>
            <w:r>
              <w:rPr>
                <w:sz w:val="22"/>
              </w:rPr>
              <w:t>patients</w:t>
            </w:r>
            <w:r>
              <w:rPr>
                <w:spacing w:val="-4"/>
                <w:sz w:val="22"/>
              </w:rPr>
              <w:t> </w:t>
            </w:r>
            <w:r>
              <w:rPr>
                <w:sz w:val="22"/>
              </w:rPr>
              <w:t>will</w:t>
            </w:r>
            <w:r>
              <w:rPr>
                <w:spacing w:val="-5"/>
                <w:sz w:val="22"/>
              </w:rPr>
              <w:t> </w:t>
            </w:r>
            <w:r>
              <w:rPr>
                <w:sz w:val="22"/>
              </w:rPr>
              <w:t>develop</w:t>
            </w:r>
            <w:r>
              <w:rPr>
                <w:spacing w:val="-7"/>
                <w:sz w:val="22"/>
              </w:rPr>
              <w:t> </w:t>
            </w:r>
            <w:r>
              <w:rPr>
                <w:sz w:val="22"/>
              </w:rPr>
              <w:t>advanced uveal melanoma (0.25 per 50,000).</w:t>
            </w:r>
          </w:p>
        </w:tc>
      </w:tr>
      <w:tr>
        <w:trPr>
          <w:trHeight w:val="4428" w:hRule="atLeast"/>
        </w:trPr>
        <w:tc>
          <w:tcPr>
            <w:tcW w:w="2972" w:type="dxa"/>
          </w:tcPr>
          <w:p>
            <w:pPr>
              <w:pStyle w:val="TableParagraph"/>
              <w:spacing w:line="273" w:lineRule="auto" w:before="3"/>
              <w:ind w:left="117" w:right="105" w:hanging="10"/>
              <w:rPr>
                <w:b/>
                <w:sz w:val="22"/>
              </w:rPr>
            </w:pPr>
            <w:r>
              <w:rPr>
                <w:b/>
                <w:sz w:val="22"/>
              </w:rPr>
              <w:t>Normally no more than 300</w:t>
            </w:r>
            <w:r>
              <w:rPr>
                <w:b/>
                <w:spacing w:val="-2"/>
                <w:sz w:val="22"/>
              </w:rPr>
              <w:t> </w:t>
            </w:r>
            <w:r>
              <w:rPr>
                <w:b/>
                <w:sz w:val="22"/>
              </w:rPr>
              <w:t>people</w:t>
            </w:r>
            <w:r>
              <w:rPr>
                <w:b/>
                <w:spacing w:val="-4"/>
                <w:sz w:val="22"/>
              </w:rPr>
              <w:t> </w:t>
            </w:r>
            <w:r>
              <w:rPr>
                <w:b/>
                <w:sz w:val="22"/>
              </w:rPr>
              <w:t>in</w:t>
            </w:r>
            <w:r>
              <w:rPr>
                <w:b/>
                <w:spacing w:val="-4"/>
                <w:sz w:val="22"/>
              </w:rPr>
              <w:t> </w:t>
            </w:r>
            <w:r>
              <w:rPr>
                <w:b/>
                <w:sz w:val="22"/>
              </w:rPr>
              <w:t>England</w:t>
            </w:r>
            <w:r>
              <w:rPr>
                <w:b/>
                <w:spacing w:val="-6"/>
                <w:sz w:val="22"/>
              </w:rPr>
              <w:t> </w:t>
            </w:r>
            <w:r>
              <w:rPr>
                <w:b/>
                <w:sz w:val="22"/>
              </w:rPr>
              <w:t>are eligible</w:t>
            </w:r>
            <w:r>
              <w:rPr>
                <w:b/>
                <w:spacing w:val="-13"/>
                <w:sz w:val="22"/>
              </w:rPr>
              <w:t> </w:t>
            </w:r>
            <w:r>
              <w:rPr>
                <w:b/>
                <w:sz w:val="22"/>
              </w:rPr>
              <w:t>for</w:t>
            </w:r>
            <w:r>
              <w:rPr>
                <w:b/>
                <w:spacing w:val="-13"/>
                <w:sz w:val="22"/>
              </w:rPr>
              <w:t> </w:t>
            </w:r>
            <w:r>
              <w:rPr>
                <w:b/>
                <w:sz w:val="22"/>
              </w:rPr>
              <w:t>the</w:t>
            </w:r>
            <w:r>
              <w:rPr>
                <w:b/>
                <w:spacing w:val="-13"/>
                <w:sz w:val="22"/>
              </w:rPr>
              <w:t> </w:t>
            </w:r>
            <w:r>
              <w:rPr>
                <w:b/>
                <w:sz w:val="22"/>
              </w:rPr>
              <w:t>technology in its licensed indication and no more than 500 across all its indications</w:t>
            </w:r>
          </w:p>
        </w:tc>
        <w:tc>
          <w:tcPr>
            <w:tcW w:w="6047" w:type="dxa"/>
          </w:tcPr>
          <w:p>
            <w:pPr>
              <w:pStyle w:val="TableParagraph"/>
              <w:spacing w:line="273" w:lineRule="auto" w:before="3"/>
              <w:ind w:left="117" w:right="68" w:hanging="10"/>
              <w:rPr>
                <w:sz w:val="22"/>
              </w:rPr>
            </w:pPr>
            <w:r>
              <w:rPr>
                <w:sz w:val="22"/>
              </w:rPr>
              <w:t>UM is a rare disease, from a total incidence of 540 patients per year, around half will go on to develop advanced (metastatic</w:t>
            </w:r>
            <w:r>
              <w:rPr>
                <w:spacing w:val="-5"/>
                <w:sz w:val="22"/>
              </w:rPr>
              <w:t> </w:t>
            </w:r>
            <w:r>
              <w:rPr>
                <w:sz w:val="22"/>
              </w:rPr>
              <w:t>or</w:t>
            </w:r>
            <w:r>
              <w:rPr>
                <w:spacing w:val="-5"/>
                <w:sz w:val="22"/>
              </w:rPr>
              <w:t> </w:t>
            </w:r>
            <w:r>
              <w:rPr>
                <w:sz w:val="22"/>
              </w:rPr>
              <w:t>unresectable)</w:t>
            </w:r>
            <w:r>
              <w:rPr>
                <w:spacing w:val="-2"/>
                <w:sz w:val="22"/>
              </w:rPr>
              <w:t> </w:t>
            </w:r>
            <w:r>
              <w:rPr>
                <w:sz w:val="22"/>
              </w:rPr>
              <w:t>UM</w:t>
            </w:r>
            <w:r>
              <w:rPr>
                <w:spacing w:val="-7"/>
                <w:sz w:val="22"/>
              </w:rPr>
              <w:t> </w:t>
            </w:r>
            <w:r>
              <w:rPr>
                <w:sz w:val="22"/>
              </w:rPr>
              <w:t>(Kolandjian</w:t>
            </w:r>
            <w:r>
              <w:rPr>
                <w:spacing w:val="-6"/>
                <w:sz w:val="22"/>
              </w:rPr>
              <w:t> </w:t>
            </w:r>
            <w:r>
              <w:rPr>
                <w:sz w:val="22"/>
              </w:rPr>
              <w:t>et</w:t>
            </w:r>
            <w:r>
              <w:rPr>
                <w:spacing w:val="-7"/>
                <w:sz w:val="22"/>
              </w:rPr>
              <w:t> </w:t>
            </w:r>
            <w:r>
              <w:rPr>
                <w:sz w:val="22"/>
              </w:rPr>
              <w:t>al.</w:t>
            </w:r>
            <w:r>
              <w:rPr>
                <w:spacing w:val="-4"/>
                <w:sz w:val="22"/>
              </w:rPr>
              <w:t> </w:t>
            </w:r>
            <w:r>
              <w:rPr>
                <w:sz w:val="22"/>
              </w:rPr>
              <w:t>2013).</w:t>
            </w:r>
            <w:r>
              <w:rPr>
                <w:spacing w:val="-7"/>
                <w:sz w:val="22"/>
              </w:rPr>
              <w:t> </w:t>
            </w:r>
            <w:r>
              <w:rPr>
                <w:sz w:val="22"/>
              </w:rPr>
              <w:t>Of these 270 metastatic patients, 47% will be HLA-A*02*01 positive. Of</w:t>
            </w:r>
            <w:r>
              <w:rPr>
                <w:spacing w:val="-2"/>
                <w:sz w:val="22"/>
              </w:rPr>
              <w:t> </w:t>
            </w:r>
            <w:r>
              <w:rPr>
                <w:sz w:val="22"/>
              </w:rPr>
              <w:t>these 127</w:t>
            </w:r>
            <w:r>
              <w:rPr>
                <w:spacing w:val="-1"/>
                <w:sz w:val="22"/>
              </w:rPr>
              <w:t> </w:t>
            </w:r>
            <w:r>
              <w:rPr>
                <w:sz w:val="22"/>
              </w:rPr>
              <w:t>HLA-A*02*01 positive</w:t>
            </w:r>
            <w:r>
              <w:rPr>
                <w:spacing w:val="-1"/>
                <w:sz w:val="22"/>
              </w:rPr>
              <w:t> </w:t>
            </w:r>
            <w:r>
              <w:rPr>
                <w:sz w:val="22"/>
              </w:rPr>
              <w:t>metastatic</w:t>
            </w:r>
            <w:r>
              <w:rPr>
                <w:spacing w:val="-1"/>
                <w:sz w:val="22"/>
              </w:rPr>
              <w:t> </w:t>
            </w:r>
            <w:r>
              <w:rPr>
                <w:sz w:val="22"/>
              </w:rPr>
              <w:t>UM patients, clinical experts deem only 102 patients will be clinically eligible for tebentafusp.</w:t>
            </w:r>
          </w:p>
          <w:p>
            <w:pPr>
              <w:pStyle w:val="TableParagraph"/>
              <w:spacing w:line="273" w:lineRule="auto" w:before="196"/>
              <w:ind w:left="117" w:right="139" w:hanging="10"/>
              <w:rPr>
                <w:sz w:val="22"/>
              </w:rPr>
            </w:pPr>
            <w:r>
              <w:rPr>
                <w:sz w:val="22"/>
              </w:rPr>
              <w:t>The</w:t>
            </w:r>
            <w:r>
              <w:rPr>
                <w:spacing w:val="-4"/>
                <w:sz w:val="22"/>
              </w:rPr>
              <w:t> </w:t>
            </w:r>
            <w:r>
              <w:rPr>
                <w:sz w:val="22"/>
              </w:rPr>
              <w:t>target</w:t>
            </w:r>
            <w:r>
              <w:rPr>
                <w:spacing w:val="-5"/>
                <w:sz w:val="22"/>
              </w:rPr>
              <w:t> </w:t>
            </w:r>
            <w:r>
              <w:rPr>
                <w:sz w:val="22"/>
              </w:rPr>
              <w:t>population</w:t>
            </w:r>
            <w:r>
              <w:rPr>
                <w:spacing w:val="-4"/>
                <w:sz w:val="22"/>
              </w:rPr>
              <w:t> </w:t>
            </w:r>
            <w:r>
              <w:rPr>
                <w:sz w:val="22"/>
              </w:rPr>
              <w:t>in</w:t>
            </w:r>
            <w:r>
              <w:rPr>
                <w:spacing w:val="-6"/>
                <w:sz w:val="22"/>
              </w:rPr>
              <w:t> </w:t>
            </w:r>
            <w:r>
              <w:rPr>
                <w:sz w:val="22"/>
              </w:rPr>
              <w:t>this</w:t>
            </w:r>
            <w:r>
              <w:rPr>
                <w:spacing w:val="-3"/>
                <w:sz w:val="22"/>
              </w:rPr>
              <w:t> </w:t>
            </w:r>
            <w:r>
              <w:rPr>
                <w:sz w:val="22"/>
              </w:rPr>
              <w:t>ultra-rare</w:t>
            </w:r>
            <w:r>
              <w:rPr>
                <w:spacing w:val="-6"/>
                <w:sz w:val="22"/>
              </w:rPr>
              <w:t> </w:t>
            </w:r>
            <w:r>
              <w:rPr>
                <w:sz w:val="22"/>
              </w:rPr>
              <w:t>condition</w:t>
            </w:r>
            <w:r>
              <w:rPr>
                <w:spacing w:val="-6"/>
                <w:sz w:val="22"/>
              </w:rPr>
              <w:t> </w:t>
            </w:r>
            <w:r>
              <w:rPr>
                <w:sz w:val="22"/>
              </w:rPr>
              <w:t>is</w:t>
            </w:r>
            <w:r>
              <w:rPr>
                <w:spacing w:val="-3"/>
                <w:sz w:val="22"/>
              </w:rPr>
              <w:t> </w:t>
            </w:r>
            <w:r>
              <w:rPr>
                <w:sz w:val="22"/>
              </w:rPr>
              <w:t>expected to be very small at around </w:t>
            </w:r>
            <w:r>
              <w:rPr>
                <w:sz w:val="22"/>
                <w:u w:val="single"/>
              </w:rPr>
              <w:t>100 patients</w:t>
            </w:r>
            <w:r>
              <w:rPr>
                <w:sz w:val="22"/>
              </w:rPr>
              <w:t> per year and will remain at this level over time. Tebentafusp is only</w:t>
            </w:r>
            <w:r>
              <w:rPr>
                <w:spacing w:val="-1"/>
                <w:sz w:val="22"/>
              </w:rPr>
              <w:t> </w:t>
            </w:r>
            <w:r>
              <w:rPr>
                <w:sz w:val="22"/>
              </w:rPr>
              <w:t>effective in patients with the MHC HLA allele HLA-A*02:01 allele, which is present in ~47% of the population. Consequently, there is no risk that treatment could be extended to all of the metastatic UM population.</w:t>
            </w:r>
          </w:p>
        </w:tc>
      </w:tr>
      <w:tr>
        <w:trPr>
          <w:trHeight w:val="5745" w:hRule="atLeast"/>
        </w:trPr>
        <w:tc>
          <w:tcPr>
            <w:tcW w:w="2972" w:type="dxa"/>
          </w:tcPr>
          <w:p>
            <w:pPr>
              <w:pStyle w:val="TableParagraph"/>
              <w:spacing w:before="2"/>
              <w:ind w:left="107"/>
              <w:rPr>
                <w:b/>
                <w:sz w:val="22"/>
              </w:rPr>
            </w:pPr>
            <w:r>
              <w:rPr>
                <w:b/>
                <w:sz w:val="22"/>
              </w:rPr>
              <w:t>The</w:t>
            </w:r>
            <w:r>
              <w:rPr>
                <w:b/>
                <w:spacing w:val="-3"/>
                <w:sz w:val="22"/>
              </w:rPr>
              <w:t> </w:t>
            </w:r>
            <w:r>
              <w:rPr>
                <w:b/>
                <w:sz w:val="22"/>
              </w:rPr>
              <w:t>very</w:t>
            </w:r>
            <w:r>
              <w:rPr>
                <w:b/>
                <w:spacing w:val="-5"/>
                <w:sz w:val="22"/>
              </w:rPr>
              <w:t> </w:t>
            </w:r>
            <w:r>
              <w:rPr>
                <w:b/>
                <w:sz w:val="22"/>
              </w:rPr>
              <w:t>rare</w:t>
            </w:r>
            <w:r>
              <w:rPr>
                <w:b/>
                <w:spacing w:val="-4"/>
                <w:sz w:val="22"/>
              </w:rPr>
              <w:t> </w:t>
            </w:r>
            <w:r>
              <w:rPr>
                <w:b/>
                <w:spacing w:val="-2"/>
                <w:sz w:val="22"/>
              </w:rPr>
              <w:t>condition</w:t>
            </w:r>
          </w:p>
          <w:p>
            <w:pPr>
              <w:pStyle w:val="TableParagraph"/>
              <w:spacing w:line="273" w:lineRule="auto" w:before="35"/>
              <w:ind w:left="117" w:right="105"/>
              <w:rPr>
                <w:b/>
                <w:sz w:val="22"/>
              </w:rPr>
            </w:pPr>
            <w:r>
              <w:rPr>
                <w:b/>
                <w:sz w:val="22"/>
              </w:rPr>
              <w:t>significantly</w:t>
            </w:r>
            <w:r>
              <w:rPr>
                <w:b/>
                <w:spacing w:val="-16"/>
                <w:sz w:val="22"/>
              </w:rPr>
              <w:t> </w:t>
            </w:r>
            <w:r>
              <w:rPr>
                <w:b/>
                <w:sz w:val="22"/>
              </w:rPr>
              <w:t>shortens</w:t>
            </w:r>
            <w:r>
              <w:rPr>
                <w:b/>
                <w:spacing w:val="-15"/>
                <w:sz w:val="22"/>
              </w:rPr>
              <w:t> </w:t>
            </w:r>
            <w:r>
              <w:rPr>
                <w:b/>
                <w:sz w:val="22"/>
              </w:rPr>
              <w:t>life or severely impairs its</w:t>
            </w:r>
          </w:p>
          <w:p>
            <w:pPr>
              <w:pStyle w:val="TableParagraph"/>
              <w:spacing w:line="252" w:lineRule="exact"/>
              <w:ind w:left="117"/>
              <w:rPr>
                <w:b/>
                <w:sz w:val="22"/>
              </w:rPr>
            </w:pPr>
            <w:r>
              <w:rPr>
                <w:b/>
                <w:spacing w:val="-2"/>
                <w:sz w:val="22"/>
              </w:rPr>
              <w:t>quality</w:t>
            </w:r>
          </w:p>
        </w:tc>
        <w:tc>
          <w:tcPr>
            <w:tcW w:w="6047" w:type="dxa"/>
          </w:tcPr>
          <w:p>
            <w:pPr>
              <w:pStyle w:val="TableParagraph"/>
              <w:spacing w:line="276" w:lineRule="auto"/>
              <w:ind w:left="107" w:right="68"/>
              <w:rPr>
                <w:sz w:val="22"/>
              </w:rPr>
            </w:pPr>
            <w:r>
              <w:rPr>
                <w:sz w:val="22"/>
              </w:rPr>
              <w:t>UM is an ultra-rare, highly malignant, and life-limiting disease that initially affects the vascular layers of the eye. UM</w:t>
            </w:r>
            <w:r>
              <w:rPr>
                <w:spacing w:val="-3"/>
                <w:sz w:val="22"/>
              </w:rPr>
              <w:t> </w:t>
            </w:r>
            <w:r>
              <w:rPr>
                <w:sz w:val="22"/>
              </w:rPr>
              <w:t>is</w:t>
            </w:r>
            <w:r>
              <w:rPr>
                <w:spacing w:val="-3"/>
                <w:sz w:val="22"/>
              </w:rPr>
              <w:t> </w:t>
            </w:r>
            <w:r>
              <w:rPr>
                <w:sz w:val="22"/>
              </w:rPr>
              <w:t>distinct</w:t>
            </w:r>
            <w:r>
              <w:rPr>
                <w:spacing w:val="-5"/>
                <w:sz w:val="22"/>
              </w:rPr>
              <w:t> </w:t>
            </w:r>
            <w:r>
              <w:rPr>
                <w:sz w:val="22"/>
              </w:rPr>
              <w:t>from</w:t>
            </w:r>
            <w:r>
              <w:rPr>
                <w:spacing w:val="-5"/>
                <w:sz w:val="22"/>
              </w:rPr>
              <w:t> </w:t>
            </w:r>
            <w:r>
              <w:rPr>
                <w:sz w:val="22"/>
              </w:rPr>
              <w:t>other</w:t>
            </w:r>
            <w:r>
              <w:rPr>
                <w:spacing w:val="-5"/>
                <w:sz w:val="22"/>
              </w:rPr>
              <w:t> </w:t>
            </w:r>
            <w:r>
              <w:rPr>
                <w:sz w:val="22"/>
              </w:rPr>
              <w:t>types</w:t>
            </w:r>
            <w:r>
              <w:rPr>
                <w:spacing w:val="-3"/>
                <w:sz w:val="22"/>
              </w:rPr>
              <w:t> </w:t>
            </w:r>
            <w:r>
              <w:rPr>
                <w:sz w:val="22"/>
              </w:rPr>
              <w:t>of</w:t>
            </w:r>
            <w:r>
              <w:rPr>
                <w:spacing w:val="-5"/>
                <w:sz w:val="22"/>
              </w:rPr>
              <w:t> </w:t>
            </w:r>
            <w:r>
              <w:rPr>
                <w:sz w:val="22"/>
              </w:rPr>
              <w:t>melanoma</w:t>
            </w:r>
            <w:r>
              <w:rPr>
                <w:spacing w:val="-6"/>
                <w:sz w:val="22"/>
              </w:rPr>
              <w:t> </w:t>
            </w:r>
            <w:r>
              <w:rPr>
                <w:sz w:val="22"/>
              </w:rPr>
              <w:t>in</w:t>
            </w:r>
            <w:r>
              <w:rPr>
                <w:spacing w:val="-4"/>
                <w:sz w:val="22"/>
              </w:rPr>
              <w:t> </w:t>
            </w:r>
            <w:r>
              <w:rPr>
                <w:sz w:val="22"/>
              </w:rPr>
              <w:t>its</w:t>
            </w:r>
            <w:r>
              <w:rPr>
                <w:spacing w:val="-6"/>
                <w:sz w:val="22"/>
              </w:rPr>
              <w:t> </w:t>
            </w:r>
            <w:r>
              <w:rPr>
                <w:sz w:val="22"/>
              </w:rPr>
              <w:t>molecular pathology and physiology and an area of significant clinical unmet need.</w:t>
            </w:r>
          </w:p>
          <w:p>
            <w:pPr>
              <w:pStyle w:val="TableParagraph"/>
              <w:spacing w:before="9"/>
              <w:rPr>
                <w:sz w:val="20"/>
              </w:rPr>
            </w:pPr>
          </w:p>
          <w:p>
            <w:pPr>
              <w:pStyle w:val="TableParagraph"/>
              <w:spacing w:line="276" w:lineRule="auto"/>
              <w:ind w:left="107" w:right="166"/>
              <w:rPr>
                <w:sz w:val="22"/>
              </w:rPr>
            </w:pPr>
            <w:r>
              <w:rPr>
                <w:sz w:val="22"/>
              </w:rPr>
              <w:t>Up to half of all patients with UM go on to develop metastatic disease (2). Following diagnosis of metastatic disease,</w:t>
            </w:r>
            <w:r>
              <w:rPr>
                <w:spacing w:val="-3"/>
                <w:sz w:val="22"/>
              </w:rPr>
              <w:t> </w:t>
            </w:r>
            <w:r>
              <w:rPr>
                <w:sz w:val="22"/>
              </w:rPr>
              <w:t>the</w:t>
            </w:r>
            <w:r>
              <w:rPr>
                <w:spacing w:val="-2"/>
                <w:sz w:val="22"/>
              </w:rPr>
              <w:t> </w:t>
            </w:r>
            <w:r>
              <w:rPr>
                <w:sz w:val="22"/>
              </w:rPr>
              <w:t>prognosis</w:t>
            </w:r>
            <w:r>
              <w:rPr>
                <w:spacing w:val="-1"/>
                <w:sz w:val="22"/>
              </w:rPr>
              <w:t> </w:t>
            </w:r>
            <w:r>
              <w:rPr>
                <w:sz w:val="22"/>
              </w:rPr>
              <w:t>is</w:t>
            </w:r>
            <w:r>
              <w:rPr>
                <w:spacing w:val="-3"/>
                <w:sz w:val="22"/>
              </w:rPr>
              <w:t> </w:t>
            </w:r>
            <w:r>
              <w:rPr>
                <w:sz w:val="22"/>
              </w:rPr>
              <w:t>poor</w:t>
            </w:r>
            <w:r>
              <w:rPr>
                <w:spacing w:val="-3"/>
                <w:sz w:val="22"/>
              </w:rPr>
              <w:t> </w:t>
            </w:r>
            <w:r>
              <w:rPr>
                <w:sz w:val="22"/>
              </w:rPr>
              <w:t>with</w:t>
            </w:r>
            <w:r>
              <w:rPr>
                <w:spacing w:val="-2"/>
                <w:sz w:val="22"/>
              </w:rPr>
              <w:t> </w:t>
            </w:r>
            <w:r>
              <w:rPr>
                <w:sz w:val="22"/>
              </w:rPr>
              <w:t>a</w:t>
            </w:r>
            <w:r>
              <w:rPr>
                <w:spacing w:val="-3"/>
                <w:sz w:val="22"/>
              </w:rPr>
              <w:t> </w:t>
            </w:r>
            <w:r>
              <w:rPr>
                <w:sz w:val="22"/>
              </w:rPr>
              <w:t>1-year</w:t>
            </w:r>
            <w:r>
              <w:rPr>
                <w:spacing w:val="-1"/>
                <w:sz w:val="22"/>
              </w:rPr>
              <w:t> </w:t>
            </w:r>
            <w:r>
              <w:rPr>
                <w:sz w:val="22"/>
              </w:rPr>
              <w:t>survival</w:t>
            </w:r>
            <w:r>
              <w:rPr>
                <w:spacing w:val="-3"/>
                <w:sz w:val="22"/>
              </w:rPr>
              <w:t> </w:t>
            </w:r>
            <w:r>
              <w:rPr>
                <w:sz w:val="22"/>
              </w:rPr>
              <w:t>rate</w:t>
            </w:r>
            <w:r>
              <w:rPr>
                <w:spacing w:val="-3"/>
                <w:sz w:val="22"/>
              </w:rPr>
              <w:t> </w:t>
            </w:r>
            <w:r>
              <w:rPr>
                <w:sz w:val="22"/>
              </w:rPr>
              <w:t>of only</w:t>
            </w:r>
            <w:r>
              <w:rPr>
                <w:spacing w:val="-2"/>
                <w:sz w:val="22"/>
              </w:rPr>
              <w:t> </w:t>
            </w:r>
            <w:r>
              <w:rPr>
                <w:sz w:val="22"/>
              </w:rPr>
              <w:t>~50%.</w:t>
            </w:r>
            <w:r>
              <w:rPr>
                <w:spacing w:val="-3"/>
                <w:sz w:val="22"/>
              </w:rPr>
              <w:t> </w:t>
            </w:r>
            <w:r>
              <w:rPr>
                <w:sz w:val="22"/>
              </w:rPr>
              <w:t>In</w:t>
            </w:r>
            <w:r>
              <w:rPr>
                <w:spacing w:val="-3"/>
                <w:sz w:val="22"/>
              </w:rPr>
              <w:t> </w:t>
            </w:r>
            <w:r>
              <w:rPr>
                <w:sz w:val="22"/>
              </w:rPr>
              <w:t>90%</w:t>
            </w:r>
            <w:r>
              <w:rPr>
                <w:spacing w:val="-5"/>
                <w:sz w:val="22"/>
              </w:rPr>
              <w:t> </w:t>
            </w:r>
            <w:r>
              <w:rPr>
                <w:sz w:val="22"/>
              </w:rPr>
              <w:t>of</w:t>
            </w:r>
            <w:r>
              <w:rPr>
                <w:spacing w:val="-4"/>
                <w:sz w:val="22"/>
              </w:rPr>
              <w:t> </w:t>
            </w:r>
            <w:r>
              <w:rPr>
                <w:sz w:val="22"/>
              </w:rPr>
              <w:t>patients</w:t>
            </w:r>
            <w:r>
              <w:rPr>
                <w:spacing w:val="-2"/>
                <w:sz w:val="22"/>
              </w:rPr>
              <w:t> </w:t>
            </w:r>
            <w:r>
              <w:rPr>
                <w:sz w:val="22"/>
              </w:rPr>
              <w:t>the</w:t>
            </w:r>
            <w:r>
              <w:rPr>
                <w:spacing w:val="-7"/>
                <w:sz w:val="22"/>
              </w:rPr>
              <w:t> </w:t>
            </w:r>
            <w:r>
              <w:rPr>
                <w:sz w:val="22"/>
              </w:rPr>
              <w:t>first</w:t>
            </w:r>
            <w:r>
              <w:rPr>
                <w:spacing w:val="-4"/>
                <w:sz w:val="22"/>
              </w:rPr>
              <w:t> </w:t>
            </w:r>
            <w:r>
              <w:rPr>
                <w:sz w:val="22"/>
              </w:rPr>
              <w:t>metastatic</w:t>
            </w:r>
            <w:r>
              <w:rPr>
                <w:spacing w:val="-6"/>
                <w:sz w:val="22"/>
              </w:rPr>
              <w:t> </w:t>
            </w:r>
            <w:r>
              <w:rPr>
                <w:sz w:val="22"/>
              </w:rPr>
              <w:t>site</w:t>
            </w:r>
            <w:r>
              <w:rPr>
                <w:spacing w:val="-3"/>
                <w:sz w:val="22"/>
              </w:rPr>
              <w:t> </w:t>
            </w:r>
            <w:r>
              <w:rPr>
                <w:sz w:val="22"/>
              </w:rPr>
              <w:t>is</w:t>
            </w:r>
            <w:r>
              <w:rPr>
                <w:spacing w:val="-5"/>
                <w:sz w:val="22"/>
              </w:rPr>
              <w:t> </w:t>
            </w:r>
            <w:r>
              <w:rPr>
                <w:sz w:val="22"/>
              </w:rPr>
              <w:t>the liver and eventual liver failure is the predominant cause of death from the disease (3-6).</w:t>
            </w:r>
          </w:p>
          <w:p>
            <w:pPr>
              <w:pStyle w:val="TableParagraph"/>
              <w:spacing w:before="8"/>
              <w:rPr>
                <w:sz w:val="25"/>
              </w:rPr>
            </w:pPr>
          </w:p>
          <w:p>
            <w:pPr>
              <w:pStyle w:val="TableParagraph"/>
              <w:spacing w:line="273" w:lineRule="auto"/>
              <w:ind w:left="107" w:right="166"/>
              <w:rPr>
                <w:sz w:val="22"/>
              </w:rPr>
            </w:pPr>
            <w:r>
              <w:rPr>
                <w:sz w:val="22"/>
              </w:rPr>
              <w:t>Evidence, although sparse, suggests that patients with metastatic UM have a greater frequency of mental-health disorders, including anxiety and depression, as well as poorer QoL. A study by Nshimiyimana et al in 2018 demonstrated that, among 65 metastatic UM patients completing</w:t>
            </w:r>
            <w:r>
              <w:rPr>
                <w:spacing w:val="-10"/>
                <w:sz w:val="22"/>
              </w:rPr>
              <w:t> </w:t>
            </w:r>
            <w:r>
              <w:rPr>
                <w:sz w:val="22"/>
              </w:rPr>
              <w:t>the</w:t>
            </w:r>
            <w:r>
              <w:rPr>
                <w:spacing w:val="-5"/>
                <w:sz w:val="22"/>
              </w:rPr>
              <w:t> </w:t>
            </w:r>
            <w:r>
              <w:rPr>
                <w:sz w:val="22"/>
              </w:rPr>
              <w:t>Hospital</w:t>
            </w:r>
            <w:r>
              <w:rPr>
                <w:spacing w:val="-17"/>
                <w:sz w:val="22"/>
              </w:rPr>
              <w:t> </w:t>
            </w:r>
            <w:r>
              <w:rPr>
                <w:sz w:val="22"/>
              </w:rPr>
              <w:t>Anxiety</w:t>
            </w:r>
            <w:r>
              <w:rPr>
                <w:spacing w:val="-4"/>
                <w:sz w:val="22"/>
              </w:rPr>
              <w:t> </w:t>
            </w:r>
            <w:r>
              <w:rPr>
                <w:sz w:val="22"/>
              </w:rPr>
              <w:t>and</w:t>
            </w:r>
            <w:r>
              <w:rPr>
                <w:spacing w:val="-5"/>
                <w:sz w:val="22"/>
              </w:rPr>
              <w:t> </w:t>
            </w:r>
            <w:r>
              <w:rPr>
                <w:sz w:val="22"/>
              </w:rPr>
              <w:t>Depression</w:t>
            </w:r>
            <w:r>
              <w:rPr>
                <w:spacing w:val="-7"/>
                <w:sz w:val="22"/>
              </w:rPr>
              <w:t> </w:t>
            </w:r>
            <w:r>
              <w:rPr>
                <w:sz w:val="22"/>
              </w:rPr>
              <w:t>Scale</w:t>
            </w:r>
            <w:r>
              <w:rPr>
                <w:spacing w:val="-5"/>
                <w:sz w:val="22"/>
              </w:rPr>
              <w:t> </w:t>
            </w:r>
            <w:r>
              <w:rPr>
                <w:sz w:val="22"/>
              </w:rPr>
              <w:t>and</w:t>
            </w:r>
          </w:p>
          <w:p>
            <w:pPr>
              <w:pStyle w:val="TableParagraph"/>
              <w:spacing w:line="248" w:lineRule="exact"/>
              <w:ind w:left="107"/>
              <w:rPr>
                <w:sz w:val="22"/>
              </w:rPr>
            </w:pPr>
            <w:r>
              <w:rPr>
                <w:sz w:val="22"/>
              </w:rPr>
              <w:t>the</w:t>
            </w:r>
            <w:r>
              <w:rPr>
                <w:spacing w:val="-6"/>
                <w:sz w:val="22"/>
              </w:rPr>
              <w:t> </w:t>
            </w:r>
            <w:r>
              <w:rPr>
                <w:sz w:val="22"/>
              </w:rPr>
              <w:t>World</w:t>
            </w:r>
            <w:r>
              <w:rPr>
                <w:spacing w:val="-6"/>
                <w:sz w:val="22"/>
              </w:rPr>
              <w:t> </w:t>
            </w:r>
            <w:r>
              <w:rPr>
                <w:sz w:val="22"/>
              </w:rPr>
              <w:t>Health</w:t>
            </w:r>
            <w:r>
              <w:rPr>
                <w:spacing w:val="-8"/>
                <w:sz w:val="22"/>
              </w:rPr>
              <w:t> </w:t>
            </w:r>
            <w:r>
              <w:rPr>
                <w:sz w:val="22"/>
              </w:rPr>
              <w:t>Organization</w:t>
            </w:r>
            <w:r>
              <w:rPr>
                <w:spacing w:val="-6"/>
                <w:sz w:val="22"/>
              </w:rPr>
              <w:t> </w:t>
            </w:r>
            <w:r>
              <w:rPr>
                <w:sz w:val="22"/>
              </w:rPr>
              <w:t>brief</w:t>
            </w:r>
            <w:r>
              <w:rPr>
                <w:spacing w:val="-7"/>
                <w:sz w:val="22"/>
              </w:rPr>
              <w:t> </w:t>
            </w:r>
            <w:r>
              <w:rPr>
                <w:sz w:val="22"/>
              </w:rPr>
              <w:t>QoL</w:t>
            </w:r>
            <w:r>
              <w:rPr>
                <w:spacing w:val="-14"/>
                <w:sz w:val="22"/>
              </w:rPr>
              <w:t> </w:t>
            </w:r>
            <w:r>
              <w:rPr>
                <w:spacing w:val="-2"/>
                <w:sz w:val="22"/>
              </w:rPr>
              <w:t>instruments,</w:t>
            </w:r>
          </w:p>
        </w:tc>
      </w:tr>
    </w:tbl>
    <w:p>
      <w:pPr>
        <w:spacing w:after="0" w:line="248" w:lineRule="exact"/>
        <w:rPr>
          <w:sz w:val="22"/>
        </w:rPr>
        <w:sectPr>
          <w:pgSz w:w="11910" w:h="16840"/>
          <w:pgMar w:top="1880" w:bottom="280" w:left="1300" w:right="1300"/>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6047"/>
      </w:tblGrid>
      <w:tr>
        <w:trPr>
          <w:trHeight w:val="1838" w:hRule="atLeast"/>
        </w:trPr>
        <w:tc>
          <w:tcPr>
            <w:tcW w:w="2972" w:type="dxa"/>
          </w:tcPr>
          <w:p>
            <w:pPr>
              <w:pStyle w:val="TableParagraph"/>
              <w:rPr>
                <w:rFonts w:ascii="Times New Roman"/>
                <w:sz w:val="22"/>
              </w:rPr>
            </w:pPr>
          </w:p>
        </w:tc>
        <w:tc>
          <w:tcPr>
            <w:tcW w:w="6047" w:type="dxa"/>
          </w:tcPr>
          <w:p>
            <w:pPr>
              <w:pStyle w:val="TableParagraph"/>
              <w:spacing w:line="273" w:lineRule="auto" w:before="2"/>
              <w:ind w:left="107" w:right="68"/>
              <w:rPr>
                <w:sz w:val="22"/>
              </w:rPr>
            </w:pPr>
            <w:r>
              <w:rPr>
                <w:sz w:val="22"/>
              </w:rPr>
              <w:t>30.8% (n=20) had at least borderline anxiety, 13.8% (n=9) had</w:t>
            </w:r>
            <w:r>
              <w:rPr>
                <w:spacing w:val="-4"/>
                <w:sz w:val="22"/>
              </w:rPr>
              <w:t> </w:t>
            </w:r>
            <w:r>
              <w:rPr>
                <w:sz w:val="22"/>
              </w:rPr>
              <w:t>at</w:t>
            </w:r>
            <w:r>
              <w:rPr>
                <w:spacing w:val="-4"/>
                <w:sz w:val="22"/>
              </w:rPr>
              <w:t> </w:t>
            </w:r>
            <w:r>
              <w:rPr>
                <w:sz w:val="22"/>
              </w:rPr>
              <w:t>least</w:t>
            </w:r>
            <w:r>
              <w:rPr>
                <w:spacing w:val="-5"/>
                <w:sz w:val="22"/>
              </w:rPr>
              <w:t> </w:t>
            </w:r>
            <w:r>
              <w:rPr>
                <w:sz w:val="22"/>
              </w:rPr>
              <w:t>borderline</w:t>
            </w:r>
            <w:r>
              <w:rPr>
                <w:spacing w:val="-4"/>
                <w:sz w:val="22"/>
              </w:rPr>
              <w:t> </w:t>
            </w:r>
            <w:r>
              <w:rPr>
                <w:sz w:val="22"/>
              </w:rPr>
              <w:t>depression,</w:t>
            </w:r>
            <w:r>
              <w:rPr>
                <w:spacing w:val="-5"/>
                <w:sz w:val="22"/>
              </w:rPr>
              <w:t> </w:t>
            </w:r>
            <w:r>
              <w:rPr>
                <w:sz w:val="22"/>
              </w:rPr>
              <w:t>and</w:t>
            </w:r>
            <w:r>
              <w:rPr>
                <w:spacing w:val="-4"/>
                <w:sz w:val="22"/>
              </w:rPr>
              <w:t> </w:t>
            </w:r>
            <w:r>
              <w:rPr>
                <w:sz w:val="22"/>
              </w:rPr>
              <w:t>32.3%</w:t>
            </w:r>
            <w:r>
              <w:rPr>
                <w:spacing w:val="-6"/>
                <w:sz w:val="22"/>
              </w:rPr>
              <w:t> </w:t>
            </w:r>
            <w:r>
              <w:rPr>
                <w:sz w:val="22"/>
              </w:rPr>
              <w:t>(n=21)</w:t>
            </w:r>
            <w:r>
              <w:rPr>
                <w:spacing w:val="-5"/>
                <w:sz w:val="22"/>
              </w:rPr>
              <w:t> </w:t>
            </w:r>
            <w:r>
              <w:rPr>
                <w:sz w:val="22"/>
              </w:rPr>
              <w:t>had</w:t>
            </w:r>
            <w:r>
              <w:rPr>
                <w:spacing w:val="-4"/>
                <w:sz w:val="22"/>
              </w:rPr>
              <w:t> </w:t>
            </w:r>
            <w:r>
              <w:rPr>
                <w:sz w:val="22"/>
              </w:rPr>
              <w:t>a decrease in QoL (7).</w:t>
            </w:r>
          </w:p>
          <w:p>
            <w:pPr>
              <w:pStyle w:val="TableParagraph"/>
              <w:spacing w:line="273" w:lineRule="auto" w:before="198"/>
              <w:ind w:left="107" w:right="166"/>
              <w:rPr>
                <w:sz w:val="22"/>
              </w:rPr>
            </w:pPr>
            <w:r>
              <w:rPr>
                <w:sz w:val="22"/>
              </w:rPr>
              <w:t>Advanced</w:t>
            </w:r>
            <w:r>
              <w:rPr>
                <w:spacing w:val="-5"/>
                <w:sz w:val="22"/>
              </w:rPr>
              <w:t> </w:t>
            </w:r>
            <w:r>
              <w:rPr>
                <w:sz w:val="22"/>
              </w:rPr>
              <w:t>UM</w:t>
            </w:r>
            <w:r>
              <w:rPr>
                <w:spacing w:val="-6"/>
                <w:sz w:val="22"/>
              </w:rPr>
              <w:t> </w:t>
            </w:r>
            <w:r>
              <w:rPr>
                <w:sz w:val="22"/>
              </w:rPr>
              <w:t>therefore</w:t>
            </w:r>
            <w:r>
              <w:rPr>
                <w:spacing w:val="-6"/>
                <w:sz w:val="22"/>
              </w:rPr>
              <w:t> </w:t>
            </w:r>
            <w:r>
              <w:rPr>
                <w:sz w:val="22"/>
              </w:rPr>
              <w:t>both</w:t>
            </w:r>
            <w:r>
              <w:rPr>
                <w:spacing w:val="-5"/>
                <w:sz w:val="22"/>
              </w:rPr>
              <w:t> </w:t>
            </w:r>
            <w:r>
              <w:rPr>
                <w:sz w:val="22"/>
              </w:rPr>
              <w:t>significantly</w:t>
            </w:r>
            <w:r>
              <w:rPr>
                <w:spacing w:val="-6"/>
                <w:sz w:val="22"/>
              </w:rPr>
              <w:t> </w:t>
            </w:r>
            <w:r>
              <w:rPr>
                <w:sz w:val="22"/>
              </w:rPr>
              <w:t>shortens</w:t>
            </w:r>
            <w:r>
              <w:rPr>
                <w:spacing w:val="-4"/>
                <w:sz w:val="22"/>
              </w:rPr>
              <w:t> </w:t>
            </w:r>
            <w:r>
              <w:rPr>
                <w:sz w:val="22"/>
              </w:rPr>
              <w:t>life</w:t>
            </w:r>
            <w:r>
              <w:rPr>
                <w:spacing w:val="-5"/>
                <w:sz w:val="22"/>
              </w:rPr>
              <w:t> </w:t>
            </w:r>
            <w:r>
              <w:rPr>
                <w:sz w:val="22"/>
              </w:rPr>
              <w:t>and impairs its quality.</w:t>
            </w:r>
          </w:p>
        </w:tc>
      </w:tr>
      <w:tr>
        <w:trPr>
          <w:trHeight w:val="4336" w:hRule="atLeast"/>
        </w:trPr>
        <w:tc>
          <w:tcPr>
            <w:tcW w:w="2972" w:type="dxa"/>
          </w:tcPr>
          <w:p>
            <w:pPr>
              <w:pStyle w:val="TableParagraph"/>
              <w:spacing w:line="273" w:lineRule="auto" w:before="2"/>
              <w:ind w:left="117" w:hanging="10"/>
              <w:rPr>
                <w:b/>
                <w:sz w:val="22"/>
              </w:rPr>
            </w:pPr>
            <w:r>
              <w:rPr>
                <w:b/>
                <w:sz w:val="22"/>
              </w:rPr>
              <w:t>No satisfactory treatment options</w:t>
            </w:r>
            <w:r>
              <w:rPr>
                <w:b/>
                <w:spacing w:val="-12"/>
                <w:sz w:val="22"/>
              </w:rPr>
              <w:t> </w:t>
            </w:r>
            <w:r>
              <w:rPr>
                <w:b/>
                <w:sz w:val="22"/>
              </w:rPr>
              <w:t>exist,</w:t>
            </w:r>
            <w:r>
              <w:rPr>
                <w:b/>
                <w:spacing w:val="-11"/>
                <w:sz w:val="22"/>
              </w:rPr>
              <w:t> </w:t>
            </w:r>
            <w:r>
              <w:rPr>
                <w:b/>
                <w:sz w:val="22"/>
              </w:rPr>
              <w:t>or,</w:t>
            </w:r>
            <w:r>
              <w:rPr>
                <w:b/>
                <w:spacing w:val="-11"/>
                <w:sz w:val="22"/>
              </w:rPr>
              <w:t> </w:t>
            </w:r>
            <w:r>
              <w:rPr>
                <w:b/>
                <w:sz w:val="22"/>
              </w:rPr>
              <w:t>if</w:t>
            </w:r>
            <w:r>
              <w:rPr>
                <w:b/>
                <w:spacing w:val="-11"/>
                <w:sz w:val="22"/>
              </w:rPr>
              <w:t> </w:t>
            </w:r>
            <w:r>
              <w:rPr>
                <w:b/>
                <w:sz w:val="22"/>
              </w:rPr>
              <w:t>it</w:t>
            </w:r>
            <w:r>
              <w:rPr>
                <w:b/>
                <w:spacing w:val="-9"/>
                <w:sz w:val="22"/>
              </w:rPr>
              <w:t> </w:t>
            </w:r>
            <w:r>
              <w:rPr>
                <w:b/>
                <w:sz w:val="22"/>
              </w:rPr>
              <w:t>does the</w:t>
            </w:r>
            <w:r>
              <w:rPr>
                <w:b/>
                <w:spacing w:val="-2"/>
                <w:sz w:val="22"/>
              </w:rPr>
              <w:t> </w:t>
            </w:r>
            <w:r>
              <w:rPr>
                <w:b/>
                <w:sz w:val="22"/>
              </w:rPr>
              <w:t>technology</w:t>
            </w:r>
            <w:r>
              <w:rPr>
                <w:b/>
                <w:spacing w:val="-5"/>
                <w:sz w:val="22"/>
              </w:rPr>
              <w:t> </w:t>
            </w:r>
            <w:r>
              <w:rPr>
                <w:b/>
                <w:sz w:val="22"/>
              </w:rPr>
              <w:t>is</w:t>
            </w:r>
            <w:r>
              <w:rPr>
                <w:b/>
                <w:spacing w:val="-4"/>
                <w:sz w:val="22"/>
              </w:rPr>
              <w:t> </w:t>
            </w:r>
            <w:r>
              <w:rPr>
                <w:b/>
                <w:sz w:val="22"/>
              </w:rPr>
              <w:t>likely</w:t>
            </w:r>
            <w:r>
              <w:rPr>
                <w:b/>
                <w:spacing w:val="-4"/>
                <w:sz w:val="22"/>
              </w:rPr>
              <w:t> </w:t>
            </w:r>
            <w:r>
              <w:rPr>
                <w:b/>
                <w:sz w:val="22"/>
              </w:rPr>
              <w:t>to be of significant</w:t>
            </w:r>
          </w:p>
          <w:p>
            <w:pPr>
              <w:pStyle w:val="TableParagraph"/>
              <w:spacing w:line="273" w:lineRule="auto"/>
              <w:ind w:left="117"/>
              <w:rPr>
                <w:b/>
                <w:sz w:val="22"/>
              </w:rPr>
            </w:pPr>
            <w:r>
              <w:rPr>
                <w:b/>
                <w:sz w:val="22"/>
              </w:rPr>
              <w:t>additional</w:t>
            </w:r>
            <w:r>
              <w:rPr>
                <w:b/>
                <w:spacing w:val="-13"/>
                <w:sz w:val="22"/>
              </w:rPr>
              <w:t> </w:t>
            </w:r>
            <w:r>
              <w:rPr>
                <w:b/>
                <w:sz w:val="22"/>
              </w:rPr>
              <w:t>benefit</w:t>
            </w:r>
            <w:r>
              <w:rPr>
                <w:b/>
                <w:spacing w:val="-13"/>
                <w:sz w:val="22"/>
              </w:rPr>
              <w:t> </w:t>
            </w:r>
            <w:r>
              <w:rPr>
                <w:b/>
                <w:sz w:val="22"/>
              </w:rPr>
              <w:t>to</w:t>
            </w:r>
            <w:r>
              <w:rPr>
                <w:b/>
                <w:spacing w:val="-14"/>
                <w:sz w:val="22"/>
              </w:rPr>
              <w:t> </w:t>
            </w:r>
            <w:r>
              <w:rPr>
                <w:b/>
                <w:sz w:val="22"/>
              </w:rPr>
              <w:t>those </w:t>
            </w:r>
            <w:r>
              <w:rPr>
                <w:b/>
                <w:spacing w:val="-2"/>
                <w:sz w:val="22"/>
              </w:rPr>
              <w:t>affected</w:t>
            </w:r>
          </w:p>
        </w:tc>
        <w:tc>
          <w:tcPr>
            <w:tcW w:w="6047" w:type="dxa"/>
          </w:tcPr>
          <w:p>
            <w:pPr>
              <w:pStyle w:val="TableParagraph"/>
              <w:spacing w:line="273" w:lineRule="auto" w:before="2"/>
              <w:ind w:left="117" w:right="166" w:hanging="10"/>
              <w:rPr>
                <w:sz w:val="22"/>
              </w:rPr>
            </w:pPr>
            <w:r>
              <w:rPr>
                <w:sz w:val="22"/>
              </w:rPr>
              <w:t>Tebentafusp is a first in class and highly specialised treatment representing the first significant development in advanced</w:t>
            </w:r>
            <w:r>
              <w:rPr>
                <w:spacing w:val="-4"/>
                <w:sz w:val="22"/>
              </w:rPr>
              <w:t> </w:t>
            </w:r>
            <w:r>
              <w:rPr>
                <w:sz w:val="22"/>
              </w:rPr>
              <w:t>UM</w:t>
            </w:r>
            <w:r>
              <w:rPr>
                <w:spacing w:val="-5"/>
                <w:sz w:val="22"/>
              </w:rPr>
              <w:t> </w:t>
            </w:r>
            <w:r>
              <w:rPr>
                <w:sz w:val="22"/>
              </w:rPr>
              <w:t>treatment</w:t>
            </w:r>
            <w:r>
              <w:rPr>
                <w:spacing w:val="-4"/>
                <w:sz w:val="22"/>
              </w:rPr>
              <w:t> </w:t>
            </w:r>
            <w:r>
              <w:rPr>
                <w:sz w:val="22"/>
              </w:rPr>
              <w:t>and</w:t>
            </w:r>
            <w:r>
              <w:rPr>
                <w:spacing w:val="-4"/>
                <w:sz w:val="22"/>
              </w:rPr>
              <w:t> </w:t>
            </w:r>
            <w:r>
              <w:rPr>
                <w:sz w:val="22"/>
              </w:rPr>
              <w:t>the</w:t>
            </w:r>
            <w:r>
              <w:rPr>
                <w:spacing w:val="-6"/>
                <w:sz w:val="22"/>
              </w:rPr>
              <w:t> </w:t>
            </w:r>
            <w:r>
              <w:rPr>
                <w:sz w:val="22"/>
              </w:rPr>
              <w:t>only</w:t>
            </w:r>
            <w:r>
              <w:rPr>
                <w:spacing w:val="-6"/>
                <w:sz w:val="22"/>
              </w:rPr>
              <w:t> </w:t>
            </w:r>
            <w:r>
              <w:rPr>
                <w:sz w:val="22"/>
              </w:rPr>
              <w:t>treatment</w:t>
            </w:r>
            <w:r>
              <w:rPr>
                <w:spacing w:val="-2"/>
                <w:sz w:val="22"/>
              </w:rPr>
              <w:t> </w:t>
            </w:r>
            <w:r>
              <w:rPr>
                <w:sz w:val="22"/>
              </w:rPr>
              <w:t>specifically targeted</w:t>
            </w:r>
            <w:r>
              <w:rPr>
                <w:spacing w:val="-7"/>
                <w:sz w:val="22"/>
              </w:rPr>
              <w:t> </w:t>
            </w:r>
            <w:r>
              <w:rPr>
                <w:sz w:val="22"/>
              </w:rPr>
              <w:t>to</w:t>
            </w:r>
            <w:r>
              <w:rPr>
                <w:spacing w:val="-6"/>
                <w:sz w:val="22"/>
              </w:rPr>
              <w:t> </w:t>
            </w:r>
            <w:r>
              <w:rPr>
                <w:sz w:val="22"/>
              </w:rPr>
              <w:t>advanced</w:t>
            </w:r>
            <w:r>
              <w:rPr>
                <w:spacing w:val="-6"/>
                <w:sz w:val="22"/>
              </w:rPr>
              <w:t> </w:t>
            </w:r>
            <w:r>
              <w:rPr>
                <w:sz w:val="22"/>
              </w:rPr>
              <w:t>UM.</w:t>
            </w:r>
            <w:r>
              <w:rPr>
                <w:spacing w:val="-10"/>
                <w:sz w:val="22"/>
              </w:rPr>
              <w:t> </w:t>
            </w:r>
            <w:r>
              <w:rPr>
                <w:sz w:val="22"/>
              </w:rPr>
              <w:t>Patient</w:t>
            </w:r>
            <w:r>
              <w:rPr>
                <w:spacing w:val="-4"/>
                <w:sz w:val="22"/>
              </w:rPr>
              <w:t> </w:t>
            </w:r>
            <w:r>
              <w:rPr>
                <w:sz w:val="22"/>
              </w:rPr>
              <w:t>prognosis</w:t>
            </w:r>
            <w:r>
              <w:rPr>
                <w:spacing w:val="-5"/>
                <w:sz w:val="22"/>
              </w:rPr>
              <w:t> </w:t>
            </w:r>
            <w:r>
              <w:rPr>
                <w:sz w:val="22"/>
              </w:rPr>
              <w:t>and</w:t>
            </w:r>
            <w:r>
              <w:rPr>
                <w:spacing w:val="-7"/>
                <w:sz w:val="22"/>
              </w:rPr>
              <w:t> </w:t>
            </w:r>
            <w:r>
              <w:rPr>
                <w:sz w:val="22"/>
              </w:rPr>
              <w:t>outcomes have not improved in nearly 40 years (8).</w:t>
            </w:r>
          </w:p>
          <w:p>
            <w:pPr>
              <w:pStyle w:val="TableParagraph"/>
              <w:spacing w:line="273" w:lineRule="auto" w:before="195"/>
              <w:ind w:left="117" w:right="140" w:hanging="10"/>
              <w:rPr>
                <w:sz w:val="22"/>
              </w:rPr>
            </w:pPr>
            <w:r>
              <w:rPr>
                <w:sz w:val="22"/>
              </w:rPr>
              <w:t>Recent</w:t>
            </w:r>
            <w:r>
              <w:rPr>
                <w:spacing w:val="-7"/>
                <w:sz w:val="22"/>
              </w:rPr>
              <w:t> </w:t>
            </w:r>
            <w:r>
              <w:rPr>
                <w:sz w:val="22"/>
              </w:rPr>
              <w:t>therapeutic</w:t>
            </w:r>
            <w:r>
              <w:rPr>
                <w:spacing w:val="-5"/>
                <w:sz w:val="22"/>
              </w:rPr>
              <w:t> </w:t>
            </w:r>
            <w:r>
              <w:rPr>
                <w:sz w:val="22"/>
              </w:rPr>
              <w:t>advances</w:t>
            </w:r>
            <w:r>
              <w:rPr>
                <w:spacing w:val="-5"/>
                <w:sz w:val="22"/>
              </w:rPr>
              <w:t> </w:t>
            </w:r>
            <w:r>
              <w:rPr>
                <w:sz w:val="22"/>
              </w:rPr>
              <w:t>in</w:t>
            </w:r>
            <w:r>
              <w:rPr>
                <w:spacing w:val="-5"/>
                <w:sz w:val="22"/>
              </w:rPr>
              <w:t> </w:t>
            </w:r>
            <w:r>
              <w:rPr>
                <w:sz w:val="22"/>
              </w:rPr>
              <w:t>cutaneous</w:t>
            </w:r>
            <w:r>
              <w:rPr>
                <w:spacing w:val="-8"/>
                <w:sz w:val="22"/>
              </w:rPr>
              <w:t> </w:t>
            </w:r>
            <w:r>
              <w:rPr>
                <w:sz w:val="22"/>
              </w:rPr>
              <w:t>melanoma</w:t>
            </w:r>
            <w:r>
              <w:rPr>
                <w:spacing w:val="-4"/>
                <w:sz w:val="22"/>
              </w:rPr>
              <w:t> </w:t>
            </w:r>
            <w:r>
              <w:rPr>
                <w:sz w:val="22"/>
              </w:rPr>
              <w:t>have been</w:t>
            </w:r>
            <w:r>
              <w:rPr>
                <w:spacing w:val="-3"/>
                <w:sz w:val="22"/>
              </w:rPr>
              <w:t> </w:t>
            </w:r>
            <w:r>
              <w:rPr>
                <w:sz w:val="22"/>
              </w:rPr>
              <w:t>assessed</w:t>
            </w:r>
            <w:r>
              <w:rPr>
                <w:spacing w:val="-5"/>
                <w:sz w:val="22"/>
              </w:rPr>
              <w:t> </w:t>
            </w:r>
            <w:r>
              <w:rPr>
                <w:sz w:val="22"/>
              </w:rPr>
              <w:t>in</w:t>
            </w:r>
            <w:r>
              <w:rPr>
                <w:spacing w:val="-3"/>
                <w:sz w:val="22"/>
              </w:rPr>
              <w:t> </w:t>
            </w:r>
            <w:r>
              <w:rPr>
                <w:sz w:val="22"/>
              </w:rPr>
              <w:t>UM</w:t>
            </w:r>
            <w:r>
              <w:rPr>
                <w:spacing w:val="-4"/>
                <w:sz w:val="22"/>
              </w:rPr>
              <w:t> </w:t>
            </w:r>
            <w:r>
              <w:rPr>
                <w:sz w:val="22"/>
              </w:rPr>
              <w:t>patients,</w:t>
            </w:r>
            <w:r>
              <w:rPr>
                <w:spacing w:val="-4"/>
                <w:sz w:val="22"/>
              </w:rPr>
              <w:t> </w:t>
            </w:r>
            <w:r>
              <w:rPr>
                <w:sz w:val="22"/>
              </w:rPr>
              <w:t>but</w:t>
            </w:r>
            <w:r>
              <w:rPr>
                <w:spacing w:val="-1"/>
                <w:sz w:val="22"/>
              </w:rPr>
              <w:t> </w:t>
            </w:r>
            <w:r>
              <w:rPr>
                <w:sz w:val="22"/>
              </w:rPr>
              <w:t>such</w:t>
            </w:r>
            <w:r>
              <w:rPr>
                <w:spacing w:val="-5"/>
                <w:sz w:val="22"/>
              </w:rPr>
              <w:t> </w:t>
            </w:r>
            <w:r>
              <w:rPr>
                <w:sz w:val="22"/>
              </w:rPr>
              <w:t>therapies</w:t>
            </w:r>
            <w:r>
              <w:rPr>
                <w:spacing w:val="-5"/>
                <w:sz w:val="22"/>
              </w:rPr>
              <w:t> </w:t>
            </w:r>
            <w:r>
              <w:rPr>
                <w:sz w:val="22"/>
              </w:rPr>
              <w:t>have</w:t>
            </w:r>
            <w:r>
              <w:rPr>
                <w:spacing w:val="-3"/>
                <w:sz w:val="22"/>
              </w:rPr>
              <w:t> </w:t>
            </w:r>
            <w:r>
              <w:rPr>
                <w:sz w:val="22"/>
              </w:rPr>
              <w:t>not shown a statistically significant improvement in outcomes</w:t>
            </w:r>
            <w:r>
              <w:rPr>
                <w:spacing w:val="40"/>
                <w:sz w:val="22"/>
              </w:rPr>
              <w:t> </w:t>
            </w:r>
            <w:r>
              <w:rPr>
                <w:sz w:val="22"/>
              </w:rPr>
              <w:t>or demonstrated a substantial benefit to patients with UM (2, 9).</w:t>
            </w:r>
          </w:p>
          <w:p>
            <w:pPr>
              <w:pStyle w:val="TableParagraph"/>
              <w:spacing w:line="271" w:lineRule="auto" w:before="198"/>
              <w:ind w:left="117" w:right="454" w:hanging="10"/>
              <w:jc w:val="both"/>
              <w:rPr>
                <w:sz w:val="22"/>
              </w:rPr>
            </w:pPr>
            <w:r>
              <w:rPr>
                <w:sz w:val="22"/>
              </w:rPr>
              <w:t>The</w:t>
            </w:r>
            <w:r>
              <w:rPr>
                <w:spacing w:val="-1"/>
                <w:sz w:val="22"/>
              </w:rPr>
              <w:t> </w:t>
            </w:r>
            <w:r>
              <w:rPr>
                <w:sz w:val="22"/>
              </w:rPr>
              <w:t>current</w:t>
            </w:r>
            <w:r>
              <w:rPr>
                <w:spacing w:val="-2"/>
                <w:sz w:val="22"/>
              </w:rPr>
              <w:t> </w:t>
            </w:r>
            <w:r>
              <w:rPr>
                <w:sz w:val="22"/>
              </w:rPr>
              <w:t>UK</w:t>
            </w:r>
            <w:r>
              <w:rPr>
                <w:spacing w:val="-1"/>
                <w:sz w:val="22"/>
              </w:rPr>
              <w:t> </w:t>
            </w:r>
            <w:r>
              <w:rPr>
                <w:sz w:val="22"/>
              </w:rPr>
              <w:t>clinical</w:t>
            </w:r>
            <w:r>
              <w:rPr>
                <w:spacing w:val="-2"/>
                <w:sz w:val="22"/>
              </w:rPr>
              <w:t> </w:t>
            </w:r>
            <w:r>
              <w:rPr>
                <w:sz w:val="22"/>
              </w:rPr>
              <w:t>guidelines recommend</w:t>
            </w:r>
            <w:r>
              <w:rPr>
                <w:spacing w:val="-1"/>
                <w:sz w:val="22"/>
              </w:rPr>
              <w:t> </w:t>
            </w:r>
            <w:r>
              <w:rPr>
                <w:sz w:val="22"/>
              </w:rPr>
              <w:t>clinicians consider</w:t>
            </w:r>
            <w:r>
              <w:rPr>
                <w:spacing w:val="-6"/>
                <w:sz w:val="22"/>
              </w:rPr>
              <w:t> </w:t>
            </w:r>
            <w:r>
              <w:rPr>
                <w:sz w:val="22"/>
              </w:rPr>
              <w:t>offering</w:t>
            </w:r>
            <w:r>
              <w:rPr>
                <w:spacing w:val="-8"/>
                <w:sz w:val="22"/>
              </w:rPr>
              <w:t> </w:t>
            </w:r>
            <w:r>
              <w:rPr>
                <w:sz w:val="22"/>
              </w:rPr>
              <w:t>tebentafusp</w:t>
            </w:r>
            <w:r>
              <w:rPr>
                <w:spacing w:val="-8"/>
                <w:sz w:val="22"/>
              </w:rPr>
              <w:t> </w:t>
            </w:r>
            <w:r>
              <w:rPr>
                <w:sz w:val="22"/>
              </w:rPr>
              <w:t>to</w:t>
            </w:r>
            <w:r>
              <w:rPr>
                <w:spacing w:val="-7"/>
                <w:sz w:val="22"/>
              </w:rPr>
              <w:t> </w:t>
            </w:r>
            <w:r>
              <w:rPr>
                <w:sz w:val="22"/>
              </w:rPr>
              <w:t>HLA-A*02:01</w:t>
            </w:r>
            <w:r>
              <w:rPr>
                <w:spacing w:val="-8"/>
                <w:sz w:val="22"/>
              </w:rPr>
              <w:t> </w:t>
            </w:r>
            <w:r>
              <w:rPr>
                <w:sz w:val="22"/>
              </w:rPr>
              <w:t>positive</w:t>
            </w:r>
            <w:r>
              <w:rPr>
                <w:spacing w:val="-7"/>
                <w:sz w:val="22"/>
              </w:rPr>
              <w:t> </w:t>
            </w:r>
            <w:r>
              <w:rPr>
                <w:sz w:val="22"/>
              </w:rPr>
              <w:t>fit patients with</w:t>
            </w:r>
            <w:r>
              <w:rPr>
                <w:spacing w:val="-2"/>
                <w:sz w:val="22"/>
              </w:rPr>
              <w:t> </w:t>
            </w:r>
            <w:r>
              <w:rPr>
                <w:sz w:val="22"/>
              </w:rPr>
              <w:t>metastatic</w:t>
            </w:r>
            <w:r>
              <w:rPr>
                <w:spacing w:val="-2"/>
                <w:sz w:val="22"/>
              </w:rPr>
              <w:t> </w:t>
            </w:r>
            <w:r>
              <w:rPr>
                <w:sz w:val="22"/>
              </w:rPr>
              <w:t>disease pending availability (2).</w:t>
            </w:r>
          </w:p>
        </w:tc>
      </w:tr>
    </w:tbl>
    <w:p>
      <w:pPr>
        <w:spacing w:line="240" w:lineRule="auto" w:before="0"/>
        <w:rPr>
          <w:sz w:val="20"/>
        </w:rPr>
      </w:pPr>
    </w:p>
    <w:p>
      <w:pPr>
        <w:spacing w:line="240" w:lineRule="auto" w:before="7"/>
        <w:rPr>
          <w:sz w:val="18"/>
        </w:rPr>
      </w:pPr>
    </w:p>
    <w:p>
      <w:pPr>
        <w:spacing w:before="92"/>
        <w:ind w:left="140" w:right="0" w:firstLine="0"/>
        <w:jc w:val="left"/>
        <w:rPr>
          <w:sz w:val="24"/>
        </w:rPr>
      </w:pPr>
      <w:r>
        <w:rPr>
          <w:color w:val="2E5395"/>
          <w:sz w:val="24"/>
        </w:rPr>
        <w:t>Appeal</w:t>
      </w:r>
      <w:r>
        <w:rPr>
          <w:color w:val="2E5395"/>
          <w:spacing w:val="-4"/>
          <w:sz w:val="24"/>
        </w:rPr>
        <w:t> </w:t>
      </w:r>
      <w:r>
        <w:rPr>
          <w:color w:val="2E5395"/>
          <w:sz w:val="24"/>
        </w:rPr>
        <w:t>Appendix</w:t>
      </w:r>
      <w:r>
        <w:rPr>
          <w:color w:val="2E5395"/>
          <w:spacing w:val="-2"/>
          <w:sz w:val="24"/>
        </w:rPr>
        <w:t> </w:t>
      </w:r>
      <w:r>
        <w:rPr>
          <w:color w:val="2E5395"/>
          <w:sz w:val="24"/>
        </w:rPr>
        <w:t>3:</w:t>
      </w:r>
      <w:r>
        <w:rPr>
          <w:color w:val="2E5395"/>
          <w:spacing w:val="-2"/>
          <w:sz w:val="24"/>
        </w:rPr>
        <w:t> </w:t>
      </w:r>
      <w:r>
        <w:rPr>
          <w:color w:val="2E5395"/>
          <w:sz w:val="24"/>
        </w:rPr>
        <w:t>Outcome</w:t>
      </w:r>
      <w:r>
        <w:rPr>
          <w:color w:val="2E5395"/>
          <w:spacing w:val="-5"/>
          <w:sz w:val="24"/>
        </w:rPr>
        <w:t> </w:t>
      </w:r>
      <w:r>
        <w:rPr>
          <w:color w:val="2E5395"/>
          <w:sz w:val="24"/>
        </w:rPr>
        <w:t>of</w:t>
      </w:r>
      <w:r>
        <w:rPr>
          <w:color w:val="2E5395"/>
          <w:spacing w:val="-3"/>
          <w:sz w:val="24"/>
        </w:rPr>
        <w:t> </w:t>
      </w:r>
      <w:r>
        <w:rPr>
          <w:color w:val="2E5395"/>
          <w:sz w:val="24"/>
        </w:rPr>
        <w:t>second</w:t>
      </w:r>
      <w:r>
        <w:rPr>
          <w:color w:val="2E5395"/>
          <w:spacing w:val="-3"/>
          <w:sz w:val="24"/>
        </w:rPr>
        <w:t> </w:t>
      </w:r>
      <w:r>
        <w:rPr>
          <w:color w:val="2E5395"/>
          <w:sz w:val="24"/>
        </w:rPr>
        <w:t>TSOP</w:t>
      </w:r>
      <w:r>
        <w:rPr>
          <w:color w:val="2E5395"/>
          <w:spacing w:val="-3"/>
          <w:sz w:val="24"/>
        </w:rPr>
        <w:t> </w:t>
      </w:r>
      <w:r>
        <w:rPr>
          <w:color w:val="2E5395"/>
          <w:sz w:val="24"/>
        </w:rPr>
        <w:t>meeting</w:t>
      </w:r>
      <w:r>
        <w:rPr>
          <w:color w:val="2E5395"/>
          <w:spacing w:val="-3"/>
          <w:sz w:val="24"/>
        </w:rPr>
        <w:t> </w:t>
      </w:r>
      <w:r>
        <w:rPr>
          <w:color w:val="2E5395"/>
          <w:sz w:val="24"/>
        </w:rPr>
        <w:t>on</w:t>
      </w:r>
      <w:r>
        <w:rPr>
          <w:color w:val="2E5395"/>
          <w:spacing w:val="-3"/>
          <w:sz w:val="24"/>
        </w:rPr>
        <w:t> </w:t>
      </w:r>
      <w:r>
        <w:rPr>
          <w:color w:val="2E5395"/>
          <w:sz w:val="24"/>
        </w:rPr>
        <w:t>HST</w:t>
      </w:r>
      <w:r>
        <w:rPr>
          <w:color w:val="2E5395"/>
          <w:spacing w:val="-3"/>
          <w:sz w:val="24"/>
        </w:rPr>
        <w:t> </w:t>
      </w:r>
      <w:r>
        <w:rPr>
          <w:color w:val="2E5395"/>
          <w:spacing w:val="-2"/>
          <w:sz w:val="24"/>
        </w:rPr>
        <w:t>routing</w:t>
      </w:r>
    </w:p>
    <w:p>
      <w:pPr>
        <w:spacing w:line="240" w:lineRule="auto" w:before="0"/>
        <w:rPr>
          <w:sz w:val="26"/>
        </w:rPr>
      </w:pPr>
    </w:p>
    <w:p>
      <w:pPr>
        <w:spacing w:before="231"/>
        <w:ind w:left="140" w:right="0" w:firstLine="0"/>
        <w:jc w:val="left"/>
        <w:rPr>
          <w:sz w:val="20"/>
        </w:rPr>
      </w:pPr>
      <w:r>
        <w:rPr>
          <w:sz w:val="20"/>
        </w:rPr>
        <w:t>25</w:t>
      </w:r>
      <w:r>
        <w:rPr>
          <w:position w:val="6"/>
          <w:sz w:val="13"/>
        </w:rPr>
        <w:t>th</w:t>
      </w:r>
      <w:r>
        <w:rPr>
          <w:spacing w:val="11"/>
          <w:position w:val="6"/>
          <w:sz w:val="13"/>
        </w:rPr>
        <w:t> </w:t>
      </w:r>
      <w:r>
        <w:rPr>
          <w:sz w:val="20"/>
        </w:rPr>
        <w:t>October</w:t>
      </w:r>
      <w:r>
        <w:rPr>
          <w:spacing w:val="-8"/>
          <w:sz w:val="20"/>
        </w:rPr>
        <w:t> </w:t>
      </w:r>
      <w:r>
        <w:rPr>
          <w:spacing w:val="-4"/>
          <w:sz w:val="20"/>
        </w:rPr>
        <w:t>2021</w:t>
      </w:r>
    </w:p>
    <w:p>
      <w:pPr>
        <w:spacing w:line="240" w:lineRule="auto" w:before="0"/>
        <w:rPr>
          <w:sz w:val="20"/>
        </w:rPr>
      </w:pPr>
    </w:p>
    <w:p>
      <w:pPr>
        <w:spacing w:line="240" w:lineRule="auto" w:before="0"/>
        <w:rPr>
          <w:sz w:val="17"/>
        </w:rPr>
      </w:pPr>
      <w:r>
        <w:rPr/>
        <w:drawing>
          <wp:anchor distT="0" distB="0" distL="0" distR="0" allowOverlap="1" layoutInCell="1" locked="0" behindDoc="1" simplePos="0" relativeHeight="487611392">
            <wp:simplePos x="0" y="0"/>
            <wp:positionH relativeFrom="page">
              <wp:posOffset>951957</wp:posOffset>
            </wp:positionH>
            <wp:positionV relativeFrom="paragraph">
              <wp:posOffset>139672</wp:posOffset>
            </wp:positionV>
            <wp:extent cx="5653864" cy="2711767"/>
            <wp:effectExtent l="0" t="0" r="0" b="0"/>
            <wp:wrapTopAndBottom/>
            <wp:docPr id="84" name="Image 84" descr="A close-up of a document  Description automatically generated"/>
            <wp:cNvGraphicFramePr>
              <a:graphicFrameLocks/>
            </wp:cNvGraphicFramePr>
            <a:graphic>
              <a:graphicData uri="http://schemas.openxmlformats.org/drawingml/2006/picture">
                <pic:pic>
                  <pic:nvPicPr>
                    <pic:cNvPr id="84" name="Image 84" descr="A close-up of a document  Description automatically generated"/>
                    <pic:cNvPicPr/>
                  </pic:nvPicPr>
                  <pic:blipFill>
                    <a:blip r:embed="rId5" cstate="print"/>
                    <a:stretch>
                      <a:fillRect/>
                    </a:stretch>
                  </pic:blipFill>
                  <pic:spPr>
                    <a:xfrm>
                      <a:off x="0" y="0"/>
                      <a:ext cx="5653864" cy="2711767"/>
                    </a:xfrm>
                    <a:prstGeom prst="rect">
                      <a:avLst/>
                    </a:prstGeom>
                  </pic:spPr>
                </pic:pic>
              </a:graphicData>
            </a:graphic>
          </wp:anchor>
        </w:drawing>
      </w:r>
    </w:p>
    <w:p>
      <w:pPr>
        <w:spacing w:after="0" w:line="240" w:lineRule="auto"/>
        <w:rPr>
          <w:sz w:val="17"/>
        </w:rPr>
        <w:sectPr>
          <w:type w:val="continuous"/>
          <w:pgSz w:w="11910" w:h="16840"/>
          <w:pgMar w:top="1400" w:bottom="280" w:left="1300" w:right="1300"/>
        </w:sectPr>
      </w:pPr>
    </w:p>
    <w:p>
      <w:pPr>
        <w:pStyle w:val="BodyText"/>
        <w:spacing w:before="43"/>
        <w:rPr>
          <w:rFonts w:ascii="Calibri Light"/>
          <w:b w:val="0"/>
        </w:rPr>
      </w:pPr>
      <w:r>
        <w:rPr>
          <w:rFonts w:ascii="Calibri Light"/>
          <w:b w:val="0"/>
          <w:color w:val="2E5395"/>
          <w:spacing w:val="-2"/>
        </w:rPr>
        <w:t>References</w:t>
      </w:r>
    </w:p>
    <w:p>
      <w:pPr>
        <w:pStyle w:val="ListParagraph"/>
        <w:numPr>
          <w:ilvl w:val="0"/>
          <w:numId w:val="1"/>
        </w:numPr>
        <w:tabs>
          <w:tab w:pos="860" w:val="left" w:leader="none"/>
        </w:tabs>
        <w:spacing w:line="240" w:lineRule="auto" w:before="34" w:after="0"/>
        <w:ind w:left="140" w:right="163" w:firstLine="0"/>
        <w:jc w:val="left"/>
        <w:rPr>
          <w:sz w:val="22"/>
        </w:rPr>
      </w:pPr>
      <w:r>
        <w:rPr>
          <w:sz w:val="22"/>
        </w:rPr>
        <w:t>ONS. Cancer registration statistics, England 2017 dataset ons.gov.uk: Office of National Statistics; 2019 [Available from: </w:t>
      </w:r>
      <w:hyperlink r:id="rId6">
        <w:r>
          <w:rPr>
            <w:color w:val="0462C1"/>
            <w:spacing w:val="-2"/>
            <w:sz w:val="22"/>
            <w:u w:val="single" w:color="0462C1"/>
          </w:rPr>
          <w:t>hiips://www.ons.gov.uk/peoplepopulationandcommunity/healthandsocialcare/conditionsanddiseases/d</w:t>
        </w:r>
      </w:hyperlink>
      <w:r>
        <w:rPr>
          <w:color w:val="0462C1"/>
          <w:spacing w:val="-2"/>
          <w:sz w:val="22"/>
        </w:rPr>
        <w:t> </w:t>
      </w:r>
      <w:hyperlink r:id="rId6">
        <w:r>
          <w:rPr>
            <w:color w:val="0462C1"/>
            <w:spacing w:val="-2"/>
            <w:sz w:val="22"/>
            <w:u w:val="single" w:color="0462C1"/>
          </w:rPr>
          <w:t>atasets/cancerregistrationstatisticscancerregistrationstatisticsengland</w:t>
        </w:r>
      </w:hyperlink>
      <w:r>
        <w:rPr>
          <w:spacing w:val="-2"/>
          <w:sz w:val="22"/>
        </w:rPr>
        <w:t>.</w:t>
      </w:r>
    </w:p>
    <w:p>
      <w:pPr>
        <w:pStyle w:val="ListParagraph"/>
        <w:numPr>
          <w:ilvl w:val="0"/>
          <w:numId w:val="1"/>
        </w:numPr>
        <w:tabs>
          <w:tab w:pos="860" w:val="left" w:leader="none"/>
        </w:tabs>
        <w:spacing w:line="240" w:lineRule="auto" w:before="0" w:after="0"/>
        <w:ind w:left="140" w:right="500" w:firstLine="0"/>
        <w:jc w:val="left"/>
        <w:rPr>
          <w:sz w:val="22"/>
        </w:rPr>
      </w:pPr>
      <w:r>
        <w:rPr>
          <w:sz w:val="22"/>
        </w:rPr>
        <w:t>Yang</w:t>
      </w:r>
      <w:r>
        <w:rPr>
          <w:spacing w:val="-3"/>
          <w:sz w:val="22"/>
        </w:rPr>
        <w:t> </w:t>
      </w:r>
      <w:r>
        <w:rPr>
          <w:sz w:val="22"/>
        </w:rPr>
        <w:t>J,</w:t>
      </w:r>
      <w:r>
        <w:rPr>
          <w:spacing w:val="-3"/>
          <w:sz w:val="22"/>
        </w:rPr>
        <w:t> </w:t>
      </w:r>
      <w:r>
        <w:rPr>
          <w:sz w:val="22"/>
        </w:rPr>
        <w:t>Manson</w:t>
      </w:r>
      <w:r>
        <w:rPr>
          <w:spacing w:val="-3"/>
          <w:sz w:val="22"/>
        </w:rPr>
        <w:t> </w:t>
      </w:r>
      <w:r>
        <w:rPr>
          <w:sz w:val="22"/>
        </w:rPr>
        <w:t>DK,</w:t>
      </w:r>
      <w:r>
        <w:rPr>
          <w:spacing w:val="-3"/>
          <w:sz w:val="22"/>
        </w:rPr>
        <w:t> </w:t>
      </w:r>
      <w:r>
        <w:rPr>
          <w:sz w:val="22"/>
        </w:rPr>
        <w:t>Marr</w:t>
      </w:r>
      <w:r>
        <w:rPr>
          <w:spacing w:val="-5"/>
          <w:sz w:val="22"/>
        </w:rPr>
        <w:t> </w:t>
      </w:r>
      <w:r>
        <w:rPr>
          <w:sz w:val="22"/>
        </w:rPr>
        <w:t>BP,</w:t>
      </w:r>
      <w:r>
        <w:rPr>
          <w:spacing w:val="-3"/>
          <w:sz w:val="22"/>
        </w:rPr>
        <w:t> </w:t>
      </w:r>
      <w:r>
        <w:rPr>
          <w:sz w:val="22"/>
        </w:rPr>
        <w:t>Carvajal</w:t>
      </w:r>
      <w:r>
        <w:rPr>
          <w:spacing w:val="-2"/>
          <w:sz w:val="22"/>
        </w:rPr>
        <w:t> </w:t>
      </w:r>
      <w:r>
        <w:rPr>
          <w:sz w:val="22"/>
        </w:rPr>
        <w:t>RD.</w:t>
      </w:r>
      <w:r>
        <w:rPr>
          <w:spacing w:val="-3"/>
          <w:sz w:val="22"/>
        </w:rPr>
        <w:t> </w:t>
      </w:r>
      <w:r>
        <w:rPr>
          <w:sz w:val="22"/>
        </w:rPr>
        <w:t>Treatment</w:t>
      </w:r>
      <w:r>
        <w:rPr>
          <w:spacing w:val="-2"/>
          <w:sz w:val="22"/>
        </w:rPr>
        <w:t> </w:t>
      </w:r>
      <w:r>
        <w:rPr>
          <w:sz w:val="22"/>
        </w:rPr>
        <w:t>of</w:t>
      </w:r>
      <w:r>
        <w:rPr>
          <w:spacing w:val="-3"/>
          <w:sz w:val="22"/>
        </w:rPr>
        <w:t> </w:t>
      </w:r>
      <w:r>
        <w:rPr>
          <w:sz w:val="22"/>
        </w:rPr>
        <w:t>uveal</w:t>
      </w:r>
      <w:r>
        <w:rPr>
          <w:spacing w:val="-5"/>
          <w:sz w:val="22"/>
        </w:rPr>
        <w:t> </w:t>
      </w:r>
      <w:r>
        <w:rPr>
          <w:sz w:val="22"/>
        </w:rPr>
        <w:t>melanoma:</w:t>
      </w:r>
      <w:r>
        <w:rPr>
          <w:spacing w:val="-2"/>
          <w:sz w:val="22"/>
        </w:rPr>
        <w:t> </w:t>
      </w:r>
      <w:r>
        <w:rPr>
          <w:sz w:val="22"/>
        </w:rPr>
        <w:t>where</w:t>
      </w:r>
      <w:r>
        <w:rPr>
          <w:spacing w:val="-5"/>
          <w:sz w:val="22"/>
        </w:rPr>
        <w:t> </w:t>
      </w:r>
      <w:r>
        <w:rPr>
          <w:sz w:val="22"/>
        </w:rPr>
        <w:t>are</w:t>
      </w:r>
      <w:r>
        <w:rPr>
          <w:spacing w:val="-3"/>
          <w:sz w:val="22"/>
        </w:rPr>
        <w:t> </w:t>
      </w:r>
      <w:r>
        <w:rPr>
          <w:sz w:val="22"/>
        </w:rPr>
        <w:t>we now? Therapeutic advances in medical oncology. 2018;10:1758834018757175.</w:t>
      </w:r>
    </w:p>
    <w:p>
      <w:pPr>
        <w:pStyle w:val="ListParagraph"/>
        <w:numPr>
          <w:ilvl w:val="0"/>
          <w:numId w:val="1"/>
        </w:numPr>
        <w:tabs>
          <w:tab w:pos="860" w:val="left" w:leader="none"/>
        </w:tabs>
        <w:spacing w:line="240" w:lineRule="auto" w:before="1" w:after="0"/>
        <w:ind w:left="140" w:right="182" w:firstLine="0"/>
        <w:jc w:val="left"/>
        <w:rPr>
          <w:sz w:val="22"/>
        </w:rPr>
      </w:pPr>
      <w:r>
        <w:rPr>
          <w:sz w:val="22"/>
        </w:rPr>
        <w:t>Kuk</w:t>
      </w:r>
      <w:r>
        <w:rPr>
          <w:spacing w:val="-2"/>
          <w:sz w:val="22"/>
        </w:rPr>
        <w:t> </w:t>
      </w:r>
      <w:r>
        <w:rPr>
          <w:sz w:val="22"/>
        </w:rPr>
        <w:t>D,</w:t>
      </w:r>
      <w:r>
        <w:rPr>
          <w:spacing w:val="-2"/>
          <w:sz w:val="22"/>
        </w:rPr>
        <w:t> </w:t>
      </w:r>
      <w:r>
        <w:rPr>
          <w:sz w:val="22"/>
        </w:rPr>
        <w:t>Shoushtari</w:t>
      </w:r>
      <w:r>
        <w:rPr>
          <w:spacing w:val="-1"/>
          <w:sz w:val="22"/>
        </w:rPr>
        <w:t> </w:t>
      </w:r>
      <w:r>
        <w:rPr>
          <w:sz w:val="22"/>
        </w:rPr>
        <w:t>AN,</w:t>
      </w:r>
      <w:r>
        <w:rPr>
          <w:spacing w:val="-2"/>
          <w:sz w:val="22"/>
        </w:rPr>
        <w:t> </w:t>
      </w:r>
      <w:r>
        <w:rPr>
          <w:sz w:val="22"/>
        </w:rPr>
        <w:t>Barker</w:t>
      </w:r>
      <w:r>
        <w:rPr>
          <w:spacing w:val="-1"/>
          <w:sz w:val="22"/>
        </w:rPr>
        <w:t> </w:t>
      </w:r>
      <w:r>
        <w:rPr>
          <w:sz w:val="22"/>
        </w:rPr>
        <w:t>CA,</w:t>
      </w:r>
      <w:r>
        <w:rPr>
          <w:spacing w:val="-2"/>
          <w:sz w:val="22"/>
        </w:rPr>
        <w:t> </w:t>
      </w:r>
      <w:r>
        <w:rPr>
          <w:sz w:val="22"/>
        </w:rPr>
        <w:t>Panageas</w:t>
      </w:r>
      <w:r>
        <w:rPr>
          <w:spacing w:val="-2"/>
          <w:sz w:val="22"/>
        </w:rPr>
        <w:t> </w:t>
      </w:r>
      <w:r>
        <w:rPr>
          <w:sz w:val="22"/>
        </w:rPr>
        <w:t>KS,</w:t>
      </w:r>
      <w:r>
        <w:rPr>
          <w:spacing w:val="-2"/>
          <w:sz w:val="22"/>
        </w:rPr>
        <w:t> </w:t>
      </w:r>
      <w:r>
        <w:rPr>
          <w:sz w:val="22"/>
        </w:rPr>
        <w:t>Munhoz</w:t>
      </w:r>
      <w:r>
        <w:rPr>
          <w:spacing w:val="-2"/>
          <w:sz w:val="22"/>
        </w:rPr>
        <w:t> </w:t>
      </w:r>
      <w:r>
        <w:rPr>
          <w:sz w:val="22"/>
        </w:rPr>
        <w:t>RR,</w:t>
      </w:r>
      <w:r>
        <w:rPr>
          <w:spacing w:val="-2"/>
          <w:sz w:val="22"/>
        </w:rPr>
        <w:t> </w:t>
      </w:r>
      <w:r>
        <w:rPr>
          <w:sz w:val="22"/>
        </w:rPr>
        <w:t>Momtaz</w:t>
      </w:r>
      <w:r>
        <w:rPr>
          <w:spacing w:val="-2"/>
          <w:sz w:val="22"/>
        </w:rPr>
        <w:t> </w:t>
      </w:r>
      <w:r>
        <w:rPr>
          <w:sz w:val="22"/>
        </w:rPr>
        <w:t>P,</w:t>
      </w:r>
      <w:r>
        <w:rPr>
          <w:spacing w:val="-5"/>
          <w:sz w:val="22"/>
        </w:rPr>
        <w:t> </w:t>
      </w:r>
      <w:r>
        <w:rPr>
          <w:sz w:val="22"/>
        </w:rPr>
        <w:t>et</w:t>
      </w:r>
      <w:r>
        <w:rPr>
          <w:spacing w:val="-4"/>
          <w:sz w:val="22"/>
        </w:rPr>
        <w:t> </w:t>
      </w:r>
      <w:r>
        <w:rPr>
          <w:sz w:val="22"/>
        </w:rPr>
        <w:t>al.</w:t>
      </w:r>
      <w:r>
        <w:rPr>
          <w:spacing w:val="-2"/>
          <w:sz w:val="22"/>
        </w:rPr>
        <w:t> </w:t>
      </w:r>
      <w:r>
        <w:rPr>
          <w:sz w:val="22"/>
        </w:rPr>
        <w:t>Prognosis</w:t>
      </w:r>
      <w:r>
        <w:rPr>
          <w:spacing w:val="-4"/>
          <w:sz w:val="22"/>
        </w:rPr>
        <w:t> </w:t>
      </w:r>
      <w:r>
        <w:rPr>
          <w:sz w:val="22"/>
        </w:rPr>
        <w:t>of Mucosal, Uveal, Acral, Nonacral Cutaneous, and Unknown Primary Melanoma From the Time of First Metastasis. The oncologist. 2016;21(7):848-54.</w:t>
      </w:r>
    </w:p>
    <w:p>
      <w:pPr>
        <w:pStyle w:val="ListParagraph"/>
        <w:numPr>
          <w:ilvl w:val="0"/>
          <w:numId w:val="1"/>
        </w:numPr>
        <w:tabs>
          <w:tab w:pos="860" w:val="left" w:leader="none"/>
        </w:tabs>
        <w:spacing w:line="240" w:lineRule="auto" w:before="0" w:after="0"/>
        <w:ind w:left="140" w:right="888" w:firstLine="0"/>
        <w:jc w:val="left"/>
        <w:rPr>
          <w:sz w:val="22"/>
        </w:rPr>
      </w:pPr>
      <w:r>
        <w:rPr>
          <w:sz w:val="22"/>
        </w:rPr>
        <w:t>Damato</w:t>
      </w:r>
      <w:r>
        <w:rPr>
          <w:spacing w:val="-3"/>
          <w:sz w:val="22"/>
        </w:rPr>
        <w:t> </w:t>
      </w:r>
      <w:r>
        <w:rPr>
          <w:sz w:val="22"/>
        </w:rPr>
        <w:t>BE,</w:t>
      </w:r>
      <w:r>
        <w:rPr>
          <w:spacing w:val="-3"/>
          <w:sz w:val="22"/>
        </w:rPr>
        <w:t> </w:t>
      </w:r>
      <w:r>
        <w:rPr>
          <w:sz w:val="22"/>
        </w:rPr>
        <w:t>Dukes</w:t>
      </w:r>
      <w:r>
        <w:rPr>
          <w:spacing w:val="-3"/>
          <w:sz w:val="22"/>
        </w:rPr>
        <w:t> </w:t>
      </w:r>
      <w:r>
        <w:rPr>
          <w:sz w:val="22"/>
        </w:rPr>
        <w:t>J,</w:t>
      </w:r>
      <w:r>
        <w:rPr>
          <w:spacing w:val="-3"/>
          <w:sz w:val="22"/>
        </w:rPr>
        <w:t> </w:t>
      </w:r>
      <w:r>
        <w:rPr>
          <w:sz w:val="22"/>
        </w:rPr>
        <w:t>Goodall</w:t>
      </w:r>
      <w:r>
        <w:rPr>
          <w:spacing w:val="-2"/>
          <w:sz w:val="22"/>
        </w:rPr>
        <w:t> </w:t>
      </w:r>
      <w:r>
        <w:rPr>
          <w:sz w:val="22"/>
        </w:rPr>
        <w:t>H,</w:t>
      </w:r>
      <w:r>
        <w:rPr>
          <w:spacing w:val="-3"/>
          <w:sz w:val="22"/>
        </w:rPr>
        <w:t> </w:t>
      </w:r>
      <w:r>
        <w:rPr>
          <w:sz w:val="22"/>
        </w:rPr>
        <w:t>Carvajal</w:t>
      </w:r>
      <w:r>
        <w:rPr>
          <w:spacing w:val="-2"/>
          <w:sz w:val="22"/>
        </w:rPr>
        <w:t> </w:t>
      </w:r>
      <w:r>
        <w:rPr>
          <w:sz w:val="22"/>
        </w:rPr>
        <w:t>RD.</w:t>
      </w:r>
      <w:r>
        <w:rPr>
          <w:spacing w:val="-3"/>
          <w:sz w:val="22"/>
        </w:rPr>
        <w:t> </w:t>
      </w:r>
      <w:r>
        <w:rPr>
          <w:sz w:val="22"/>
        </w:rPr>
        <w:t>Tebentafusp:</w:t>
      </w:r>
      <w:r>
        <w:rPr>
          <w:spacing w:val="-2"/>
          <w:sz w:val="22"/>
        </w:rPr>
        <w:t> </w:t>
      </w:r>
      <w:r>
        <w:rPr>
          <w:sz w:val="22"/>
        </w:rPr>
        <w:t>T</w:t>
      </w:r>
      <w:r>
        <w:rPr>
          <w:spacing w:val="-3"/>
          <w:sz w:val="22"/>
        </w:rPr>
        <w:t> </w:t>
      </w:r>
      <w:r>
        <w:rPr>
          <w:sz w:val="22"/>
        </w:rPr>
        <w:t>cell</w:t>
      </w:r>
      <w:r>
        <w:rPr>
          <w:spacing w:val="-2"/>
          <w:sz w:val="22"/>
        </w:rPr>
        <w:t> </w:t>
      </w:r>
      <w:r>
        <w:rPr>
          <w:sz w:val="22"/>
        </w:rPr>
        <w:t>redirection</w:t>
      </w:r>
      <w:r>
        <w:rPr>
          <w:spacing w:val="-3"/>
          <w:sz w:val="22"/>
        </w:rPr>
        <w:t> </w:t>
      </w:r>
      <w:r>
        <w:rPr>
          <w:sz w:val="22"/>
        </w:rPr>
        <w:t>for</w:t>
      </w:r>
      <w:r>
        <w:rPr>
          <w:spacing w:val="-5"/>
          <w:sz w:val="22"/>
        </w:rPr>
        <w:t> </w:t>
      </w:r>
      <w:r>
        <w:rPr>
          <w:sz w:val="22"/>
        </w:rPr>
        <w:t>the treatment of metastatic uveal melanoma. Cancers. 2019;11(7).</w:t>
      </w:r>
    </w:p>
    <w:p>
      <w:pPr>
        <w:pStyle w:val="ListParagraph"/>
        <w:numPr>
          <w:ilvl w:val="0"/>
          <w:numId w:val="1"/>
        </w:numPr>
        <w:tabs>
          <w:tab w:pos="860" w:val="left" w:leader="none"/>
        </w:tabs>
        <w:spacing w:line="240" w:lineRule="auto" w:before="0" w:after="0"/>
        <w:ind w:left="140" w:right="648" w:firstLine="0"/>
        <w:jc w:val="left"/>
        <w:rPr>
          <w:sz w:val="22"/>
        </w:rPr>
      </w:pPr>
      <w:r>
        <w:rPr>
          <w:sz w:val="22"/>
        </w:rPr>
        <w:t>Nathan P, Coupland S, Lewis R, Modi S, Rashid S, Sacco J, et al. Uveal Melanoma Guidelines UK: Uveal Melanoma Guideline Development Group; 2022 [Available from: </w:t>
      </w:r>
      <w:hyperlink r:id="rId7">
        <w:r>
          <w:rPr>
            <w:color w:val="0462C1"/>
            <w:spacing w:val="-2"/>
            <w:sz w:val="22"/>
            <w:u w:val="single" w:color="0462C1"/>
          </w:rPr>
          <w:t>hiips://melanomafocus.org/for-professionals/rare-melanoma-guidelines-and-consultations/uveal-</w:t>
        </w:r>
      </w:hyperlink>
      <w:r>
        <w:rPr>
          <w:color w:val="0462C1"/>
          <w:spacing w:val="-2"/>
          <w:sz w:val="22"/>
        </w:rPr>
        <w:t> </w:t>
      </w:r>
      <w:hyperlink r:id="rId7">
        <w:r>
          <w:rPr>
            <w:color w:val="0462C1"/>
            <w:spacing w:val="-2"/>
            <w:sz w:val="22"/>
            <w:u w:val="single" w:color="0462C1"/>
          </w:rPr>
          <w:t>melanoma-guidelines/</w:t>
        </w:r>
      </w:hyperlink>
      <w:r>
        <w:rPr>
          <w:spacing w:val="-2"/>
          <w:sz w:val="22"/>
        </w:rPr>
        <w:t>.</w:t>
      </w:r>
    </w:p>
    <w:p>
      <w:pPr>
        <w:pStyle w:val="ListParagraph"/>
        <w:numPr>
          <w:ilvl w:val="0"/>
          <w:numId w:val="1"/>
        </w:numPr>
        <w:tabs>
          <w:tab w:pos="860" w:val="left" w:leader="none"/>
        </w:tabs>
        <w:spacing w:line="240" w:lineRule="auto" w:before="0" w:after="0"/>
        <w:ind w:left="140" w:right="582" w:firstLine="0"/>
        <w:jc w:val="left"/>
        <w:rPr>
          <w:sz w:val="22"/>
        </w:rPr>
      </w:pPr>
      <w:r>
        <w:rPr>
          <w:sz w:val="22"/>
        </w:rPr>
        <w:t>Rantala</w:t>
      </w:r>
      <w:r>
        <w:rPr>
          <w:spacing w:val="-3"/>
          <w:sz w:val="22"/>
        </w:rPr>
        <w:t> </w:t>
      </w:r>
      <w:r>
        <w:rPr>
          <w:sz w:val="22"/>
        </w:rPr>
        <w:t>ES,</w:t>
      </w:r>
      <w:r>
        <w:rPr>
          <w:spacing w:val="-3"/>
          <w:sz w:val="22"/>
        </w:rPr>
        <w:t> </w:t>
      </w:r>
      <w:r>
        <w:rPr>
          <w:sz w:val="22"/>
        </w:rPr>
        <w:t>Hernberg</w:t>
      </w:r>
      <w:r>
        <w:rPr>
          <w:spacing w:val="-6"/>
          <w:sz w:val="22"/>
        </w:rPr>
        <w:t> </w:t>
      </w:r>
      <w:r>
        <w:rPr>
          <w:sz w:val="22"/>
        </w:rPr>
        <w:t>M,</w:t>
      </w:r>
      <w:r>
        <w:rPr>
          <w:spacing w:val="-3"/>
          <w:sz w:val="22"/>
        </w:rPr>
        <w:t> </w:t>
      </w:r>
      <w:r>
        <w:rPr>
          <w:sz w:val="22"/>
        </w:rPr>
        <w:t>Kivelä</w:t>
      </w:r>
      <w:r>
        <w:rPr>
          <w:spacing w:val="-3"/>
          <w:sz w:val="22"/>
        </w:rPr>
        <w:t> </w:t>
      </w:r>
      <w:r>
        <w:rPr>
          <w:sz w:val="22"/>
        </w:rPr>
        <w:t>TT.</w:t>
      </w:r>
      <w:r>
        <w:rPr>
          <w:spacing w:val="-2"/>
          <w:sz w:val="22"/>
        </w:rPr>
        <w:t> </w:t>
      </w:r>
      <w:r>
        <w:rPr>
          <w:sz w:val="22"/>
        </w:rPr>
        <w:t>Overall</w:t>
      </w:r>
      <w:r>
        <w:rPr>
          <w:spacing w:val="-5"/>
          <w:sz w:val="22"/>
        </w:rPr>
        <w:t> </w:t>
      </w:r>
      <w:r>
        <w:rPr>
          <w:sz w:val="22"/>
        </w:rPr>
        <w:t>survival</w:t>
      </w:r>
      <w:r>
        <w:rPr>
          <w:spacing w:val="-2"/>
          <w:sz w:val="22"/>
        </w:rPr>
        <w:t> </w:t>
      </w:r>
      <w:r>
        <w:rPr>
          <w:sz w:val="22"/>
        </w:rPr>
        <w:t>after</w:t>
      </w:r>
      <w:r>
        <w:rPr>
          <w:spacing w:val="-3"/>
          <w:sz w:val="22"/>
        </w:rPr>
        <w:t> </w:t>
      </w:r>
      <w:r>
        <w:rPr>
          <w:sz w:val="22"/>
        </w:rPr>
        <w:t>treatment</w:t>
      </w:r>
      <w:r>
        <w:rPr>
          <w:spacing w:val="-2"/>
          <w:sz w:val="22"/>
        </w:rPr>
        <w:t> </w:t>
      </w:r>
      <w:r>
        <w:rPr>
          <w:sz w:val="22"/>
        </w:rPr>
        <w:t>for</w:t>
      </w:r>
      <w:r>
        <w:rPr>
          <w:spacing w:val="-5"/>
          <w:sz w:val="22"/>
        </w:rPr>
        <w:t> </w:t>
      </w:r>
      <w:r>
        <w:rPr>
          <w:sz w:val="22"/>
        </w:rPr>
        <w:t>metastatic</w:t>
      </w:r>
      <w:r>
        <w:rPr>
          <w:spacing w:val="-5"/>
          <w:sz w:val="22"/>
        </w:rPr>
        <w:t> </w:t>
      </w:r>
      <w:r>
        <w:rPr>
          <w:sz w:val="22"/>
        </w:rPr>
        <w:t>uveal melanoma: a systematic review and meta-analysis. Melanoma research. 2019;29(6):561-8.</w:t>
      </w:r>
    </w:p>
    <w:p>
      <w:pPr>
        <w:pStyle w:val="ListParagraph"/>
        <w:numPr>
          <w:ilvl w:val="0"/>
          <w:numId w:val="1"/>
        </w:numPr>
        <w:tabs>
          <w:tab w:pos="860" w:val="left" w:leader="none"/>
        </w:tabs>
        <w:spacing w:line="240" w:lineRule="auto" w:before="0" w:after="0"/>
        <w:ind w:left="140" w:right="238" w:firstLine="0"/>
        <w:jc w:val="left"/>
        <w:rPr>
          <w:sz w:val="22"/>
        </w:rPr>
      </w:pPr>
      <w:r>
        <w:rPr>
          <w:sz w:val="22"/>
        </w:rPr>
        <w:t>Nshimiyimana</w:t>
      </w:r>
      <w:r>
        <w:rPr>
          <w:spacing w:val="-2"/>
          <w:sz w:val="22"/>
        </w:rPr>
        <w:t> </w:t>
      </w:r>
      <w:r>
        <w:rPr>
          <w:sz w:val="22"/>
        </w:rPr>
        <w:t>R,</w:t>
      </w:r>
      <w:r>
        <w:rPr>
          <w:spacing w:val="-2"/>
          <w:sz w:val="22"/>
        </w:rPr>
        <w:t> </w:t>
      </w:r>
      <w:r>
        <w:rPr>
          <w:sz w:val="22"/>
        </w:rPr>
        <w:t>Guzetta</w:t>
      </w:r>
      <w:r>
        <w:rPr>
          <w:spacing w:val="-4"/>
          <w:sz w:val="22"/>
        </w:rPr>
        <w:t> </w:t>
      </w:r>
      <w:r>
        <w:rPr>
          <w:sz w:val="22"/>
        </w:rPr>
        <w:t>CE,</w:t>
      </w:r>
      <w:r>
        <w:rPr>
          <w:spacing w:val="-2"/>
          <w:sz w:val="22"/>
        </w:rPr>
        <w:t> </w:t>
      </w:r>
      <w:r>
        <w:rPr>
          <w:sz w:val="22"/>
        </w:rPr>
        <w:t>Brown</w:t>
      </w:r>
      <w:r>
        <w:rPr>
          <w:spacing w:val="-2"/>
          <w:sz w:val="22"/>
        </w:rPr>
        <w:t> </w:t>
      </w:r>
      <w:r>
        <w:rPr>
          <w:sz w:val="22"/>
        </w:rPr>
        <w:t>MM,</w:t>
      </w:r>
      <w:r>
        <w:rPr>
          <w:spacing w:val="-2"/>
          <w:sz w:val="22"/>
        </w:rPr>
        <w:t> </w:t>
      </w:r>
      <w:r>
        <w:rPr>
          <w:sz w:val="22"/>
        </w:rPr>
        <w:t>Zhou</w:t>
      </w:r>
      <w:r>
        <w:rPr>
          <w:spacing w:val="-2"/>
          <w:sz w:val="22"/>
        </w:rPr>
        <w:t> </w:t>
      </w:r>
      <w:r>
        <w:rPr>
          <w:sz w:val="22"/>
        </w:rPr>
        <w:t>Q,</w:t>
      </w:r>
      <w:r>
        <w:rPr>
          <w:spacing w:val="-5"/>
          <w:sz w:val="22"/>
        </w:rPr>
        <w:t> </w:t>
      </w:r>
      <w:r>
        <w:rPr>
          <w:sz w:val="22"/>
        </w:rPr>
        <w:t>Johnson</w:t>
      </w:r>
      <w:r>
        <w:rPr>
          <w:spacing w:val="-4"/>
          <w:sz w:val="22"/>
        </w:rPr>
        <w:t> </w:t>
      </w:r>
      <w:r>
        <w:rPr>
          <w:sz w:val="22"/>
        </w:rPr>
        <w:t>JM,</w:t>
      </w:r>
      <w:r>
        <w:rPr>
          <w:spacing w:val="-2"/>
          <w:sz w:val="22"/>
        </w:rPr>
        <w:t> </w:t>
      </w:r>
      <w:r>
        <w:rPr>
          <w:sz w:val="22"/>
        </w:rPr>
        <w:t>Sato</w:t>
      </w:r>
      <w:r>
        <w:rPr>
          <w:spacing w:val="-2"/>
          <w:sz w:val="22"/>
        </w:rPr>
        <w:t> </w:t>
      </w:r>
      <w:r>
        <w:rPr>
          <w:sz w:val="22"/>
        </w:rPr>
        <w:t>T,</w:t>
      </w:r>
      <w:r>
        <w:rPr>
          <w:spacing w:val="-5"/>
          <w:sz w:val="22"/>
        </w:rPr>
        <w:t> </w:t>
      </w:r>
      <w:r>
        <w:rPr>
          <w:sz w:val="22"/>
        </w:rPr>
        <w:t>et</w:t>
      </w:r>
      <w:r>
        <w:rPr>
          <w:spacing w:val="-4"/>
          <w:sz w:val="22"/>
        </w:rPr>
        <w:t> </w:t>
      </w:r>
      <w:r>
        <w:rPr>
          <w:sz w:val="22"/>
        </w:rPr>
        <w:t>al.</w:t>
      </w:r>
      <w:r>
        <w:rPr>
          <w:spacing w:val="-2"/>
          <w:sz w:val="22"/>
        </w:rPr>
        <w:t> </w:t>
      </w:r>
      <w:r>
        <w:rPr>
          <w:sz w:val="22"/>
        </w:rPr>
        <w:t>Pilot</w:t>
      </w:r>
      <w:r>
        <w:rPr>
          <w:spacing w:val="-4"/>
          <w:sz w:val="22"/>
        </w:rPr>
        <w:t> </w:t>
      </w:r>
      <w:r>
        <w:rPr>
          <w:sz w:val="22"/>
        </w:rPr>
        <w:t>study</w:t>
      </w:r>
      <w:r>
        <w:rPr>
          <w:spacing w:val="-2"/>
          <w:sz w:val="22"/>
        </w:rPr>
        <w:t> </w:t>
      </w:r>
      <w:r>
        <w:rPr>
          <w:sz w:val="22"/>
        </w:rPr>
        <w:t>of anxiety, depression, and quality of life in patients with the diagnosis of metastatic uveal melanoma. Supportive Care in Cancer. 2018;26 (Supplement 3):S393.</w:t>
      </w:r>
    </w:p>
    <w:p>
      <w:pPr>
        <w:pStyle w:val="ListParagraph"/>
        <w:numPr>
          <w:ilvl w:val="0"/>
          <w:numId w:val="1"/>
        </w:numPr>
        <w:tabs>
          <w:tab w:pos="860" w:val="left" w:leader="none"/>
        </w:tabs>
        <w:spacing w:line="240" w:lineRule="auto" w:before="0" w:after="0"/>
        <w:ind w:left="140" w:right="377" w:firstLine="0"/>
        <w:jc w:val="left"/>
        <w:rPr>
          <w:sz w:val="22"/>
        </w:rPr>
      </w:pPr>
      <w:r>
        <w:rPr>
          <w:sz w:val="22"/>
        </w:rPr>
        <w:t>Frenkel</w:t>
      </w:r>
      <w:r>
        <w:rPr>
          <w:spacing w:val="-1"/>
          <w:sz w:val="22"/>
        </w:rPr>
        <w:t> </w:t>
      </w:r>
      <w:r>
        <w:rPr>
          <w:sz w:val="22"/>
        </w:rPr>
        <w:t>S,</w:t>
      </w:r>
      <w:r>
        <w:rPr>
          <w:spacing w:val="-2"/>
          <w:sz w:val="22"/>
        </w:rPr>
        <w:t> </w:t>
      </w:r>
      <w:r>
        <w:rPr>
          <w:sz w:val="22"/>
        </w:rPr>
        <w:t>Rosenne</w:t>
      </w:r>
      <w:r>
        <w:rPr>
          <w:spacing w:val="-2"/>
          <w:sz w:val="22"/>
        </w:rPr>
        <w:t> </w:t>
      </w:r>
      <w:r>
        <w:rPr>
          <w:sz w:val="22"/>
        </w:rPr>
        <w:t>H,</w:t>
      </w:r>
      <w:r>
        <w:rPr>
          <w:spacing w:val="-2"/>
          <w:sz w:val="22"/>
        </w:rPr>
        <w:t> </w:t>
      </w:r>
      <w:r>
        <w:rPr>
          <w:sz w:val="22"/>
        </w:rPr>
        <w:t>Briscoe</w:t>
      </w:r>
      <w:r>
        <w:rPr>
          <w:spacing w:val="-2"/>
          <w:sz w:val="22"/>
        </w:rPr>
        <w:t> </w:t>
      </w:r>
      <w:r>
        <w:rPr>
          <w:sz w:val="22"/>
        </w:rPr>
        <w:t>D,</w:t>
      </w:r>
      <w:r>
        <w:rPr>
          <w:spacing w:val="-2"/>
          <w:sz w:val="22"/>
        </w:rPr>
        <w:t> </w:t>
      </w:r>
      <w:r>
        <w:rPr>
          <w:sz w:val="22"/>
        </w:rPr>
        <w:t>Hendler</w:t>
      </w:r>
      <w:r>
        <w:rPr>
          <w:spacing w:val="-2"/>
          <w:sz w:val="22"/>
        </w:rPr>
        <w:t> </w:t>
      </w:r>
      <w:r>
        <w:rPr>
          <w:sz w:val="22"/>
        </w:rPr>
        <w:t>K,</w:t>
      </w:r>
      <w:r>
        <w:rPr>
          <w:spacing w:val="-2"/>
          <w:sz w:val="22"/>
        </w:rPr>
        <w:t> </w:t>
      </w:r>
      <w:r>
        <w:rPr>
          <w:sz w:val="22"/>
        </w:rPr>
        <w:t>Bereket</w:t>
      </w:r>
      <w:r>
        <w:rPr>
          <w:spacing w:val="-4"/>
          <w:sz w:val="22"/>
        </w:rPr>
        <w:t> </w:t>
      </w:r>
      <w:r>
        <w:rPr>
          <w:sz w:val="22"/>
        </w:rPr>
        <w:t>R,</w:t>
      </w:r>
      <w:r>
        <w:rPr>
          <w:spacing w:val="-2"/>
          <w:sz w:val="22"/>
        </w:rPr>
        <w:t> </w:t>
      </w:r>
      <w:r>
        <w:rPr>
          <w:sz w:val="22"/>
        </w:rPr>
        <w:t>Molcho</w:t>
      </w:r>
      <w:r>
        <w:rPr>
          <w:spacing w:val="-2"/>
          <w:sz w:val="22"/>
        </w:rPr>
        <w:t> </w:t>
      </w:r>
      <w:r>
        <w:rPr>
          <w:sz w:val="22"/>
        </w:rPr>
        <w:t>M,</w:t>
      </w:r>
      <w:r>
        <w:rPr>
          <w:spacing w:val="-5"/>
          <w:sz w:val="22"/>
        </w:rPr>
        <w:t> </w:t>
      </w:r>
      <w:r>
        <w:rPr>
          <w:sz w:val="22"/>
        </w:rPr>
        <w:t>et</w:t>
      </w:r>
      <w:r>
        <w:rPr>
          <w:spacing w:val="-4"/>
          <w:sz w:val="22"/>
        </w:rPr>
        <w:t> </w:t>
      </w:r>
      <w:r>
        <w:rPr>
          <w:sz w:val="22"/>
        </w:rPr>
        <w:t>al.</w:t>
      </w:r>
      <w:r>
        <w:rPr>
          <w:spacing w:val="-2"/>
          <w:sz w:val="22"/>
        </w:rPr>
        <w:t> </w:t>
      </w:r>
      <w:r>
        <w:rPr>
          <w:sz w:val="22"/>
        </w:rPr>
        <w:t>Long-term</w:t>
      </w:r>
      <w:r>
        <w:rPr>
          <w:spacing w:val="-4"/>
          <w:sz w:val="22"/>
        </w:rPr>
        <w:t> </w:t>
      </w:r>
      <w:r>
        <w:rPr>
          <w:sz w:val="22"/>
        </w:rPr>
        <w:t>uveal melanoma survivors: measuring their quality of life. Acta Ophthalmol. 2018;96(4):e421-e6.</w:t>
      </w:r>
    </w:p>
    <w:p>
      <w:pPr>
        <w:pStyle w:val="ListParagraph"/>
        <w:numPr>
          <w:ilvl w:val="0"/>
          <w:numId w:val="1"/>
        </w:numPr>
        <w:tabs>
          <w:tab w:pos="860" w:val="left" w:leader="none"/>
        </w:tabs>
        <w:spacing w:line="240" w:lineRule="auto" w:before="0" w:after="0"/>
        <w:ind w:left="140" w:right="330" w:firstLine="0"/>
        <w:jc w:val="left"/>
        <w:rPr>
          <w:sz w:val="22"/>
        </w:rPr>
      </w:pPr>
      <w:r>
        <w:rPr>
          <w:sz w:val="22"/>
        </w:rPr>
        <w:t>Khoja L, Atenafu EG, Suciu S, Leyvraz S, Sato T, Marshall E, et al. Meta-analysis in metastatic uveal melanoma to determine progression free and overall survival benchmarks: an international</w:t>
      </w:r>
      <w:r>
        <w:rPr>
          <w:spacing w:val="-2"/>
          <w:sz w:val="22"/>
        </w:rPr>
        <w:t> </w:t>
      </w:r>
      <w:r>
        <w:rPr>
          <w:sz w:val="22"/>
        </w:rPr>
        <w:t>rare</w:t>
      </w:r>
      <w:r>
        <w:rPr>
          <w:spacing w:val="-5"/>
          <w:sz w:val="22"/>
        </w:rPr>
        <w:t> </w:t>
      </w:r>
      <w:r>
        <w:rPr>
          <w:sz w:val="22"/>
        </w:rPr>
        <w:t>cancers</w:t>
      </w:r>
      <w:r>
        <w:rPr>
          <w:spacing w:val="-1"/>
          <w:sz w:val="22"/>
        </w:rPr>
        <w:t> </w:t>
      </w:r>
      <w:r>
        <w:rPr>
          <w:sz w:val="22"/>
        </w:rPr>
        <w:t>initiative</w:t>
      </w:r>
      <w:r>
        <w:rPr>
          <w:spacing w:val="-5"/>
          <w:sz w:val="22"/>
        </w:rPr>
        <w:t> </w:t>
      </w:r>
      <w:r>
        <w:rPr>
          <w:sz w:val="22"/>
        </w:rPr>
        <w:t>(IRCI)</w:t>
      </w:r>
      <w:r>
        <w:rPr>
          <w:spacing w:val="-3"/>
          <w:sz w:val="22"/>
        </w:rPr>
        <w:t> </w:t>
      </w:r>
      <w:r>
        <w:rPr>
          <w:sz w:val="22"/>
        </w:rPr>
        <w:t>ocular</w:t>
      </w:r>
      <w:r>
        <w:rPr>
          <w:spacing w:val="-5"/>
          <w:sz w:val="22"/>
        </w:rPr>
        <w:t> </w:t>
      </w:r>
      <w:r>
        <w:rPr>
          <w:sz w:val="22"/>
        </w:rPr>
        <w:t>melanoma</w:t>
      </w:r>
      <w:r>
        <w:rPr>
          <w:spacing w:val="-5"/>
          <w:sz w:val="22"/>
        </w:rPr>
        <w:t> </w:t>
      </w:r>
      <w:r>
        <w:rPr>
          <w:sz w:val="22"/>
        </w:rPr>
        <w:t>study.</w:t>
      </w:r>
      <w:r>
        <w:rPr>
          <w:spacing w:val="-3"/>
          <w:sz w:val="22"/>
        </w:rPr>
        <w:t> </w:t>
      </w:r>
      <w:r>
        <w:rPr>
          <w:sz w:val="22"/>
        </w:rPr>
        <w:t>Ann</w:t>
      </w:r>
      <w:r>
        <w:rPr>
          <w:spacing w:val="-3"/>
          <w:sz w:val="22"/>
        </w:rPr>
        <w:t> </w:t>
      </w:r>
      <w:r>
        <w:rPr>
          <w:sz w:val="22"/>
        </w:rPr>
        <w:t>Oncol.</w:t>
      </w:r>
      <w:r>
        <w:rPr>
          <w:spacing w:val="-3"/>
          <w:sz w:val="22"/>
        </w:rPr>
        <w:t> </w:t>
      </w:r>
      <w:r>
        <w:rPr>
          <w:sz w:val="22"/>
        </w:rPr>
        <w:t>2019;30(8):1370-80.</w:t>
      </w:r>
    </w:p>
    <w:sectPr>
      <w:pgSz w:w="11910" w:h="16840"/>
      <w:pgMar w:top="13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0"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056" w:hanging="720"/>
      </w:pPr>
      <w:rPr>
        <w:rFonts w:hint="default"/>
        <w:lang w:val="en-US" w:eastAsia="en-US" w:bidi="ar-SA"/>
      </w:rPr>
    </w:lvl>
    <w:lvl w:ilvl="2">
      <w:start w:val="0"/>
      <w:numFmt w:val="bullet"/>
      <w:lvlText w:val="•"/>
      <w:lvlJc w:val="left"/>
      <w:pPr>
        <w:ind w:left="1973" w:hanging="720"/>
      </w:pPr>
      <w:rPr>
        <w:rFonts w:hint="default"/>
        <w:lang w:val="en-US" w:eastAsia="en-US" w:bidi="ar-SA"/>
      </w:rPr>
    </w:lvl>
    <w:lvl w:ilvl="3">
      <w:start w:val="0"/>
      <w:numFmt w:val="bullet"/>
      <w:lvlText w:val="•"/>
      <w:lvlJc w:val="left"/>
      <w:pPr>
        <w:ind w:left="2889" w:hanging="720"/>
      </w:pPr>
      <w:rPr>
        <w:rFonts w:hint="default"/>
        <w:lang w:val="en-US" w:eastAsia="en-US" w:bidi="ar-SA"/>
      </w:rPr>
    </w:lvl>
    <w:lvl w:ilvl="4">
      <w:start w:val="0"/>
      <w:numFmt w:val="bullet"/>
      <w:lvlText w:val="•"/>
      <w:lvlJc w:val="left"/>
      <w:pPr>
        <w:ind w:left="3806" w:hanging="720"/>
      </w:pPr>
      <w:rPr>
        <w:rFonts w:hint="default"/>
        <w:lang w:val="en-US" w:eastAsia="en-US" w:bidi="ar-SA"/>
      </w:rPr>
    </w:lvl>
    <w:lvl w:ilvl="5">
      <w:start w:val="0"/>
      <w:numFmt w:val="bullet"/>
      <w:lvlText w:val="•"/>
      <w:lvlJc w:val="left"/>
      <w:pPr>
        <w:ind w:left="4723" w:hanging="720"/>
      </w:pPr>
      <w:rPr>
        <w:rFonts w:hint="default"/>
        <w:lang w:val="en-US" w:eastAsia="en-US" w:bidi="ar-SA"/>
      </w:rPr>
    </w:lvl>
    <w:lvl w:ilvl="6">
      <w:start w:val="0"/>
      <w:numFmt w:val="bullet"/>
      <w:lvlText w:val="•"/>
      <w:lvlJc w:val="left"/>
      <w:pPr>
        <w:ind w:left="5639" w:hanging="720"/>
      </w:pPr>
      <w:rPr>
        <w:rFonts w:hint="default"/>
        <w:lang w:val="en-US" w:eastAsia="en-US" w:bidi="ar-SA"/>
      </w:rPr>
    </w:lvl>
    <w:lvl w:ilvl="7">
      <w:start w:val="0"/>
      <w:numFmt w:val="bullet"/>
      <w:lvlText w:val="•"/>
      <w:lvlJc w:val="left"/>
      <w:pPr>
        <w:ind w:left="6556" w:hanging="720"/>
      </w:pPr>
      <w:rPr>
        <w:rFonts w:hint="default"/>
        <w:lang w:val="en-US" w:eastAsia="en-US" w:bidi="ar-SA"/>
      </w:rPr>
    </w:lvl>
    <w:lvl w:ilvl="8">
      <w:start w:val="0"/>
      <w:numFmt w:val="bullet"/>
      <w:lvlText w:val="•"/>
      <w:lvlJc w:val="left"/>
      <w:pPr>
        <w:ind w:left="7473"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2"/>
      <w:ind w:left="140"/>
      <w:outlineLvl w:val="1"/>
    </w:pPr>
    <w:rPr>
      <w:rFonts w:ascii="Arial" w:hAnsi="Arial" w:eastAsia="Arial" w:cs="Arial"/>
      <w:sz w:val="24"/>
      <w:szCs w:val="24"/>
      <w:lang w:val="en-US" w:eastAsia="en-US" w:bidi="ar-SA"/>
    </w:rPr>
  </w:style>
  <w:style w:styleId="Heading2" w:type="paragraph">
    <w:name w:val="Heading 2"/>
    <w:basedOn w:val="Normal"/>
    <w:uiPriority w:val="1"/>
    <w:qFormat/>
    <w:pPr>
      <w:ind w:left="135" w:hanging="10"/>
      <w:outlineLvl w:val="2"/>
    </w:pPr>
    <w:rPr>
      <w:rFonts w:ascii="Arial" w:hAnsi="Arial" w:eastAsia="Arial" w:cs="Arial"/>
      <w:b/>
      <w:bCs/>
      <w:i/>
      <w:iCs/>
      <w:sz w:val="22"/>
      <w:szCs w:val="22"/>
      <w:lang w:val="en-US" w:eastAsia="en-US" w:bidi="ar-SA"/>
    </w:rPr>
  </w:style>
  <w:style w:styleId="ListParagraph" w:type="paragraph">
    <w:name w:val="List Paragraph"/>
    <w:basedOn w:val="Normal"/>
    <w:uiPriority w:val="1"/>
    <w:qFormat/>
    <w:pPr>
      <w:ind w:left="140" w:right="16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ons.gov.uk/peoplepopulationandcommunity/healthandsocialcare/conditionsanddiseases/datasets/cancerregistrationstatisticscancerregistrationstatisticsengland" TargetMode="External"/><Relationship Id="rId7" Type="http://schemas.openxmlformats.org/officeDocument/2006/relationships/hyperlink" Target="https://melanomafocus.org/for-professionals/rare-melanoma-guidelines-and-consultations/uveal-melanoma-guideline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Ramaekers, B.L.T. (Bram)</dc:creator>
  <dcterms:created xsi:type="dcterms:W3CDTF">2023-10-11T11:20:12Z</dcterms:created>
  <dcterms:modified xsi:type="dcterms:W3CDTF">2023-10-11T11:20:12Z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2023-10-11T00:00:00Z</vt:filetime>
  </property>
  <property fmtid="{D5CDD505-2E9C-101B-9397-08002B2CF9AE}" pid="5" name="Producer">
    <vt:lpwstr>Microsoft® Word for Microsoft 365</vt:lpwstr>
  </property>
</Properties>
</file>