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ind w:left="9688" w:right="116" w:firstLine="711"/>
        <w:jc w:val="righ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345614</wp:posOffset>
            </wp:positionH>
            <wp:positionV relativeFrom="paragraph">
              <wp:posOffset>158459</wp:posOffset>
            </wp:positionV>
            <wp:extent cx="2538381" cy="24828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8381" cy="248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</w:rPr>
        <w:t>2</w:t>
      </w:r>
      <w:r>
        <w:rPr>
          <w:color w:val="0E0E0E"/>
          <w:vertAlign w:val="superscript"/>
        </w:rPr>
        <w:t>nd</w:t>
      </w:r>
      <w:r>
        <w:rPr>
          <w:color w:val="0E0E0E"/>
          <w:spacing w:val="-14"/>
          <w:vertAlign w:val="baseline"/>
        </w:rPr>
        <w:t> </w:t>
      </w:r>
      <w:r>
        <w:rPr>
          <w:color w:val="0E0E0E"/>
          <w:vertAlign w:val="baseline"/>
        </w:rPr>
        <w:t>Floor 2</w:t>
      </w:r>
      <w:r>
        <w:rPr>
          <w:color w:val="0E0E0E"/>
          <w:spacing w:val="-1"/>
          <w:vertAlign w:val="baseline"/>
        </w:rPr>
        <w:t> </w:t>
      </w:r>
      <w:r>
        <w:rPr>
          <w:color w:val="0E0E0E"/>
          <w:vertAlign w:val="baseline"/>
        </w:rPr>
        <w:t>Redman</w:t>
      </w:r>
      <w:r>
        <w:rPr>
          <w:color w:val="0E0E0E"/>
          <w:spacing w:val="-1"/>
          <w:vertAlign w:val="baseline"/>
        </w:rPr>
        <w:t> </w:t>
      </w:r>
      <w:r>
        <w:rPr>
          <w:color w:val="0E0E0E"/>
          <w:spacing w:val="-2"/>
          <w:vertAlign w:val="baseline"/>
        </w:rPr>
        <w:t>Place</w:t>
      </w:r>
    </w:p>
    <w:p>
      <w:pPr>
        <w:pStyle w:val="BodyText"/>
        <w:ind w:left="10389" w:right="115" w:firstLine="110"/>
        <w:jc w:val="right"/>
      </w:pPr>
      <w:r>
        <w:rPr>
          <w:color w:val="0E0E0E"/>
          <w:spacing w:val="-2"/>
        </w:rPr>
        <w:t>London </w:t>
      </w:r>
      <w:r>
        <w:rPr>
          <w:color w:val="0E0E0E"/>
        </w:rPr>
        <w:t>E20</w:t>
      </w:r>
      <w:r>
        <w:rPr>
          <w:color w:val="0E0E0E"/>
          <w:spacing w:val="-5"/>
        </w:rPr>
        <w:t> </w:t>
      </w:r>
      <w:r>
        <w:rPr>
          <w:color w:val="0E0E0E"/>
          <w:spacing w:val="-5"/>
        </w:rPr>
        <w:t>1JQ</w:t>
      </w:r>
    </w:p>
    <w:p>
      <w:pPr>
        <w:pStyle w:val="BodyText"/>
        <w:spacing w:line="230" w:lineRule="exact"/>
        <w:ind w:right="118"/>
        <w:jc w:val="right"/>
      </w:pPr>
      <w:r>
        <w:rPr>
          <w:color w:val="0E0E0E"/>
        </w:rPr>
        <w:t>United</w:t>
      </w:r>
      <w:r>
        <w:rPr>
          <w:color w:val="0E0E0E"/>
          <w:spacing w:val="-5"/>
        </w:rPr>
        <w:t> </w:t>
      </w:r>
      <w:r>
        <w:rPr>
          <w:color w:val="0E0E0E"/>
          <w:spacing w:val="-2"/>
        </w:rPr>
        <w:t>Kingdom</w:t>
      </w:r>
    </w:p>
    <w:p>
      <w:pPr>
        <w:pStyle w:val="BodyText"/>
      </w:pPr>
    </w:p>
    <w:p>
      <w:pPr>
        <w:pStyle w:val="BodyText"/>
        <w:ind w:right="117"/>
        <w:jc w:val="right"/>
        <w:rPr>
          <w:rFonts w:ascii="Lato"/>
        </w:rPr>
      </w:pPr>
      <w:r>
        <w:rPr>
          <w:rFonts w:ascii="Lato"/>
        </w:rPr>
        <w:t>+44</w:t>
      </w:r>
      <w:r>
        <w:rPr>
          <w:rFonts w:ascii="Lato"/>
          <w:spacing w:val="-3"/>
        </w:rPr>
        <w:t> </w:t>
      </w:r>
      <w:r>
        <w:rPr>
          <w:rFonts w:ascii="Lato"/>
        </w:rPr>
        <w:t>(0)300</w:t>
      </w:r>
      <w:r>
        <w:rPr>
          <w:rFonts w:ascii="Lato"/>
          <w:spacing w:val="-1"/>
        </w:rPr>
        <w:t> </w:t>
      </w:r>
      <w:r>
        <w:rPr>
          <w:rFonts w:ascii="Lato"/>
        </w:rPr>
        <w:t>323 </w:t>
      </w:r>
      <w:r>
        <w:rPr>
          <w:rFonts w:ascii="Lato"/>
          <w:spacing w:val="-4"/>
        </w:rPr>
        <w:t>0140</w:t>
      </w:r>
    </w:p>
    <w:p>
      <w:pPr>
        <w:pStyle w:val="BodyText"/>
        <w:spacing w:before="8"/>
        <w:rPr>
          <w:rFonts w:ascii="Lato"/>
          <w:sz w:val="14"/>
        </w:rPr>
      </w:pPr>
    </w:p>
    <w:p>
      <w:pPr>
        <w:pStyle w:val="BodyText"/>
        <w:spacing w:before="94"/>
        <w:ind w:left="1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2048764</wp:posOffset>
                </wp:positionH>
                <wp:positionV relativeFrom="paragraph">
                  <wp:posOffset>98871</wp:posOffset>
                </wp:positionV>
                <wp:extent cx="778510" cy="11938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851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8510" h="119380">
                              <a:moveTo>
                                <a:pt x="778408" y="0"/>
                              </a:moveTo>
                              <a:lnTo>
                                <a:pt x="0" y="0"/>
                              </a:lnTo>
                              <a:lnTo>
                                <a:pt x="0" y="119367"/>
                              </a:lnTo>
                              <a:lnTo>
                                <a:pt x="778408" y="119367"/>
                              </a:lnTo>
                              <a:lnTo>
                                <a:pt x="778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1.320007pt;margin-top:7.78512pt;width:61.292pt;height:9.399pt;mso-position-horizontal-relative:page;mso-position-vertical-relative:paragraph;z-index:15730176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Sent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e-mail</w:t>
      </w:r>
      <w:r>
        <w:rPr>
          <w:spacing w:val="-2"/>
        </w:rPr>
        <w:t> only:</w:t>
      </w:r>
    </w:p>
    <w:p>
      <w:pPr>
        <w:pStyle w:val="BodyText"/>
        <w:spacing w:before="3"/>
      </w:pPr>
    </w:p>
    <w:p>
      <w:pPr>
        <w:pStyle w:val="BodyText"/>
        <w:ind w:left="11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1198074</wp:posOffset>
                </wp:positionH>
                <wp:positionV relativeFrom="paragraph">
                  <wp:posOffset>39180</wp:posOffset>
                </wp:positionV>
                <wp:extent cx="925194" cy="11938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925194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119380">
                              <a:moveTo>
                                <a:pt x="924750" y="0"/>
                              </a:moveTo>
                              <a:lnTo>
                                <a:pt x="0" y="0"/>
                              </a:lnTo>
                              <a:lnTo>
                                <a:pt x="0" y="119367"/>
                              </a:lnTo>
                              <a:lnTo>
                                <a:pt x="924750" y="119367"/>
                              </a:lnTo>
                              <a:lnTo>
                                <a:pt x="924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4.336578pt;margin-top:3.085085pt;width:72.815pt;height:9.399pt;mso-position-horizontal-relative:page;mso-position-vertical-relative:paragraph;z-index:15730688" id="docshape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5"/>
        </w:rPr>
        <w:t>FAO</w:t>
      </w:r>
    </w:p>
    <w:p>
      <w:pPr>
        <w:pStyle w:val="BodyText"/>
        <w:ind w:left="1100"/>
      </w:pPr>
      <w:r>
        <w:rPr/>
        <w:t>OcuMel</w:t>
      </w:r>
      <w:r>
        <w:rPr>
          <w:spacing w:val="-4"/>
        </w:rPr>
        <w:t> </w:t>
      </w:r>
      <w:r>
        <w:rPr>
          <w:spacing w:val="-5"/>
        </w:rPr>
        <w:t>UK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8"/>
        </w:rPr>
      </w:pPr>
    </w:p>
    <w:p>
      <w:pPr>
        <w:pStyle w:val="BodyText"/>
        <w:spacing w:line="484" w:lineRule="auto"/>
        <w:ind w:left="1100" w:right="806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1212850</wp:posOffset>
                </wp:positionH>
                <wp:positionV relativeFrom="paragraph">
                  <wp:posOffset>334074</wp:posOffset>
                </wp:positionV>
                <wp:extent cx="579120" cy="11938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79120" cy="1193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" h="119380">
                              <a:moveTo>
                                <a:pt x="578497" y="0"/>
                              </a:moveTo>
                              <a:lnTo>
                                <a:pt x="0" y="0"/>
                              </a:lnTo>
                              <a:lnTo>
                                <a:pt x="0" y="119367"/>
                              </a:lnTo>
                              <a:lnTo>
                                <a:pt x="578497" y="119367"/>
                              </a:lnTo>
                              <a:lnTo>
                                <a:pt x="578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95.5pt;margin-top:26.305075pt;width:45.551pt;height:9.399pt;mso-position-horizontal-relative:page;mso-position-vertical-relative:paragraph;z-index:15731200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28</w:t>
      </w:r>
      <w:r>
        <w:rPr>
          <w:spacing w:val="-14"/>
        </w:rPr>
        <w:t> </w:t>
      </w:r>
      <w:r>
        <w:rPr/>
        <w:t>September</w:t>
      </w:r>
      <w:r>
        <w:rPr>
          <w:spacing w:val="-14"/>
        </w:rPr>
        <w:t> </w:t>
      </w:r>
      <w:r>
        <w:rPr/>
        <w:t>2023 </w:t>
      </w:r>
      <w:r>
        <w:rPr>
          <w:spacing w:val="-4"/>
        </w:rPr>
        <w:t>Dear</w:t>
      </w:r>
    </w:p>
    <w:p>
      <w:pPr>
        <w:spacing w:line="278" w:lineRule="auto" w:before="0"/>
        <w:ind w:left="1526" w:right="1195" w:hanging="427"/>
        <w:jc w:val="left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108586</wp:posOffset>
                </wp:positionH>
                <wp:positionV relativeFrom="paragraph">
                  <wp:posOffset>255522</wp:posOffset>
                </wp:positionV>
                <wp:extent cx="8191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81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915" h="0">
                              <a:moveTo>
                                <a:pt x="0" y="0"/>
                              </a:moveTo>
                              <a:lnTo>
                                <a:pt x="8191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5050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8.5501pt,20.119909pt" to="15.0001pt,20.119909pt" stroked="true" strokeweight=".25pt" strokecolor="#505050">
                <v:stroke dashstyle="solid"/>
                <w10:wrap type="none"/>
              </v:line>
            </w:pict>
          </mc:Fallback>
        </mc:AlternateContent>
      </w:r>
      <w:r>
        <w:rPr>
          <w:b/>
          <w:sz w:val="20"/>
        </w:rPr>
        <w:t>Re: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Final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Appraisal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Document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—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Tebentafusp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treating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advanced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uveal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melanoma </w:t>
      </w:r>
      <w:r>
        <w:rPr>
          <w:b/>
          <w:spacing w:val="-2"/>
          <w:sz w:val="20"/>
        </w:rPr>
        <w:t>[ID1441]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line="273" w:lineRule="auto" w:before="1"/>
        <w:ind w:left="1100" w:right="1158"/>
        <w:jc w:val="both"/>
      </w:pPr>
      <w:r>
        <w:rPr/>
        <w:t>Thank</w:t>
      </w:r>
      <w:r>
        <w:rPr>
          <w:spacing w:val="-5"/>
        </w:rPr>
        <w:t> </w:t>
      </w:r>
      <w:r>
        <w:rPr/>
        <w:t>you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your</w:t>
      </w:r>
      <w:r>
        <w:rPr>
          <w:spacing w:val="-5"/>
        </w:rPr>
        <w:t> </w:t>
      </w:r>
      <w:r>
        <w:rPr/>
        <w:t>letter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21</w:t>
      </w:r>
      <w:r>
        <w:rPr>
          <w:spacing w:val="-5"/>
        </w:rPr>
        <w:t> </w:t>
      </w:r>
      <w:r>
        <w:rPr/>
        <w:t>September</w:t>
      </w:r>
      <w:r>
        <w:rPr>
          <w:spacing w:val="-5"/>
        </w:rPr>
        <w:t> </w:t>
      </w:r>
      <w:r>
        <w:rPr/>
        <w:t>2023</w:t>
      </w:r>
      <w:r>
        <w:rPr>
          <w:spacing w:val="-6"/>
        </w:rPr>
        <w:t> </w:t>
      </w:r>
      <w:r>
        <w:rPr/>
        <w:t>responding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/>
        <w:t>my</w:t>
      </w:r>
      <w:r>
        <w:rPr>
          <w:spacing w:val="-5"/>
        </w:rPr>
        <w:t> </w:t>
      </w:r>
      <w:r>
        <w:rPr/>
        <w:t>initial</w:t>
      </w:r>
      <w:r>
        <w:rPr>
          <w:spacing w:val="-6"/>
        </w:rPr>
        <w:t> </w:t>
      </w:r>
      <w:r>
        <w:rPr/>
        <w:t>scrutiny</w:t>
      </w:r>
      <w:r>
        <w:rPr>
          <w:spacing w:val="-5"/>
        </w:rPr>
        <w:t> </w:t>
      </w:r>
      <w:r>
        <w:rPr/>
        <w:t>views.</w:t>
      </w:r>
      <w:r>
        <w:rPr>
          <w:spacing w:val="40"/>
        </w:rPr>
        <w:t> </w:t>
      </w:r>
      <w:r>
        <w:rPr/>
        <w:t>This</w:t>
      </w:r>
      <w:r>
        <w:rPr>
          <w:spacing w:val="-5"/>
        </w:rPr>
        <w:t> </w:t>
      </w:r>
      <w:r>
        <w:rPr/>
        <w:t>is</w:t>
      </w:r>
      <w:r>
        <w:rPr>
          <w:spacing w:val="-6"/>
        </w:rPr>
        <w:t> </w:t>
      </w:r>
      <w:r>
        <w:rPr/>
        <w:t>my</w:t>
      </w:r>
      <w:r>
        <w:rPr>
          <w:spacing w:val="-5"/>
        </w:rPr>
        <w:t> </w:t>
      </w:r>
      <w:r>
        <w:rPr/>
        <w:t>final decision on initial scrutiny.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100"/>
        <w:jc w:val="both"/>
      </w:pPr>
      <w:r>
        <w:rPr/>
        <w:t>I</w:t>
      </w:r>
      <w:r>
        <w:rPr>
          <w:spacing w:val="-4"/>
        </w:rPr>
        <w:t> </w:t>
      </w:r>
      <w:r>
        <w:rPr/>
        <w:t>consider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ground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point</w:t>
      </w:r>
      <w:r>
        <w:rPr>
          <w:spacing w:val="-4"/>
        </w:rPr>
        <w:t> </w:t>
      </w:r>
      <w:r>
        <w:rPr/>
        <w:t>followed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ground</w:t>
      </w:r>
      <w:r>
        <w:rPr>
          <w:spacing w:val="-3"/>
        </w:rPr>
        <w:t> </w:t>
      </w:r>
      <w:r>
        <w:rPr/>
        <w:t>2</w:t>
      </w:r>
      <w:r>
        <w:rPr>
          <w:spacing w:val="-4"/>
        </w:rPr>
        <w:t> </w:t>
      </w:r>
      <w:r>
        <w:rPr>
          <w:spacing w:val="-2"/>
        </w:rPr>
        <w:t>point.</w:t>
      </w:r>
    </w:p>
    <w:p>
      <w:pPr>
        <w:pStyle w:val="BodyText"/>
        <w:spacing w:before="9"/>
        <w:rPr>
          <w:sz w:val="23"/>
        </w:rPr>
      </w:pPr>
    </w:p>
    <w:p>
      <w:pPr>
        <w:spacing w:line="276" w:lineRule="auto" w:before="0"/>
        <w:ind w:left="1100" w:right="1161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Ground 1(a): In making the assessment that preceded the recommendation, NICE has failed to</w:t>
      </w:r>
      <w:r>
        <w:rPr>
          <w:b/>
          <w:i/>
          <w:sz w:val="20"/>
        </w:rPr>
        <w:t> act fairly</w:t>
      </w:r>
    </w:p>
    <w:p>
      <w:pPr>
        <w:pStyle w:val="BodyText"/>
        <w:spacing w:before="10"/>
        <w:rPr>
          <w:b/>
          <w:i/>
        </w:rPr>
      </w:pPr>
    </w:p>
    <w:p>
      <w:pPr>
        <w:spacing w:line="276" w:lineRule="auto" w:before="1"/>
        <w:ind w:left="1100" w:right="1157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Ground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1(b):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making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assessment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that</w:t>
      </w:r>
      <w:r>
        <w:rPr>
          <w:b/>
          <w:i/>
          <w:spacing w:val="-9"/>
          <w:sz w:val="20"/>
        </w:rPr>
        <w:t> </w:t>
      </w:r>
      <w:r>
        <w:rPr>
          <w:b/>
          <w:i/>
          <w:sz w:val="20"/>
        </w:rPr>
        <w:t>preceded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recommendation,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NICE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has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exceeded</w:t>
      </w:r>
      <w:r>
        <w:rPr>
          <w:b/>
          <w:i/>
          <w:sz w:val="20"/>
        </w:rPr>
        <w:t> its powers</w:t>
      </w:r>
    </w:p>
    <w:p>
      <w:pPr>
        <w:pStyle w:val="BodyText"/>
        <w:spacing w:before="10"/>
        <w:rPr>
          <w:b/>
          <w:i/>
        </w:rPr>
      </w:pPr>
    </w:p>
    <w:p>
      <w:pPr>
        <w:pStyle w:val="Heading1"/>
        <w:spacing w:line="276" w:lineRule="auto"/>
        <w:rPr>
          <w:u w:val="none"/>
        </w:rPr>
      </w:pPr>
      <w:r>
        <w:rPr>
          <w:u w:val="single"/>
        </w:rPr>
        <w:t>Appeal point 1: Appeal point 1: NICE determined that Tebentafusp would be unsuitable for the</w:t>
      </w:r>
      <w:r>
        <w:rPr>
          <w:u w:val="none"/>
        </w:rPr>
        <w:t> </w:t>
      </w:r>
      <w:r>
        <w:rPr>
          <w:u w:val="single"/>
        </w:rPr>
        <w:t>Cancer</w:t>
      </w:r>
      <w:r>
        <w:rPr>
          <w:spacing w:val="-4"/>
          <w:u w:val="single"/>
        </w:rPr>
        <w:t> </w:t>
      </w:r>
      <w:r>
        <w:rPr>
          <w:u w:val="single"/>
        </w:rPr>
        <w:t>Drugs</w:t>
      </w:r>
      <w:r>
        <w:rPr>
          <w:spacing w:val="-2"/>
          <w:u w:val="single"/>
        </w:rPr>
        <w:t> </w:t>
      </w:r>
      <w:r>
        <w:rPr>
          <w:u w:val="single"/>
        </w:rPr>
        <w:t>Fund</w:t>
      </w:r>
      <w:r>
        <w:rPr>
          <w:spacing w:val="-5"/>
          <w:u w:val="single"/>
        </w:rPr>
        <w:t> </w:t>
      </w:r>
      <w:r>
        <w:rPr>
          <w:u w:val="single"/>
        </w:rPr>
        <w:t>based</w:t>
      </w:r>
      <w:r>
        <w:rPr>
          <w:spacing w:val="-2"/>
          <w:u w:val="single"/>
        </w:rPr>
        <w:t> </w:t>
      </w:r>
      <w:r>
        <w:rPr>
          <w:u w:val="single"/>
        </w:rPr>
        <w:t>on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likely</w:t>
      </w:r>
      <w:r>
        <w:rPr>
          <w:spacing w:val="-2"/>
          <w:u w:val="single"/>
        </w:rPr>
        <w:t> </w:t>
      </w:r>
      <w:r>
        <w:rPr>
          <w:u w:val="single"/>
        </w:rPr>
        <w:t>impact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2"/>
          <w:u w:val="single"/>
        </w:rPr>
        <w:t> </w:t>
      </w:r>
      <w:r>
        <w:rPr>
          <w:u w:val="single"/>
        </w:rPr>
        <w:t>severity</w:t>
      </w:r>
      <w:r>
        <w:rPr>
          <w:spacing w:val="-4"/>
          <w:u w:val="single"/>
        </w:rPr>
        <w:t> </w:t>
      </w:r>
      <w:r>
        <w:rPr>
          <w:u w:val="single"/>
        </w:rPr>
        <w:t>modifier</w:t>
      </w:r>
      <w:r>
        <w:rPr>
          <w:spacing w:val="-2"/>
          <w:u w:val="single"/>
        </w:rPr>
        <w:t> </w:t>
      </w:r>
      <w:r>
        <w:rPr>
          <w:u w:val="single"/>
        </w:rPr>
        <w:t>at</w:t>
      </w:r>
      <w:r>
        <w:rPr>
          <w:spacing w:val="-2"/>
          <w:u w:val="single"/>
        </w:rPr>
        <w:t> </w:t>
      </w:r>
      <w:r>
        <w:rPr>
          <w:u w:val="single"/>
        </w:rPr>
        <w:t>exiting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CDF</w:t>
      </w:r>
      <w:r>
        <w:rPr>
          <w:spacing w:val="-2"/>
          <w:u w:val="single"/>
        </w:rPr>
        <w:t> </w:t>
      </w:r>
      <w:r>
        <w:rPr>
          <w:u w:val="single"/>
        </w:rPr>
        <w:t>rather</w:t>
      </w:r>
      <w:r>
        <w:rPr>
          <w:u w:val="none"/>
        </w:rPr>
        <w:t> </w:t>
      </w:r>
      <w:r>
        <w:rPr>
          <w:u w:val="single"/>
        </w:rPr>
        <w:t>than on the end-of-life modifier that applied to Tebentafusp at the time of appraisal</w:t>
      </w:r>
    </w:p>
    <w:p>
      <w:pPr>
        <w:pStyle w:val="BodyText"/>
        <w:spacing w:before="8"/>
        <w:rPr>
          <w:b/>
          <w:sz w:val="12"/>
        </w:rPr>
      </w:pPr>
    </w:p>
    <w:p>
      <w:pPr>
        <w:pStyle w:val="BodyText"/>
        <w:spacing w:line="276" w:lineRule="auto" w:before="94"/>
        <w:ind w:left="1100" w:right="1811"/>
        <w:jc w:val="both"/>
      </w:pPr>
      <w:r>
        <w:rPr>
          <w:color w:val="0D0D0D"/>
        </w:rPr>
        <w:t>I</w:t>
      </w:r>
      <w:r>
        <w:rPr>
          <w:color w:val="0D0D0D"/>
          <w:spacing w:val="-1"/>
        </w:rPr>
        <w:t> </w:t>
      </w:r>
      <w:r>
        <w:rPr>
          <w:color w:val="0D0D0D"/>
        </w:rPr>
        <w:t>remain of</w:t>
      </w:r>
      <w:r>
        <w:rPr>
          <w:color w:val="0D0D0D"/>
          <w:spacing w:val="-1"/>
        </w:rPr>
        <w:t> </w:t>
      </w:r>
      <w:r>
        <w:rPr>
          <w:color w:val="0D0D0D"/>
        </w:rPr>
        <w:t>the view that</w:t>
      </w:r>
      <w:r>
        <w:rPr>
          <w:color w:val="0D0D0D"/>
          <w:spacing w:val="-1"/>
        </w:rPr>
        <w:t> </w:t>
      </w:r>
      <w:r>
        <w:rPr>
          <w:color w:val="0D0D0D"/>
        </w:rPr>
        <w:t>this appeal point</w:t>
      </w:r>
      <w:r>
        <w:rPr>
          <w:color w:val="0D0D0D"/>
          <w:spacing w:val="-1"/>
        </w:rPr>
        <w:t> </w:t>
      </w:r>
      <w:r>
        <w:rPr>
          <w:color w:val="0D0D0D"/>
        </w:rPr>
        <w:t>should not</w:t>
      </w:r>
      <w:r>
        <w:rPr>
          <w:color w:val="0D0D0D"/>
          <w:spacing w:val="-1"/>
        </w:rPr>
        <w:t> </w:t>
      </w:r>
      <w:r>
        <w:rPr>
          <w:color w:val="0D0D0D"/>
        </w:rPr>
        <w:t>proceed to an</w:t>
      </w:r>
      <w:r>
        <w:rPr>
          <w:color w:val="0D0D0D"/>
          <w:spacing w:val="-2"/>
        </w:rPr>
        <w:t> </w:t>
      </w:r>
      <w:r>
        <w:rPr>
          <w:color w:val="0D0D0D"/>
        </w:rPr>
        <w:t>oral hearing.</w:t>
      </w:r>
      <w:r>
        <w:rPr>
          <w:color w:val="0D0D0D"/>
          <w:spacing w:val="-1"/>
        </w:rPr>
        <w:t> </w:t>
      </w:r>
      <w:r>
        <w:rPr>
          <w:color w:val="0D0D0D"/>
        </w:rPr>
        <w:t>That</w:t>
      </w:r>
      <w:r>
        <w:rPr>
          <w:color w:val="0D0D0D"/>
          <w:spacing w:val="-1"/>
        </w:rPr>
        <w:t> </w:t>
      </w:r>
      <w:r>
        <w:rPr>
          <w:color w:val="0D0D0D"/>
        </w:rPr>
        <w:t>is for the reasons</w:t>
      </w:r>
      <w:r>
        <w:rPr>
          <w:color w:val="0D0D0D"/>
          <w:spacing w:val="-2"/>
        </w:rPr>
        <w:t> </w:t>
      </w:r>
      <w:r>
        <w:rPr>
          <w:color w:val="0D0D0D"/>
        </w:rPr>
        <w:t>set</w:t>
      </w:r>
      <w:r>
        <w:rPr>
          <w:color w:val="0D0D0D"/>
          <w:spacing w:val="-3"/>
        </w:rPr>
        <w:t> </w:t>
      </w:r>
      <w:r>
        <w:rPr>
          <w:color w:val="0D0D0D"/>
        </w:rPr>
        <w:t>out</w:t>
      </w:r>
      <w:r>
        <w:rPr>
          <w:color w:val="0D0D0D"/>
          <w:spacing w:val="-3"/>
        </w:rPr>
        <w:t> </w:t>
      </w:r>
      <w:r>
        <w:rPr>
          <w:color w:val="0D0D0D"/>
        </w:rPr>
        <w:t>in</w:t>
      </w:r>
      <w:r>
        <w:rPr>
          <w:color w:val="0D0D0D"/>
          <w:spacing w:val="-3"/>
        </w:rPr>
        <w:t> </w:t>
      </w:r>
      <w:r>
        <w:rPr>
          <w:color w:val="0D0D0D"/>
        </w:rPr>
        <w:t>my</w:t>
      </w:r>
      <w:r>
        <w:rPr>
          <w:color w:val="0D0D0D"/>
          <w:spacing w:val="-2"/>
        </w:rPr>
        <w:t> </w:t>
      </w:r>
      <w:r>
        <w:rPr>
          <w:color w:val="0D0D0D"/>
        </w:rPr>
        <w:t>initial</w:t>
      </w:r>
      <w:r>
        <w:rPr>
          <w:color w:val="0D0D0D"/>
          <w:spacing w:val="-3"/>
        </w:rPr>
        <w:t> </w:t>
      </w:r>
      <w:r>
        <w:rPr>
          <w:color w:val="0D0D0D"/>
        </w:rPr>
        <w:t>scrutiny</w:t>
      </w:r>
      <w:r>
        <w:rPr>
          <w:color w:val="0D0D0D"/>
          <w:spacing w:val="-2"/>
        </w:rPr>
        <w:t> </w:t>
      </w:r>
      <w:r>
        <w:rPr>
          <w:color w:val="0D0D0D"/>
        </w:rPr>
        <w:t>letter.</w:t>
      </w:r>
      <w:r>
        <w:rPr>
          <w:color w:val="0D0D0D"/>
          <w:spacing w:val="40"/>
        </w:rPr>
        <w:t> </w:t>
      </w:r>
      <w:r>
        <w:rPr>
          <w:color w:val="0D0D0D"/>
        </w:rPr>
        <w:t>I</w:t>
      </w:r>
      <w:r>
        <w:rPr>
          <w:color w:val="0D0D0D"/>
          <w:spacing w:val="-3"/>
        </w:rPr>
        <w:t> </w:t>
      </w:r>
      <w:r>
        <w:rPr>
          <w:color w:val="0D0D0D"/>
        </w:rPr>
        <w:t>note</w:t>
      </w:r>
      <w:r>
        <w:rPr>
          <w:color w:val="0D0D0D"/>
          <w:spacing w:val="-2"/>
        </w:rPr>
        <w:t> </w:t>
      </w:r>
      <w:r>
        <w:rPr>
          <w:color w:val="0D0D0D"/>
        </w:rPr>
        <w:t>that</w:t>
      </w:r>
      <w:r>
        <w:rPr>
          <w:color w:val="0D0D0D"/>
          <w:spacing w:val="-2"/>
        </w:rPr>
        <w:t> </w:t>
      </w:r>
      <w:r>
        <w:rPr>
          <w:color w:val="0D0D0D"/>
        </w:rPr>
        <w:t>you</w:t>
      </w:r>
      <w:r>
        <w:rPr>
          <w:color w:val="0D0D0D"/>
          <w:spacing w:val="-2"/>
        </w:rPr>
        <w:t> </w:t>
      </w:r>
      <w:r>
        <w:rPr>
          <w:color w:val="0D0D0D"/>
        </w:rPr>
        <w:t>have</w:t>
      </w:r>
      <w:r>
        <w:rPr>
          <w:color w:val="0D0D0D"/>
          <w:spacing w:val="-3"/>
        </w:rPr>
        <w:t> </w:t>
      </w:r>
      <w:r>
        <w:rPr>
          <w:color w:val="0D0D0D"/>
        </w:rPr>
        <w:t>not</w:t>
      </w:r>
      <w:r>
        <w:rPr>
          <w:color w:val="0D0D0D"/>
          <w:spacing w:val="-3"/>
        </w:rPr>
        <w:t> </w:t>
      </w:r>
      <w:r>
        <w:rPr>
          <w:color w:val="0D0D0D"/>
        </w:rPr>
        <w:t>responded</w:t>
      </w:r>
      <w:r>
        <w:rPr>
          <w:color w:val="0D0D0D"/>
          <w:spacing w:val="-2"/>
        </w:rPr>
        <w:t> </w:t>
      </w:r>
      <w:r>
        <w:rPr>
          <w:color w:val="0D0D0D"/>
        </w:rPr>
        <w:t>directly</w:t>
      </w:r>
      <w:r>
        <w:rPr>
          <w:color w:val="0D0D0D"/>
          <w:spacing w:val="-2"/>
        </w:rPr>
        <w:t> </w:t>
      </w:r>
      <w:r>
        <w:rPr>
          <w:color w:val="0D0D0D"/>
        </w:rPr>
        <w:t>to</w:t>
      </w:r>
      <w:r>
        <w:rPr>
          <w:color w:val="0D0D0D"/>
          <w:spacing w:val="-2"/>
        </w:rPr>
        <w:t> </w:t>
      </w:r>
      <w:r>
        <w:rPr>
          <w:color w:val="0D0D0D"/>
        </w:rPr>
        <w:t>those reasons in your letter of 21 September 2023.</w:t>
      </w:r>
    </w:p>
    <w:p>
      <w:pPr>
        <w:pStyle w:val="BodyText"/>
        <w:spacing w:before="10"/>
      </w:pPr>
    </w:p>
    <w:p>
      <w:pPr>
        <w:spacing w:before="0"/>
        <w:ind w:left="1100" w:right="0" w:firstLine="0"/>
        <w:jc w:val="both"/>
        <w:rPr>
          <w:b/>
          <w:i/>
          <w:sz w:val="20"/>
        </w:rPr>
      </w:pPr>
      <w:r>
        <w:rPr>
          <w:b/>
          <w:i/>
          <w:sz w:val="20"/>
        </w:rPr>
        <w:t>Ground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2: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recommendation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is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unreasonable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in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light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of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the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evidence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submitted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to</w:t>
      </w:r>
      <w:r>
        <w:rPr>
          <w:b/>
          <w:i/>
          <w:spacing w:val="-3"/>
          <w:sz w:val="20"/>
        </w:rPr>
        <w:t> </w:t>
      </w:r>
      <w:r>
        <w:rPr>
          <w:b/>
          <w:i/>
          <w:spacing w:val="-4"/>
          <w:sz w:val="20"/>
        </w:rPr>
        <w:t>NICE</w:t>
      </w:r>
    </w:p>
    <w:p>
      <w:pPr>
        <w:pStyle w:val="BodyText"/>
        <w:spacing w:before="10"/>
        <w:rPr>
          <w:b/>
          <w:i/>
          <w:sz w:val="23"/>
        </w:rPr>
      </w:pPr>
    </w:p>
    <w:p>
      <w:pPr>
        <w:pStyle w:val="Heading1"/>
        <w:spacing w:line="276" w:lineRule="auto" w:before="1"/>
        <w:rPr>
          <w:u w:val="none"/>
        </w:rPr>
      </w:pPr>
      <w:r>
        <w:rPr>
          <w:u w:val="single"/>
        </w:rPr>
        <w:t>Appeal</w:t>
      </w:r>
      <w:r>
        <w:rPr>
          <w:spacing w:val="-4"/>
          <w:u w:val="single"/>
        </w:rPr>
        <w:t> </w:t>
      </w:r>
      <w:r>
        <w:rPr>
          <w:u w:val="single"/>
        </w:rPr>
        <w:t>point</w:t>
      </w:r>
      <w:r>
        <w:rPr>
          <w:spacing w:val="-3"/>
          <w:u w:val="single"/>
        </w:rPr>
        <w:t> </w:t>
      </w:r>
      <w:r>
        <w:rPr>
          <w:u w:val="single"/>
        </w:rPr>
        <w:t>2.1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recommendation</w:t>
      </w:r>
      <w:r>
        <w:rPr>
          <w:spacing w:val="-5"/>
          <w:u w:val="single"/>
        </w:rPr>
        <w:t> </w:t>
      </w:r>
      <w:r>
        <w:rPr>
          <w:u w:val="single"/>
        </w:rPr>
        <w:t>is</w:t>
      </w:r>
      <w:r>
        <w:rPr>
          <w:spacing w:val="-3"/>
          <w:u w:val="single"/>
        </w:rPr>
        <w:t> </w:t>
      </w:r>
      <w:r>
        <w:rPr>
          <w:u w:val="single"/>
        </w:rPr>
        <w:t>unreasonable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4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light</w:t>
      </w:r>
      <w:r>
        <w:rPr>
          <w:spacing w:val="-3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the</w:t>
      </w:r>
      <w:r>
        <w:rPr>
          <w:spacing w:val="-3"/>
          <w:u w:val="single"/>
        </w:rPr>
        <w:t> </w:t>
      </w:r>
      <w:r>
        <w:rPr>
          <w:u w:val="single"/>
        </w:rPr>
        <w:t>evidence</w:t>
      </w:r>
      <w:r>
        <w:rPr>
          <w:spacing w:val="-3"/>
          <w:u w:val="single"/>
        </w:rPr>
        <w:t> </w:t>
      </w:r>
      <w:r>
        <w:rPr>
          <w:u w:val="single"/>
        </w:rPr>
        <w:t>submitted</w:t>
      </w:r>
      <w:r>
        <w:rPr>
          <w:spacing w:val="-3"/>
          <w:u w:val="single"/>
        </w:rPr>
        <w:t> </w:t>
      </w:r>
      <w:r>
        <w:rPr>
          <w:u w:val="single"/>
        </w:rPr>
        <w:t>to</w:t>
      </w:r>
      <w:r>
        <w:rPr>
          <w:u w:val="none"/>
        </w:rPr>
        <w:t> </w:t>
      </w:r>
      <w:r>
        <w:rPr>
          <w:u w:val="single"/>
        </w:rPr>
        <w:t>[NICE] about the Quality of Life of people affected by advanced uveal melanoma and the costs</w:t>
      </w:r>
      <w:r>
        <w:rPr>
          <w:u w:val="none"/>
        </w:rPr>
        <w:t> </w:t>
      </w:r>
      <w:r>
        <w:rPr>
          <w:u w:val="single"/>
        </w:rPr>
        <w:t>associated with this condition which should have been taken regarding the end-of-life criteria</w:t>
      </w:r>
      <w:r>
        <w:rPr>
          <w:u w:val="none"/>
        </w:rPr>
        <w:t> </w:t>
      </w:r>
      <w:r>
        <w:rPr>
          <w:u w:val="single"/>
        </w:rPr>
        <w:t>and not the requirements of the new severity modifier;</w:t>
      </w: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line="276" w:lineRule="auto" w:before="94"/>
        <w:ind w:left="1100" w:right="1195"/>
      </w:pPr>
      <w:r>
        <w:rPr>
          <w:color w:val="0D0D0D"/>
        </w:rPr>
        <w:t>At the initial scrutiny stage I expressed the provisional view that this appeal point was insufficiently detailed</w:t>
      </w:r>
      <w:r>
        <w:rPr>
          <w:color w:val="0D0D0D"/>
          <w:spacing w:val="-3"/>
        </w:rPr>
        <w:t> </w:t>
      </w:r>
      <w:r>
        <w:rPr>
          <w:color w:val="0D0D0D"/>
        </w:rPr>
        <w:t>to</w:t>
      </w:r>
      <w:r>
        <w:rPr>
          <w:color w:val="0D0D0D"/>
          <w:spacing w:val="-3"/>
        </w:rPr>
        <w:t> </w:t>
      </w:r>
      <w:r>
        <w:rPr>
          <w:color w:val="0D0D0D"/>
        </w:rPr>
        <w:t>support</w:t>
      </w:r>
      <w:r>
        <w:rPr>
          <w:color w:val="0D0D0D"/>
          <w:spacing w:val="-4"/>
        </w:rPr>
        <w:t> </w:t>
      </w:r>
      <w:r>
        <w:rPr>
          <w:color w:val="0D0D0D"/>
        </w:rPr>
        <w:t>an</w:t>
      </w:r>
      <w:r>
        <w:rPr>
          <w:color w:val="0D0D0D"/>
          <w:spacing w:val="-3"/>
        </w:rPr>
        <w:t> </w:t>
      </w:r>
      <w:r>
        <w:rPr>
          <w:color w:val="0D0D0D"/>
        </w:rPr>
        <w:t>arguable</w:t>
      </w:r>
      <w:r>
        <w:rPr>
          <w:color w:val="0D0D0D"/>
          <w:spacing w:val="-3"/>
        </w:rPr>
        <w:t> </w:t>
      </w:r>
      <w:r>
        <w:rPr>
          <w:color w:val="0D0D0D"/>
        </w:rPr>
        <w:t>case</w:t>
      </w:r>
      <w:r>
        <w:rPr>
          <w:color w:val="0D0D0D"/>
          <w:spacing w:val="-4"/>
        </w:rPr>
        <w:t> </w:t>
      </w:r>
      <w:r>
        <w:rPr>
          <w:color w:val="0D0D0D"/>
        </w:rPr>
        <w:t>that</w:t>
      </w:r>
      <w:r>
        <w:rPr>
          <w:color w:val="0D0D0D"/>
          <w:spacing w:val="-4"/>
        </w:rPr>
        <w:t> </w:t>
      </w:r>
      <w:r>
        <w:rPr>
          <w:color w:val="0D0D0D"/>
        </w:rPr>
        <w:t>the</w:t>
      </w:r>
      <w:r>
        <w:rPr>
          <w:color w:val="0D0D0D"/>
          <w:spacing w:val="-4"/>
        </w:rPr>
        <w:t> </w:t>
      </w:r>
      <w:r>
        <w:rPr>
          <w:color w:val="0D0D0D"/>
        </w:rPr>
        <w:t>Committee's</w:t>
      </w:r>
      <w:r>
        <w:rPr>
          <w:color w:val="0D0D0D"/>
          <w:spacing w:val="-5"/>
        </w:rPr>
        <w:t> </w:t>
      </w:r>
      <w:r>
        <w:rPr>
          <w:color w:val="0D0D0D"/>
        </w:rPr>
        <w:t>recommendation</w:t>
      </w:r>
      <w:r>
        <w:rPr>
          <w:color w:val="0D0D0D"/>
          <w:spacing w:val="-3"/>
        </w:rPr>
        <w:t> </w:t>
      </w:r>
      <w:r>
        <w:rPr>
          <w:color w:val="0D0D0D"/>
        </w:rPr>
        <w:t>is</w:t>
      </w:r>
      <w:r>
        <w:rPr>
          <w:color w:val="0D0D0D"/>
          <w:spacing w:val="-3"/>
        </w:rPr>
        <w:t> </w:t>
      </w:r>
      <w:r>
        <w:rPr>
          <w:color w:val="0D0D0D"/>
        </w:rPr>
        <w:t>unreasonable.</w:t>
      </w:r>
      <w:r>
        <w:rPr>
          <w:color w:val="0D0D0D"/>
          <w:spacing w:val="40"/>
        </w:rPr>
        <w:t> </w:t>
      </w:r>
      <w:r>
        <w:rPr>
          <w:color w:val="0D0D0D"/>
        </w:rPr>
        <w:t>Thank you for elaborating on your point in your letter of 21 September 2023.</w:t>
      </w:r>
    </w:p>
    <w:p>
      <w:pPr>
        <w:pStyle w:val="BodyText"/>
        <w:spacing w:before="9"/>
      </w:pPr>
    </w:p>
    <w:p>
      <w:pPr>
        <w:pStyle w:val="BodyText"/>
        <w:spacing w:line="276" w:lineRule="auto" w:before="1"/>
        <w:ind w:left="1100" w:right="1195"/>
      </w:pPr>
      <w:r>
        <w:rPr>
          <w:color w:val="0D0D0D"/>
        </w:rPr>
        <w:t>In particular, I note your contention that the Committee's decision to adopt modelling using monthly best</w:t>
      </w:r>
      <w:r>
        <w:rPr>
          <w:color w:val="0D0D0D"/>
          <w:spacing w:val="-3"/>
        </w:rPr>
        <w:t> </w:t>
      </w:r>
      <w:r>
        <w:rPr>
          <w:color w:val="0D0D0D"/>
        </w:rPr>
        <w:t>supportive</w:t>
      </w:r>
      <w:r>
        <w:rPr>
          <w:color w:val="0D0D0D"/>
          <w:spacing w:val="-2"/>
        </w:rPr>
        <w:t> </w:t>
      </w:r>
      <w:r>
        <w:rPr>
          <w:color w:val="0D0D0D"/>
        </w:rPr>
        <w:t>care</w:t>
      </w:r>
      <w:r>
        <w:rPr>
          <w:color w:val="0D0D0D"/>
          <w:spacing w:val="-4"/>
        </w:rPr>
        <w:t> </w:t>
      </w:r>
      <w:r>
        <w:rPr>
          <w:color w:val="0D0D0D"/>
        </w:rPr>
        <w:t>costs</w:t>
      </w:r>
      <w:r>
        <w:rPr>
          <w:color w:val="0D0D0D"/>
          <w:spacing w:val="-3"/>
        </w:rPr>
        <w:t> </w:t>
      </w:r>
      <w:r>
        <w:rPr>
          <w:color w:val="0D0D0D"/>
        </w:rPr>
        <w:t>is</w:t>
      </w:r>
      <w:r>
        <w:rPr>
          <w:color w:val="0D0D0D"/>
          <w:spacing w:val="-2"/>
        </w:rPr>
        <w:t> </w:t>
      </w:r>
      <w:r>
        <w:rPr>
          <w:color w:val="0D0D0D"/>
        </w:rPr>
        <w:t>unreasonable</w:t>
      </w:r>
      <w:r>
        <w:rPr>
          <w:color w:val="0D0D0D"/>
          <w:spacing w:val="-2"/>
        </w:rPr>
        <w:t> </w:t>
      </w:r>
      <w:r>
        <w:rPr>
          <w:color w:val="0D0D0D"/>
        </w:rPr>
        <w:t>because</w:t>
      </w:r>
      <w:r>
        <w:rPr>
          <w:color w:val="0D0D0D"/>
          <w:spacing w:val="-2"/>
        </w:rPr>
        <w:t> </w:t>
      </w:r>
      <w:r>
        <w:rPr>
          <w:color w:val="0D0D0D"/>
        </w:rPr>
        <w:t>the</w:t>
      </w:r>
      <w:r>
        <w:rPr>
          <w:color w:val="0D0D0D"/>
          <w:spacing w:val="-2"/>
        </w:rPr>
        <w:t> </w:t>
      </w:r>
      <w:r>
        <w:rPr>
          <w:color w:val="0D0D0D"/>
        </w:rPr>
        <w:t>ERG</w:t>
      </w:r>
      <w:r>
        <w:rPr>
          <w:color w:val="0D0D0D"/>
          <w:spacing w:val="-2"/>
        </w:rPr>
        <w:t> </w:t>
      </w:r>
      <w:r>
        <w:rPr>
          <w:color w:val="0D0D0D"/>
        </w:rPr>
        <w:t>and/or</w:t>
      </w:r>
      <w:r>
        <w:rPr>
          <w:color w:val="0D0D0D"/>
          <w:spacing w:val="-2"/>
        </w:rPr>
        <w:t> </w:t>
      </w:r>
      <w:r>
        <w:rPr>
          <w:color w:val="0D0D0D"/>
        </w:rPr>
        <w:t>the</w:t>
      </w:r>
      <w:r>
        <w:rPr>
          <w:color w:val="0D0D0D"/>
          <w:spacing w:val="-2"/>
        </w:rPr>
        <w:t> </w:t>
      </w:r>
      <w:r>
        <w:rPr>
          <w:color w:val="0D0D0D"/>
        </w:rPr>
        <w:t>Committee</w:t>
      </w:r>
      <w:r>
        <w:rPr>
          <w:color w:val="0D0D0D"/>
          <w:spacing w:val="-2"/>
        </w:rPr>
        <w:t> </w:t>
      </w:r>
      <w:r>
        <w:rPr>
          <w:color w:val="0D0D0D"/>
        </w:rPr>
        <w:t>did</w:t>
      </w:r>
      <w:r>
        <w:rPr>
          <w:color w:val="0D0D0D"/>
          <w:spacing w:val="-2"/>
        </w:rPr>
        <w:t> </w:t>
      </w:r>
      <w:r>
        <w:rPr>
          <w:color w:val="0D0D0D"/>
        </w:rPr>
        <w:t>not</w:t>
      </w:r>
      <w:r>
        <w:rPr>
          <w:color w:val="0D0D0D"/>
          <w:spacing w:val="-3"/>
        </w:rPr>
        <w:t> </w:t>
      </w:r>
      <w:r>
        <w:rPr>
          <w:color w:val="0D0D0D"/>
        </w:rPr>
        <w:t>take</w:t>
      </w:r>
      <w:r>
        <w:rPr>
          <w:color w:val="0D0D0D"/>
          <w:spacing w:val="-1"/>
        </w:rPr>
        <w:t> </w:t>
      </w:r>
      <w:r>
        <w:rPr>
          <w:color w:val="0D0D0D"/>
        </w:rPr>
        <w:t>due account of appropriate experts in reaching their views.</w:t>
      </w:r>
    </w:p>
    <w:p>
      <w:pPr>
        <w:pStyle w:val="BodyText"/>
        <w:spacing w:before="11"/>
      </w:pPr>
    </w:p>
    <w:p>
      <w:pPr>
        <w:pStyle w:val="BodyText"/>
        <w:ind w:left="1100"/>
      </w:pPr>
      <w:r>
        <w:rPr>
          <w:color w:val="0D0D0D"/>
        </w:rPr>
        <w:t>I</w:t>
      </w:r>
      <w:r>
        <w:rPr>
          <w:color w:val="0D0D0D"/>
          <w:spacing w:val="-6"/>
        </w:rPr>
        <w:t> </w:t>
      </w:r>
      <w:r>
        <w:rPr>
          <w:color w:val="0D0D0D"/>
        </w:rPr>
        <w:t>agree</w:t>
      </w:r>
      <w:r>
        <w:rPr>
          <w:color w:val="0D0D0D"/>
          <w:spacing w:val="-2"/>
        </w:rPr>
        <w:t> </w:t>
      </w:r>
      <w:r>
        <w:rPr>
          <w:color w:val="0D0D0D"/>
        </w:rPr>
        <w:t>that</w:t>
      </w:r>
      <w:r>
        <w:rPr>
          <w:color w:val="0D0D0D"/>
          <w:spacing w:val="-3"/>
        </w:rPr>
        <w:t> </w:t>
      </w:r>
      <w:r>
        <w:rPr>
          <w:color w:val="0D0D0D"/>
        </w:rPr>
        <w:t>this</w:t>
      </w:r>
      <w:r>
        <w:rPr>
          <w:color w:val="0D0D0D"/>
          <w:spacing w:val="-3"/>
        </w:rPr>
        <w:t> </w:t>
      </w:r>
      <w:r>
        <w:rPr>
          <w:color w:val="0D0D0D"/>
        </w:rPr>
        <w:t>is</w:t>
      </w:r>
      <w:r>
        <w:rPr>
          <w:color w:val="0D0D0D"/>
          <w:spacing w:val="-2"/>
        </w:rPr>
        <w:t> </w:t>
      </w:r>
      <w:r>
        <w:rPr>
          <w:color w:val="0D0D0D"/>
        </w:rPr>
        <w:t>an</w:t>
      </w:r>
      <w:r>
        <w:rPr>
          <w:color w:val="0D0D0D"/>
          <w:spacing w:val="-2"/>
        </w:rPr>
        <w:t> </w:t>
      </w:r>
      <w:r>
        <w:rPr>
          <w:color w:val="0D0D0D"/>
        </w:rPr>
        <w:t>arguable</w:t>
      </w:r>
      <w:r>
        <w:rPr>
          <w:color w:val="0D0D0D"/>
          <w:spacing w:val="-2"/>
        </w:rPr>
        <w:t> </w:t>
      </w:r>
      <w:r>
        <w:rPr>
          <w:color w:val="0D0D0D"/>
        </w:rPr>
        <w:t>appeal</w:t>
      </w:r>
      <w:r>
        <w:rPr>
          <w:color w:val="0D0D0D"/>
          <w:spacing w:val="-3"/>
        </w:rPr>
        <w:t> </w:t>
      </w:r>
      <w:r>
        <w:rPr>
          <w:color w:val="0D0D0D"/>
        </w:rPr>
        <w:t>point</w:t>
      </w:r>
      <w:r>
        <w:rPr>
          <w:color w:val="0D0D0D"/>
          <w:spacing w:val="-3"/>
        </w:rPr>
        <w:t> </w:t>
      </w:r>
      <w:r>
        <w:rPr>
          <w:color w:val="0D0D0D"/>
        </w:rPr>
        <w:t>and</w:t>
      </w:r>
      <w:r>
        <w:rPr>
          <w:color w:val="0D0D0D"/>
          <w:spacing w:val="-2"/>
        </w:rPr>
        <w:t> </w:t>
      </w:r>
      <w:r>
        <w:rPr>
          <w:color w:val="0D0D0D"/>
        </w:rPr>
        <w:t>refer</w:t>
      </w:r>
      <w:r>
        <w:rPr>
          <w:color w:val="0D0D0D"/>
          <w:spacing w:val="-3"/>
        </w:rPr>
        <w:t> </w:t>
      </w:r>
      <w:r>
        <w:rPr>
          <w:color w:val="0D0D0D"/>
        </w:rPr>
        <w:t>it</w:t>
      </w:r>
      <w:r>
        <w:rPr>
          <w:color w:val="0D0D0D"/>
          <w:spacing w:val="-5"/>
        </w:rPr>
        <w:t> </w:t>
      </w:r>
      <w:r>
        <w:rPr>
          <w:color w:val="0D0D0D"/>
        </w:rPr>
        <w:t>to</w:t>
      </w:r>
      <w:r>
        <w:rPr>
          <w:color w:val="0D0D0D"/>
          <w:spacing w:val="-2"/>
        </w:rPr>
        <w:t> </w:t>
      </w:r>
      <w:r>
        <w:rPr>
          <w:color w:val="0D0D0D"/>
        </w:rPr>
        <w:t>an</w:t>
      </w:r>
      <w:r>
        <w:rPr>
          <w:color w:val="0D0D0D"/>
          <w:spacing w:val="-2"/>
        </w:rPr>
        <w:t> </w:t>
      </w:r>
      <w:r>
        <w:rPr>
          <w:color w:val="0D0D0D"/>
        </w:rPr>
        <w:t>appeal</w:t>
      </w:r>
      <w:r>
        <w:rPr>
          <w:color w:val="0D0D0D"/>
          <w:spacing w:val="-2"/>
        </w:rPr>
        <w:t> </w:t>
      </w:r>
      <w:r>
        <w:rPr>
          <w:color w:val="0D0D0D"/>
        </w:rPr>
        <w:t>panel</w:t>
      </w:r>
      <w:r>
        <w:rPr>
          <w:color w:val="0D0D0D"/>
          <w:spacing w:val="-3"/>
        </w:rPr>
        <w:t> </w:t>
      </w:r>
      <w:r>
        <w:rPr>
          <w:color w:val="0D0D0D"/>
        </w:rPr>
        <w:t>for</w:t>
      </w:r>
      <w:r>
        <w:rPr>
          <w:color w:val="0D0D0D"/>
          <w:spacing w:val="-2"/>
        </w:rPr>
        <w:t> </w:t>
      </w:r>
      <w:r>
        <w:rPr>
          <w:color w:val="0D0D0D"/>
        </w:rPr>
        <w:t>hearing,</w:t>
      </w:r>
      <w:r>
        <w:rPr>
          <w:color w:val="0D0D0D"/>
          <w:spacing w:val="-3"/>
        </w:rPr>
        <w:t> </w:t>
      </w:r>
      <w:r>
        <w:rPr>
          <w:color w:val="0D0D0D"/>
        </w:rPr>
        <w:t>as</w:t>
      </w:r>
      <w:r>
        <w:rPr>
          <w:color w:val="0D0D0D"/>
          <w:spacing w:val="-2"/>
        </w:rPr>
        <w:t> follows: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280352</wp:posOffset>
            </wp:positionH>
            <wp:positionV relativeFrom="paragraph">
              <wp:posOffset>93973</wp:posOffset>
            </wp:positionV>
            <wp:extent cx="6975639" cy="36576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563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0"/>
        </w:rPr>
        <w:sectPr>
          <w:type w:val="continuous"/>
          <w:pgSz w:w="11910" w:h="16840"/>
          <w:pgMar w:top="620" w:bottom="280" w:left="340" w:right="280"/>
        </w:sectPr>
      </w:pPr>
    </w:p>
    <w:p>
      <w:pPr>
        <w:spacing w:line="276" w:lineRule="auto" w:before="81"/>
        <w:ind w:left="1820" w:right="1195" w:firstLine="0"/>
        <w:jc w:val="left"/>
        <w:rPr>
          <w:i/>
          <w:sz w:val="20"/>
        </w:rPr>
      </w:pPr>
      <w:r>
        <w:rPr>
          <w:i/>
          <w:color w:val="0D0D0D"/>
          <w:sz w:val="20"/>
        </w:rPr>
        <w:t>The</w:t>
      </w:r>
      <w:r>
        <w:rPr>
          <w:i/>
          <w:color w:val="0D0D0D"/>
          <w:spacing w:val="-3"/>
          <w:sz w:val="20"/>
        </w:rPr>
        <w:t> </w:t>
      </w:r>
      <w:r>
        <w:rPr>
          <w:i/>
          <w:color w:val="0D0D0D"/>
          <w:sz w:val="20"/>
        </w:rPr>
        <w:t>Committee's</w:t>
      </w:r>
      <w:r>
        <w:rPr>
          <w:i/>
          <w:color w:val="0D0D0D"/>
          <w:spacing w:val="-3"/>
          <w:sz w:val="20"/>
        </w:rPr>
        <w:t> </w:t>
      </w:r>
      <w:r>
        <w:rPr>
          <w:i/>
          <w:color w:val="0D0D0D"/>
          <w:sz w:val="20"/>
        </w:rPr>
        <w:t>decision</w:t>
      </w:r>
      <w:r>
        <w:rPr>
          <w:i/>
          <w:color w:val="0D0D0D"/>
          <w:spacing w:val="-4"/>
          <w:sz w:val="20"/>
        </w:rPr>
        <w:t> </w:t>
      </w:r>
      <w:r>
        <w:rPr>
          <w:i/>
          <w:color w:val="0D0D0D"/>
          <w:sz w:val="20"/>
        </w:rPr>
        <w:t>to</w:t>
      </w:r>
      <w:r>
        <w:rPr>
          <w:i/>
          <w:color w:val="0D0D0D"/>
          <w:spacing w:val="-4"/>
          <w:sz w:val="20"/>
        </w:rPr>
        <w:t> </w:t>
      </w:r>
      <w:r>
        <w:rPr>
          <w:i/>
          <w:color w:val="0D0D0D"/>
          <w:sz w:val="20"/>
        </w:rPr>
        <w:t>adopt</w:t>
      </w:r>
      <w:r>
        <w:rPr>
          <w:i/>
          <w:color w:val="0D0D0D"/>
          <w:spacing w:val="-4"/>
          <w:sz w:val="20"/>
        </w:rPr>
        <w:t> </w:t>
      </w:r>
      <w:r>
        <w:rPr>
          <w:i/>
          <w:color w:val="0D0D0D"/>
          <w:sz w:val="20"/>
        </w:rPr>
        <w:t>modelling</w:t>
      </w:r>
      <w:r>
        <w:rPr>
          <w:i/>
          <w:color w:val="0D0D0D"/>
          <w:spacing w:val="-3"/>
          <w:sz w:val="20"/>
        </w:rPr>
        <w:t> </w:t>
      </w:r>
      <w:r>
        <w:rPr>
          <w:i/>
          <w:color w:val="0D0D0D"/>
          <w:sz w:val="20"/>
        </w:rPr>
        <w:t>using</w:t>
      </w:r>
      <w:r>
        <w:rPr>
          <w:i/>
          <w:color w:val="0D0D0D"/>
          <w:spacing w:val="-3"/>
          <w:sz w:val="20"/>
        </w:rPr>
        <w:t> </w:t>
      </w:r>
      <w:r>
        <w:rPr>
          <w:i/>
          <w:color w:val="0D0D0D"/>
          <w:sz w:val="20"/>
        </w:rPr>
        <w:t>monthly</w:t>
      </w:r>
      <w:r>
        <w:rPr>
          <w:i/>
          <w:color w:val="0D0D0D"/>
          <w:spacing w:val="-3"/>
          <w:sz w:val="20"/>
        </w:rPr>
        <w:t> </w:t>
      </w:r>
      <w:r>
        <w:rPr>
          <w:i/>
          <w:color w:val="0D0D0D"/>
          <w:sz w:val="20"/>
        </w:rPr>
        <w:t>best</w:t>
      </w:r>
      <w:r>
        <w:rPr>
          <w:i/>
          <w:color w:val="0D0D0D"/>
          <w:spacing w:val="-4"/>
          <w:sz w:val="20"/>
        </w:rPr>
        <w:t> </w:t>
      </w:r>
      <w:r>
        <w:rPr>
          <w:i/>
          <w:color w:val="0D0D0D"/>
          <w:sz w:val="20"/>
        </w:rPr>
        <w:t>supportive</w:t>
      </w:r>
      <w:r>
        <w:rPr>
          <w:i/>
          <w:color w:val="0D0D0D"/>
          <w:spacing w:val="-5"/>
          <w:sz w:val="20"/>
        </w:rPr>
        <w:t> </w:t>
      </w:r>
      <w:r>
        <w:rPr>
          <w:i/>
          <w:color w:val="0D0D0D"/>
          <w:sz w:val="20"/>
        </w:rPr>
        <w:t>care</w:t>
      </w:r>
      <w:r>
        <w:rPr>
          <w:i/>
          <w:color w:val="0D0D0D"/>
          <w:spacing w:val="-3"/>
          <w:sz w:val="20"/>
        </w:rPr>
        <w:t> </w:t>
      </w:r>
      <w:r>
        <w:rPr>
          <w:i/>
          <w:color w:val="0D0D0D"/>
          <w:sz w:val="20"/>
        </w:rPr>
        <w:t>costs</w:t>
      </w:r>
      <w:r>
        <w:rPr>
          <w:i/>
          <w:color w:val="0D0D0D"/>
          <w:spacing w:val="-3"/>
          <w:sz w:val="20"/>
        </w:rPr>
        <w:t> </w:t>
      </w:r>
      <w:r>
        <w:rPr>
          <w:i/>
          <w:color w:val="0D0D0D"/>
          <w:sz w:val="20"/>
        </w:rPr>
        <w:t>is</w:t>
      </w:r>
      <w:r>
        <w:rPr>
          <w:i/>
          <w:color w:val="0D0D0D"/>
          <w:sz w:val="20"/>
        </w:rPr>
        <w:t> unreasonable because the ERG and/or the Committee did not take due account of appropriate experts in reaching their views.</w:t>
      </w:r>
    </w:p>
    <w:p>
      <w:pPr>
        <w:pStyle w:val="BodyText"/>
        <w:spacing w:before="10"/>
        <w:rPr>
          <w:i/>
        </w:rPr>
      </w:pPr>
    </w:p>
    <w:p>
      <w:pPr>
        <w:pStyle w:val="BodyText"/>
        <w:ind w:left="1100"/>
      </w:pPr>
      <w:r>
        <w:rPr>
          <w:spacing w:val="-2"/>
          <w:u w:val="single"/>
        </w:rPr>
        <w:t>Conclusion</w:t>
      </w:r>
    </w:p>
    <w:p>
      <w:pPr>
        <w:pStyle w:val="BodyText"/>
        <w:spacing w:before="9"/>
        <w:rPr>
          <w:sz w:val="15"/>
        </w:rPr>
      </w:pPr>
    </w:p>
    <w:p>
      <w:pPr>
        <w:pStyle w:val="BodyText"/>
        <w:spacing w:before="94"/>
        <w:ind w:left="1100"/>
      </w:pPr>
      <w:r>
        <w:rPr/>
        <w:t>Therefore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valid</w:t>
      </w:r>
      <w:r>
        <w:rPr>
          <w:spacing w:val="-2"/>
        </w:rPr>
        <w:t> </w:t>
      </w:r>
      <w:r>
        <w:rPr/>
        <w:t>appeal</w:t>
      </w:r>
      <w:r>
        <w:rPr>
          <w:spacing w:val="-5"/>
        </w:rPr>
        <w:t> </w:t>
      </w:r>
      <w:r>
        <w:rPr/>
        <w:t>points</w:t>
      </w:r>
      <w:r>
        <w:rPr>
          <w:spacing w:val="-2"/>
        </w:rPr>
        <w:t> </w:t>
      </w:r>
      <w:r>
        <w:rPr>
          <w:spacing w:val="-4"/>
        </w:rPr>
        <w:t>are: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2180" w:val="left" w:leader="none"/>
        </w:tabs>
        <w:spacing w:line="288" w:lineRule="auto" w:before="1" w:after="0"/>
        <w:ind w:left="2180" w:right="1158" w:hanging="720"/>
        <w:jc w:val="both"/>
        <w:rPr>
          <w:sz w:val="20"/>
        </w:rPr>
      </w:pPr>
      <w:r>
        <w:rPr>
          <w:sz w:val="20"/>
        </w:rPr>
        <w:t>2.1:</w:t>
      </w:r>
      <w:r>
        <w:rPr>
          <w:spacing w:val="-12"/>
          <w:sz w:val="20"/>
        </w:rPr>
        <w:t> </w:t>
      </w:r>
      <w:r>
        <w:rPr>
          <w:color w:val="0D0D0D"/>
          <w:sz w:val="20"/>
        </w:rPr>
        <w:t>The</w:t>
      </w:r>
      <w:r>
        <w:rPr>
          <w:color w:val="0D0D0D"/>
          <w:spacing w:val="-11"/>
          <w:sz w:val="20"/>
        </w:rPr>
        <w:t> </w:t>
      </w:r>
      <w:r>
        <w:rPr>
          <w:color w:val="0D0D0D"/>
          <w:sz w:val="20"/>
        </w:rPr>
        <w:t>Committee's</w:t>
      </w:r>
      <w:r>
        <w:rPr>
          <w:color w:val="0D0D0D"/>
          <w:spacing w:val="-11"/>
          <w:sz w:val="20"/>
        </w:rPr>
        <w:t> </w:t>
      </w:r>
      <w:r>
        <w:rPr>
          <w:color w:val="0D0D0D"/>
          <w:sz w:val="20"/>
        </w:rPr>
        <w:t>decision</w:t>
      </w:r>
      <w:r>
        <w:rPr>
          <w:color w:val="0D0D0D"/>
          <w:spacing w:val="-11"/>
          <w:sz w:val="20"/>
        </w:rPr>
        <w:t> </w:t>
      </w:r>
      <w:r>
        <w:rPr>
          <w:color w:val="0D0D0D"/>
          <w:sz w:val="20"/>
        </w:rPr>
        <w:t>to</w:t>
      </w:r>
      <w:r>
        <w:rPr>
          <w:color w:val="0D0D0D"/>
          <w:spacing w:val="-12"/>
          <w:sz w:val="20"/>
        </w:rPr>
        <w:t> </w:t>
      </w:r>
      <w:r>
        <w:rPr>
          <w:color w:val="0D0D0D"/>
          <w:sz w:val="20"/>
        </w:rPr>
        <w:t>adopt</w:t>
      </w:r>
      <w:r>
        <w:rPr>
          <w:color w:val="0D0D0D"/>
          <w:spacing w:val="-12"/>
          <w:sz w:val="20"/>
        </w:rPr>
        <w:t> </w:t>
      </w:r>
      <w:r>
        <w:rPr>
          <w:color w:val="0D0D0D"/>
          <w:sz w:val="20"/>
        </w:rPr>
        <w:t>modelling</w:t>
      </w:r>
      <w:r>
        <w:rPr>
          <w:color w:val="0D0D0D"/>
          <w:spacing w:val="-11"/>
          <w:sz w:val="20"/>
        </w:rPr>
        <w:t> </w:t>
      </w:r>
      <w:r>
        <w:rPr>
          <w:color w:val="0D0D0D"/>
          <w:sz w:val="20"/>
        </w:rPr>
        <w:t>using</w:t>
      </w:r>
      <w:r>
        <w:rPr>
          <w:color w:val="0D0D0D"/>
          <w:spacing w:val="-11"/>
          <w:sz w:val="20"/>
        </w:rPr>
        <w:t> </w:t>
      </w:r>
      <w:r>
        <w:rPr>
          <w:color w:val="0D0D0D"/>
          <w:sz w:val="20"/>
        </w:rPr>
        <w:t>monthly</w:t>
      </w:r>
      <w:r>
        <w:rPr>
          <w:color w:val="0D0D0D"/>
          <w:spacing w:val="-11"/>
          <w:sz w:val="20"/>
        </w:rPr>
        <w:t> </w:t>
      </w:r>
      <w:r>
        <w:rPr>
          <w:color w:val="0D0D0D"/>
          <w:sz w:val="20"/>
        </w:rPr>
        <w:t>best</w:t>
      </w:r>
      <w:r>
        <w:rPr>
          <w:color w:val="0D0D0D"/>
          <w:spacing w:val="-12"/>
          <w:sz w:val="20"/>
        </w:rPr>
        <w:t> </w:t>
      </w:r>
      <w:r>
        <w:rPr>
          <w:color w:val="0D0D0D"/>
          <w:sz w:val="20"/>
        </w:rPr>
        <w:t>supportive</w:t>
      </w:r>
      <w:r>
        <w:rPr>
          <w:color w:val="0D0D0D"/>
          <w:spacing w:val="-12"/>
          <w:sz w:val="20"/>
        </w:rPr>
        <w:t> </w:t>
      </w:r>
      <w:r>
        <w:rPr>
          <w:color w:val="0D0D0D"/>
          <w:sz w:val="20"/>
        </w:rPr>
        <w:t>care</w:t>
      </w:r>
      <w:r>
        <w:rPr>
          <w:color w:val="0D0D0D"/>
          <w:spacing w:val="-12"/>
          <w:sz w:val="20"/>
        </w:rPr>
        <w:t> </w:t>
      </w:r>
      <w:r>
        <w:rPr>
          <w:color w:val="0D0D0D"/>
          <w:sz w:val="20"/>
        </w:rPr>
        <w:t>costs is unreasonable because the ERG and/or the Committee did not take due account of appropriate experts in reaching their views.</w:t>
      </w:r>
    </w:p>
    <w:p>
      <w:pPr>
        <w:pStyle w:val="BodyText"/>
        <w:spacing w:before="8"/>
      </w:pPr>
    </w:p>
    <w:p>
      <w:pPr>
        <w:pStyle w:val="BodyText"/>
        <w:spacing w:line="276" w:lineRule="auto"/>
        <w:ind w:left="1100" w:right="226"/>
      </w:pPr>
      <w:r>
        <w:rPr/>
        <w:t>NICE</w:t>
      </w:r>
      <w:r>
        <w:rPr>
          <w:spacing w:val="40"/>
        </w:rPr>
        <w:t> </w:t>
      </w:r>
      <w:r>
        <w:rPr/>
        <w:t>shares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valid</w:t>
      </w:r>
      <w:r>
        <w:rPr>
          <w:spacing w:val="40"/>
        </w:rPr>
        <w:t> </w:t>
      </w:r>
      <w:r>
        <w:rPr/>
        <w:t>appeal</w:t>
      </w:r>
      <w:r>
        <w:rPr>
          <w:spacing w:val="40"/>
        </w:rPr>
        <w:t> </w:t>
      </w:r>
      <w:r>
        <w:rPr/>
        <w:t>grounds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appellant</w:t>
      </w:r>
      <w:r>
        <w:rPr>
          <w:spacing w:val="40"/>
        </w:rPr>
        <w:t> </w:t>
      </w:r>
      <w:r>
        <w:rPr/>
        <w:t>with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other</w:t>
      </w:r>
      <w:r>
        <w:rPr>
          <w:spacing w:val="40"/>
        </w:rPr>
        <w:t> </w:t>
      </w:r>
      <w:r>
        <w:rPr/>
        <w:t>appellants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assist</w:t>
      </w:r>
      <w:r>
        <w:rPr>
          <w:spacing w:val="40"/>
        </w:rPr>
        <w:t> </w:t>
      </w:r>
      <w:r>
        <w:rPr/>
        <w:t>with preparation for the hearing.</w:t>
      </w:r>
    </w:p>
    <w:p>
      <w:pPr>
        <w:pStyle w:val="BodyText"/>
        <w:spacing w:before="11"/>
      </w:pPr>
    </w:p>
    <w:p>
      <w:pPr>
        <w:pStyle w:val="BodyText"/>
        <w:ind w:left="1100"/>
      </w:pPr>
      <w:r>
        <w:rPr/>
        <w:t>NICE</w:t>
      </w:r>
      <w:r>
        <w:rPr>
          <w:spacing w:val="-6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with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regarding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appeal,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held</w:t>
      </w:r>
      <w:r>
        <w:rPr>
          <w:spacing w:val="-3"/>
        </w:rPr>
        <w:t> </w:t>
      </w:r>
      <w:r>
        <w:rPr>
          <w:spacing w:val="-2"/>
        </w:rPr>
        <w:t>orally.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3"/>
        </w:rPr>
      </w:pPr>
    </w:p>
    <w:p>
      <w:pPr>
        <w:pStyle w:val="BodyText"/>
        <w:spacing w:before="1"/>
        <w:ind w:left="1100"/>
      </w:pPr>
      <w:r>
        <w:rPr/>
        <w:t>Yours</w:t>
      </w:r>
      <w:r>
        <w:rPr>
          <w:spacing w:val="-3"/>
        </w:rPr>
        <w:t> </w:t>
      </w:r>
      <w:r>
        <w:rPr>
          <w:spacing w:val="-2"/>
        </w:rPr>
        <w:t>sincerely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796062</wp:posOffset>
                </wp:positionH>
                <wp:positionV relativeFrom="paragraph">
                  <wp:posOffset>166839</wp:posOffset>
                </wp:positionV>
                <wp:extent cx="1687830" cy="112268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687830" cy="1122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7830" h="1122680">
                              <a:moveTo>
                                <a:pt x="1687487" y="0"/>
                              </a:moveTo>
                              <a:lnTo>
                                <a:pt x="0" y="0"/>
                              </a:lnTo>
                              <a:lnTo>
                                <a:pt x="0" y="1122222"/>
                              </a:lnTo>
                              <a:lnTo>
                                <a:pt x="1687487" y="1122222"/>
                              </a:lnTo>
                              <a:lnTo>
                                <a:pt x="16874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2.682098pt;margin-top:13.137005pt;width:132.873pt;height:88.364pt;mso-position-horizontal-relative:page;mso-position-vertical-relative:paragraph;z-index:-1572556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ind w:left="1100"/>
      </w:pPr>
      <w:r>
        <w:rPr/>
        <w:t>Dr</w:t>
      </w:r>
      <w:r>
        <w:rPr>
          <w:spacing w:val="-2"/>
        </w:rPr>
        <w:t> </w:t>
      </w:r>
      <w:r>
        <w:rPr/>
        <w:t>Mark</w:t>
      </w:r>
      <w:r>
        <w:rPr>
          <w:spacing w:val="-2"/>
        </w:rPr>
        <w:t> Chakravarty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528" w:lineRule="auto"/>
        <w:ind w:left="1100" w:right="4334"/>
      </w:pPr>
      <w:r>
        <w:rPr/>
        <w:t>Lead</w:t>
      </w:r>
      <w:r>
        <w:rPr>
          <w:spacing w:val="-7"/>
        </w:rPr>
        <w:t> </w:t>
      </w:r>
      <w:r>
        <w:rPr/>
        <w:t>Non-Executive</w:t>
      </w:r>
      <w:r>
        <w:rPr>
          <w:spacing w:val="-5"/>
        </w:rPr>
        <w:t> </w:t>
      </w:r>
      <w:r>
        <w:rPr/>
        <w:t>Director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Appeals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Vice</w:t>
      </w:r>
      <w:r>
        <w:rPr>
          <w:spacing w:val="-5"/>
        </w:rPr>
        <w:t> </w:t>
      </w:r>
      <w:r>
        <w:rPr/>
        <w:t>Chairman National Institute for Health and Care Excellence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spacing w:before="55"/>
        <w:ind w:left="0" w:right="1265" w:firstLine="0"/>
        <w:jc w:val="right"/>
        <w:rPr>
          <w:rFonts w:ascii="Calibri"/>
          <w:sz w:val="22"/>
        </w:rPr>
      </w:pPr>
      <w:r>
        <w:rPr>
          <w:rFonts w:ascii="Calibri"/>
          <w:sz w:val="22"/>
        </w:rPr>
        <w:t>Page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|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pacing w:val="-10"/>
          <w:sz w:val="22"/>
        </w:rPr>
        <w:t>2</w:t>
      </w:r>
    </w:p>
    <w:sectPr>
      <w:pgSz w:w="11910" w:h="16840"/>
      <w:pgMar w:top="1340" w:bottom="280" w:left="34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80" w:hanging="72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09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01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11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2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3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43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5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5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00" w:right="1157"/>
      <w:jc w:val="both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80" w:right="1158" w:hanging="720"/>
      <w:jc w:val="both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2023-10-11T11:15:22Z</dcterms:created>
  <dcterms:modified xsi:type="dcterms:W3CDTF">2023-10-11T11:15:22Z</dcterms:modified>
</cp:coreProperties>
</file>