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856"/>
        <w:rPr>
          <w:rFonts w:ascii="Times New Roman"/>
          <w:sz w:val="20"/>
        </w:rPr>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1220469</wp:posOffset>
                </wp:positionV>
                <wp:extent cx="7541895"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41895" cy="19050"/>
                        </a:xfrm>
                        <a:custGeom>
                          <a:avLst/>
                          <a:gdLst/>
                          <a:ahLst/>
                          <a:cxnLst/>
                          <a:rect l="l" t="t" r="r" b="b"/>
                          <a:pathLst>
                            <a:path w="7541895" h="19050">
                              <a:moveTo>
                                <a:pt x="7541895" y="0"/>
                              </a:moveTo>
                              <a:lnTo>
                                <a:pt x="0" y="0"/>
                              </a:lnTo>
                              <a:lnTo>
                                <a:pt x="0" y="19050"/>
                              </a:lnTo>
                              <a:lnTo>
                                <a:pt x="7541895" y="19050"/>
                              </a:lnTo>
                              <a:lnTo>
                                <a:pt x="7541895" y="0"/>
                              </a:lnTo>
                              <a:close/>
                            </a:path>
                          </a:pathLst>
                        </a:custGeom>
                        <a:solidFill>
                          <a:srgbClr val="FFA804"/>
                        </a:solidFill>
                      </wps:spPr>
                      <wps:bodyPr wrap="square" lIns="0" tIns="0" rIns="0" bIns="0" rtlCol="0">
                        <a:prstTxWarp prst="textNoShape">
                          <a:avLst/>
                        </a:prstTxWarp>
                        <a:noAutofit/>
                      </wps:bodyPr>
                    </wps:wsp>
                  </a:graphicData>
                </a:graphic>
              </wp:anchor>
            </w:drawing>
          </mc:Choice>
          <mc:Fallback>
            <w:pict>
              <v:rect style="position:absolute;margin-left:0pt;margin-top:96.099983pt;width:593.85pt;height:1.5pt;mso-position-horizontal-relative:page;mso-position-vertical-relative:page;z-index:15728640" id="docshape1" filled="true" fillcolor="#ffa804" stroked="false">
                <v:fill type="solid"/>
                <w10:wrap type="none"/>
              </v:rect>
            </w:pict>
          </mc:Fallback>
        </mc:AlternateContent>
      </w: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9741534</wp:posOffset>
                </wp:positionV>
                <wp:extent cx="756094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560945" cy="9525"/>
                        </a:xfrm>
                        <a:custGeom>
                          <a:avLst/>
                          <a:gdLst/>
                          <a:ahLst/>
                          <a:cxnLst/>
                          <a:rect l="l" t="t" r="r" b="b"/>
                          <a:pathLst>
                            <a:path w="7560945" h="9525">
                              <a:moveTo>
                                <a:pt x="7560564" y="0"/>
                              </a:moveTo>
                              <a:lnTo>
                                <a:pt x="0" y="0"/>
                              </a:lnTo>
                              <a:lnTo>
                                <a:pt x="0" y="9525"/>
                              </a:lnTo>
                              <a:lnTo>
                                <a:pt x="7560564" y="9525"/>
                              </a:lnTo>
                              <a:lnTo>
                                <a:pt x="7560564" y="0"/>
                              </a:lnTo>
                              <a:close/>
                            </a:path>
                          </a:pathLst>
                        </a:custGeom>
                        <a:solidFill>
                          <a:srgbClr val="09466C"/>
                        </a:solidFill>
                      </wps:spPr>
                      <wps:bodyPr wrap="square" lIns="0" tIns="0" rIns="0" bIns="0" rtlCol="0">
                        <a:prstTxWarp prst="textNoShape">
                          <a:avLst/>
                        </a:prstTxWarp>
                        <a:noAutofit/>
                      </wps:bodyPr>
                    </wps:wsp>
                  </a:graphicData>
                </a:graphic>
              </wp:anchor>
            </w:drawing>
          </mc:Choice>
          <mc:Fallback>
            <w:pict>
              <v:rect style="position:absolute;margin-left:0pt;margin-top:767.049988pt;width:595.320pt;height:.75pt;mso-position-horizontal-relative:page;mso-position-vertical-relative:page;z-index:15729152" id="docshape2" filled="true" fillcolor="#09466c" stroked="false">
                <v:fill type="solid"/>
                <w10:wrap type="none"/>
              </v:rect>
            </w:pict>
          </mc:Fallback>
        </mc:AlternateContent>
      </w:r>
      <w:r>
        <w:rPr>
          <w:rFonts w:ascii="Times New Roman"/>
          <w:sz w:val="20"/>
        </w:rPr>
        <w:drawing>
          <wp:inline distT="0" distB="0" distL="0" distR="0">
            <wp:extent cx="2368956" cy="294894"/>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2368956" cy="294894"/>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7"/>
        </w:rPr>
      </w:pPr>
    </w:p>
    <w:p>
      <w:pPr>
        <w:pStyle w:val="BodyText"/>
        <w:spacing w:before="93"/>
        <w:ind w:left="120"/>
      </w:pPr>
      <w:r>
        <w:rPr/>
        <w:t>21</w:t>
      </w:r>
      <w:r>
        <w:rPr>
          <w:position w:val="7"/>
          <w:sz w:val="14"/>
        </w:rPr>
        <w:t>st</w:t>
      </w:r>
      <w:r>
        <w:rPr>
          <w:spacing w:val="8"/>
          <w:position w:val="7"/>
          <w:sz w:val="14"/>
        </w:rPr>
        <w:t> </w:t>
      </w:r>
      <w:r>
        <w:rPr/>
        <w:t>September</w:t>
      </w:r>
      <w:r>
        <w:rPr>
          <w:spacing w:val="-11"/>
        </w:rPr>
        <w:t> </w:t>
      </w:r>
      <w:r>
        <w:rPr>
          <w:spacing w:val="-4"/>
        </w:rPr>
        <w:t>2023</w:t>
      </w:r>
    </w:p>
    <w:p>
      <w:pPr>
        <w:pStyle w:val="BodyText"/>
        <w:spacing w:before="8"/>
        <w:rPr>
          <w:sz w:val="21"/>
        </w:rPr>
      </w:pPr>
    </w:p>
    <w:p>
      <w:pPr>
        <w:pStyle w:val="BodyText"/>
        <w:spacing w:line="252" w:lineRule="exact" w:before="1"/>
        <w:ind w:left="120"/>
      </w:pPr>
      <w:r>
        <w:rPr/>
        <w:t>Dr</w:t>
      </w:r>
      <w:r>
        <w:rPr>
          <w:spacing w:val="-8"/>
        </w:rPr>
        <w:t> </w:t>
      </w:r>
      <w:r>
        <w:rPr/>
        <w:t>Mark</w:t>
      </w:r>
      <w:r>
        <w:rPr>
          <w:spacing w:val="-5"/>
        </w:rPr>
        <w:t> </w:t>
      </w:r>
      <w:r>
        <w:rPr>
          <w:spacing w:val="-2"/>
        </w:rPr>
        <w:t>Chakravarty</w:t>
      </w:r>
    </w:p>
    <w:p>
      <w:pPr>
        <w:pStyle w:val="BodyText"/>
        <w:spacing w:line="252" w:lineRule="exact"/>
        <w:ind w:left="120"/>
      </w:pPr>
      <w:r>
        <w:rPr/>
        <w:t>Lead</w:t>
      </w:r>
      <w:r>
        <w:rPr>
          <w:spacing w:val="-16"/>
        </w:rPr>
        <w:t> </w:t>
      </w:r>
      <w:r>
        <w:rPr/>
        <w:t>non-executive</w:t>
      </w:r>
      <w:r>
        <w:rPr>
          <w:spacing w:val="-15"/>
        </w:rPr>
        <w:t> </w:t>
      </w:r>
      <w:r>
        <w:rPr/>
        <w:t>director</w:t>
      </w:r>
      <w:r>
        <w:rPr>
          <w:spacing w:val="-15"/>
        </w:rPr>
        <w:t> </w:t>
      </w:r>
      <w:r>
        <w:rPr/>
        <w:t>for</w:t>
      </w:r>
      <w:r>
        <w:rPr>
          <w:spacing w:val="-14"/>
        </w:rPr>
        <w:t> </w:t>
      </w:r>
      <w:r>
        <w:rPr>
          <w:spacing w:val="-2"/>
        </w:rPr>
        <w:t>appeals</w:t>
      </w:r>
    </w:p>
    <w:p>
      <w:pPr>
        <w:pStyle w:val="BodyText"/>
        <w:spacing w:before="5"/>
        <w:ind w:left="120" w:right="4556"/>
      </w:pPr>
      <w:r>
        <w:rPr/>
        <w:t>National</w:t>
      </w:r>
      <w:r>
        <w:rPr>
          <w:spacing w:val="-12"/>
        </w:rPr>
        <w:t> </w:t>
      </w:r>
      <w:r>
        <w:rPr/>
        <w:t>Institute</w:t>
      </w:r>
      <w:r>
        <w:rPr>
          <w:spacing w:val="-16"/>
        </w:rPr>
        <w:t> </w:t>
      </w:r>
      <w:r>
        <w:rPr/>
        <w:t>for</w:t>
      </w:r>
      <w:r>
        <w:rPr>
          <w:spacing w:val="-11"/>
        </w:rPr>
        <w:t> </w:t>
      </w:r>
      <w:r>
        <w:rPr/>
        <w:t>Health</w:t>
      </w:r>
      <w:r>
        <w:rPr>
          <w:spacing w:val="-13"/>
        </w:rPr>
        <w:t> </w:t>
      </w:r>
      <w:r>
        <w:rPr/>
        <w:t>and</w:t>
      </w:r>
      <w:r>
        <w:rPr>
          <w:spacing w:val="-13"/>
        </w:rPr>
        <w:t> </w:t>
      </w:r>
      <w:r>
        <w:rPr/>
        <w:t>Care</w:t>
      </w:r>
      <w:r>
        <w:rPr>
          <w:spacing w:val="-13"/>
        </w:rPr>
        <w:t> </w:t>
      </w:r>
      <w:r>
        <w:rPr/>
        <w:t>Excellence 2nd Floor</w:t>
      </w:r>
    </w:p>
    <w:p>
      <w:pPr>
        <w:pStyle w:val="BodyText"/>
        <w:ind w:left="120" w:right="7257"/>
      </w:pPr>
      <w:r>
        <w:rPr/>
        <w:t>2</w:t>
      </w:r>
      <w:r>
        <w:rPr>
          <w:spacing w:val="-14"/>
        </w:rPr>
        <w:t> </w:t>
      </w:r>
      <w:r>
        <w:rPr/>
        <w:t>Redman</w:t>
      </w:r>
      <w:r>
        <w:rPr>
          <w:spacing w:val="-14"/>
        </w:rPr>
        <w:t> </w:t>
      </w:r>
      <w:r>
        <w:rPr/>
        <w:t>Place London</w:t>
      </w:r>
      <w:r>
        <w:rPr>
          <w:spacing w:val="-10"/>
        </w:rPr>
        <w:t> </w:t>
      </w:r>
      <w:r>
        <w:rPr/>
        <w:t>E20</w:t>
      </w:r>
      <w:r>
        <w:rPr>
          <w:spacing w:val="-10"/>
        </w:rPr>
        <w:t> </w:t>
      </w:r>
      <w:r>
        <w:rPr>
          <w:spacing w:val="-5"/>
        </w:rPr>
        <w:t>1J</w:t>
      </w:r>
      <w:r>
        <w:rPr>
          <w:spacing w:val="-5"/>
        </w:rPr>
        <w:t>Q</w:t>
      </w:r>
    </w:p>
    <w:p>
      <w:pPr>
        <w:pStyle w:val="BodyText"/>
        <w:rPr>
          <w:sz w:val="24"/>
        </w:rPr>
      </w:pPr>
    </w:p>
    <w:p>
      <w:pPr>
        <w:pStyle w:val="BodyText"/>
        <w:rPr>
          <w:sz w:val="24"/>
        </w:rPr>
      </w:pPr>
    </w:p>
    <w:p>
      <w:pPr>
        <w:pStyle w:val="BodyText"/>
        <w:spacing w:before="205"/>
        <w:ind w:left="120"/>
        <w:jc w:val="both"/>
      </w:pPr>
      <w:r>
        <w:rPr/>
        <w:t>Dear</w:t>
      </w:r>
      <w:r>
        <w:rPr>
          <w:spacing w:val="-8"/>
        </w:rPr>
        <w:t> </w:t>
      </w:r>
      <w:r>
        <w:rPr/>
        <w:t>Dr</w:t>
      </w:r>
      <w:r>
        <w:rPr>
          <w:spacing w:val="-6"/>
        </w:rPr>
        <w:t> </w:t>
      </w:r>
      <w:r>
        <w:rPr>
          <w:spacing w:val="-2"/>
        </w:rPr>
        <w:t>Chakravarty,</w:t>
      </w:r>
    </w:p>
    <w:p>
      <w:pPr>
        <w:pStyle w:val="BodyText"/>
        <w:spacing w:before="6"/>
        <w:rPr>
          <w:sz w:val="28"/>
        </w:rPr>
      </w:pPr>
    </w:p>
    <w:p>
      <w:pPr>
        <w:pStyle w:val="Heading1"/>
        <w:spacing w:line="276" w:lineRule="auto" w:before="1"/>
        <w:jc w:val="left"/>
      </w:pPr>
      <w:r>
        <w:rPr/>
        <w:t>APPEAL</w:t>
      </w:r>
      <w:r>
        <w:rPr>
          <w:spacing w:val="-6"/>
        </w:rPr>
        <w:t> </w:t>
      </w:r>
      <w:r>
        <w:rPr/>
        <w:t>AGAINST</w:t>
      </w:r>
      <w:r>
        <w:rPr>
          <w:spacing w:val="-5"/>
        </w:rPr>
        <w:t> </w:t>
      </w:r>
      <w:r>
        <w:rPr/>
        <w:t>THE</w:t>
      </w:r>
      <w:r>
        <w:rPr>
          <w:spacing w:val="-6"/>
        </w:rPr>
        <w:t> </w:t>
      </w:r>
      <w:r>
        <w:rPr/>
        <w:t>FINAL</w:t>
      </w:r>
      <w:r>
        <w:rPr>
          <w:spacing w:val="-6"/>
        </w:rPr>
        <w:t> </w:t>
      </w:r>
      <w:r>
        <w:rPr/>
        <w:t>APPRAISAL</w:t>
      </w:r>
      <w:r>
        <w:rPr>
          <w:spacing w:val="-6"/>
        </w:rPr>
        <w:t> </w:t>
      </w:r>
      <w:r>
        <w:rPr/>
        <w:t>DOCUMENT:</w:t>
      </w:r>
      <w:r>
        <w:rPr>
          <w:spacing w:val="-6"/>
        </w:rPr>
        <w:t> </w:t>
      </w:r>
      <w:r>
        <w:rPr/>
        <w:t>TEBENTAFUSP</w:t>
      </w:r>
      <w:r>
        <w:rPr>
          <w:spacing w:val="-6"/>
        </w:rPr>
        <w:t> </w:t>
      </w:r>
      <w:r>
        <w:rPr/>
        <w:t>FOR</w:t>
      </w:r>
      <w:r>
        <w:rPr>
          <w:spacing w:val="-5"/>
        </w:rPr>
        <w:t> </w:t>
      </w:r>
      <w:r>
        <w:rPr/>
        <w:t>TREATING ADVANCED UVEAL MELANOMA [ID1441]</w:t>
      </w:r>
    </w:p>
    <w:p>
      <w:pPr>
        <w:pStyle w:val="BodyText"/>
        <w:spacing w:before="6"/>
        <w:rPr>
          <w:b/>
          <w:sz w:val="25"/>
        </w:rPr>
      </w:pPr>
    </w:p>
    <w:p>
      <w:pPr>
        <w:pStyle w:val="BodyText"/>
        <w:spacing w:line="276" w:lineRule="auto"/>
        <w:ind w:left="120" w:right="150"/>
        <w:jc w:val="both"/>
      </w:pPr>
      <w:r>
        <w:rPr/>
        <w:t>Thank you for your letter dated 7</w:t>
      </w:r>
      <w:r>
        <w:rPr>
          <w:position w:val="7"/>
          <w:sz w:val="14"/>
        </w:rPr>
        <w:t>th</w:t>
      </w:r>
      <w:r>
        <w:rPr>
          <w:spacing w:val="27"/>
          <w:position w:val="7"/>
          <w:sz w:val="14"/>
        </w:rPr>
        <w:t> </w:t>
      </w:r>
      <w:r>
        <w:rPr/>
        <w:t>September 2023, in which you set out your preliminary views in</w:t>
      </w:r>
      <w:r>
        <w:rPr>
          <w:spacing w:val="-11"/>
        </w:rPr>
        <w:t> </w:t>
      </w:r>
      <w:r>
        <w:rPr/>
        <w:t>relation</w:t>
      </w:r>
      <w:r>
        <w:rPr>
          <w:spacing w:val="-11"/>
        </w:rPr>
        <w:t> </w:t>
      </w:r>
      <w:r>
        <w:rPr/>
        <w:t>to</w:t>
      </w:r>
      <w:r>
        <w:rPr>
          <w:spacing w:val="-14"/>
        </w:rPr>
        <w:t> </w:t>
      </w:r>
      <w:r>
        <w:rPr/>
        <w:t>the</w:t>
      </w:r>
      <w:r>
        <w:rPr>
          <w:spacing w:val="-12"/>
        </w:rPr>
        <w:t> </w:t>
      </w:r>
      <w:r>
        <w:rPr/>
        <w:t>admissibility</w:t>
      </w:r>
      <w:r>
        <w:rPr>
          <w:spacing w:val="-12"/>
        </w:rPr>
        <w:t> </w:t>
      </w:r>
      <w:r>
        <w:rPr/>
        <w:t>of</w:t>
      </w:r>
      <w:r>
        <w:rPr>
          <w:spacing w:val="-9"/>
        </w:rPr>
        <w:t> </w:t>
      </w:r>
      <w:r>
        <w:rPr/>
        <w:t>the</w:t>
      </w:r>
      <w:r>
        <w:rPr>
          <w:spacing w:val="-14"/>
        </w:rPr>
        <w:t> </w:t>
      </w:r>
      <w:r>
        <w:rPr/>
        <w:t>points</w:t>
      </w:r>
      <w:r>
        <w:rPr>
          <w:spacing w:val="-9"/>
        </w:rPr>
        <w:t> </w:t>
      </w:r>
      <w:r>
        <w:rPr/>
        <w:t>of</w:t>
      </w:r>
      <w:r>
        <w:rPr>
          <w:spacing w:val="-11"/>
        </w:rPr>
        <w:t> </w:t>
      </w:r>
      <w:r>
        <w:rPr/>
        <w:t>appeal</w:t>
      </w:r>
      <w:r>
        <w:rPr>
          <w:spacing w:val="-11"/>
        </w:rPr>
        <w:t> </w:t>
      </w:r>
      <w:r>
        <w:rPr/>
        <w:t>in</w:t>
      </w:r>
      <w:r>
        <w:rPr>
          <w:spacing w:val="-11"/>
        </w:rPr>
        <w:t> </w:t>
      </w:r>
      <w:r>
        <w:rPr/>
        <w:t>our</w:t>
      </w:r>
      <w:r>
        <w:rPr>
          <w:spacing w:val="-11"/>
        </w:rPr>
        <w:t> </w:t>
      </w:r>
      <w:r>
        <w:rPr/>
        <w:t>letter</w:t>
      </w:r>
      <w:r>
        <w:rPr>
          <w:spacing w:val="-10"/>
        </w:rPr>
        <w:t> </w:t>
      </w:r>
      <w:r>
        <w:rPr/>
        <w:t>of</w:t>
      </w:r>
      <w:r>
        <w:rPr>
          <w:spacing w:val="-10"/>
        </w:rPr>
        <w:t> </w:t>
      </w:r>
      <w:r>
        <w:rPr/>
        <w:t>appeal</w:t>
      </w:r>
      <w:r>
        <w:rPr>
          <w:spacing w:val="-12"/>
        </w:rPr>
        <w:t> </w:t>
      </w:r>
      <w:r>
        <w:rPr/>
        <w:t>dated</w:t>
      </w:r>
      <w:r>
        <w:rPr>
          <w:spacing w:val="-7"/>
        </w:rPr>
        <w:t> </w:t>
      </w:r>
      <w:r>
        <w:rPr/>
        <w:t>31</w:t>
      </w:r>
      <w:r>
        <w:rPr>
          <w:position w:val="7"/>
          <w:sz w:val="14"/>
        </w:rPr>
        <w:t>st</w:t>
      </w:r>
      <w:r>
        <w:rPr>
          <w:spacing w:val="10"/>
          <w:position w:val="7"/>
          <w:sz w:val="14"/>
        </w:rPr>
        <w:t> </w:t>
      </w:r>
      <w:r>
        <w:rPr/>
        <w:t>August</w:t>
      </w:r>
      <w:r>
        <w:rPr>
          <w:spacing w:val="11"/>
        </w:rPr>
        <w:t> </w:t>
      </w:r>
      <w:r>
        <w:rPr/>
        <w:t>2023.</w:t>
      </w:r>
    </w:p>
    <w:p>
      <w:pPr>
        <w:pStyle w:val="BodyText"/>
        <w:spacing w:before="2"/>
        <w:rPr>
          <w:sz w:val="25"/>
        </w:rPr>
      </w:pPr>
    </w:p>
    <w:p>
      <w:pPr>
        <w:pStyle w:val="BodyText"/>
        <w:spacing w:line="276" w:lineRule="auto"/>
        <w:ind w:left="120" w:right="145"/>
        <w:jc w:val="both"/>
      </w:pPr>
      <w:r>
        <w:rPr/>
        <w:t>As</w:t>
      </w:r>
      <w:r>
        <w:rPr>
          <w:spacing w:val="-12"/>
        </w:rPr>
        <w:t> </w:t>
      </w:r>
      <w:r>
        <w:rPr/>
        <w:t>suggested</w:t>
      </w:r>
      <w:r>
        <w:rPr>
          <w:spacing w:val="-13"/>
        </w:rPr>
        <w:t> </w:t>
      </w:r>
      <w:r>
        <w:rPr/>
        <w:t>in</w:t>
      </w:r>
      <w:r>
        <w:rPr>
          <w:spacing w:val="-14"/>
        </w:rPr>
        <w:t> </w:t>
      </w:r>
      <w:r>
        <w:rPr/>
        <w:t>your</w:t>
      </w:r>
      <w:r>
        <w:rPr>
          <w:spacing w:val="-12"/>
        </w:rPr>
        <w:t> </w:t>
      </w:r>
      <w:r>
        <w:rPr/>
        <w:t>letter</w:t>
      </w:r>
      <w:r>
        <w:rPr>
          <w:spacing w:val="-12"/>
        </w:rPr>
        <w:t> </w:t>
      </w:r>
      <w:r>
        <w:rPr/>
        <w:t>we</w:t>
      </w:r>
      <w:r>
        <w:rPr>
          <w:spacing w:val="-14"/>
        </w:rPr>
        <w:t> </w:t>
      </w:r>
      <w:r>
        <w:rPr/>
        <w:t>provide</w:t>
      </w:r>
      <w:r>
        <w:rPr>
          <w:spacing w:val="-13"/>
        </w:rPr>
        <w:t> </w:t>
      </w:r>
      <w:r>
        <w:rPr/>
        <w:t>below</w:t>
      </w:r>
      <w:r>
        <w:rPr>
          <w:spacing w:val="-14"/>
        </w:rPr>
        <w:t> </w:t>
      </w:r>
      <w:r>
        <w:rPr/>
        <w:t>additional</w:t>
      </w:r>
      <w:r>
        <w:rPr>
          <w:spacing w:val="-14"/>
        </w:rPr>
        <w:t> </w:t>
      </w:r>
      <w:r>
        <w:rPr/>
        <w:t>details</w:t>
      </w:r>
      <w:r>
        <w:rPr>
          <w:spacing w:val="-14"/>
        </w:rPr>
        <w:t> </w:t>
      </w:r>
      <w:r>
        <w:rPr/>
        <w:t>to</w:t>
      </w:r>
      <w:r>
        <w:rPr>
          <w:spacing w:val="-14"/>
        </w:rPr>
        <w:t> </w:t>
      </w:r>
      <w:r>
        <w:rPr/>
        <w:t>elaborate,</w:t>
      </w:r>
      <w:r>
        <w:rPr>
          <w:spacing w:val="-15"/>
        </w:rPr>
        <w:t> </w:t>
      </w:r>
      <w:r>
        <w:rPr/>
        <w:t>comment</w:t>
      </w:r>
      <w:r>
        <w:rPr>
          <w:spacing w:val="-12"/>
        </w:rPr>
        <w:t> </w:t>
      </w:r>
      <w:r>
        <w:rPr/>
        <w:t>on,</w:t>
      </w:r>
      <w:r>
        <w:rPr>
          <w:spacing w:val="-12"/>
        </w:rPr>
        <w:t> </w:t>
      </w:r>
      <w:r>
        <w:rPr/>
        <w:t>or</w:t>
      </w:r>
      <w:r>
        <w:rPr>
          <w:spacing w:val="-15"/>
        </w:rPr>
        <w:t> </w:t>
      </w:r>
      <w:r>
        <w:rPr/>
        <w:t>clarify those points of appeal (listed below) where your preliminary view was that these should not be referred to the appeal panel.</w:t>
      </w:r>
    </w:p>
    <w:p>
      <w:pPr>
        <w:pStyle w:val="BodyText"/>
        <w:spacing w:before="4"/>
        <w:rPr>
          <w:sz w:val="25"/>
        </w:rPr>
      </w:pPr>
    </w:p>
    <w:p>
      <w:pPr>
        <w:spacing w:line="276" w:lineRule="auto" w:before="0"/>
        <w:ind w:left="120" w:right="150" w:firstLine="0"/>
        <w:jc w:val="both"/>
        <w:rPr>
          <w:b/>
          <w:i/>
          <w:sz w:val="22"/>
        </w:rPr>
      </w:pPr>
      <w:r>
        <w:rPr>
          <w:b/>
          <w:i/>
          <w:sz w:val="22"/>
        </w:rPr>
        <w:t>Ground</w:t>
      </w:r>
      <w:r>
        <w:rPr>
          <w:b/>
          <w:i/>
          <w:spacing w:val="-16"/>
          <w:sz w:val="22"/>
        </w:rPr>
        <w:t> </w:t>
      </w:r>
      <w:r>
        <w:rPr>
          <w:b/>
          <w:i/>
          <w:sz w:val="22"/>
        </w:rPr>
        <w:t>1(a):</w:t>
      </w:r>
      <w:r>
        <w:rPr>
          <w:b/>
          <w:i/>
          <w:spacing w:val="-15"/>
          <w:sz w:val="22"/>
        </w:rPr>
        <w:t> </w:t>
      </w:r>
      <w:r>
        <w:rPr>
          <w:b/>
          <w:i/>
          <w:sz w:val="22"/>
        </w:rPr>
        <w:t>In</w:t>
      </w:r>
      <w:r>
        <w:rPr>
          <w:b/>
          <w:i/>
          <w:spacing w:val="-15"/>
          <w:sz w:val="22"/>
        </w:rPr>
        <w:t> </w:t>
      </w:r>
      <w:r>
        <w:rPr>
          <w:b/>
          <w:i/>
          <w:sz w:val="22"/>
        </w:rPr>
        <w:t>making</w:t>
      </w:r>
      <w:r>
        <w:rPr>
          <w:b/>
          <w:i/>
          <w:spacing w:val="-16"/>
          <w:sz w:val="22"/>
        </w:rPr>
        <w:t> </w:t>
      </w:r>
      <w:r>
        <w:rPr>
          <w:b/>
          <w:i/>
          <w:sz w:val="22"/>
        </w:rPr>
        <w:t>the</w:t>
      </w:r>
      <w:r>
        <w:rPr>
          <w:b/>
          <w:i/>
          <w:spacing w:val="-15"/>
          <w:sz w:val="22"/>
        </w:rPr>
        <w:t> </w:t>
      </w:r>
      <w:r>
        <w:rPr>
          <w:b/>
          <w:i/>
          <w:sz w:val="22"/>
        </w:rPr>
        <w:t>assessment</w:t>
      </w:r>
      <w:r>
        <w:rPr>
          <w:b/>
          <w:i/>
          <w:spacing w:val="-15"/>
          <w:sz w:val="22"/>
        </w:rPr>
        <w:t> </w:t>
      </w:r>
      <w:r>
        <w:rPr>
          <w:b/>
          <w:i/>
          <w:sz w:val="22"/>
        </w:rPr>
        <w:t>that</w:t>
      </w:r>
      <w:r>
        <w:rPr>
          <w:b/>
          <w:i/>
          <w:spacing w:val="-15"/>
          <w:sz w:val="22"/>
        </w:rPr>
        <w:t> </w:t>
      </w:r>
      <w:r>
        <w:rPr>
          <w:b/>
          <w:i/>
          <w:sz w:val="22"/>
        </w:rPr>
        <w:t>preceded</w:t>
      </w:r>
      <w:r>
        <w:rPr>
          <w:b/>
          <w:i/>
          <w:spacing w:val="-16"/>
          <w:sz w:val="22"/>
        </w:rPr>
        <w:t> </w:t>
      </w:r>
      <w:r>
        <w:rPr>
          <w:b/>
          <w:i/>
          <w:sz w:val="22"/>
        </w:rPr>
        <w:t>the</w:t>
      </w:r>
      <w:r>
        <w:rPr>
          <w:b/>
          <w:i/>
          <w:spacing w:val="-15"/>
          <w:sz w:val="22"/>
        </w:rPr>
        <w:t> </w:t>
      </w:r>
      <w:r>
        <w:rPr>
          <w:b/>
          <w:i/>
          <w:sz w:val="22"/>
        </w:rPr>
        <w:t>recommendation,</w:t>
      </w:r>
      <w:r>
        <w:rPr>
          <w:b/>
          <w:i/>
          <w:spacing w:val="-15"/>
          <w:sz w:val="22"/>
        </w:rPr>
        <w:t> </w:t>
      </w:r>
      <w:r>
        <w:rPr>
          <w:b/>
          <w:i/>
          <w:sz w:val="22"/>
        </w:rPr>
        <w:t>NICE</w:t>
      </w:r>
      <w:r>
        <w:rPr>
          <w:b/>
          <w:i/>
          <w:spacing w:val="-16"/>
          <w:sz w:val="22"/>
        </w:rPr>
        <w:t> </w:t>
      </w:r>
      <w:r>
        <w:rPr>
          <w:b/>
          <w:i/>
          <w:sz w:val="22"/>
        </w:rPr>
        <w:t>has</w:t>
      </w:r>
      <w:r>
        <w:rPr>
          <w:b/>
          <w:i/>
          <w:spacing w:val="-15"/>
          <w:sz w:val="22"/>
        </w:rPr>
        <w:t> </w:t>
      </w:r>
      <w:r>
        <w:rPr>
          <w:b/>
          <w:i/>
          <w:sz w:val="22"/>
        </w:rPr>
        <w:t>failed</w:t>
      </w:r>
      <w:r>
        <w:rPr>
          <w:b/>
          <w:i/>
          <w:sz w:val="22"/>
        </w:rPr>
        <w:t> to act fairly</w:t>
      </w:r>
    </w:p>
    <w:p>
      <w:pPr>
        <w:pStyle w:val="BodyText"/>
        <w:spacing w:before="9"/>
        <w:rPr>
          <w:b/>
          <w:i/>
          <w:sz w:val="20"/>
        </w:rPr>
      </w:pPr>
    </w:p>
    <w:p>
      <w:pPr>
        <w:pStyle w:val="Heading1"/>
        <w:spacing w:line="276" w:lineRule="auto"/>
        <w:ind w:right="147"/>
      </w:pPr>
      <w:r>
        <w:rPr/>
        <w:t>Appeal point 1(a).1: NICE acted unfairly by applying two criteria that it had already confirmed were no-longer appropriate, when it assessed whether tebentafusp should be routed</w:t>
      </w:r>
      <w:r>
        <w:rPr>
          <w:spacing w:val="-15"/>
        </w:rPr>
        <w:t> </w:t>
      </w:r>
      <w:r>
        <w:rPr/>
        <w:t>to</w:t>
      </w:r>
      <w:r>
        <w:rPr>
          <w:spacing w:val="-16"/>
        </w:rPr>
        <w:t> </w:t>
      </w:r>
      <w:r>
        <w:rPr/>
        <w:t>the</w:t>
      </w:r>
      <w:r>
        <w:rPr>
          <w:spacing w:val="-15"/>
        </w:rPr>
        <w:t> </w:t>
      </w:r>
      <w:r>
        <w:rPr/>
        <w:t>Highly</w:t>
      </w:r>
      <w:r>
        <w:rPr>
          <w:spacing w:val="-14"/>
        </w:rPr>
        <w:t> </w:t>
      </w:r>
      <w:r>
        <w:rPr/>
        <w:t>Specialised</w:t>
      </w:r>
      <w:r>
        <w:rPr>
          <w:spacing w:val="-15"/>
        </w:rPr>
        <w:t> </w:t>
      </w:r>
      <w:r>
        <w:rPr/>
        <w:t>Technology</w:t>
      </w:r>
      <w:r>
        <w:rPr>
          <w:spacing w:val="-15"/>
        </w:rPr>
        <w:t> </w:t>
      </w:r>
      <w:r>
        <w:rPr/>
        <w:t>(HST)</w:t>
      </w:r>
      <w:r>
        <w:rPr>
          <w:spacing w:val="-13"/>
        </w:rPr>
        <w:t> </w:t>
      </w:r>
      <w:r>
        <w:rPr/>
        <w:t>programme.</w:t>
      </w:r>
      <w:r>
        <w:rPr>
          <w:spacing w:val="-15"/>
        </w:rPr>
        <w:t> </w:t>
      </w:r>
      <w:r>
        <w:rPr/>
        <w:t>Consequently,</w:t>
      </w:r>
      <w:r>
        <w:rPr>
          <w:spacing w:val="-14"/>
        </w:rPr>
        <w:t> </w:t>
      </w:r>
      <w:r>
        <w:rPr/>
        <w:t>tebentafusp was perversely routed through the Single Technology Appraisal (STA) programme, which is not intended for highly specialised health technologies and was unlikely to lead to a positive recommendation.</w:t>
      </w:r>
    </w:p>
    <w:p>
      <w:pPr>
        <w:pStyle w:val="BodyText"/>
        <w:rPr>
          <w:b/>
          <w:sz w:val="21"/>
        </w:rPr>
      </w:pPr>
    </w:p>
    <w:p>
      <w:pPr>
        <w:pStyle w:val="BodyText"/>
        <w:spacing w:line="276" w:lineRule="auto"/>
        <w:ind w:left="120" w:right="149"/>
        <w:jc w:val="both"/>
      </w:pPr>
      <w:r>
        <w:rPr/>
        <w:t>You express the view that NICE’s routing decision for a technology appraisal falls outside of the scope of this appeals process. We respectfully disagree.</w:t>
      </w:r>
    </w:p>
    <w:p>
      <w:pPr>
        <w:pStyle w:val="BodyText"/>
        <w:spacing w:before="6"/>
        <w:rPr>
          <w:sz w:val="25"/>
        </w:rPr>
      </w:pPr>
    </w:p>
    <w:p>
      <w:pPr>
        <w:spacing w:line="276" w:lineRule="auto" w:before="0"/>
        <w:ind w:left="120" w:right="143" w:firstLine="0"/>
        <w:jc w:val="both"/>
        <w:rPr>
          <w:sz w:val="22"/>
        </w:rPr>
      </w:pPr>
      <w:r>
        <w:rPr>
          <w:sz w:val="22"/>
        </w:rPr>
        <w:t>First, it is evident from NICE’s appeals process guide that the routing decisions </w:t>
      </w:r>
      <w:r>
        <w:rPr>
          <w:sz w:val="22"/>
          <w:u w:val="single"/>
        </w:rPr>
        <w:t>do</w:t>
      </w:r>
      <w:r>
        <w:rPr>
          <w:sz w:val="22"/>
        </w:rPr>
        <w:t> fall within the scope</w:t>
      </w:r>
      <w:r>
        <w:rPr>
          <w:spacing w:val="-14"/>
          <w:sz w:val="22"/>
        </w:rPr>
        <w:t> </w:t>
      </w:r>
      <w:r>
        <w:rPr>
          <w:sz w:val="22"/>
        </w:rPr>
        <w:t>of</w:t>
      </w:r>
      <w:r>
        <w:rPr>
          <w:spacing w:val="-11"/>
          <w:sz w:val="22"/>
        </w:rPr>
        <w:t> </w:t>
      </w:r>
      <w:r>
        <w:rPr>
          <w:sz w:val="22"/>
        </w:rPr>
        <w:t>appeals.</w:t>
      </w:r>
      <w:r>
        <w:rPr>
          <w:spacing w:val="-14"/>
          <w:sz w:val="22"/>
        </w:rPr>
        <w:t> </w:t>
      </w:r>
      <w:r>
        <w:rPr>
          <w:sz w:val="22"/>
        </w:rPr>
        <w:t>In</w:t>
      </w:r>
      <w:r>
        <w:rPr>
          <w:spacing w:val="-14"/>
          <w:sz w:val="22"/>
        </w:rPr>
        <w:t> </w:t>
      </w:r>
      <w:r>
        <w:rPr>
          <w:sz w:val="22"/>
        </w:rPr>
        <w:t>particular,</w:t>
      </w:r>
      <w:r>
        <w:rPr>
          <w:spacing w:val="-12"/>
          <w:sz w:val="22"/>
        </w:rPr>
        <w:t> </w:t>
      </w:r>
      <w:r>
        <w:rPr>
          <w:sz w:val="22"/>
        </w:rPr>
        <w:t>Section</w:t>
      </w:r>
      <w:r>
        <w:rPr>
          <w:spacing w:val="-14"/>
          <w:sz w:val="22"/>
        </w:rPr>
        <w:t> </w:t>
      </w:r>
      <w:r>
        <w:rPr>
          <w:sz w:val="22"/>
        </w:rPr>
        <w:t>4.2</w:t>
      </w:r>
      <w:r>
        <w:rPr>
          <w:spacing w:val="-14"/>
          <w:sz w:val="22"/>
        </w:rPr>
        <w:t> </w:t>
      </w:r>
      <w:r>
        <w:rPr>
          <w:sz w:val="22"/>
        </w:rPr>
        <w:t>of</w:t>
      </w:r>
      <w:r>
        <w:rPr>
          <w:spacing w:val="-12"/>
          <w:sz w:val="22"/>
        </w:rPr>
        <w:t> </w:t>
      </w:r>
      <w:r>
        <w:rPr>
          <w:sz w:val="22"/>
        </w:rPr>
        <w:t>NICE’s</w:t>
      </w:r>
      <w:r>
        <w:rPr>
          <w:spacing w:val="-12"/>
          <w:sz w:val="22"/>
        </w:rPr>
        <w:t> </w:t>
      </w:r>
      <w:r>
        <w:rPr>
          <w:sz w:val="22"/>
        </w:rPr>
        <w:t>appeals</w:t>
      </w:r>
      <w:r>
        <w:rPr>
          <w:spacing w:val="-12"/>
          <w:sz w:val="22"/>
        </w:rPr>
        <w:t> </w:t>
      </w:r>
      <w:r>
        <w:rPr>
          <w:sz w:val="22"/>
        </w:rPr>
        <w:t>process</w:t>
      </w:r>
      <w:r>
        <w:rPr>
          <w:spacing w:val="-14"/>
          <w:sz w:val="22"/>
        </w:rPr>
        <w:t> </w:t>
      </w:r>
      <w:r>
        <w:rPr>
          <w:sz w:val="22"/>
        </w:rPr>
        <w:t>guide</w:t>
      </w:r>
      <w:r>
        <w:rPr>
          <w:spacing w:val="-14"/>
          <w:sz w:val="22"/>
        </w:rPr>
        <w:t> </w:t>
      </w:r>
      <w:r>
        <w:rPr>
          <w:sz w:val="22"/>
        </w:rPr>
        <w:t>confirms</w:t>
      </w:r>
      <w:r>
        <w:rPr>
          <w:spacing w:val="-13"/>
          <w:sz w:val="22"/>
        </w:rPr>
        <w:t> </w:t>
      </w:r>
      <w:r>
        <w:rPr>
          <w:sz w:val="22"/>
        </w:rPr>
        <w:t>that</w:t>
      </w:r>
      <w:r>
        <w:rPr>
          <w:spacing w:val="-13"/>
          <w:sz w:val="22"/>
        </w:rPr>
        <w:t> </w:t>
      </w:r>
      <w:r>
        <w:rPr>
          <w:sz w:val="22"/>
        </w:rPr>
        <w:t>appeals may relate to </w:t>
      </w:r>
      <w:r>
        <w:rPr>
          <w:i/>
          <w:sz w:val="22"/>
        </w:rPr>
        <w:t>“</w:t>
      </w:r>
      <w:r>
        <w:rPr>
          <w:i/>
          <w:sz w:val="22"/>
          <w:u w:val="single"/>
        </w:rPr>
        <w:t>the way that the evaluation was done</w:t>
      </w:r>
      <w:r>
        <w:rPr>
          <w:i/>
          <w:sz w:val="22"/>
        </w:rPr>
        <w:t>”</w:t>
      </w:r>
      <w:r>
        <w:rPr>
          <w:sz w:val="22"/>
        </w:rPr>
        <w:t>. Furthermore, Section 4.3 confirms that ground</w:t>
      </w:r>
      <w:r>
        <w:rPr>
          <w:spacing w:val="-1"/>
          <w:sz w:val="22"/>
        </w:rPr>
        <w:t> </w:t>
      </w:r>
      <w:r>
        <w:rPr>
          <w:sz w:val="22"/>
        </w:rPr>
        <w:t>1(a)</w:t>
      </w:r>
      <w:r>
        <w:rPr>
          <w:spacing w:val="-2"/>
          <w:sz w:val="22"/>
        </w:rPr>
        <w:t> </w:t>
      </w:r>
      <w:r>
        <w:rPr>
          <w:i/>
          <w:sz w:val="22"/>
        </w:rPr>
        <w:t>“relates</w:t>
      </w:r>
      <w:r>
        <w:rPr>
          <w:i/>
          <w:spacing w:val="-2"/>
          <w:sz w:val="22"/>
        </w:rPr>
        <w:t> </w:t>
      </w:r>
      <w:r>
        <w:rPr>
          <w:i/>
          <w:sz w:val="22"/>
        </w:rPr>
        <w:t>only</w:t>
      </w:r>
      <w:r>
        <w:rPr>
          <w:i/>
          <w:spacing w:val="-3"/>
          <w:sz w:val="22"/>
        </w:rPr>
        <w:t> </w:t>
      </w:r>
      <w:r>
        <w:rPr>
          <w:i/>
          <w:sz w:val="22"/>
        </w:rPr>
        <w:t>to</w:t>
      </w:r>
      <w:r>
        <w:rPr>
          <w:i/>
          <w:spacing w:val="-2"/>
          <w:sz w:val="22"/>
        </w:rPr>
        <w:t> </w:t>
      </w:r>
      <w:r>
        <w:rPr>
          <w:i/>
          <w:sz w:val="22"/>
          <w:u w:val="single"/>
        </w:rPr>
        <w:t>the</w:t>
      </w:r>
      <w:r>
        <w:rPr>
          <w:i/>
          <w:spacing w:val="-3"/>
          <w:sz w:val="22"/>
          <w:u w:val="single"/>
        </w:rPr>
        <w:t> </w:t>
      </w:r>
      <w:r>
        <w:rPr>
          <w:i/>
          <w:sz w:val="22"/>
          <w:u w:val="single"/>
        </w:rPr>
        <w:t>fairness</w:t>
      </w:r>
      <w:r>
        <w:rPr>
          <w:i/>
          <w:spacing w:val="-2"/>
          <w:sz w:val="22"/>
          <w:u w:val="single"/>
        </w:rPr>
        <w:t> </w:t>
      </w:r>
      <w:r>
        <w:rPr>
          <w:i/>
          <w:sz w:val="22"/>
          <w:u w:val="single"/>
        </w:rPr>
        <w:t>of</w:t>
      </w:r>
      <w:r>
        <w:rPr>
          <w:i/>
          <w:spacing w:val="-2"/>
          <w:sz w:val="22"/>
          <w:u w:val="single"/>
        </w:rPr>
        <w:t> </w:t>
      </w:r>
      <w:r>
        <w:rPr>
          <w:i/>
          <w:sz w:val="22"/>
          <w:u w:val="single"/>
        </w:rPr>
        <w:t>the</w:t>
      </w:r>
      <w:r>
        <w:rPr>
          <w:i/>
          <w:spacing w:val="-2"/>
          <w:sz w:val="22"/>
          <w:u w:val="single"/>
        </w:rPr>
        <w:t> </w:t>
      </w:r>
      <w:r>
        <w:rPr>
          <w:i/>
          <w:sz w:val="22"/>
          <w:u w:val="single"/>
        </w:rPr>
        <w:t>process</w:t>
      </w:r>
      <w:r>
        <w:rPr>
          <w:i/>
          <w:spacing w:val="-2"/>
          <w:sz w:val="22"/>
          <w:u w:val="single"/>
        </w:rPr>
        <w:t> </w:t>
      </w:r>
      <w:r>
        <w:rPr>
          <w:i/>
          <w:sz w:val="22"/>
          <w:u w:val="single"/>
        </w:rPr>
        <w:t>followed</w:t>
      </w:r>
      <w:r>
        <w:rPr>
          <w:i/>
          <w:spacing w:val="-1"/>
          <w:sz w:val="22"/>
        </w:rPr>
        <w:t> </w:t>
      </w:r>
      <w:r>
        <w:rPr>
          <w:i/>
          <w:sz w:val="22"/>
        </w:rPr>
        <w:t>and</w:t>
      </w:r>
      <w:r>
        <w:rPr>
          <w:i/>
          <w:spacing w:val="-2"/>
          <w:sz w:val="22"/>
        </w:rPr>
        <w:t> </w:t>
      </w:r>
      <w:r>
        <w:rPr>
          <w:i/>
          <w:sz w:val="22"/>
        </w:rPr>
        <w:t>not</w:t>
      </w:r>
      <w:r>
        <w:rPr>
          <w:i/>
          <w:spacing w:val="-2"/>
          <w:sz w:val="22"/>
        </w:rPr>
        <w:t> </w:t>
      </w:r>
      <w:r>
        <w:rPr>
          <w:i/>
          <w:sz w:val="22"/>
        </w:rPr>
        <w:t>to</w:t>
      </w:r>
      <w:r>
        <w:rPr>
          <w:i/>
          <w:spacing w:val="-3"/>
          <w:sz w:val="22"/>
        </w:rPr>
        <w:t> </w:t>
      </w:r>
      <w:r>
        <w:rPr>
          <w:i/>
          <w:sz w:val="22"/>
        </w:rPr>
        <w:t>the</w:t>
      </w:r>
      <w:r>
        <w:rPr>
          <w:i/>
          <w:spacing w:val="-2"/>
          <w:sz w:val="22"/>
        </w:rPr>
        <w:t> </w:t>
      </w:r>
      <w:r>
        <w:rPr>
          <w:i/>
          <w:sz w:val="22"/>
        </w:rPr>
        <w:t>content</w:t>
      </w:r>
      <w:r>
        <w:rPr>
          <w:i/>
          <w:spacing w:val="-3"/>
          <w:sz w:val="22"/>
        </w:rPr>
        <w:t> </w:t>
      </w:r>
      <w:r>
        <w:rPr>
          <w:i/>
          <w:sz w:val="22"/>
        </w:rPr>
        <w:t>of</w:t>
      </w:r>
      <w:r>
        <w:rPr>
          <w:i/>
          <w:spacing w:val="-2"/>
          <w:sz w:val="22"/>
        </w:rPr>
        <w:t> </w:t>
      </w:r>
      <w:r>
        <w:rPr>
          <w:i/>
          <w:sz w:val="22"/>
        </w:rPr>
        <w:t>the</w:t>
      </w:r>
      <w:r>
        <w:rPr>
          <w:i/>
          <w:spacing w:val="-2"/>
          <w:sz w:val="22"/>
        </w:rPr>
        <w:t> </w:t>
      </w:r>
      <w:r>
        <w:rPr>
          <w:i/>
          <w:sz w:val="22"/>
        </w:rPr>
        <w:t>final</w:t>
      </w:r>
      <w:r>
        <w:rPr>
          <w:i/>
          <w:sz w:val="22"/>
        </w:rPr>
        <w:t> draft guidance.” </w:t>
      </w:r>
      <w:r>
        <w:rPr>
          <w:sz w:val="22"/>
        </w:rPr>
        <w:t>It is manifest that the routing decision is in fact </w:t>
      </w:r>
      <w:r>
        <w:rPr>
          <w:i/>
          <w:sz w:val="22"/>
        </w:rPr>
        <w:t>determinative </w:t>
      </w:r>
      <w:r>
        <w:rPr>
          <w:sz w:val="22"/>
        </w:rPr>
        <w:t>of the way the evaluation was done, because it decides the procedure by which the product is assessed, and therefore clearly falls within the scope an appeal.</w:t>
      </w:r>
    </w:p>
    <w:p>
      <w:pPr>
        <w:pStyle w:val="BodyText"/>
        <w:spacing w:before="2"/>
        <w:rPr>
          <w:sz w:val="25"/>
        </w:rPr>
      </w:pPr>
    </w:p>
    <w:p>
      <w:pPr>
        <w:pStyle w:val="BodyText"/>
        <w:spacing w:line="278" w:lineRule="auto"/>
        <w:ind w:left="120" w:right="152"/>
        <w:jc w:val="both"/>
      </w:pPr>
      <w:r>
        <w:rPr/>
        <w:t>To take one example, if an evaluation is performed under the STA procedure the standard ICER threshold</w:t>
      </w:r>
      <w:r>
        <w:rPr>
          <w:spacing w:val="-5"/>
        </w:rPr>
        <w:t> </w:t>
      </w:r>
      <w:r>
        <w:rPr/>
        <w:t>is</w:t>
      </w:r>
      <w:r>
        <w:rPr>
          <w:spacing w:val="-3"/>
        </w:rPr>
        <w:t> </w:t>
      </w:r>
      <w:r>
        <w:rPr/>
        <w:t>£30,000</w:t>
      </w:r>
      <w:r>
        <w:rPr>
          <w:spacing w:val="-4"/>
        </w:rPr>
        <w:t> </w:t>
      </w:r>
      <w:r>
        <w:rPr/>
        <w:t>(before</w:t>
      </w:r>
      <w:r>
        <w:rPr>
          <w:spacing w:val="-1"/>
        </w:rPr>
        <w:t> </w:t>
      </w:r>
      <w:r>
        <w:rPr/>
        <w:t>end-of-life</w:t>
      </w:r>
      <w:r>
        <w:rPr>
          <w:spacing w:val="-4"/>
        </w:rPr>
        <w:t> </w:t>
      </w:r>
      <w:r>
        <w:rPr/>
        <w:t>criteria),</w:t>
      </w:r>
      <w:r>
        <w:rPr>
          <w:spacing w:val="-5"/>
        </w:rPr>
        <w:t> </w:t>
      </w:r>
      <w:r>
        <w:rPr/>
        <w:t>whereas</w:t>
      </w:r>
      <w:r>
        <w:rPr>
          <w:spacing w:val="-1"/>
        </w:rPr>
        <w:t> </w:t>
      </w:r>
      <w:r>
        <w:rPr/>
        <w:t>if</w:t>
      </w:r>
      <w:r>
        <w:rPr>
          <w:spacing w:val="-1"/>
        </w:rPr>
        <w:t> </w:t>
      </w:r>
      <w:r>
        <w:rPr/>
        <w:t>the evaluation</w:t>
      </w:r>
      <w:r>
        <w:rPr>
          <w:spacing w:val="-3"/>
        </w:rPr>
        <w:t> </w:t>
      </w:r>
      <w:r>
        <w:rPr/>
        <w:t>is</w:t>
      </w:r>
      <w:r>
        <w:rPr>
          <w:spacing w:val="-2"/>
        </w:rPr>
        <w:t> </w:t>
      </w:r>
      <w:r>
        <w:rPr/>
        <w:t>performed</w:t>
      </w:r>
      <w:r>
        <w:rPr>
          <w:spacing w:val="-3"/>
        </w:rPr>
        <w:t> </w:t>
      </w:r>
      <w:r>
        <w:rPr/>
        <w:t>under</w:t>
      </w:r>
      <w:r>
        <w:rPr>
          <w:spacing w:val="-3"/>
        </w:rPr>
        <w:t> </w:t>
      </w:r>
      <w:r>
        <w:rPr/>
        <w:t>the</w:t>
      </w:r>
    </w:p>
    <w:p>
      <w:pPr>
        <w:pStyle w:val="BodyText"/>
        <w:spacing w:before="6"/>
        <w:rPr>
          <w:sz w:val="29"/>
        </w:rPr>
      </w:pPr>
    </w:p>
    <w:p>
      <w:pPr>
        <w:spacing w:before="0"/>
        <w:ind w:left="0" w:right="198" w:firstLine="0"/>
        <w:jc w:val="right"/>
        <w:rPr>
          <w:sz w:val="16"/>
        </w:rPr>
      </w:pPr>
      <w:r>
        <w:rPr>
          <w:color w:val="09466C"/>
          <w:sz w:val="16"/>
        </w:rPr>
        <w:t>Immunocore</w:t>
      </w:r>
      <w:r>
        <w:rPr>
          <w:color w:val="09466C"/>
          <w:spacing w:val="-11"/>
          <w:sz w:val="16"/>
        </w:rPr>
        <w:t> </w:t>
      </w:r>
      <w:r>
        <w:rPr>
          <w:color w:val="09466C"/>
          <w:sz w:val="16"/>
        </w:rPr>
        <w:t>Ltd,</w:t>
      </w:r>
      <w:r>
        <w:rPr>
          <w:color w:val="09466C"/>
          <w:spacing w:val="-7"/>
          <w:sz w:val="16"/>
        </w:rPr>
        <w:t> </w:t>
      </w:r>
      <w:r>
        <w:rPr>
          <w:color w:val="09466C"/>
          <w:sz w:val="16"/>
        </w:rPr>
        <w:t>92</w:t>
      </w:r>
      <w:r>
        <w:rPr>
          <w:color w:val="09466C"/>
          <w:spacing w:val="-11"/>
          <w:sz w:val="16"/>
        </w:rPr>
        <w:t> </w:t>
      </w:r>
      <w:r>
        <w:rPr>
          <w:color w:val="09466C"/>
          <w:sz w:val="16"/>
        </w:rPr>
        <w:t>Park</w:t>
      </w:r>
      <w:r>
        <w:rPr>
          <w:color w:val="09466C"/>
          <w:spacing w:val="-11"/>
          <w:sz w:val="16"/>
        </w:rPr>
        <w:t> </w:t>
      </w:r>
      <w:r>
        <w:rPr>
          <w:color w:val="09466C"/>
          <w:sz w:val="16"/>
        </w:rPr>
        <w:t>Drive,</w:t>
      </w:r>
      <w:r>
        <w:rPr>
          <w:color w:val="09466C"/>
          <w:spacing w:val="-9"/>
          <w:sz w:val="16"/>
        </w:rPr>
        <w:t> </w:t>
      </w:r>
      <w:r>
        <w:rPr>
          <w:color w:val="09466C"/>
          <w:sz w:val="16"/>
        </w:rPr>
        <w:t>Milton</w:t>
      </w:r>
      <w:r>
        <w:rPr>
          <w:color w:val="09466C"/>
          <w:spacing w:val="-11"/>
          <w:sz w:val="16"/>
        </w:rPr>
        <w:t> </w:t>
      </w:r>
      <w:r>
        <w:rPr>
          <w:color w:val="09466C"/>
          <w:sz w:val="16"/>
        </w:rPr>
        <w:t>Park,</w:t>
      </w:r>
      <w:r>
        <w:rPr>
          <w:color w:val="09466C"/>
          <w:spacing w:val="-9"/>
          <w:sz w:val="16"/>
        </w:rPr>
        <w:t> </w:t>
      </w:r>
      <w:r>
        <w:rPr>
          <w:color w:val="09466C"/>
          <w:sz w:val="16"/>
        </w:rPr>
        <w:t>Abingdon,</w:t>
      </w:r>
      <w:r>
        <w:rPr>
          <w:color w:val="09466C"/>
          <w:spacing w:val="-9"/>
          <w:sz w:val="16"/>
        </w:rPr>
        <w:t> </w:t>
      </w:r>
      <w:r>
        <w:rPr>
          <w:color w:val="09466C"/>
          <w:sz w:val="16"/>
        </w:rPr>
        <w:t>Oxon,</w:t>
      </w:r>
      <w:r>
        <w:rPr>
          <w:color w:val="09466C"/>
          <w:spacing w:val="-8"/>
          <w:sz w:val="16"/>
        </w:rPr>
        <w:t> </w:t>
      </w:r>
      <w:r>
        <w:rPr>
          <w:color w:val="09466C"/>
          <w:sz w:val="16"/>
        </w:rPr>
        <w:t>OX14</w:t>
      </w:r>
      <w:r>
        <w:rPr>
          <w:color w:val="09466C"/>
          <w:spacing w:val="-10"/>
          <w:sz w:val="16"/>
        </w:rPr>
        <w:t> </w:t>
      </w:r>
      <w:r>
        <w:rPr>
          <w:color w:val="09466C"/>
          <w:sz w:val="16"/>
        </w:rPr>
        <w:t>4DA,</w:t>
      </w:r>
      <w:r>
        <w:rPr>
          <w:color w:val="09466C"/>
          <w:spacing w:val="-9"/>
          <w:sz w:val="16"/>
        </w:rPr>
        <w:t> </w:t>
      </w:r>
      <w:r>
        <w:rPr>
          <w:color w:val="09466C"/>
          <w:spacing w:val="-5"/>
          <w:sz w:val="16"/>
        </w:rPr>
        <w:t>UK</w:t>
      </w:r>
    </w:p>
    <w:p>
      <w:pPr>
        <w:spacing w:before="37"/>
        <w:ind w:left="0" w:right="201" w:firstLine="0"/>
        <w:jc w:val="right"/>
        <w:rPr>
          <w:sz w:val="16"/>
        </w:rPr>
      </w:pPr>
      <w:r>
        <w:rPr>
          <w:color w:val="09466C"/>
          <w:sz w:val="16"/>
        </w:rPr>
        <w:t>T:</w:t>
      </w:r>
      <w:r>
        <w:rPr>
          <w:color w:val="09466C"/>
          <w:spacing w:val="-5"/>
          <w:sz w:val="16"/>
        </w:rPr>
        <w:t> </w:t>
      </w:r>
      <w:r>
        <w:rPr>
          <w:color w:val="09466C"/>
          <w:sz w:val="16"/>
        </w:rPr>
        <w:t>+44</w:t>
      </w:r>
      <w:r>
        <w:rPr>
          <w:color w:val="09466C"/>
          <w:spacing w:val="-7"/>
          <w:sz w:val="16"/>
        </w:rPr>
        <w:t> </w:t>
      </w:r>
      <w:r>
        <w:rPr>
          <w:color w:val="09466C"/>
          <w:sz w:val="16"/>
        </w:rPr>
        <w:t>(0)1235</w:t>
      </w:r>
      <w:r>
        <w:rPr>
          <w:color w:val="09466C"/>
          <w:spacing w:val="-6"/>
          <w:sz w:val="16"/>
        </w:rPr>
        <w:t> </w:t>
      </w:r>
      <w:r>
        <w:rPr>
          <w:color w:val="09466C"/>
          <w:sz w:val="16"/>
        </w:rPr>
        <w:t>438600</w:t>
      </w:r>
      <w:r>
        <w:rPr>
          <w:color w:val="09466C"/>
          <w:spacing w:val="34"/>
          <w:sz w:val="16"/>
        </w:rPr>
        <w:t> </w:t>
      </w:r>
      <w:r>
        <w:rPr>
          <w:color w:val="09466C"/>
          <w:sz w:val="16"/>
        </w:rPr>
        <w:t>|</w:t>
      </w:r>
      <w:r>
        <w:rPr>
          <w:color w:val="09466C"/>
          <w:spacing w:val="35"/>
          <w:sz w:val="16"/>
        </w:rPr>
        <w:t> </w:t>
      </w:r>
      <w:hyperlink r:id="rId6">
        <w:r>
          <w:rPr>
            <w:color w:val="09466C"/>
            <w:spacing w:val="-2"/>
            <w:sz w:val="16"/>
          </w:rPr>
          <w:t>www.immunocore.com</w:t>
        </w:r>
      </w:hyperlink>
    </w:p>
    <w:p>
      <w:pPr>
        <w:spacing w:before="37"/>
        <w:ind w:left="0" w:right="200" w:firstLine="0"/>
        <w:jc w:val="right"/>
        <w:rPr>
          <w:sz w:val="16"/>
        </w:rPr>
      </w:pPr>
      <w:r>
        <w:rPr>
          <w:color w:val="09466C"/>
          <w:sz w:val="16"/>
        </w:rPr>
        <w:t>Registered</w:t>
      </w:r>
      <w:r>
        <w:rPr>
          <w:color w:val="09466C"/>
          <w:spacing w:val="-8"/>
          <w:sz w:val="16"/>
        </w:rPr>
        <w:t> </w:t>
      </w:r>
      <w:r>
        <w:rPr>
          <w:color w:val="09466C"/>
          <w:sz w:val="16"/>
        </w:rPr>
        <w:t>in</w:t>
      </w:r>
      <w:r>
        <w:rPr>
          <w:color w:val="09466C"/>
          <w:spacing w:val="-9"/>
          <w:sz w:val="16"/>
        </w:rPr>
        <w:t> </w:t>
      </w:r>
      <w:r>
        <w:rPr>
          <w:color w:val="09466C"/>
          <w:sz w:val="16"/>
        </w:rPr>
        <w:t>England</w:t>
      </w:r>
      <w:r>
        <w:rPr>
          <w:color w:val="09466C"/>
          <w:spacing w:val="-8"/>
          <w:sz w:val="16"/>
        </w:rPr>
        <w:t> </w:t>
      </w:r>
      <w:r>
        <w:rPr>
          <w:color w:val="09466C"/>
          <w:sz w:val="16"/>
        </w:rPr>
        <w:t>no:</w:t>
      </w:r>
      <w:r>
        <w:rPr>
          <w:color w:val="09466C"/>
          <w:spacing w:val="-5"/>
          <w:sz w:val="16"/>
        </w:rPr>
        <w:t> </w:t>
      </w:r>
      <w:r>
        <w:rPr>
          <w:color w:val="09466C"/>
          <w:sz w:val="16"/>
        </w:rPr>
        <w:t>6456207</w:t>
      </w:r>
      <w:r>
        <w:rPr>
          <w:color w:val="09466C"/>
          <w:spacing w:val="30"/>
          <w:sz w:val="16"/>
        </w:rPr>
        <w:t> </w:t>
      </w:r>
      <w:r>
        <w:rPr>
          <w:color w:val="09466C"/>
          <w:sz w:val="16"/>
        </w:rPr>
        <w:t>|</w:t>
      </w:r>
      <w:r>
        <w:rPr>
          <w:color w:val="09466C"/>
          <w:spacing w:val="29"/>
          <w:sz w:val="16"/>
        </w:rPr>
        <w:t> </w:t>
      </w:r>
      <w:r>
        <w:rPr>
          <w:color w:val="09466C"/>
          <w:sz w:val="16"/>
        </w:rPr>
        <w:t>VAT</w:t>
      </w:r>
      <w:r>
        <w:rPr>
          <w:color w:val="09466C"/>
          <w:spacing w:val="-7"/>
          <w:sz w:val="16"/>
        </w:rPr>
        <w:t> </w:t>
      </w:r>
      <w:r>
        <w:rPr>
          <w:color w:val="09466C"/>
          <w:sz w:val="16"/>
        </w:rPr>
        <w:t>No.</w:t>
      </w:r>
      <w:r>
        <w:rPr>
          <w:color w:val="09466C"/>
          <w:spacing w:val="-6"/>
          <w:sz w:val="16"/>
        </w:rPr>
        <w:t> </w:t>
      </w:r>
      <w:r>
        <w:rPr>
          <w:color w:val="09466C"/>
          <w:sz w:val="16"/>
        </w:rPr>
        <w:t>GB</w:t>
      </w:r>
      <w:r>
        <w:rPr>
          <w:color w:val="09466C"/>
          <w:spacing w:val="-7"/>
          <w:sz w:val="16"/>
        </w:rPr>
        <w:t> </w:t>
      </w:r>
      <w:r>
        <w:rPr>
          <w:color w:val="09466C"/>
          <w:sz w:val="16"/>
        </w:rPr>
        <w:t>939</w:t>
      </w:r>
      <w:r>
        <w:rPr>
          <w:color w:val="09466C"/>
          <w:spacing w:val="-8"/>
          <w:sz w:val="16"/>
        </w:rPr>
        <w:t> </w:t>
      </w:r>
      <w:r>
        <w:rPr>
          <w:color w:val="09466C"/>
          <w:sz w:val="16"/>
        </w:rPr>
        <w:t>6694</w:t>
      </w:r>
      <w:r>
        <w:rPr>
          <w:color w:val="09466C"/>
          <w:spacing w:val="-8"/>
          <w:sz w:val="16"/>
        </w:rPr>
        <w:t> </w:t>
      </w:r>
      <w:r>
        <w:rPr>
          <w:color w:val="09466C"/>
          <w:spacing w:val="-5"/>
          <w:sz w:val="16"/>
        </w:rPr>
        <w:t>55</w:t>
      </w:r>
    </w:p>
    <w:p>
      <w:pPr>
        <w:spacing w:after="0"/>
        <w:jc w:val="right"/>
        <w:rPr>
          <w:sz w:val="16"/>
        </w:rPr>
        <w:sectPr>
          <w:type w:val="continuous"/>
          <w:pgSz w:w="11910" w:h="16840"/>
          <w:pgMar w:top="780" w:bottom="280" w:left="1240" w:right="980"/>
        </w:sectPr>
      </w:pPr>
    </w:p>
    <w:p>
      <w:pPr>
        <w:pStyle w:val="BodyText"/>
        <w:rPr>
          <w:sz w:val="20"/>
        </w:rPr>
      </w:pPr>
    </w:p>
    <w:p>
      <w:pPr>
        <w:pStyle w:val="BodyText"/>
        <w:rPr>
          <w:sz w:val="20"/>
        </w:rPr>
      </w:pPr>
    </w:p>
    <w:p>
      <w:pPr>
        <w:pStyle w:val="BodyText"/>
        <w:spacing w:before="6"/>
        <w:rPr>
          <w:sz w:val="20"/>
        </w:rPr>
      </w:pPr>
    </w:p>
    <w:p>
      <w:pPr>
        <w:pStyle w:val="BodyText"/>
        <w:spacing w:line="276" w:lineRule="auto"/>
        <w:ind w:left="120" w:right="145"/>
        <w:jc w:val="both"/>
      </w:pPr>
      <w:r>
        <w:rPr/>
        <w:t>HST procedure the ICER threshold is £100,000. These different thresholds fundamentally affect how the evaluation is done. Consequently, if a routing decision is incorrectly decided, the entire evaluation is</w:t>
      </w:r>
      <w:r>
        <w:rPr>
          <w:spacing w:val="-1"/>
        </w:rPr>
        <w:t> </w:t>
      </w:r>
      <w:r>
        <w:rPr/>
        <w:t>performed in accordance with the wrong process and the wrong criteria,</w:t>
      </w:r>
      <w:r>
        <w:rPr>
          <w:spacing w:val="-1"/>
        </w:rPr>
        <w:t> </w:t>
      </w:r>
      <w:r>
        <w:rPr/>
        <w:t>which can, as in this case, cause significant unfairness and may lead to an erroneous recommendation.</w:t>
      </w:r>
    </w:p>
    <w:p>
      <w:pPr>
        <w:pStyle w:val="BodyText"/>
        <w:spacing w:before="4"/>
        <w:rPr>
          <w:sz w:val="25"/>
        </w:rPr>
      </w:pPr>
    </w:p>
    <w:p>
      <w:pPr>
        <w:spacing w:line="276" w:lineRule="auto" w:before="1"/>
        <w:ind w:left="120" w:right="144" w:firstLine="0"/>
        <w:jc w:val="both"/>
        <w:rPr>
          <w:sz w:val="22"/>
        </w:rPr>
      </w:pPr>
      <w:r>
        <w:rPr>
          <w:sz w:val="22"/>
        </w:rPr>
        <w:t>Second,</w:t>
      </w:r>
      <w:r>
        <w:rPr>
          <w:spacing w:val="-9"/>
          <w:sz w:val="22"/>
        </w:rPr>
        <w:t> </w:t>
      </w:r>
      <w:r>
        <w:rPr>
          <w:sz w:val="22"/>
        </w:rPr>
        <w:t>NICE’s</w:t>
      </w:r>
      <w:r>
        <w:rPr>
          <w:spacing w:val="-10"/>
          <w:sz w:val="22"/>
        </w:rPr>
        <w:t> </w:t>
      </w:r>
      <w:r>
        <w:rPr>
          <w:sz w:val="22"/>
        </w:rPr>
        <w:t>routing</w:t>
      </w:r>
      <w:r>
        <w:rPr>
          <w:spacing w:val="-10"/>
          <w:sz w:val="22"/>
        </w:rPr>
        <w:t> </w:t>
      </w:r>
      <w:r>
        <w:rPr>
          <w:sz w:val="22"/>
        </w:rPr>
        <w:t>procedure</w:t>
      </w:r>
      <w:r>
        <w:rPr>
          <w:spacing w:val="-11"/>
          <w:sz w:val="22"/>
        </w:rPr>
        <w:t> </w:t>
      </w:r>
      <w:r>
        <w:rPr>
          <w:sz w:val="22"/>
        </w:rPr>
        <w:t>is</w:t>
      </w:r>
      <w:r>
        <w:rPr>
          <w:spacing w:val="-10"/>
          <w:sz w:val="22"/>
        </w:rPr>
        <w:t> </w:t>
      </w:r>
      <w:r>
        <w:rPr>
          <w:sz w:val="22"/>
        </w:rPr>
        <w:t>legally</w:t>
      </w:r>
      <w:r>
        <w:rPr>
          <w:spacing w:val="-11"/>
          <w:sz w:val="22"/>
        </w:rPr>
        <w:t> </w:t>
      </w:r>
      <w:r>
        <w:rPr>
          <w:sz w:val="22"/>
        </w:rPr>
        <w:t>part</w:t>
      </w:r>
      <w:r>
        <w:rPr>
          <w:spacing w:val="-12"/>
          <w:sz w:val="22"/>
        </w:rPr>
        <w:t> </w:t>
      </w:r>
      <w:r>
        <w:rPr>
          <w:sz w:val="22"/>
        </w:rPr>
        <w:t>of</w:t>
      </w:r>
      <w:r>
        <w:rPr>
          <w:spacing w:val="-10"/>
          <w:sz w:val="22"/>
        </w:rPr>
        <w:t> </w:t>
      </w:r>
      <w:r>
        <w:rPr>
          <w:sz w:val="22"/>
        </w:rPr>
        <w:t>the</w:t>
      </w:r>
      <w:r>
        <w:rPr>
          <w:spacing w:val="-12"/>
          <w:sz w:val="22"/>
        </w:rPr>
        <w:t> </w:t>
      </w:r>
      <w:r>
        <w:rPr>
          <w:sz w:val="22"/>
        </w:rPr>
        <w:t>technology</w:t>
      </w:r>
      <w:r>
        <w:rPr>
          <w:spacing w:val="-10"/>
          <w:sz w:val="22"/>
        </w:rPr>
        <w:t> </w:t>
      </w:r>
      <w:r>
        <w:rPr>
          <w:sz w:val="22"/>
        </w:rPr>
        <w:t>appraisal</w:t>
      </w:r>
      <w:r>
        <w:rPr>
          <w:spacing w:val="-10"/>
          <w:sz w:val="22"/>
        </w:rPr>
        <w:t> </w:t>
      </w:r>
      <w:r>
        <w:rPr>
          <w:sz w:val="22"/>
        </w:rPr>
        <w:t>recommendation</w:t>
      </w:r>
      <w:r>
        <w:rPr>
          <w:spacing w:val="-11"/>
          <w:sz w:val="22"/>
        </w:rPr>
        <w:t> </w:t>
      </w:r>
      <w:r>
        <w:rPr>
          <w:sz w:val="22"/>
        </w:rPr>
        <w:t>and high specialised technology recommendations procedures, pursuant to Regulations 7 and 8 of The National Institute for Health and Care Excellence (Constitution and Functions) and NHS England (Information Functions) Regulations 2013. This is confirmed, </w:t>
      </w:r>
      <w:r>
        <w:rPr>
          <w:i/>
          <w:sz w:val="22"/>
        </w:rPr>
        <w:t>inter alia, </w:t>
      </w:r>
      <w:r>
        <w:rPr>
          <w:sz w:val="22"/>
        </w:rPr>
        <w:t>by the fact that the HST criteria are </w:t>
      </w:r>
      <w:r>
        <w:rPr>
          <w:sz w:val="22"/>
          <w:u w:val="single"/>
        </w:rPr>
        <w:t>part of </w:t>
      </w:r>
      <w:r>
        <w:rPr>
          <w:sz w:val="22"/>
        </w:rPr>
        <w:t>the Interim Process and Methods of the Highly Specialised Technologies Programme Updated to reflect 2017 changes, and by the fact that this procedure was issued pursuant to Regulation 8(8) </w:t>
      </w:r>
      <w:r>
        <w:rPr>
          <w:i/>
          <w:sz w:val="22"/>
        </w:rPr>
        <w:t>“NICE must establish a procedure for the appraisal of</w:t>
      </w:r>
      <w:r>
        <w:rPr>
          <w:i/>
          <w:sz w:val="22"/>
        </w:rPr>
        <w:t> highly</w:t>
      </w:r>
      <w:r>
        <w:rPr>
          <w:i/>
          <w:spacing w:val="-8"/>
          <w:sz w:val="22"/>
        </w:rPr>
        <w:t> </w:t>
      </w:r>
      <w:r>
        <w:rPr>
          <w:i/>
          <w:sz w:val="22"/>
        </w:rPr>
        <w:t>specialised</w:t>
      </w:r>
      <w:r>
        <w:rPr>
          <w:i/>
          <w:spacing w:val="-7"/>
          <w:sz w:val="22"/>
        </w:rPr>
        <w:t> </w:t>
      </w:r>
      <w:r>
        <w:rPr>
          <w:i/>
          <w:sz w:val="22"/>
        </w:rPr>
        <w:t>health</w:t>
      </w:r>
      <w:r>
        <w:rPr>
          <w:i/>
          <w:spacing w:val="-10"/>
          <w:sz w:val="22"/>
        </w:rPr>
        <w:t> </w:t>
      </w:r>
      <w:r>
        <w:rPr>
          <w:i/>
          <w:sz w:val="22"/>
        </w:rPr>
        <w:t>technologies,</w:t>
      </w:r>
      <w:r>
        <w:rPr>
          <w:i/>
          <w:spacing w:val="-8"/>
          <w:sz w:val="22"/>
        </w:rPr>
        <w:t> </w:t>
      </w:r>
      <w:r>
        <w:rPr>
          <w:i/>
          <w:sz w:val="22"/>
        </w:rPr>
        <w:t>and</w:t>
      </w:r>
      <w:r>
        <w:rPr>
          <w:i/>
          <w:spacing w:val="-9"/>
          <w:sz w:val="22"/>
        </w:rPr>
        <w:t> </w:t>
      </w:r>
      <w:r>
        <w:rPr>
          <w:i/>
          <w:sz w:val="22"/>
        </w:rPr>
        <w:t>must</w:t>
      </w:r>
      <w:r>
        <w:rPr>
          <w:i/>
          <w:spacing w:val="-9"/>
          <w:sz w:val="22"/>
        </w:rPr>
        <w:t> </w:t>
      </w:r>
      <w:r>
        <w:rPr>
          <w:i/>
          <w:sz w:val="22"/>
        </w:rPr>
        <w:t>consult</w:t>
      </w:r>
      <w:r>
        <w:rPr>
          <w:i/>
          <w:spacing w:val="-7"/>
          <w:sz w:val="22"/>
        </w:rPr>
        <w:t> </w:t>
      </w:r>
      <w:r>
        <w:rPr>
          <w:i/>
          <w:sz w:val="22"/>
        </w:rPr>
        <w:t>such</w:t>
      </w:r>
      <w:r>
        <w:rPr>
          <w:i/>
          <w:spacing w:val="-8"/>
          <w:sz w:val="22"/>
        </w:rPr>
        <w:t> </w:t>
      </w:r>
      <w:r>
        <w:rPr>
          <w:i/>
          <w:sz w:val="22"/>
        </w:rPr>
        <w:t>persons</w:t>
      </w:r>
      <w:r>
        <w:rPr>
          <w:i/>
          <w:spacing w:val="-8"/>
          <w:sz w:val="22"/>
        </w:rPr>
        <w:t> </w:t>
      </w:r>
      <w:r>
        <w:rPr>
          <w:i/>
          <w:sz w:val="22"/>
        </w:rPr>
        <w:t>as</w:t>
      </w:r>
      <w:r>
        <w:rPr>
          <w:i/>
          <w:spacing w:val="-9"/>
          <w:sz w:val="22"/>
        </w:rPr>
        <w:t> </w:t>
      </w:r>
      <w:r>
        <w:rPr>
          <w:i/>
          <w:sz w:val="22"/>
        </w:rPr>
        <w:t>it</w:t>
      </w:r>
      <w:r>
        <w:rPr>
          <w:i/>
          <w:spacing w:val="-10"/>
          <w:sz w:val="22"/>
        </w:rPr>
        <w:t> </w:t>
      </w:r>
      <w:r>
        <w:rPr>
          <w:i/>
          <w:sz w:val="22"/>
        </w:rPr>
        <w:t>considers</w:t>
      </w:r>
      <w:r>
        <w:rPr>
          <w:i/>
          <w:spacing w:val="-9"/>
          <w:sz w:val="22"/>
        </w:rPr>
        <w:t> </w:t>
      </w:r>
      <w:r>
        <w:rPr>
          <w:i/>
          <w:sz w:val="22"/>
        </w:rPr>
        <w:t>appropriate in establishing the procedure…” </w:t>
      </w:r>
      <w:r>
        <w:rPr>
          <w:sz w:val="22"/>
        </w:rPr>
        <w:t>- there is no other legal basis for NICE’s routing decision. Accordingly,</w:t>
      </w:r>
      <w:r>
        <w:rPr>
          <w:spacing w:val="-12"/>
          <w:sz w:val="22"/>
        </w:rPr>
        <w:t> </w:t>
      </w:r>
      <w:r>
        <w:rPr>
          <w:sz w:val="22"/>
        </w:rPr>
        <w:t>the</w:t>
      </w:r>
      <w:r>
        <w:rPr>
          <w:spacing w:val="-14"/>
          <w:sz w:val="22"/>
        </w:rPr>
        <w:t> </w:t>
      </w:r>
      <w:r>
        <w:rPr>
          <w:sz w:val="22"/>
        </w:rPr>
        <w:t>routing</w:t>
      </w:r>
      <w:r>
        <w:rPr>
          <w:spacing w:val="-13"/>
          <w:sz w:val="22"/>
        </w:rPr>
        <w:t> </w:t>
      </w:r>
      <w:r>
        <w:rPr>
          <w:sz w:val="22"/>
        </w:rPr>
        <w:t>process</w:t>
      </w:r>
      <w:r>
        <w:rPr>
          <w:spacing w:val="-14"/>
          <w:sz w:val="22"/>
        </w:rPr>
        <w:t> </w:t>
      </w:r>
      <w:r>
        <w:rPr>
          <w:sz w:val="22"/>
        </w:rPr>
        <w:t>forms</w:t>
      </w:r>
      <w:r>
        <w:rPr>
          <w:spacing w:val="-13"/>
          <w:sz w:val="22"/>
        </w:rPr>
        <w:t> </w:t>
      </w:r>
      <w:r>
        <w:rPr>
          <w:sz w:val="22"/>
        </w:rPr>
        <w:t>an</w:t>
      </w:r>
      <w:r>
        <w:rPr>
          <w:spacing w:val="-14"/>
          <w:sz w:val="22"/>
        </w:rPr>
        <w:t> </w:t>
      </w:r>
      <w:r>
        <w:rPr>
          <w:sz w:val="22"/>
        </w:rPr>
        <w:t>integral</w:t>
      </w:r>
      <w:r>
        <w:rPr>
          <w:spacing w:val="-13"/>
          <w:sz w:val="22"/>
        </w:rPr>
        <w:t> </w:t>
      </w:r>
      <w:r>
        <w:rPr>
          <w:sz w:val="22"/>
        </w:rPr>
        <w:t>part</w:t>
      </w:r>
      <w:r>
        <w:rPr>
          <w:spacing w:val="-12"/>
          <w:sz w:val="22"/>
        </w:rPr>
        <w:t> </w:t>
      </w:r>
      <w:r>
        <w:rPr>
          <w:sz w:val="22"/>
        </w:rPr>
        <w:t>of</w:t>
      </w:r>
      <w:r>
        <w:rPr>
          <w:spacing w:val="-13"/>
          <w:sz w:val="22"/>
        </w:rPr>
        <w:t> </w:t>
      </w:r>
      <w:r>
        <w:rPr>
          <w:sz w:val="22"/>
        </w:rPr>
        <w:t>the</w:t>
      </w:r>
      <w:r>
        <w:rPr>
          <w:spacing w:val="-14"/>
          <w:sz w:val="22"/>
        </w:rPr>
        <w:t> </w:t>
      </w:r>
      <w:r>
        <w:rPr>
          <w:sz w:val="22"/>
        </w:rPr>
        <w:t>technology</w:t>
      </w:r>
      <w:r>
        <w:rPr>
          <w:spacing w:val="-13"/>
          <w:sz w:val="22"/>
        </w:rPr>
        <w:t> </w:t>
      </w:r>
      <w:r>
        <w:rPr>
          <w:sz w:val="22"/>
        </w:rPr>
        <w:t>appraisal</w:t>
      </w:r>
      <w:r>
        <w:rPr>
          <w:spacing w:val="-12"/>
          <w:sz w:val="22"/>
        </w:rPr>
        <w:t> </w:t>
      </w:r>
      <w:r>
        <w:rPr>
          <w:sz w:val="22"/>
        </w:rPr>
        <w:t>procedures</w:t>
      </w:r>
      <w:r>
        <w:rPr>
          <w:spacing w:val="-12"/>
          <w:sz w:val="22"/>
        </w:rPr>
        <w:t> </w:t>
      </w:r>
      <w:r>
        <w:rPr>
          <w:sz w:val="22"/>
        </w:rPr>
        <w:t>and Immunocore,</w:t>
      </w:r>
      <w:r>
        <w:rPr>
          <w:spacing w:val="-2"/>
          <w:sz w:val="22"/>
        </w:rPr>
        <w:t> </w:t>
      </w:r>
      <w:r>
        <w:rPr>
          <w:sz w:val="22"/>
        </w:rPr>
        <w:t>as</w:t>
      </w:r>
      <w:r>
        <w:rPr>
          <w:spacing w:val="-3"/>
          <w:sz w:val="22"/>
        </w:rPr>
        <w:t> </w:t>
      </w:r>
      <w:r>
        <w:rPr>
          <w:sz w:val="22"/>
        </w:rPr>
        <w:t>a</w:t>
      </w:r>
      <w:r>
        <w:rPr>
          <w:spacing w:val="-4"/>
          <w:sz w:val="22"/>
        </w:rPr>
        <w:t> </w:t>
      </w:r>
      <w:r>
        <w:rPr>
          <w:sz w:val="22"/>
        </w:rPr>
        <w:t>(legal)</w:t>
      </w:r>
      <w:r>
        <w:rPr>
          <w:spacing w:val="-4"/>
          <w:sz w:val="22"/>
        </w:rPr>
        <w:t> </w:t>
      </w:r>
      <w:r>
        <w:rPr>
          <w:sz w:val="22"/>
        </w:rPr>
        <w:t>person</w:t>
      </w:r>
      <w:r>
        <w:rPr>
          <w:spacing w:val="-3"/>
          <w:sz w:val="22"/>
        </w:rPr>
        <w:t> </w:t>
      </w:r>
      <w:r>
        <w:rPr>
          <w:sz w:val="22"/>
        </w:rPr>
        <w:t>aggrieved</w:t>
      </w:r>
      <w:r>
        <w:rPr>
          <w:spacing w:val="-3"/>
          <w:sz w:val="22"/>
        </w:rPr>
        <w:t> </w:t>
      </w:r>
      <w:r>
        <w:rPr>
          <w:sz w:val="22"/>
        </w:rPr>
        <w:t>by</w:t>
      </w:r>
      <w:r>
        <w:rPr>
          <w:spacing w:val="-4"/>
          <w:sz w:val="22"/>
        </w:rPr>
        <w:t> </w:t>
      </w:r>
      <w:r>
        <w:rPr>
          <w:sz w:val="22"/>
        </w:rPr>
        <w:t>the</w:t>
      </w:r>
      <w:r>
        <w:rPr>
          <w:spacing w:val="-3"/>
          <w:sz w:val="22"/>
        </w:rPr>
        <w:t> </w:t>
      </w:r>
      <w:r>
        <w:rPr>
          <w:sz w:val="22"/>
        </w:rPr>
        <w:t>recommendation,</w:t>
      </w:r>
      <w:r>
        <w:rPr>
          <w:spacing w:val="-2"/>
          <w:sz w:val="22"/>
        </w:rPr>
        <w:t> </w:t>
      </w:r>
      <w:r>
        <w:rPr>
          <w:sz w:val="22"/>
        </w:rPr>
        <w:t>is</w:t>
      </w:r>
      <w:r>
        <w:rPr>
          <w:spacing w:val="-4"/>
          <w:sz w:val="22"/>
        </w:rPr>
        <w:t> </w:t>
      </w:r>
      <w:r>
        <w:rPr>
          <w:sz w:val="22"/>
        </w:rPr>
        <w:t>entitled</w:t>
      </w:r>
      <w:r>
        <w:rPr>
          <w:spacing w:val="-3"/>
          <w:sz w:val="22"/>
        </w:rPr>
        <w:t> </w:t>
      </w:r>
      <w:r>
        <w:rPr>
          <w:sz w:val="22"/>
        </w:rPr>
        <w:t>to</w:t>
      </w:r>
      <w:r>
        <w:rPr>
          <w:spacing w:val="-4"/>
          <w:sz w:val="22"/>
        </w:rPr>
        <w:t> </w:t>
      </w:r>
      <w:r>
        <w:rPr>
          <w:sz w:val="22"/>
        </w:rPr>
        <w:t>bring</w:t>
      </w:r>
      <w:r>
        <w:rPr>
          <w:spacing w:val="-3"/>
          <w:sz w:val="22"/>
        </w:rPr>
        <w:t> </w:t>
      </w:r>
      <w:r>
        <w:rPr>
          <w:sz w:val="22"/>
        </w:rPr>
        <w:t>an</w:t>
      </w:r>
      <w:r>
        <w:rPr>
          <w:spacing w:val="-3"/>
          <w:sz w:val="22"/>
        </w:rPr>
        <w:t> </w:t>
      </w:r>
      <w:r>
        <w:rPr>
          <w:sz w:val="22"/>
        </w:rPr>
        <w:t>appeal </w:t>
      </w:r>
      <w:r>
        <w:rPr>
          <w:i/>
          <w:sz w:val="22"/>
        </w:rPr>
        <w:t>inter</w:t>
      </w:r>
      <w:r>
        <w:rPr>
          <w:i/>
          <w:spacing w:val="-5"/>
          <w:sz w:val="22"/>
        </w:rPr>
        <w:t> </w:t>
      </w:r>
      <w:r>
        <w:rPr>
          <w:i/>
          <w:sz w:val="22"/>
        </w:rPr>
        <w:t>alia</w:t>
      </w:r>
      <w:r>
        <w:rPr>
          <w:i/>
          <w:spacing w:val="-3"/>
          <w:sz w:val="22"/>
        </w:rPr>
        <w:t> </w:t>
      </w:r>
      <w:r>
        <w:rPr>
          <w:sz w:val="22"/>
        </w:rPr>
        <w:t>on</w:t>
      </w:r>
      <w:r>
        <w:rPr>
          <w:spacing w:val="-7"/>
          <w:sz w:val="22"/>
        </w:rPr>
        <w:t> </w:t>
      </w:r>
      <w:r>
        <w:rPr>
          <w:sz w:val="22"/>
        </w:rPr>
        <w:t>grounds</w:t>
      </w:r>
      <w:r>
        <w:rPr>
          <w:spacing w:val="-4"/>
          <w:sz w:val="22"/>
        </w:rPr>
        <w:t> </w:t>
      </w:r>
      <w:r>
        <w:rPr>
          <w:sz w:val="22"/>
        </w:rPr>
        <w:t>that</w:t>
      </w:r>
      <w:r>
        <w:rPr>
          <w:spacing w:val="-5"/>
          <w:sz w:val="22"/>
        </w:rPr>
        <w:t> </w:t>
      </w:r>
      <w:r>
        <w:rPr>
          <w:i/>
          <w:sz w:val="22"/>
        </w:rPr>
        <w:t>“in</w:t>
      </w:r>
      <w:r>
        <w:rPr>
          <w:i/>
          <w:spacing w:val="-6"/>
          <w:sz w:val="22"/>
        </w:rPr>
        <w:t> </w:t>
      </w:r>
      <w:r>
        <w:rPr>
          <w:i/>
          <w:sz w:val="22"/>
        </w:rPr>
        <w:t>making</w:t>
      </w:r>
      <w:r>
        <w:rPr>
          <w:i/>
          <w:spacing w:val="-6"/>
          <w:sz w:val="22"/>
        </w:rPr>
        <w:t> </w:t>
      </w:r>
      <w:r>
        <w:rPr>
          <w:i/>
          <w:sz w:val="22"/>
        </w:rPr>
        <w:t>the</w:t>
      </w:r>
      <w:r>
        <w:rPr>
          <w:i/>
          <w:spacing w:val="-4"/>
          <w:sz w:val="22"/>
        </w:rPr>
        <w:t> </w:t>
      </w:r>
      <w:r>
        <w:rPr>
          <w:i/>
          <w:sz w:val="22"/>
        </w:rPr>
        <w:t>assessment</w:t>
      </w:r>
      <w:r>
        <w:rPr>
          <w:i/>
          <w:spacing w:val="-4"/>
          <w:sz w:val="22"/>
        </w:rPr>
        <w:t> </w:t>
      </w:r>
      <w:r>
        <w:rPr>
          <w:i/>
          <w:sz w:val="22"/>
        </w:rPr>
        <w:t>that</w:t>
      </w:r>
      <w:r>
        <w:rPr>
          <w:i/>
          <w:spacing w:val="-5"/>
          <w:sz w:val="22"/>
        </w:rPr>
        <w:t> </w:t>
      </w:r>
      <w:r>
        <w:rPr>
          <w:i/>
          <w:sz w:val="22"/>
        </w:rPr>
        <w:t>preceded</w:t>
      </w:r>
      <w:r>
        <w:rPr>
          <w:i/>
          <w:spacing w:val="-5"/>
          <w:sz w:val="22"/>
        </w:rPr>
        <w:t> </w:t>
      </w:r>
      <w:r>
        <w:rPr>
          <w:i/>
          <w:sz w:val="22"/>
        </w:rPr>
        <w:t>the</w:t>
      </w:r>
      <w:r>
        <w:rPr>
          <w:i/>
          <w:spacing w:val="-6"/>
          <w:sz w:val="22"/>
        </w:rPr>
        <w:t> </w:t>
      </w:r>
      <w:r>
        <w:rPr>
          <w:i/>
          <w:sz w:val="22"/>
        </w:rPr>
        <w:t>recommendation,</w:t>
      </w:r>
      <w:r>
        <w:rPr>
          <w:i/>
          <w:spacing w:val="-5"/>
          <w:sz w:val="22"/>
        </w:rPr>
        <w:t> </w:t>
      </w:r>
      <w:r>
        <w:rPr>
          <w:i/>
          <w:sz w:val="22"/>
        </w:rPr>
        <w:t>NICE…</w:t>
      </w:r>
      <w:r>
        <w:rPr>
          <w:i/>
          <w:sz w:val="22"/>
        </w:rPr>
        <w:t> failed to act fairly”</w:t>
      </w:r>
      <w:r>
        <w:rPr>
          <w:sz w:val="22"/>
        </w:rPr>
        <w:t>, pursuant to Regulation 9.</w:t>
      </w:r>
    </w:p>
    <w:p>
      <w:pPr>
        <w:pStyle w:val="BodyText"/>
        <w:spacing w:before="3"/>
        <w:rPr>
          <w:sz w:val="25"/>
        </w:rPr>
      </w:pPr>
    </w:p>
    <w:p>
      <w:pPr>
        <w:pStyle w:val="BodyText"/>
        <w:spacing w:line="276" w:lineRule="auto"/>
        <w:ind w:left="120" w:right="145"/>
        <w:jc w:val="both"/>
      </w:pPr>
      <w:r>
        <w:rPr/>
        <w:t>Third, it would lead to absurd results and it would defeat the purpose of the appeals procedure, created</w:t>
      </w:r>
      <w:r>
        <w:rPr>
          <w:spacing w:val="-8"/>
        </w:rPr>
        <w:t> </w:t>
      </w:r>
      <w:r>
        <w:rPr/>
        <w:t>by</w:t>
      </w:r>
      <w:r>
        <w:rPr>
          <w:spacing w:val="-9"/>
        </w:rPr>
        <w:t> </w:t>
      </w:r>
      <w:r>
        <w:rPr/>
        <w:t>statute,</w:t>
      </w:r>
      <w:r>
        <w:rPr>
          <w:spacing w:val="-5"/>
        </w:rPr>
        <w:t> </w:t>
      </w:r>
      <w:r>
        <w:rPr/>
        <w:t>if</w:t>
      </w:r>
      <w:r>
        <w:rPr>
          <w:spacing w:val="-7"/>
        </w:rPr>
        <w:t> </w:t>
      </w:r>
      <w:r>
        <w:rPr/>
        <w:t>the</w:t>
      </w:r>
      <w:r>
        <w:rPr>
          <w:spacing w:val="-9"/>
        </w:rPr>
        <w:t> </w:t>
      </w:r>
      <w:r>
        <w:rPr/>
        <w:t>routing</w:t>
      </w:r>
      <w:r>
        <w:rPr>
          <w:spacing w:val="-5"/>
        </w:rPr>
        <w:t> </w:t>
      </w:r>
      <w:r>
        <w:rPr/>
        <w:t>decision</w:t>
      </w:r>
      <w:r>
        <w:rPr>
          <w:spacing w:val="-6"/>
        </w:rPr>
        <w:t> </w:t>
      </w:r>
      <w:r>
        <w:rPr/>
        <w:t>was</w:t>
      </w:r>
      <w:r>
        <w:rPr>
          <w:spacing w:val="-6"/>
        </w:rPr>
        <w:t> </w:t>
      </w:r>
      <w:r>
        <w:rPr/>
        <w:t>excluded</w:t>
      </w:r>
      <w:r>
        <w:rPr>
          <w:spacing w:val="-8"/>
        </w:rPr>
        <w:t> </w:t>
      </w:r>
      <w:r>
        <w:rPr/>
        <w:t>from</w:t>
      </w:r>
      <w:r>
        <w:rPr>
          <w:spacing w:val="-7"/>
        </w:rPr>
        <w:t> </w:t>
      </w:r>
      <w:r>
        <w:rPr/>
        <w:t>the</w:t>
      </w:r>
      <w:r>
        <w:rPr>
          <w:spacing w:val="-9"/>
        </w:rPr>
        <w:t> </w:t>
      </w:r>
      <w:r>
        <w:rPr/>
        <w:t>scope</w:t>
      </w:r>
      <w:r>
        <w:rPr>
          <w:spacing w:val="-8"/>
        </w:rPr>
        <w:t> </w:t>
      </w:r>
      <w:r>
        <w:rPr/>
        <w:t>of</w:t>
      </w:r>
      <w:r>
        <w:rPr>
          <w:spacing w:val="-6"/>
        </w:rPr>
        <w:t> </w:t>
      </w:r>
      <w:r>
        <w:rPr/>
        <w:t>appeals.</w:t>
      </w:r>
      <w:r>
        <w:rPr>
          <w:spacing w:val="-6"/>
        </w:rPr>
        <w:t> </w:t>
      </w:r>
      <w:r>
        <w:rPr/>
        <w:t>If</w:t>
      </w:r>
      <w:r>
        <w:rPr>
          <w:spacing w:val="-8"/>
        </w:rPr>
        <w:t> </w:t>
      </w:r>
      <w:r>
        <w:rPr/>
        <w:t>this</w:t>
      </w:r>
      <w:r>
        <w:rPr>
          <w:spacing w:val="-6"/>
        </w:rPr>
        <w:t> </w:t>
      </w:r>
      <w:r>
        <w:rPr/>
        <w:t>were</w:t>
      </w:r>
      <w:r>
        <w:rPr>
          <w:spacing w:val="-6"/>
        </w:rPr>
        <w:t> </w:t>
      </w:r>
      <w:r>
        <w:rPr/>
        <w:t>the case,</w:t>
      </w:r>
      <w:r>
        <w:rPr>
          <w:spacing w:val="-7"/>
        </w:rPr>
        <w:t> </w:t>
      </w:r>
      <w:r>
        <w:rPr/>
        <w:t>it</w:t>
      </w:r>
      <w:r>
        <w:rPr>
          <w:spacing w:val="-8"/>
        </w:rPr>
        <w:t> </w:t>
      </w:r>
      <w:r>
        <w:rPr/>
        <w:t>would</w:t>
      </w:r>
      <w:r>
        <w:rPr>
          <w:spacing w:val="-8"/>
        </w:rPr>
        <w:t> </w:t>
      </w:r>
      <w:r>
        <w:rPr/>
        <w:t>exclude</w:t>
      </w:r>
      <w:r>
        <w:rPr>
          <w:spacing w:val="-7"/>
        </w:rPr>
        <w:t> </w:t>
      </w:r>
      <w:r>
        <w:rPr/>
        <w:t>what</w:t>
      </w:r>
      <w:r>
        <w:rPr>
          <w:spacing w:val="-7"/>
        </w:rPr>
        <w:t> </w:t>
      </w:r>
      <w:r>
        <w:rPr/>
        <w:t>is</w:t>
      </w:r>
      <w:r>
        <w:rPr>
          <w:spacing w:val="-9"/>
        </w:rPr>
        <w:t> </w:t>
      </w:r>
      <w:r>
        <w:rPr/>
        <w:t>likely</w:t>
      </w:r>
      <w:r>
        <w:rPr>
          <w:spacing w:val="-8"/>
        </w:rPr>
        <w:t> </w:t>
      </w:r>
      <w:r>
        <w:rPr/>
        <w:t>to</w:t>
      </w:r>
      <w:r>
        <w:rPr>
          <w:spacing w:val="-9"/>
        </w:rPr>
        <w:t> </w:t>
      </w:r>
      <w:r>
        <w:rPr/>
        <w:t>be</w:t>
      </w:r>
      <w:r>
        <w:rPr>
          <w:spacing w:val="-9"/>
        </w:rPr>
        <w:t> </w:t>
      </w:r>
      <w:r>
        <w:rPr/>
        <w:t>one</w:t>
      </w:r>
      <w:r>
        <w:rPr>
          <w:spacing w:val="-9"/>
        </w:rPr>
        <w:t> </w:t>
      </w:r>
      <w:r>
        <w:rPr/>
        <w:t>of</w:t>
      </w:r>
      <w:r>
        <w:rPr>
          <w:spacing w:val="-8"/>
        </w:rPr>
        <w:t> </w:t>
      </w:r>
      <w:r>
        <w:rPr/>
        <w:t>the</w:t>
      </w:r>
      <w:r>
        <w:rPr>
          <w:spacing w:val="-9"/>
        </w:rPr>
        <w:t> </w:t>
      </w:r>
      <w:r>
        <w:rPr/>
        <w:t>most</w:t>
      </w:r>
      <w:r>
        <w:rPr>
          <w:spacing w:val="-9"/>
        </w:rPr>
        <w:t> </w:t>
      </w:r>
      <w:r>
        <w:rPr/>
        <w:t>impactful</w:t>
      </w:r>
      <w:r>
        <w:rPr>
          <w:spacing w:val="-6"/>
        </w:rPr>
        <w:t> </w:t>
      </w:r>
      <w:r>
        <w:rPr/>
        <w:t>aspects</w:t>
      </w:r>
      <w:r>
        <w:rPr>
          <w:spacing w:val="-7"/>
        </w:rPr>
        <w:t> </w:t>
      </w:r>
      <w:r>
        <w:rPr/>
        <w:t>of</w:t>
      </w:r>
      <w:r>
        <w:rPr>
          <w:spacing w:val="-8"/>
        </w:rPr>
        <w:t> </w:t>
      </w:r>
      <w:r>
        <w:rPr/>
        <w:t>the</w:t>
      </w:r>
      <w:r>
        <w:rPr>
          <w:spacing w:val="-9"/>
        </w:rPr>
        <w:t> </w:t>
      </w:r>
      <w:r>
        <w:rPr/>
        <w:t>evaluation</w:t>
      </w:r>
      <w:r>
        <w:rPr>
          <w:spacing w:val="-8"/>
        </w:rPr>
        <w:t> </w:t>
      </w:r>
      <w:r>
        <w:rPr/>
        <w:t>from review by an independent panel, which cannot have been the intention of the legislator.</w:t>
      </w:r>
    </w:p>
    <w:p>
      <w:pPr>
        <w:pStyle w:val="BodyText"/>
        <w:spacing w:before="3"/>
        <w:rPr>
          <w:sz w:val="25"/>
        </w:rPr>
      </w:pPr>
    </w:p>
    <w:p>
      <w:pPr>
        <w:pStyle w:val="BodyText"/>
        <w:spacing w:line="276" w:lineRule="auto" w:before="1"/>
        <w:ind w:left="120" w:right="146"/>
        <w:jc w:val="both"/>
      </w:pPr>
      <w:r>
        <w:rPr/>
        <w:t>Fourth,</w:t>
      </w:r>
      <w:r>
        <w:rPr>
          <w:spacing w:val="-16"/>
        </w:rPr>
        <w:t> </w:t>
      </w:r>
      <w:r>
        <w:rPr/>
        <w:t>NICE</w:t>
      </w:r>
      <w:r>
        <w:rPr>
          <w:spacing w:val="-15"/>
        </w:rPr>
        <w:t> </w:t>
      </w:r>
      <w:r>
        <w:rPr/>
        <w:t>did</w:t>
      </w:r>
      <w:r>
        <w:rPr>
          <w:spacing w:val="-15"/>
        </w:rPr>
        <w:t> </w:t>
      </w:r>
      <w:r>
        <w:rPr/>
        <w:t>not</w:t>
      </w:r>
      <w:r>
        <w:rPr>
          <w:spacing w:val="-16"/>
        </w:rPr>
        <w:t> </w:t>
      </w:r>
      <w:r>
        <w:rPr/>
        <w:t>communicate</w:t>
      </w:r>
      <w:r>
        <w:rPr>
          <w:spacing w:val="-15"/>
        </w:rPr>
        <w:t> </w:t>
      </w:r>
      <w:r>
        <w:rPr/>
        <w:t>to</w:t>
      </w:r>
      <w:r>
        <w:rPr>
          <w:spacing w:val="-15"/>
        </w:rPr>
        <w:t> </w:t>
      </w:r>
      <w:r>
        <w:rPr/>
        <w:t>Immunocore</w:t>
      </w:r>
      <w:r>
        <w:rPr>
          <w:spacing w:val="-15"/>
        </w:rPr>
        <w:t> </w:t>
      </w:r>
      <w:r>
        <w:rPr/>
        <w:t>any</w:t>
      </w:r>
      <w:r>
        <w:rPr>
          <w:spacing w:val="-16"/>
        </w:rPr>
        <w:t> </w:t>
      </w:r>
      <w:r>
        <w:rPr/>
        <w:t>other</w:t>
      </w:r>
      <w:r>
        <w:rPr>
          <w:spacing w:val="-15"/>
        </w:rPr>
        <w:t> </w:t>
      </w:r>
      <w:r>
        <w:rPr/>
        <w:t>opportunity</w:t>
      </w:r>
      <w:r>
        <w:rPr>
          <w:spacing w:val="-15"/>
        </w:rPr>
        <w:t> </w:t>
      </w:r>
      <w:r>
        <w:rPr/>
        <w:t>for</w:t>
      </w:r>
      <w:r>
        <w:rPr>
          <w:spacing w:val="-16"/>
        </w:rPr>
        <w:t> </w:t>
      </w:r>
      <w:r>
        <w:rPr/>
        <w:t>Immunocore</w:t>
      </w:r>
      <w:r>
        <w:rPr>
          <w:spacing w:val="-15"/>
        </w:rPr>
        <w:t> </w:t>
      </w:r>
      <w:r>
        <w:rPr/>
        <w:t>to</w:t>
      </w:r>
      <w:r>
        <w:rPr>
          <w:spacing w:val="-15"/>
        </w:rPr>
        <w:t> </w:t>
      </w:r>
      <w:r>
        <w:rPr/>
        <w:t>appeal against the routing decision before an independent panel. The ‘challenge’ procedure, does not satisfy the legal requirements for an appeal panel pursuant to Regulation 10, does not observe the principles of natural justice in the decision-making process and constitute therefore a breach of</w:t>
      </w:r>
      <w:r>
        <w:rPr>
          <w:spacing w:val="-16"/>
        </w:rPr>
        <w:t> </w:t>
      </w:r>
      <w:r>
        <w:rPr/>
        <w:t>due</w:t>
      </w:r>
      <w:r>
        <w:rPr>
          <w:spacing w:val="-15"/>
        </w:rPr>
        <w:t> </w:t>
      </w:r>
      <w:r>
        <w:rPr/>
        <w:t>process,</w:t>
      </w:r>
      <w:r>
        <w:rPr>
          <w:spacing w:val="-14"/>
        </w:rPr>
        <w:t> </w:t>
      </w:r>
      <w:r>
        <w:rPr/>
        <w:t>as</w:t>
      </w:r>
      <w:r>
        <w:rPr>
          <w:spacing w:val="-15"/>
        </w:rPr>
        <w:t> </w:t>
      </w:r>
      <w:r>
        <w:rPr/>
        <w:t>it</w:t>
      </w:r>
      <w:r>
        <w:rPr>
          <w:spacing w:val="-15"/>
        </w:rPr>
        <w:t> </w:t>
      </w:r>
      <w:r>
        <w:rPr/>
        <w:t>does</w:t>
      </w:r>
      <w:r>
        <w:rPr>
          <w:spacing w:val="-15"/>
        </w:rPr>
        <w:t> </w:t>
      </w:r>
      <w:r>
        <w:rPr/>
        <w:t>not</w:t>
      </w:r>
      <w:r>
        <w:rPr>
          <w:spacing w:val="-16"/>
        </w:rPr>
        <w:t> </w:t>
      </w:r>
      <w:r>
        <w:rPr/>
        <w:t>provide</w:t>
      </w:r>
      <w:r>
        <w:rPr>
          <w:spacing w:val="-15"/>
        </w:rPr>
        <w:t> </w:t>
      </w:r>
      <w:r>
        <w:rPr/>
        <w:t>the</w:t>
      </w:r>
      <w:r>
        <w:rPr>
          <w:spacing w:val="-15"/>
        </w:rPr>
        <w:t> </w:t>
      </w:r>
      <w:r>
        <w:rPr/>
        <w:t>opportunity</w:t>
      </w:r>
      <w:r>
        <w:rPr>
          <w:spacing w:val="-14"/>
        </w:rPr>
        <w:t> </w:t>
      </w:r>
      <w:r>
        <w:rPr/>
        <w:t>for</w:t>
      </w:r>
      <w:r>
        <w:rPr>
          <w:spacing w:val="-14"/>
        </w:rPr>
        <w:t> </w:t>
      </w:r>
      <w:r>
        <w:rPr/>
        <w:t>a</w:t>
      </w:r>
      <w:r>
        <w:rPr>
          <w:spacing w:val="-15"/>
        </w:rPr>
        <w:t> </w:t>
      </w:r>
      <w:r>
        <w:rPr/>
        <w:t>fair</w:t>
      </w:r>
      <w:r>
        <w:rPr>
          <w:spacing w:val="-15"/>
        </w:rPr>
        <w:t> </w:t>
      </w:r>
      <w:r>
        <w:rPr/>
        <w:t>trial</w:t>
      </w:r>
      <w:r>
        <w:rPr>
          <w:spacing w:val="-15"/>
        </w:rPr>
        <w:t> </w:t>
      </w:r>
      <w:r>
        <w:rPr/>
        <w:t>by</w:t>
      </w:r>
      <w:r>
        <w:rPr>
          <w:spacing w:val="-15"/>
        </w:rPr>
        <w:t> </w:t>
      </w:r>
      <w:r>
        <w:rPr/>
        <w:t>an</w:t>
      </w:r>
      <w:r>
        <w:rPr>
          <w:spacing w:val="-15"/>
        </w:rPr>
        <w:t> </w:t>
      </w:r>
      <w:r>
        <w:rPr/>
        <w:t>independent</w:t>
      </w:r>
      <w:r>
        <w:rPr>
          <w:spacing w:val="-15"/>
        </w:rPr>
        <w:t> </w:t>
      </w:r>
      <w:r>
        <w:rPr/>
        <w:t>and</w:t>
      </w:r>
      <w:r>
        <w:rPr>
          <w:spacing w:val="-15"/>
        </w:rPr>
        <w:t> </w:t>
      </w:r>
      <w:r>
        <w:rPr/>
        <w:t>impartial tribunal as required by Article 6 of the European Convention on Human Rights.</w:t>
      </w:r>
    </w:p>
    <w:p>
      <w:pPr>
        <w:pStyle w:val="BodyText"/>
        <w:spacing w:before="5"/>
        <w:rPr>
          <w:sz w:val="25"/>
        </w:rPr>
      </w:pPr>
    </w:p>
    <w:p>
      <w:pPr>
        <w:pStyle w:val="BodyText"/>
        <w:spacing w:line="276" w:lineRule="auto"/>
        <w:ind w:left="120" w:right="144"/>
        <w:jc w:val="both"/>
      </w:pPr>
      <w:r>
        <w:rPr/>
        <w:t>Fifth,</w:t>
      </w:r>
      <w:r>
        <w:rPr>
          <w:spacing w:val="-7"/>
        </w:rPr>
        <w:t> </w:t>
      </w:r>
      <w:r>
        <w:rPr/>
        <w:t>in</w:t>
      </w:r>
      <w:r>
        <w:rPr>
          <w:spacing w:val="-6"/>
        </w:rPr>
        <w:t> </w:t>
      </w:r>
      <w:r>
        <w:rPr/>
        <w:t>Immunocore’s</w:t>
      </w:r>
      <w:r>
        <w:rPr>
          <w:spacing w:val="-6"/>
        </w:rPr>
        <w:t> </w:t>
      </w:r>
      <w:r>
        <w:rPr/>
        <w:t>view,</w:t>
      </w:r>
      <w:r>
        <w:rPr>
          <w:spacing w:val="-7"/>
        </w:rPr>
        <w:t> </w:t>
      </w:r>
      <w:r>
        <w:rPr/>
        <w:t>the</w:t>
      </w:r>
      <w:r>
        <w:rPr>
          <w:spacing w:val="-7"/>
        </w:rPr>
        <w:t> </w:t>
      </w:r>
      <w:r>
        <w:rPr/>
        <w:t>unfairness</w:t>
      </w:r>
      <w:r>
        <w:rPr>
          <w:spacing w:val="-6"/>
        </w:rPr>
        <w:t> </w:t>
      </w:r>
      <w:r>
        <w:rPr/>
        <w:t>of</w:t>
      </w:r>
      <w:r>
        <w:rPr>
          <w:spacing w:val="-7"/>
        </w:rPr>
        <w:t> </w:t>
      </w:r>
      <w:r>
        <w:rPr/>
        <w:t>the</w:t>
      </w:r>
      <w:r>
        <w:rPr>
          <w:spacing w:val="-9"/>
        </w:rPr>
        <w:t> </w:t>
      </w:r>
      <w:r>
        <w:rPr/>
        <w:t>routing</w:t>
      </w:r>
      <w:r>
        <w:rPr>
          <w:spacing w:val="-5"/>
        </w:rPr>
        <w:t> </w:t>
      </w:r>
      <w:r>
        <w:rPr/>
        <w:t>decision</w:t>
      </w:r>
      <w:r>
        <w:rPr>
          <w:spacing w:val="-6"/>
        </w:rPr>
        <w:t> </w:t>
      </w:r>
      <w:r>
        <w:rPr/>
        <w:t>in</w:t>
      </w:r>
      <w:r>
        <w:rPr>
          <w:spacing w:val="-8"/>
        </w:rPr>
        <w:t> </w:t>
      </w:r>
      <w:r>
        <w:rPr/>
        <w:t>this</w:t>
      </w:r>
      <w:r>
        <w:rPr>
          <w:spacing w:val="-6"/>
        </w:rPr>
        <w:t> </w:t>
      </w:r>
      <w:r>
        <w:rPr/>
        <w:t>case,</w:t>
      </w:r>
      <w:r>
        <w:rPr>
          <w:spacing w:val="-6"/>
        </w:rPr>
        <w:t> </w:t>
      </w:r>
      <w:r>
        <w:rPr/>
        <w:t>which</w:t>
      </w:r>
      <w:r>
        <w:rPr>
          <w:spacing w:val="-7"/>
        </w:rPr>
        <w:t> </w:t>
      </w:r>
      <w:r>
        <w:rPr/>
        <w:t>included</w:t>
      </w:r>
      <w:r>
        <w:rPr>
          <w:spacing w:val="-6"/>
        </w:rPr>
        <w:t> </w:t>
      </w:r>
      <w:r>
        <w:rPr/>
        <w:t>the application</w:t>
      </w:r>
      <w:r>
        <w:rPr>
          <w:spacing w:val="-2"/>
        </w:rPr>
        <w:t> </w:t>
      </w:r>
      <w:r>
        <w:rPr/>
        <w:t>of redundant criteria,</w:t>
      </w:r>
      <w:r>
        <w:rPr>
          <w:spacing w:val="-1"/>
        </w:rPr>
        <w:t> </w:t>
      </w:r>
      <w:r>
        <w:rPr/>
        <w:t>is manifest. In</w:t>
      </w:r>
      <w:r>
        <w:rPr>
          <w:spacing w:val="-1"/>
        </w:rPr>
        <w:t> </w:t>
      </w:r>
      <w:r>
        <w:rPr/>
        <w:t>all the circumstances, it</w:t>
      </w:r>
      <w:r>
        <w:rPr>
          <w:spacing w:val="-1"/>
        </w:rPr>
        <w:t> </w:t>
      </w:r>
      <w:r>
        <w:rPr/>
        <w:t>would not be appropriate to exclude this ground of appeal from review by an independent panel as this would impair transparency and accountability of NICE’s decision-making processes, contrary to Principle 2 of the NICE Charter.</w:t>
      </w:r>
    </w:p>
    <w:p>
      <w:pPr>
        <w:pStyle w:val="BodyText"/>
        <w:spacing w:before="2"/>
        <w:rPr>
          <w:sz w:val="25"/>
        </w:rPr>
      </w:pPr>
    </w:p>
    <w:p>
      <w:pPr>
        <w:pStyle w:val="Heading1"/>
        <w:spacing w:line="276" w:lineRule="auto"/>
        <w:ind w:right="205"/>
      </w:pPr>
      <w:r>
        <w:rPr/>
        <w:t>Appeal point 1(a).2: NICE acted unfairly and inconsistently by refusing to accept Immunocore’s modelling methods, when they were consistent with what has previously been accepted by NICE in prior technology appraisals and are consistent with best modelling practice.</w:t>
      </w:r>
    </w:p>
    <w:p>
      <w:pPr>
        <w:pStyle w:val="BodyText"/>
        <w:spacing w:before="4"/>
        <w:rPr>
          <w:b/>
          <w:sz w:val="34"/>
        </w:rPr>
      </w:pPr>
    </w:p>
    <w:p>
      <w:pPr>
        <w:pStyle w:val="BodyText"/>
        <w:ind w:left="120"/>
        <w:jc w:val="both"/>
      </w:pPr>
      <w:r>
        <w:rPr/>
        <w:t>We</w:t>
      </w:r>
      <w:r>
        <w:rPr>
          <w:spacing w:val="-16"/>
        </w:rPr>
        <w:t> </w:t>
      </w:r>
      <w:r>
        <w:rPr/>
        <w:t>made</w:t>
      </w:r>
      <w:r>
        <w:rPr>
          <w:spacing w:val="-15"/>
        </w:rPr>
        <w:t> </w:t>
      </w:r>
      <w:r>
        <w:rPr/>
        <w:t>two</w:t>
      </w:r>
      <w:r>
        <w:rPr>
          <w:spacing w:val="-14"/>
        </w:rPr>
        <w:t> </w:t>
      </w:r>
      <w:r>
        <w:rPr/>
        <w:t>arguments</w:t>
      </w:r>
      <w:r>
        <w:rPr>
          <w:spacing w:val="-15"/>
        </w:rPr>
        <w:t> </w:t>
      </w:r>
      <w:r>
        <w:rPr/>
        <w:t>within</w:t>
      </w:r>
      <w:r>
        <w:rPr>
          <w:spacing w:val="-14"/>
        </w:rPr>
        <w:t> </w:t>
      </w:r>
      <w:r>
        <w:rPr/>
        <w:t>appeal</w:t>
      </w:r>
      <w:r>
        <w:rPr>
          <w:spacing w:val="-15"/>
        </w:rPr>
        <w:t> </w:t>
      </w:r>
      <w:r>
        <w:rPr/>
        <w:t>point</w:t>
      </w:r>
      <w:r>
        <w:rPr>
          <w:spacing w:val="-15"/>
        </w:rPr>
        <w:t> </w:t>
      </w:r>
      <w:r>
        <w:rPr/>
        <w:t>1(a).2,</w:t>
      </w:r>
      <w:r>
        <w:rPr>
          <w:spacing w:val="-14"/>
        </w:rPr>
        <w:t> </w:t>
      </w:r>
      <w:r>
        <w:rPr>
          <w:spacing w:val="-2"/>
        </w:rPr>
        <w:t>namely:</w:t>
      </w:r>
    </w:p>
    <w:p>
      <w:pPr>
        <w:spacing w:after="0"/>
        <w:jc w:val="both"/>
        <w:sectPr>
          <w:headerReference w:type="default" r:id="rId7"/>
          <w:footerReference w:type="default" r:id="rId8"/>
          <w:pgSz w:w="11910" w:h="16840"/>
          <w:pgMar w:header="729" w:footer="1501" w:top="1540" w:bottom="1700" w:left="1240" w:right="980"/>
          <w:pgNumType w:start="2"/>
        </w:sectPr>
      </w:pPr>
    </w:p>
    <w:p>
      <w:pPr>
        <w:pStyle w:val="BodyText"/>
        <w:rPr>
          <w:sz w:val="20"/>
        </w:rPr>
      </w:pPr>
    </w:p>
    <w:p>
      <w:pPr>
        <w:pStyle w:val="BodyText"/>
        <w:rPr>
          <w:sz w:val="20"/>
        </w:rPr>
      </w:pPr>
    </w:p>
    <w:p>
      <w:pPr>
        <w:pStyle w:val="BodyText"/>
        <w:rPr>
          <w:sz w:val="20"/>
        </w:rPr>
      </w:pPr>
    </w:p>
    <w:p>
      <w:pPr>
        <w:pStyle w:val="BodyText"/>
        <w:spacing w:before="8"/>
        <w:rPr>
          <w:sz w:val="17"/>
        </w:rPr>
      </w:pPr>
    </w:p>
    <w:p>
      <w:pPr>
        <w:pStyle w:val="ListParagraph"/>
        <w:numPr>
          <w:ilvl w:val="0"/>
          <w:numId w:val="1"/>
        </w:numPr>
        <w:tabs>
          <w:tab w:pos="837" w:val="left" w:leader="none"/>
          <w:tab w:pos="841" w:val="left" w:leader="none"/>
        </w:tabs>
        <w:spacing w:line="276" w:lineRule="auto" w:before="93" w:after="0"/>
        <w:ind w:left="841" w:right="1346" w:hanging="361"/>
        <w:jc w:val="left"/>
        <w:rPr>
          <w:i/>
          <w:sz w:val="22"/>
        </w:rPr>
      </w:pPr>
      <w:r>
        <w:rPr>
          <w:i/>
          <w:sz w:val="22"/>
        </w:rPr>
        <w:t>The</w:t>
      </w:r>
      <w:r>
        <w:rPr>
          <w:i/>
          <w:spacing w:val="33"/>
          <w:sz w:val="22"/>
        </w:rPr>
        <w:t> </w:t>
      </w:r>
      <w:r>
        <w:rPr>
          <w:i/>
          <w:sz w:val="22"/>
        </w:rPr>
        <w:t>Committee</w:t>
      </w:r>
      <w:r>
        <w:rPr>
          <w:i/>
          <w:spacing w:val="30"/>
          <w:sz w:val="22"/>
        </w:rPr>
        <w:t> </w:t>
      </w:r>
      <w:r>
        <w:rPr>
          <w:i/>
          <w:sz w:val="22"/>
        </w:rPr>
        <w:t>was</w:t>
      </w:r>
      <w:r>
        <w:rPr>
          <w:i/>
          <w:spacing w:val="31"/>
          <w:sz w:val="22"/>
        </w:rPr>
        <w:t> </w:t>
      </w:r>
      <w:r>
        <w:rPr>
          <w:i/>
          <w:sz w:val="22"/>
        </w:rPr>
        <w:t>required</w:t>
      </w:r>
      <w:r>
        <w:rPr>
          <w:i/>
          <w:spacing w:val="34"/>
          <w:sz w:val="22"/>
        </w:rPr>
        <w:t> </w:t>
      </w:r>
      <w:r>
        <w:rPr>
          <w:i/>
          <w:sz w:val="22"/>
          <w:u w:val="single"/>
        </w:rPr>
        <w:t>as</w:t>
      </w:r>
      <w:r>
        <w:rPr>
          <w:i/>
          <w:spacing w:val="31"/>
          <w:sz w:val="22"/>
          <w:u w:val="single"/>
        </w:rPr>
        <w:t> </w:t>
      </w:r>
      <w:r>
        <w:rPr>
          <w:i/>
          <w:sz w:val="22"/>
          <w:u w:val="single"/>
        </w:rPr>
        <w:t>a</w:t>
      </w:r>
      <w:r>
        <w:rPr>
          <w:i/>
          <w:spacing w:val="28"/>
          <w:sz w:val="22"/>
          <w:u w:val="single"/>
        </w:rPr>
        <w:t> </w:t>
      </w:r>
      <w:r>
        <w:rPr>
          <w:i/>
          <w:sz w:val="22"/>
          <w:u w:val="single"/>
        </w:rPr>
        <w:t>matter</w:t>
      </w:r>
      <w:r>
        <w:rPr>
          <w:i/>
          <w:spacing w:val="31"/>
          <w:sz w:val="22"/>
          <w:u w:val="single"/>
        </w:rPr>
        <w:t> </w:t>
      </w:r>
      <w:r>
        <w:rPr>
          <w:i/>
          <w:sz w:val="22"/>
          <w:u w:val="single"/>
        </w:rPr>
        <w:t>of</w:t>
      </w:r>
      <w:r>
        <w:rPr>
          <w:i/>
          <w:spacing w:val="34"/>
          <w:sz w:val="22"/>
          <w:u w:val="single"/>
        </w:rPr>
        <w:t> </w:t>
      </w:r>
      <w:r>
        <w:rPr>
          <w:i/>
          <w:sz w:val="22"/>
          <w:u w:val="single"/>
        </w:rPr>
        <w:t>procedural</w:t>
      </w:r>
      <w:r>
        <w:rPr>
          <w:i/>
          <w:spacing w:val="31"/>
          <w:sz w:val="22"/>
          <w:u w:val="single"/>
        </w:rPr>
        <w:t> </w:t>
      </w:r>
      <w:r>
        <w:rPr>
          <w:i/>
          <w:sz w:val="22"/>
          <w:u w:val="single"/>
        </w:rPr>
        <w:t>fairness</w:t>
      </w:r>
      <w:r>
        <w:rPr>
          <w:i/>
          <w:spacing w:val="31"/>
          <w:sz w:val="22"/>
        </w:rPr>
        <w:t> </w:t>
      </w:r>
      <w:r>
        <w:rPr>
          <w:i/>
          <w:sz w:val="22"/>
        </w:rPr>
        <w:t>to</w:t>
      </w:r>
      <w:r>
        <w:rPr>
          <w:i/>
          <w:spacing w:val="29"/>
          <w:sz w:val="22"/>
        </w:rPr>
        <w:t> </w:t>
      </w:r>
      <w:r>
        <w:rPr>
          <w:i/>
          <w:sz w:val="22"/>
        </w:rPr>
        <w:t>accept</w:t>
      </w:r>
      <w:r>
        <w:rPr>
          <w:i/>
          <w:sz w:val="22"/>
        </w:rPr>
        <w:t> Immunocore's modelling methods, and failed to do so; and</w:t>
      </w:r>
    </w:p>
    <w:p>
      <w:pPr>
        <w:pStyle w:val="BodyText"/>
        <w:spacing w:before="9"/>
        <w:rPr>
          <w:i/>
          <w:sz w:val="25"/>
        </w:rPr>
      </w:pPr>
    </w:p>
    <w:p>
      <w:pPr>
        <w:pStyle w:val="ListParagraph"/>
        <w:numPr>
          <w:ilvl w:val="0"/>
          <w:numId w:val="1"/>
        </w:numPr>
        <w:tabs>
          <w:tab w:pos="837" w:val="left" w:leader="none"/>
          <w:tab w:pos="841" w:val="left" w:leader="none"/>
        </w:tabs>
        <w:spacing w:line="276" w:lineRule="auto" w:before="0" w:after="0"/>
        <w:ind w:left="841" w:right="1355" w:hanging="361"/>
        <w:jc w:val="left"/>
        <w:rPr>
          <w:i/>
          <w:sz w:val="22"/>
        </w:rPr>
      </w:pPr>
      <w:r>
        <w:rPr>
          <w:i/>
          <w:sz w:val="22"/>
        </w:rPr>
        <w:t>The</w:t>
      </w:r>
      <w:r>
        <w:rPr>
          <w:i/>
          <w:spacing w:val="80"/>
          <w:sz w:val="22"/>
        </w:rPr>
        <w:t> </w:t>
      </w:r>
      <w:r>
        <w:rPr>
          <w:i/>
          <w:sz w:val="22"/>
        </w:rPr>
        <w:t>Committee</w:t>
      </w:r>
      <w:r>
        <w:rPr>
          <w:i/>
          <w:spacing w:val="80"/>
          <w:sz w:val="22"/>
        </w:rPr>
        <w:t> </w:t>
      </w:r>
      <w:r>
        <w:rPr>
          <w:i/>
          <w:sz w:val="22"/>
        </w:rPr>
        <w:t>was</w:t>
      </w:r>
      <w:r>
        <w:rPr>
          <w:i/>
          <w:spacing w:val="80"/>
          <w:sz w:val="22"/>
        </w:rPr>
        <w:t> </w:t>
      </w:r>
      <w:r>
        <w:rPr>
          <w:i/>
          <w:sz w:val="22"/>
        </w:rPr>
        <w:t>required</w:t>
      </w:r>
      <w:r>
        <w:rPr>
          <w:i/>
          <w:spacing w:val="80"/>
          <w:sz w:val="22"/>
        </w:rPr>
        <w:t> </w:t>
      </w:r>
      <w:r>
        <w:rPr>
          <w:i/>
          <w:sz w:val="22"/>
          <w:u w:val="single"/>
        </w:rPr>
        <w:t>as</w:t>
      </w:r>
      <w:r>
        <w:rPr>
          <w:i/>
          <w:spacing w:val="80"/>
          <w:sz w:val="22"/>
          <w:u w:val="single"/>
        </w:rPr>
        <w:t> </w:t>
      </w:r>
      <w:r>
        <w:rPr>
          <w:i/>
          <w:sz w:val="22"/>
          <w:u w:val="single"/>
        </w:rPr>
        <w:t>a</w:t>
      </w:r>
      <w:r>
        <w:rPr>
          <w:i/>
          <w:spacing w:val="80"/>
          <w:sz w:val="22"/>
          <w:u w:val="single"/>
        </w:rPr>
        <w:t> </w:t>
      </w:r>
      <w:r>
        <w:rPr>
          <w:i/>
          <w:sz w:val="22"/>
          <w:u w:val="single"/>
        </w:rPr>
        <w:t>matter</w:t>
      </w:r>
      <w:r>
        <w:rPr>
          <w:i/>
          <w:spacing w:val="80"/>
          <w:sz w:val="22"/>
          <w:u w:val="single"/>
        </w:rPr>
        <w:t> </w:t>
      </w:r>
      <w:r>
        <w:rPr>
          <w:i/>
          <w:sz w:val="22"/>
          <w:u w:val="single"/>
        </w:rPr>
        <w:t>of</w:t>
      </w:r>
      <w:r>
        <w:rPr>
          <w:i/>
          <w:spacing w:val="80"/>
          <w:sz w:val="22"/>
          <w:u w:val="single"/>
        </w:rPr>
        <w:t> </w:t>
      </w:r>
      <w:r>
        <w:rPr>
          <w:i/>
          <w:sz w:val="22"/>
          <w:u w:val="single"/>
        </w:rPr>
        <w:t>procedural</w:t>
      </w:r>
      <w:r>
        <w:rPr>
          <w:i/>
          <w:spacing w:val="80"/>
          <w:sz w:val="22"/>
          <w:u w:val="single"/>
        </w:rPr>
        <w:t> </w:t>
      </w:r>
      <w:r>
        <w:rPr>
          <w:i/>
          <w:sz w:val="22"/>
          <w:u w:val="single"/>
        </w:rPr>
        <w:t>fairness</w:t>
      </w:r>
      <w:r>
        <w:rPr>
          <w:i/>
          <w:spacing w:val="80"/>
          <w:sz w:val="22"/>
        </w:rPr>
        <w:t> </w:t>
      </w:r>
      <w:r>
        <w:rPr>
          <w:i/>
          <w:sz w:val="22"/>
        </w:rPr>
        <w:t>to</w:t>
      </w:r>
      <w:r>
        <w:rPr>
          <w:i/>
          <w:sz w:val="22"/>
        </w:rPr>
        <w:t> "provide</w:t>
      </w:r>
      <w:r>
        <w:rPr>
          <w:i/>
          <w:spacing w:val="34"/>
          <w:sz w:val="22"/>
        </w:rPr>
        <w:t> </w:t>
      </w:r>
      <w:r>
        <w:rPr>
          <w:i/>
          <w:sz w:val="22"/>
        </w:rPr>
        <w:t>adequate</w:t>
      </w:r>
      <w:r>
        <w:rPr>
          <w:i/>
          <w:spacing w:val="-10"/>
          <w:sz w:val="22"/>
        </w:rPr>
        <w:t> </w:t>
      </w:r>
      <w:r>
        <w:rPr>
          <w:i/>
          <w:sz w:val="22"/>
        </w:rPr>
        <w:t>explanations</w:t>
      </w:r>
      <w:r>
        <w:rPr>
          <w:i/>
          <w:spacing w:val="-9"/>
          <w:sz w:val="22"/>
        </w:rPr>
        <w:t> </w:t>
      </w:r>
      <w:r>
        <w:rPr>
          <w:i/>
          <w:sz w:val="22"/>
        </w:rPr>
        <w:t>of</w:t>
      </w:r>
      <w:r>
        <w:rPr>
          <w:i/>
          <w:spacing w:val="-12"/>
          <w:sz w:val="22"/>
        </w:rPr>
        <w:t> </w:t>
      </w:r>
      <w:r>
        <w:rPr>
          <w:i/>
          <w:sz w:val="22"/>
        </w:rPr>
        <w:t>their</w:t>
      </w:r>
      <w:r>
        <w:rPr>
          <w:i/>
          <w:spacing w:val="-12"/>
          <w:sz w:val="22"/>
        </w:rPr>
        <w:t> </w:t>
      </w:r>
      <w:r>
        <w:rPr>
          <w:i/>
          <w:sz w:val="22"/>
        </w:rPr>
        <w:t>decision-making",</w:t>
      </w:r>
      <w:r>
        <w:rPr>
          <w:i/>
          <w:spacing w:val="-11"/>
          <w:sz w:val="22"/>
        </w:rPr>
        <w:t> </w:t>
      </w:r>
      <w:r>
        <w:rPr>
          <w:i/>
          <w:sz w:val="22"/>
        </w:rPr>
        <w:t>and</w:t>
      </w:r>
      <w:r>
        <w:rPr>
          <w:i/>
          <w:spacing w:val="-13"/>
          <w:sz w:val="22"/>
        </w:rPr>
        <w:t> </w:t>
      </w:r>
      <w:r>
        <w:rPr>
          <w:i/>
          <w:sz w:val="22"/>
        </w:rPr>
        <w:t>failed</w:t>
      </w:r>
      <w:r>
        <w:rPr>
          <w:i/>
          <w:spacing w:val="-11"/>
          <w:sz w:val="22"/>
        </w:rPr>
        <w:t> </w:t>
      </w:r>
      <w:r>
        <w:rPr>
          <w:i/>
          <w:sz w:val="22"/>
        </w:rPr>
        <w:t>to</w:t>
      </w:r>
      <w:r>
        <w:rPr>
          <w:i/>
          <w:spacing w:val="-13"/>
          <w:sz w:val="22"/>
        </w:rPr>
        <w:t> </w:t>
      </w:r>
      <w:r>
        <w:rPr>
          <w:i/>
          <w:sz w:val="22"/>
        </w:rPr>
        <w:t>do</w:t>
      </w:r>
      <w:r>
        <w:rPr>
          <w:i/>
          <w:spacing w:val="-12"/>
          <w:sz w:val="22"/>
        </w:rPr>
        <w:t> </w:t>
      </w:r>
      <w:r>
        <w:rPr>
          <w:i/>
          <w:sz w:val="22"/>
        </w:rPr>
        <w:t>so.</w:t>
      </w:r>
    </w:p>
    <w:p>
      <w:pPr>
        <w:pStyle w:val="BodyText"/>
        <w:spacing w:before="5"/>
        <w:rPr>
          <w:i/>
          <w:sz w:val="25"/>
        </w:rPr>
      </w:pPr>
    </w:p>
    <w:p>
      <w:pPr>
        <w:pStyle w:val="BodyText"/>
        <w:spacing w:before="1"/>
        <w:ind w:left="120"/>
        <w:jc w:val="both"/>
      </w:pPr>
      <w:r>
        <w:rPr/>
        <w:t>Thank</w:t>
      </w:r>
      <w:r>
        <w:rPr>
          <w:spacing w:val="-13"/>
        </w:rPr>
        <w:t> </w:t>
      </w:r>
      <w:r>
        <w:rPr/>
        <w:t>you</w:t>
      </w:r>
      <w:r>
        <w:rPr>
          <w:spacing w:val="-11"/>
        </w:rPr>
        <w:t> </w:t>
      </w:r>
      <w:r>
        <w:rPr/>
        <w:t>for</w:t>
      </w:r>
      <w:r>
        <w:rPr>
          <w:spacing w:val="-11"/>
        </w:rPr>
        <w:t> </w:t>
      </w:r>
      <w:r>
        <w:rPr/>
        <w:t>confirming</w:t>
      </w:r>
      <w:r>
        <w:rPr>
          <w:spacing w:val="-10"/>
        </w:rPr>
        <w:t> </w:t>
      </w:r>
      <w:r>
        <w:rPr/>
        <w:t>that</w:t>
      </w:r>
      <w:r>
        <w:rPr>
          <w:spacing w:val="-11"/>
        </w:rPr>
        <w:t> </w:t>
      </w:r>
      <w:r>
        <w:rPr/>
        <w:t>the</w:t>
      </w:r>
      <w:r>
        <w:rPr>
          <w:spacing w:val="-12"/>
        </w:rPr>
        <w:t> </w:t>
      </w:r>
      <w:r>
        <w:rPr/>
        <w:t>second</w:t>
      </w:r>
      <w:r>
        <w:rPr>
          <w:spacing w:val="-11"/>
        </w:rPr>
        <w:t> </w:t>
      </w:r>
      <w:r>
        <w:rPr/>
        <w:t>argument</w:t>
      </w:r>
      <w:r>
        <w:rPr>
          <w:spacing w:val="-10"/>
        </w:rPr>
        <w:t> </w:t>
      </w:r>
      <w:r>
        <w:rPr/>
        <w:t>in</w:t>
      </w:r>
      <w:r>
        <w:rPr>
          <w:spacing w:val="-12"/>
        </w:rPr>
        <w:t> </w:t>
      </w:r>
      <w:r>
        <w:rPr/>
        <w:t>this</w:t>
      </w:r>
      <w:r>
        <w:rPr>
          <w:spacing w:val="-9"/>
        </w:rPr>
        <w:t> </w:t>
      </w:r>
      <w:r>
        <w:rPr/>
        <w:t>point</w:t>
      </w:r>
      <w:r>
        <w:rPr>
          <w:spacing w:val="-12"/>
        </w:rPr>
        <w:t> </w:t>
      </w:r>
      <w:r>
        <w:rPr/>
        <w:t>appeal</w:t>
      </w:r>
      <w:r>
        <w:rPr>
          <w:spacing w:val="-12"/>
        </w:rPr>
        <w:t> </w:t>
      </w:r>
      <w:r>
        <w:rPr/>
        <w:t>is</w:t>
      </w:r>
      <w:r>
        <w:rPr>
          <w:spacing w:val="-12"/>
        </w:rPr>
        <w:t> </w:t>
      </w:r>
      <w:r>
        <w:rPr>
          <w:spacing w:val="-2"/>
        </w:rPr>
        <w:t>admissible.</w:t>
      </w:r>
    </w:p>
    <w:p>
      <w:pPr>
        <w:pStyle w:val="BodyText"/>
        <w:spacing w:before="1"/>
        <w:rPr>
          <w:sz w:val="24"/>
        </w:rPr>
      </w:pPr>
    </w:p>
    <w:p>
      <w:pPr>
        <w:spacing w:line="276" w:lineRule="auto" w:before="0"/>
        <w:ind w:left="120" w:right="144" w:firstLine="0"/>
        <w:jc w:val="both"/>
        <w:rPr>
          <w:sz w:val="22"/>
        </w:rPr>
      </w:pPr>
      <w:r>
        <w:rPr>
          <w:sz w:val="22"/>
        </w:rPr>
        <w:t>We</w:t>
      </w:r>
      <w:r>
        <w:rPr>
          <w:spacing w:val="-6"/>
          <w:sz w:val="22"/>
        </w:rPr>
        <w:t> </w:t>
      </w:r>
      <w:r>
        <w:rPr>
          <w:sz w:val="22"/>
        </w:rPr>
        <w:t>note</w:t>
      </w:r>
      <w:r>
        <w:rPr>
          <w:spacing w:val="-4"/>
          <w:sz w:val="22"/>
        </w:rPr>
        <w:t> </w:t>
      </w:r>
      <w:r>
        <w:rPr>
          <w:sz w:val="22"/>
        </w:rPr>
        <w:t>that</w:t>
      </w:r>
      <w:r>
        <w:rPr>
          <w:spacing w:val="-3"/>
          <w:sz w:val="22"/>
        </w:rPr>
        <w:t> </w:t>
      </w:r>
      <w:r>
        <w:rPr>
          <w:sz w:val="22"/>
        </w:rPr>
        <w:t>you</w:t>
      </w:r>
      <w:r>
        <w:rPr>
          <w:spacing w:val="-4"/>
          <w:sz w:val="22"/>
        </w:rPr>
        <w:t> </w:t>
      </w:r>
      <w:r>
        <w:rPr>
          <w:sz w:val="22"/>
        </w:rPr>
        <w:t>are</w:t>
      </w:r>
      <w:r>
        <w:rPr>
          <w:spacing w:val="-4"/>
          <w:sz w:val="22"/>
        </w:rPr>
        <w:t> </w:t>
      </w:r>
      <w:r>
        <w:rPr>
          <w:sz w:val="22"/>
        </w:rPr>
        <w:t>not</w:t>
      </w:r>
      <w:r>
        <w:rPr>
          <w:spacing w:val="-4"/>
          <w:sz w:val="22"/>
        </w:rPr>
        <w:t> </w:t>
      </w:r>
      <w:r>
        <w:rPr>
          <w:sz w:val="22"/>
        </w:rPr>
        <w:t>currently</w:t>
      </w:r>
      <w:r>
        <w:rPr>
          <w:spacing w:val="-3"/>
          <w:sz w:val="22"/>
        </w:rPr>
        <w:t> </w:t>
      </w:r>
      <w:r>
        <w:rPr>
          <w:sz w:val="22"/>
        </w:rPr>
        <w:t>minded</w:t>
      </w:r>
      <w:r>
        <w:rPr>
          <w:spacing w:val="-3"/>
          <w:sz w:val="22"/>
        </w:rPr>
        <w:t> </w:t>
      </w:r>
      <w:r>
        <w:rPr>
          <w:sz w:val="22"/>
        </w:rPr>
        <w:t>to</w:t>
      </w:r>
      <w:r>
        <w:rPr>
          <w:spacing w:val="-4"/>
          <w:sz w:val="22"/>
        </w:rPr>
        <w:t> </w:t>
      </w:r>
      <w:r>
        <w:rPr>
          <w:sz w:val="22"/>
        </w:rPr>
        <w:t>refer</w:t>
      </w:r>
      <w:r>
        <w:rPr>
          <w:spacing w:val="-4"/>
          <w:sz w:val="22"/>
        </w:rPr>
        <w:t> </w:t>
      </w:r>
      <w:r>
        <w:rPr>
          <w:sz w:val="22"/>
        </w:rPr>
        <w:t>the</w:t>
      </w:r>
      <w:r>
        <w:rPr>
          <w:spacing w:val="-4"/>
          <w:sz w:val="22"/>
        </w:rPr>
        <w:t> </w:t>
      </w:r>
      <w:r>
        <w:rPr>
          <w:sz w:val="22"/>
        </w:rPr>
        <w:t>first</w:t>
      </w:r>
      <w:r>
        <w:rPr>
          <w:spacing w:val="-4"/>
          <w:sz w:val="22"/>
        </w:rPr>
        <w:t> </w:t>
      </w:r>
      <w:r>
        <w:rPr>
          <w:sz w:val="22"/>
        </w:rPr>
        <w:t>argument,</w:t>
      </w:r>
      <w:r>
        <w:rPr>
          <w:spacing w:val="-3"/>
          <w:sz w:val="22"/>
        </w:rPr>
        <w:t> </w:t>
      </w:r>
      <w:r>
        <w:rPr>
          <w:sz w:val="22"/>
        </w:rPr>
        <w:t>and</w:t>
      </w:r>
      <w:r>
        <w:rPr>
          <w:spacing w:val="-4"/>
          <w:sz w:val="22"/>
        </w:rPr>
        <w:t> </w:t>
      </w:r>
      <w:r>
        <w:rPr>
          <w:sz w:val="22"/>
        </w:rPr>
        <w:t>we</w:t>
      </w:r>
      <w:r>
        <w:rPr>
          <w:spacing w:val="-4"/>
          <w:sz w:val="22"/>
        </w:rPr>
        <w:t> </w:t>
      </w:r>
      <w:r>
        <w:rPr>
          <w:sz w:val="22"/>
        </w:rPr>
        <w:t>are</w:t>
      </w:r>
      <w:r>
        <w:rPr>
          <w:spacing w:val="-4"/>
          <w:sz w:val="22"/>
        </w:rPr>
        <w:t> </w:t>
      </w:r>
      <w:r>
        <w:rPr>
          <w:sz w:val="22"/>
        </w:rPr>
        <w:t>grateful</w:t>
      </w:r>
      <w:r>
        <w:rPr>
          <w:spacing w:val="-4"/>
          <w:sz w:val="22"/>
        </w:rPr>
        <w:t> </w:t>
      </w:r>
      <w:r>
        <w:rPr>
          <w:sz w:val="22"/>
        </w:rPr>
        <w:t>for</w:t>
      </w:r>
      <w:r>
        <w:rPr>
          <w:spacing w:val="-3"/>
          <w:sz w:val="22"/>
        </w:rPr>
        <w:t> </w:t>
      </w:r>
      <w:r>
        <w:rPr>
          <w:sz w:val="22"/>
        </w:rPr>
        <w:t>your invitation for further explanation in this regard. To clarify, in this ground of appeal, Immunocore does not assert that ‘</w:t>
      </w:r>
      <w:r>
        <w:rPr>
          <w:i/>
          <w:sz w:val="22"/>
        </w:rPr>
        <w:t>the Committee was required </w:t>
      </w:r>
      <w:r>
        <w:rPr>
          <w:i/>
          <w:sz w:val="22"/>
          <w:u w:val="single"/>
        </w:rPr>
        <w:t>as a matter of procedural fairness</w:t>
      </w:r>
      <w:r>
        <w:rPr>
          <w:i/>
          <w:sz w:val="22"/>
        </w:rPr>
        <w:t> to accept</w:t>
      </w:r>
      <w:r>
        <w:rPr>
          <w:i/>
          <w:sz w:val="22"/>
        </w:rPr>
        <w:t> Immunocore's modelling methods</w:t>
      </w:r>
      <w:r>
        <w:rPr>
          <w:sz w:val="22"/>
        </w:rPr>
        <w:t>’. Rather, the ground of appeal is that the Committee was required as a matter of procedural fairness to follow their own best practice.</w:t>
      </w:r>
    </w:p>
    <w:p>
      <w:pPr>
        <w:pStyle w:val="BodyText"/>
        <w:spacing w:before="10"/>
        <w:rPr>
          <w:sz w:val="20"/>
        </w:rPr>
      </w:pPr>
    </w:p>
    <w:p>
      <w:pPr>
        <w:spacing w:line="276" w:lineRule="auto" w:before="0"/>
        <w:ind w:left="120" w:right="144" w:firstLine="0"/>
        <w:jc w:val="both"/>
        <w:rPr>
          <w:sz w:val="24"/>
        </w:rPr>
      </w:pPr>
      <w:r>
        <w:rPr>
          <w:sz w:val="22"/>
        </w:rPr>
        <w:t>As detailed in the appeal, the Company’s approach to modelling was consistent with NICE Technical Support Document (TSD) 21 on flexible methods for survival analysis (10), supported by (i) the publication by Palmer et al.: ‘</w:t>
      </w:r>
      <w:r>
        <w:rPr>
          <w:i/>
          <w:sz w:val="22"/>
        </w:rPr>
        <w:t>A Guide to Selecting Flexible Survival Models to Inform</w:t>
      </w:r>
      <w:r>
        <w:rPr>
          <w:i/>
          <w:sz w:val="22"/>
        </w:rPr>
        <w:t> Economic Evaluations of Cancer Immunotherapies</w:t>
      </w:r>
      <w:r>
        <w:rPr>
          <w:sz w:val="22"/>
        </w:rPr>
        <w:t>’ (11) which assists with choice of methods from TSD21; (ii) clinical experts; and (iii) it was consistent with previous NICE technology appraisals,</w:t>
      </w:r>
      <w:r>
        <w:rPr>
          <w:spacing w:val="-4"/>
          <w:sz w:val="22"/>
        </w:rPr>
        <w:t> </w:t>
      </w:r>
      <w:r>
        <w:rPr>
          <w:sz w:val="22"/>
        </w:rPr>
        <w:t>including</w:t>
      </w:r>
      <w:r>
        <w:rPr>
          <w:spacing w:val="-4"/>
          <w:sz w:val="22"/>
        </w:rPr>
        <w:t> </w:t>
      </w:r>
      <w:r>
        <w:rPr>
          <w:sz w:val="22"/>
        </w:rPr>
        <w:t>TA519</w:t>
      </w:r>
      <w:r>
        <w:rPr>
          <w:spacing w:val="-5"/>
          <w:sz w:val="22"/>
        </w:rPr>
        <w:t> </w:t>
      </w:r>
      <w:r>
        <w:rPr>
          <w:sz w:val="22"/>
        </w:rPr>
        <w:t>on</w:t>
      </w:r>
      <w:r>
        <w:rPr>
          <w:spacing w:val="-5"/>
          <w:sz w:val="22"/>
        </w:rPr>
        <w:t> </w:t>
      </w:r>
      <w:r>
        <w:rPr>
          <w:sz w:val="22"/>
        </w:rPr>
        <w:t>pembrolizumab,</w:t>
      </w:r>
      <w:r>
        <w:rPr>
          <w:spacing w:val="-5"/>
          <w:sz w:val="22"/>
        </w:rPr>
        <w:t> </w:t>
      </w:r>
      <w:r>
        <w:rPr>
          <w:sz w:val="22"/>
        </w:rPr>
        <w:t>the</w:t>
      </w:r>
      <w:r>
        <w:rPr>
          <w:spacing w:val="-5"/>
          <w:sz w:val="22"/>
        </w:rPr>
        <w:t> </w:t>
      </w:r>
      <w:r>
        <w:rPr>
          <w:sz w:val="22"/>
        </w:rPr>
        <w:t>comparator</w:t>
      </w:r>
      <w:r>
        <w:rPr>
          <w:spacing w:val="-3"/>
          <w:sz w:val="22"/>
        </w:rPr>
        <w:t> </w:t>
      </w:r>
      <w:r>
        <w:rPr>
          <w:sz w:val="22"/>
        </w:rPr>
        <w:t>(12).</w:t>
      </w:r>
      <w:r>
        <w:rPr>
          <w:spacing w:val="-4"/>
          <w:sz w:val="22"/>
        </w:rPr>
        <w:t> </w:t>
      </w:r>
      <w:r>
        <w:rPr>
          <w:sz w:val="24"/>
        </w:rPr>
        <w:t>It</w:t>
      </w:r>
      <w:r>
        <w:rPr>
          <w:spacing w:val="-1"/>
          <w:sz w:val="24"/>
        </w:rPr>
        <w:t> </w:t>
      </w:r>
      <w:r>
        <w:rPr>
          <w:sz w:val="24"/>
        </w:rPr>
        <w:t>was</w:t>
      </w:r>
      <w:r>
        <w:rPr>
          <w:spacing w:val="-1"/>
          <w:sz w:val="24"/>
        </w:rPr>
        <w:t> </w:t>
      </w:r>
      <w:r>
        <w:rPr>
          <w:sz w:val="24"/>
        </w:rPr>
        <w:t>procedurally</w:t>
      </w:r>
      <w:r>
        <w:rPr>
          <w:spacing w:val="-3"/>
          <w:sz w:val="24"/>
        </w:rPr>
        <w:t> </w:t>
      </w:r>
      <w:r>
        <w:rPr>
          <w:sz w:val="24"/>
        </w:rPr>
        <w:t>unfair for</w:t>
      </w:r>
      <w:r>
        <w:rPr>
          <w:spacing w:val="-17"/>
          <w:sz w:val="24"/>
        </w:rPr>
        <w:t> </w:t>
      </w:r>
      <w:r>
        <w:rPr>
          <w:sz w:val="24"/>
        </w:rPr>
        <w:t>NICE</w:t>
      </w:r>
      <w:r>
        <w:rPr>
          <w:spacing w:val="-17"/>
          <w:sz w:val="24"/>
        </w:rPr>
        <w:t> </w:t>
      </w:r>
      <w:r>
        <w:rPr>
          <w:sz w:val="24"/>
        </w:rPr>
        <w:t>not</w:t>
      </w:r>
      <w:r>
        <w:rPr>
          <w:spacing w:val="-16"/>
          <w:sz w:val="24"/>
        </w:rPr>
        <w:t> </w:t>
      </w:r>
      <w:r>
        <w:rPr>
          <w:sz w:val="24"/>
        </w:rPr>
        <w:t>to</w:t>
      </w:r>
      <w:r>
        <w:rPr>
          <w:spacing w:val="-17"/>
          <w:sz w:val="24"/>
        </w:rPr>
        <w:t> </w:t>
      </w:r>
      <w:r>
        <w:rPr>
          <w:sz w:val="24"/>
        </w:rPr>
        <w:t>take</w:t>
      </w:r>
      <w:r>
        <w:rPr>
          <w:spacing w:val="-17"/>
          <w:sz w:val="24"/>
        </w:rPr>
        <w:t> </w:t>
      </w:r>
      <w:r>
        <w:rPr>
          <w:sz w:val="24"/>
        </w:rPr>
        <w:t>an</w:t>
      </w:r>
      <w:r>
        <w:rPr>
          <w:spacing w:val="-17"/>
          <w:sz w:val="24"/>
        </w:rPr>
        <w:t> </w:t>
      </w:r>
      <w:r>
        <w:rPr>
          <w:sz w:val="24"/>
        </w:rPr>
        <w:t>approach</w:t>
      </w:r>
      <w:r>
        <w:rPr>
          <w:spacing w:val="-16"/>
          <w:sz w:val="24"/>
        </w:rPr>
        <w:t> </w:t>
      </w:r>
      <w:r>
        <w:rPr>
          <w:sz w:val="24"/>
        </w:rPr>
        <w:t>that</w:t>
      </w:r>
      <w:r>
        <w:rPr>
          <w:spacing w:val="-17"/>
          <w:sz w:val="24"/>
        </w:rPr>
        <w:t> </w:t>
      </w:r>
      <w:r>
        <w:rPr>
          <w:sz w:val="24"/>
        </w:rPr>
        <w:t>was</w:t>
      </w:r>
      <w:r>
        <w:rPr>
          <w:spacing w:val="-17"/>
          <w:sz w:val="24"/>
        </w:rPr>
        <w:t> </w:t>
      </w:r>
      <w:r>
        <w:rPr>
          <w:sz w:val="24"/>
        </w:rPr>
        <w:t>consistent</w:t>
      </w:r>
      <w:r>
        <w:rPr>
          <w:spacing w:val="-16"/>
          <w:sz w:val="24"/>
        </w:rPr>
        <w:t> </w:t>
      </w:r>
      <w:r>
        <w:rPr>
          <w:sz w:val="24"/>
        </w:rPr>
        <w:t>with</w:t>
      </w:r>
      <w:r>
        <w:rPr>
          <w:spacing w:val="-17"/>
          <w:sz w:val="24"/>
        </w:rPr>
        <w:t> </w:t>
      </w:r>
      <w:r>
        <w:rPr>
          <w:sz w:val="24"/>
        </w:rPr>
        <w:t>TSD</w:t>
      </w:r>
      <w:r>
        <w:rPr>
          <w:spacing w:val="-17"/>
          <w:sz w:val="24"/>
        </w:rPr>
        <w:t> </w:t>
      </w:r>
      <w:r>
        <w:rPr>
          <w:sz w:val="24"/>
        </w:rPr>
        <w:t>21,</w:t>
      </w:r>
      <w:r>
        <w:rPr>
          <w:spacing w:val="-16"/>
          <w:sz w:val="24"/>
        </w:rPr>
        <w:t> </w:t>
      </w:r>
      <w:r>
        <w:rPr>
          <w:sz w:val="24"/>
        </w:rPr>
        <w:t>Palmer</w:t>
      </w:r>
      <w:r>
        <w:rPr>
          <w:spacing w:val="-17"/>
          <w:sz w:val="24"/>
        </w:rPr>
        <w:t> </w:t>
      </w:r>
      <w:r>
        <w:rPr>
          <w:sz w:val="24"/>
        </w:rPr>
        <w:t>et</w:t>
      </w:r>
      <w:r>
        <w:rPr>
          <w:spacing w:val="-17"/>
          <w:sz w:val="24"/>
        </w:rPr>
        <w:t> </w:t>
      </w:r>
      <w:r>
        <w:rPr>
          <w:sz w:val="24"/>
        </w:rPr>
        <w:t>al</w:t>
      </w:r>
      <w:r>
        <w:rPr>
          <w:spacing w:val="-16"/>
          <w:sz w:val="24"/>
        </w:rPr>
        <w:t> </w:t>
      </w:r>
      <w:r>
        <w:rPr>
          <w:sz w:val="24"/>
        </w:rPr>
        <w:t>and</w:t>
      </w:r>
      <w:r>
        <w:rPr>
          <w:spacing w:val="-17"/>
          <w:sz w:val="24"/>
        </w:rPr>
        <w:t> </w:t>
      </w:r>
      <w:r>
        <w:rPr>
          <w:sz w:val="24"/>
        </w:rPr>
        <w:t>NICE’s previous appraisals such as TA519 for pembrolizumab; and in line with the scientific and clinical evidence submitted by the Company.</w:t>
      </w:r>
    </w:p>
    <w:p>
      <w:pPr>
        <w:pStyle w:val="BodyText"/>
        <w:spacing w:before="8"/>
        <w:rPr>
          <w:sz w:val="20"/>
        </w:rPr>
      </w:pPr>
    </w:p>
    <w:p>
      <w:pPr>
        <w:spacing w:line="276" w:lineRule="auto" w:before="0"/>
        <w:ind w:left="120" w:right="150" w:firstLine="0"/>
        <w:jc w:val="both"/>
        <w:rPr>
          <w:b/>
          <w:sz w:val="22"/>
        </w:rPr>
      </w:pPr>
      <w:r>
        <w:rPr>
          <w:b/>
          <w:sz w:val="22"/>
          <w:u w:val="single"/>
        </w:rPr>
        <w:t>Ground 2: The recommendation is unreasonable in the light of the evidence submitted to</w:t>
      </w:r>
      <w:r>
        <w:rPr>
          <w:b/>
          <w:sz w:val="22"/>
        </w:rPr>
        <w:t> </w:t>
      </w:r>
      <w:r>
        <w:rPr>
          <w:b/>
          <w:spacing w:val="-4"/>
          <w:sz w:val="22"/>
          <w:u w:val="single"/>
        </w:rPr>
        <w:t>NICE</w:t>
      </w:r>
    </w:p>
    <w:p>
      <w:pPr>
        <w:pStyle w:val="BodyText"/>
        <w:spacing w:before="5"/>
        <w:rPr>
          <w:b/>
          <w:sz w:val="17"/>
        </w:rPr>
      </w:pPr>
    </w:p>
    <w:p>
      <w:pPr>
        <w:pStyle w:val="Heading1"/>
        <w:spacing w:line="276" w:lineRule="auto" w:before="92"/>
        <w:ind w:right="160"/>
      </w:pPr>
      <w:r>
        <w:rPr/>
        <w:t>Appeal point 2.1 it was unreasonable for NICE to exclude tebentafusp from HST on the basis of two redundant HST criteria.</w:t>
      </w:r>
    </w:p>
    <w:p>
      <w:pPr>
        <w:pStyle w:val="BodyText"/>
        <w:spacing w:before="4"/>
        <w:rPr>
          <w:b/>
          <w:sz w:val="25"/>
        </w:rPr>
      </w:pPr>
    </w:p>
    <w:p>
      <w:pPr>
        <w:pStyle w:val="BodyText"/>
        <w:spacing w:line="276" w:lineRule="auto" w:before="1"/>
        <w:ind w:left="120" w:right="152"/>
        <w:jc w:val="both"/>
      </w:pPr>
      <w:r>
        <w:rPr/>
        <w:t>You express the view that NICE’s routing decision for a technology appraisal falls outside of the scope of this appeals process. We respectfully disagree, for the reasons stated in our response to the rejection of appeal point 1(a).1. In Immunocore’s view the routing decision was unreasonable and can be challenged within the scope of the appeal.</w:t>
      </w:r>
    </w:p>
    <w:p>
      <w:pPr>
        <w:pStyle w:val="BodyText"/>
        <w:spacing w:before="3"/>
        <w:rPr>
          <w:sz w:val="25"/>
        </w:rPr>
      </w:pPr>
    </w:p>
    <w:p>
      <w:pPr>
        <w:pStyle w:val="BodyText"/>
        <w:spacing w:line="276" w:lineRule="auto"/>
        <w:ind w:left="120" w:right="147"/>
        <w:jc w:val="both"/>
      </w:pPr>
      <w:r>
        <w:rPr/>
        <w:t>The evidence presented in the submission demonstrates the TSOP decision was unreasonable given metastatic uveal melanoma (UM) is an ultra-rare condition with high unmet need for which innovative treatments such as tebentafusp provide a paradigm shift for patients. The decision to review tebentafusp under the HST routing results in an inequitable outcome for these patients in denying them treatment due to inappropriate criteria being applied to the evidence provided.</w:t>
      </w:r>
    </w:p>
    <w:p>
      <w:pPr>
        <w:spacing w:after="0" w:line="276" w:lineRule="auto"/>
        <w:jc w:val="both"/>
        <w:sectPr>
          <w:pgSz w:w="11910" w:h="16840"/>
          <w:pgMar w:header="729" w:footer="1501" w:top="1540" w:bottom="1720" w:left="1240" w:right="980"/>
        </w:sectPr>
      </w:pPr>
    </w:p>
    <w:p>
      <w:pPr>
        <w:pStyle w:val="BodyText"/>
        <w:rPr>
          <w:sz w:val="20"/>
        </w:rPr>
      </w:pPr>
    </w:p>
    <w:p>
      <w:pPr>
        <w:pStyle w:val="BodyText"/>
        <w:rPr>
          <w:sz w:val="20"/>
        </w:rPr>
      </w:pPr>
    </w:p>
    <w:p>
      <w:pPr>
        <w:pStyle w:val="BodyText"/>
        <w:spacing w:before="4"/>
        <w:rPr>
          <w:sz w:val="20"/>
        </w:rPr>
      </w:pPr>
    </w:p>
    <w:p>
      <w:pPr>
        <w:pStyle w:val="Heading1"/>
        <w:spacing w:line="276" w:lineRule="auto" w:before="1"/>
        <w:ind w:right="148"/>
      </w:pPr>
      <w:r>
        <w:rPr/>
        <w:t>Appeal point 2.3: The Committee’s conclusion that overall survival modelling is highly uncertain and standard parametric approaches are the most appropriate to apply to both treatment arms, cannot reasonably be justified.</w:t>
      </w:r>
    </w:p>
    <w:p>
      <w:pPr>
        <w:pStyle w:val="BodyText"/>
        <w:spacing w:before="2"/>
        <w:rPr>
          <w:b/>
          <w:sz w:val="21"/>
        </w:rPr>
      </w:pPr>
    </w:p>
    <w:p>
      <w:pPr>
        <w:spacing w:line="276" w:lineRule="auto" w:before="0"/>
        <w:ind w:left="120" w:right="144" w:firstLine="0"/>
        <w:jc w:val="both"/>
        <w:rPr>
          <w:sz w:val="22"/>
        </w:rPr>
      </w:pPr>
      <w:r>
        <w:rPr>
          <w:sz w:val="22"/>
        </w:rPr>
        <w:t>Thank you for confirming that appeal point 2.3 is admissible and will be referred to the appeal panel.</w:t>
      </w:r>
      <w:r>
        <w:rPr>
          <w:spacing w:val="-8"/>
          <w:sz w:val="22"/>
        </w:rPr>
        <w:t> </w:t>
      </w:r>
      <w:r>
        <w:rPr>
          <w:sz w:val="22"/>
        </w:rPr>
        <w:t>One</w:t>
      </w:r>
      <w:r>
        <w:rPr>
          <w:spacing w:val="-9"/>
          <w:sz w:val="22"/>
        </w:rPr>
        <w:t> </w:t>
      </w:r>
      <w:r>
        <w:rPr>
          <w:sz w:val="22"/>
        </w:rPr>
        <w:t>argument</w:t>
      </w:r>
      <w:r>
        <w:rPr>
          <w:spacing w:val="-8"/>
          <w:sz w:val="22"/>
        </w:rPr>
        <w:t> </w:t>
      </w:r>
      <w:r>
        <w:rPr>
          <w:sz w:val="22"/>
        </w:rPr>
        <w:t>was</w:t>
      </w:r>
      <w:r>
        <w:rPr>
          <w:spacing w:val="-7"/>
          <w:sz w:val="22"/>
        </w:rPr>
        <w:t> </w:t>
      </w:r>
      <w:r>
        <w:rPr>
          <w:sz w:val="22"/>
        </w:rPr>
        <w:t>rejected</w:t>
      </w:r>
      <w:r>
        <w:rPr>
          <w:spacing w:val="-10"/>
          <w:sz w:val="22"/>
        </w:rPr>
        <w:t> </w:t>
      </w:r>
      <w:r>
        <w:rPr>
          <w:sz w:val="22"/>
        </w:rPr>
        <w:t>under</w:t>
      </w:r>
      <w:r>
        <w:rPr>
          <w:spacing w:val="-9"/>
          <w:sz w:val="22"/>
        </w:rPr>
        <w:t> </w:t>
      </w:r>
      <w:r>
        <w:rPr>
          <w:sz w:val="22"/>
        </w:rPr>
        <w:t>this</w:t>
      </w:r>
      <w:r>
        <w:rPr>
          <w:spacing w:val="-8"/>
          <w:sz w:val="22"/>
        </w:rPr>
        <w:t> </w:t>
      </w:r>
      <w:r>
        <w:rPr>
          <w:sz w:val="22"/>
        </w:rPr>
        <w:t>appeal</w:t>
      </w:r>
      <w:r>
        <w:rPr>
          <w:spacing w:val="-9"/>
          <w:sz w:val="22"/>
        </w:rPr>
        <w:t> </w:t>
      </w:r>
      <w:r>
        <w:rPr>
          <w:sz w:val="22"/>
        </w:rPr>
        <w:t>point:</w:t>
      </w:r>
      <w:r>
        <w:rPr>
          <w:spacing w:val="-10"/>
          <w:sz w:val="22"/>
        </w:rPr>
        <w:t> </w:t>
      </w:r>
      <w:r>
        <w:rPr>
          <w:sz w:val="22"/>
        </w:rPr>
        <w:t>“</w:t>
      </w:r>
      <w:r>
        <w:rPr>
          <w:i/>
          <w:sz w:val="22"/>
        </w:rPr>
        <w:t>the</w:t>
      </w:r>
      <w:r>
        <w:rPr>
          <w:i/>
          <w:spacing w:val="-8"/>
          <w:sz w:val="22"/>
        </w:rPr>
        <w:t> </w:t>
      </w:r>
      <w:r>
        <w:rPr>
          <w:i/>
          <w:sz w:val="22"/>
        </w:rPr>
        <w:t>Committee’s</w:t>
      </w:r>
      <w:r>
        <w:rPr>
          <w:i/>
          <w:spacing w:val="-8"/>
          <w:sz w:val="22"/>
        </w:rPr>
        <w:t> </w:t>
      </w:r>
      <w:r>
        <w:rPr>
          <w:i/>
          <w:sz w:val="22"/>
        </w:rPr>
        <w:t>conclusion,</w:t>
      </w:r>
      <w:r>
        <w:rPr>
          <w:i/>
          <w:spacing w:val="-7"/>
          <w:sz w:val="22"/>
        </w:rPr>
        <w:t> </w:t>
      </w:r>
      <w:r>
        <w:rPr>
          <w:i/>
          <w:sz w:val="22"/>
        </w:rPr>
        <w:t>in</w:t>
      </w:r>
      <w:r>
        <w:rPr>
          <w:i/>
          <w:spacing w:val="-9"/>
          <w:sz w:val="22"/>
        </w:rPr>
        <w:t> </w:t>
      </w:r>
      <w:r>
        <w:rPr>
          <w:i/>
          <w:sz w:val="22"/>
        </w:rPr>
        <w:t>effect,</w:t>
      </w:r>
      <w:r>
        <w:rPr>
          <w:i/>
          <w:sz w:val="22"/>
        </w:rPr>
        <w:t> does not add up because it will mean that in order for tebentafusp to be cost-effective using the NICE endorsed EAG modelling approach, it will have to be provided below the cost of providing tebentafusp</w:t>
      </w:r>
      <w:r>
        <w:rPr>
          <w:i/>
          <w:spacing w:val="-10"/>
          <w:sz w:val="22"/>
        </w:rPr>
        <w:t> </w:t>
      </w:r>
      <w:r>
        <w:rPr>
          <w:i/>
          <w:sz w:val="22"/>
        </w:rPr>
        <w:t>in</w:t>
      </w:r>
      <w:r>
        <w:rPr>
          <w:i/>
          <w:spacing w:val="-10"/>
          <w:sz w:val="22"/>
        </w:rPr>
        <w:t> </w:t>
      </w:r>
      <w:r>
        <w:rPr>
          <w:i/>
          <w:sz w:val="22"/>
        </w:rPr>
        <w:t>England,</w:t>
      </w:r>
      <w:r>
        <w:rPr>
          <w:i/>
          <w:spacing w:val="-11"/>
          <w:sz w:val="22"/>
        </w:rPr>
        <w:t> </w:t>
      </w:r>
      <w:r>
        <w:rPr>
          <w:i/>
          <w:sz w:val="22"/>
        </w:rPr>
        <w:t>Wales</w:t>
      </w:r>
      <w:r>
        <w:rPr>
          <w:i/>
          <w:spacing w:val="-10"/>
          <w:sz w:val="22"/>
        </w:rPr>
        <w:t> </w:t>
      </w:r>
      <w:r>
        <w:rPr>
          <w:i/>
          <w:sz w:val="22"/>
        </w:rPr>
        <w:t>and</w:t>
      </w:r>
      <w:r>
        <w:rPr>
          <w:i/>
          <w:spacing w:val="-12"/>
          <w:sz w:val="22"/>
        </w:rPr>
        <w:t> </w:t>
      </w:r>
      <w:r>
        <w:rPr>
          <w:i/>
          <w:sz w:val="22"/>
        </w:rPr>
        <w:t>Northern</w:t>
      </w:r>
      <w:r>
        <w:rPr>
          <w:i/>
          <w:spacing w:val="-10"/>
          <w:sz w:val="22"/>
        </w:rPr>
        <w:t> </w:t>
      </w:r>
      <w:r>
        <w:rPr>
          <w:i/>
          <w:sz w:val="22"/>
        </w:rPr>
        <w:t>Ireland’’.</w:t>
      </w:r>
      <w:r>
        <w:rPr>
          <w:i/>
          <w:spacing w:val="-7"/>
          <w:sz w:val="22"/>
        </w:rPr>
        <w:t> </w:t>
      </w:r>
      <w:r>
        <w:rPr>
          <w:sz w:val="22"/>
        </w:rPr>
        <w:t>This</w:t>
      </w:r>
      <w:r>
        <w:rPr>
          <w:spacing w:val="-9"/>
          <w:sz w:val="22"/>
        </w:rPr>
        <w:t> </w:t>
      </w:r>
      <w:r>
        <w:rPr>
          <w:sz w:val="22"/>
        </w:rPr>
        <w:t>argument</w:t>
      </w:r>
      <w:r>
        <w:rPr>
          <w:spacing w:val="-9"/>
          <w:sz w:val="22"/>
        </w:rPr>
        <w:t> </w:t>
      </w:r>
      <w:r>
        <w:rPr>
          <w:sz w:val="22"/>
        </w:rPr>
        <w:t>was</w:t>
      </w:r>
      <w:r>
        <w:rPr>
          <w:spacing w:val="-10"/>
          <w:sz w:val="22"/>
        </w:rPr>
        <w:t> </w:t>
      </w:r>
      <w:r>
        <w:rPr>
          <w:sz w:val="22"/>
        </w:rPr>
        <w:t>rejected</w:t>
      </w:r>
      <w:r>
        <w:rPr>
          <w:spacing w:val="-9"/>
          <w:sz w:val="22"/>
        </w:rPr>
        <w:t> </w:t>
      </w:r>
      <w:r>
        <w:rPr>
          <w:sz w:val="22"/>
        </w:rPr>
        <w:t>on</w:t>
      </w:r>
      <w:r>
        <w:rPr>
          <w:spacing w:val="-13"/>
          <w:sz w:val="22"/>
        </w:rPr>
        <w:t> </w:t>
      </w:r>
      <w:r>
        <w:rPr>
          <w:sz w:val="22"/>
        </w:rPr>
        <w:t>the</w:t>
      </w:r>
      <w:r>
        <w:rPr>
          <w:spacing w:val="-13"/>
          <w:sz w:val="22"/>
        </w:rPr>
        <w:t> </w:t>
      </w:r>
      <w:r>
        <w:rPr>
          <w:sz w:val="22"/>
        </w:rPr>
        <w:t>grounds that</w:t>
      </w:r>
      <w:r>
        <w:rPr>
          <w:spacing w:val="-15"/>
          <w:sz w:val="22"/>
        </w:rPr>
        <w:t> </w:t>
      </w:r>
      <w:r>
        <w:rPr>
          <w:sz w:val="22"/>
        </w:rPr>
        <w:t>NICE</w:t>
      </w:r>
      <w:r>
        <w:rPr>
          <w:spacing w:val="-13"/>
          <w:sz w:val="22"/>
        </w:rPr>
        <w:t> </w:t>
      </w:r>
      <w:r>
        <w:rPr>
          <w:sz w:val="22"/>
        </w:rPr>
        <w:t>is</w:t>
      </w:r>
      <w:r>
        <w:rPr>
          <w:spacing w:val="-11"/>
          <w:sz w:val="22"/>
        </w:rPr>
        <w:t> </w:t>
      </w:r>
      <w:r>
        <w:rPr>
          <w:sz w:val="22"/>
        </w:rPr>
        <w:t>not</w:t>
      </w:r>
      <w:r>
        <w:rPr>
          <w:spacing w:val="-12"/>
          <w:sz w:val="22"/>
        </w:rPr>
        <w:t> </w:t>
      </w:r>
      <w:r>
        <w:rPr>
          <w:sz w:val="22"/>
        </w:rPr>
        <w:t>obliged</w:t>
      </w:r>
      <w:r>
        <w:rPr>
          <w:spacing w:val="-14"/>
          <w:sz w:val="22"/>
        </w:rPr>
        <w:t> </w:t>
      </w:r>
      <w:r>
        <w:rPr>
          <w:sz w:val="22"/>
        </w:rPr>
        <w:t>to</w:t>
      </w:r>
      <w:r>
        <w:rPr>
          <w:spacing w:val="-11"/>
          <w:sz w:val="22"/>
        </w:rPr>
        <w:t> </w:t>
      </w:r>
      <w:r>
        <w:rPr>
          <w:sz w:val="22"/>
        </w:rPr>
        <w:t>recommend</w:t>
      </w:r>
      <w:r>
        <w:rPr>
          <w:spacing w:val="-14"/>
          <w:sz w:val="22"/>
        </w:rPr>
        <w:t> </w:t>
      </w:r>
      <w:r>
        <w:rPr>
          <w:sz w:val="22"/>
        </w:rPr>
        <w:t>a</w:t>
      </w:r>
      <w:r>
        <w:rPr>
          <w:spacing w:val="-15"/>
          <w:sz w:val="22"/>
        </w:rPr>
        <w:t> </w:t>
      </w:r>
      <w:r>
        <w:rPr>
          <w:sz w:val="22"/>
        </w:rPr>
        <w:t>technology</w:t>
      </w:r>
      <w:r>
        <w:rPr>
          <w:spacing w:val="-12"/>
          <w:sz w:val="22"/>
        </w:rPr>
        <w:t> </w:t>
      </w:r>
      <w:r>
        <w:rPr>
          <w:sz w:val="22"/>
        </w:rPr>
        <w:t>as</w:t>
      </w:r>
      <w:r>
        <w:rPr>
          <w:spacing w:val="-14"/>
          <w:sz w:val="22"/>
        </w:rPr>
        <w:t> </w:t>
      </w:r>
      <w:r>
        <w:rPr>
          <w:sz w:val="22"/>
        </w:rPr>
        <w:t>cost</w:t>
      </w:r>
      <w:r>
        <w:rPr>
          <w:spacing w:val="-13"/>
          <w:sz w:val="22"/>
        </w:rPr>
        <w:t> </w:t>
      </w:r>
      <w:r>
        <w:rPr>
          <w:sz w:val="22"/>
        </w:rPr>
        <w:t>effective</w:t>
      </w:r>
      <w:r>
        <w:rPr>
          <w:spacing w:val="-15"/>
          <w:sz w:val="22"/>
        </w:rPr>
        <w:t> </w:t>
      </w:r>
      <w:r>
        <w:rPr>
          <w:sz w:val="22"/>
        </w:rPr>
        <w:t>for</w:t>
      </w:r>
      <w:r>
        <w:rPr>
          <w:spacing w:val="-15"/>
          <w:sz w:val="22"/>
        </w:rPr>
        <w:t> </w:t>
      </w:r>
      <w:r>
        <w:rPr>
          <w:sz w:val="22"/>
        </w:rPr>
        <w:t>use</w:t>
      </w:r>
      <w:r>
        <w:rPr>
          <w:spacing w:val="-14"/>
          <w:sz w:val="22"/>
        </w:rPr>
        <w:t> </w:t>
      </w:r>
      <w:r>
        <w:rPr>
          <w:sz w:val="22"/>
        </w:rPr>
        <w:t>within</w:t>
      </w:r>
      <w:r>
        <w:rPr>
          <w:spacing w:val="-12"/>
          <w:sz w:val="22"/>
        </w:rPr>
        <w:t> </w:t>
      </w:r>
      <w:r>
        <w:rPr>
          <w:sz w:val="22"/>
        </w:rPr>
        <w:t>the</w:t>
      </w:r>
      <w:r>
        <w:rPr>
          <w:spacing w:val="-14"/>
          <w:sz w:val="22"/>
        </w:rPr>
        <w:t> </w:t>
      </w:r>
      <w:r>
        <w:rPr>
          <w:sz w:val="22"/>
        </w:rPr>
        <w:t>NHS</w:t>
      </w:r>
      <w:r>
        <w:rPr>
          <w:spacing w:val="-14"/>
          <w:sz w:val="22"/>
        </w:rPr>
        <w:t> </w:t>
      </w:r>
      <w:r>
        <w:rPr>
          <w:sz w:val="22"/>
        </w:rPr>
        <w:t>solely because that technology is priced at or below cost price.</w:t>
      </w:r>
    </w:p>
    <w:p>
      <w:pPr>
        <w:pStyle w:val="BodyText"/>
        <w:spacing w:before="10"/>
        <w:rPr>
          <w:sz w:val="26"/>
        </w:rPr>
      </w:pPr>
    </w:p>
    <w:p>
      <w:pPr>
        <w:pStyle w:val="BodyText"/>
        <w:spacing w:line="276" w:lineRule="auto"/>
        <w:ind w:left="120" w:right="142"/>
        <w:jc w:val="both"/>
      </w:pPr>
      <w:r>
        <w:rPr/>
        <w:t>To</w:t>
      </w:r>
      <w:r>
        <w:rPr>
          <w:spacing w:val="-10"/>
        </w:rPr>
        <w:t> </w:t>
      </w:r>
      <w:r>
        <w:rPr/>
        <w:t>clarify,</w:t>
      </w:r>
      <w:r>
        <w:rPr>
          <w:spacing w:val="-9"/>
        </w:rPr>
        <w:t> </w:t>
      </w:r>
      <w:r>
        <w:rPr/>
        <w:t>in</w:t>
      </w:r>
      <w:r>
        <w:rPr>
          <w:spacing w:val="-12"/>
        </w:rPr>
        <w:t> </w:t>
      </w:r>
      <w:r>
        <w:rPr/>
        <w:t>circumstances</w:t>
      </w:r>
      <w:r>
        <w:rPr>
          <w:spacing w:val="-9"/>
        </w:rPr>
        <w:t> </w:t>
      </w:r>
      <w:r>
        <w:rPr/>
        <w:t>where</w:t>
      </w:r>
      <w:r>
        <w:rPr>
          <w:spacing w:val="-9"/>
        </w:rPr>
        <w:t> </w:t>
      </w:r>
      <w:r>
        <w:rPr/>
        <w:t>NICE</w:t>
      </w:r>
      <w:r>
        <w:rPr>
          <w:spacing w:val="-11"/>
        </w:rPr>
        <w:t> </w:t>
      </w:r>
      <w:r>
        <w:rPr/>
        <w:t>has</w:t>
      </w:r>
      <w:r>
        <w:rPr>
          <w:spacing w:val="-11"/>
        </w:rPr>
        <w:t> </w:t>
      </w:r>
      <w:r>
        <w:rPr/>
        <w:t>concluded</w:t>
      </w:r>
      <w:r>
        <w:rPr>
          <w:spacing w:val="-9"/>
        </w:rPr>
        <w:t> </w:t>
      </w:r>
      <w:r>
        <w:rPr/>
        <w:t>that</w:t>
      </w:r>
      <w:r>
        <w:rPr>
          <w:spacing w:val="-11"/>
        </w:rPr>
        <w:t> </w:t>
      </w:r>
      <w:r>
        <w:rPr/>
        <w:t>a</w:t>
      </w:r>
      <w:r>
        <w:rPr>
          <w:spacing w:val="-13"/>
        </w:rPr>
        <w:t> </w:t>
      </w:r>
      <w:r>
        <w:rPr/>
        <w:t>technology</w:t>
      </w:r>
      <w:r>
        <w:rPr>
          <w:spacing w:val="-10"/>
        </w:rPr>
        <w:t> </w:t>
      </w:r>
      <w:r>
        <w:rPr/>
        <w:t>is</w:t>
      </w:r>
      <w:r>
        <w:rPr>
          <w:spacing w:val="-10"/>
        </w:rPr>
        <w:t> </w:t>
      </w:r>
      <w:r>
        <w:rPr/>
        <w:t>clinically</w:t>
      </w:r>
      <w:r>
        <w:rPr>
          <w:spacing w:val="-11"/>
        </w:rPr>
        <w:t> </w:t>
      </w:r>
      <w:r>
        <w:rPr/>
        <w:t>effective</w:t>
      </w:r>
      <w:r>
        <w:rPr>
          <w:spacing w:val="-9"/>
        </w:rPr>
        <w:t> </w:t>
      </w:r>
      <w:r>
        <w:rPr/>
        <w:t>and life-extending, and the Committee’s decision between two alternative models may be finely balanced,</w:t>
      </w:r>
      <w:r>
        <w:rPr>
          <w:spacing w:val="-9"/>
        </w:rPr>
        <w:t> </w:t>
      </w:r>
      <w:r>
        <w:rPr/>
        <w:t>it</w:t>
      </w:r>
      <w:r>
        <w:rPr>
          <w:spacing w:val="-12"/>
        </w:rPr>
        <w:t> </w:t>
      </w:r>
      <w:r>
        <w:rPr/>
        <w:t>unreasonable</w:t>
      </w:r>
      <w:r>
        <w:rPr>
          <w:spacing w:val="-13"/>
        </w:rPr>
        <w:t> </w:t>
      </w:r>
      <w:r>
        <w:rPr/>
        <w:t>for</w:t>
      </w:r>
      <w:r>
        <w:rPr>
          <w:spacing w:val="-12"/>
        </w:rPr>
        <w:t> </w:t>
      </w:r>
      <w:r>
        <w:rPr/>
        <w:t>NICE</w:t>
      </w:r>
      <w:r>
        <w:rPr>
          <w:spacing w:val="-13"/>
        </w:rPr>
        <w:t> </w:t>
      </w:r>
      <w:r>
        <w:rPr/>
        <w:t>fail</w:t>
      </w:r>
      <w:r>
        <w:rPr>
          <w:spacing w:val="-11"/>
        </w:rPr>
        <w:t> </w:t>
      </w:r>
      <w:r>
        <w:rPr/>
        <w:t>to</w:t>
      </w:r>
      <w:r>
        <w:rPr>
          <w:spacing w:val="-13"/>
        </w:rPr>
        <w:t> </w:t>
      </w:r>
      <w:r>
        <w:rPr/>
        <w:t>take</w:t>
      </w:r>
      <w:r>
        <w:rPr>
          <w:spacing w:val="-11"/>
        </w:rPr>
        <w:t> </w:t>
      </w:r>
      <w:r>
        <w:rPr/>
        <w:t>into</w:t>
      </w:r>
      <w:r>
        <w:rPr>
          <w:spacing w:val="-11"/>
        </w:rPr>
        <w:t> </w:t>
      </w:r>
      <w:r>
        <w:rPr/>
        <w:t>account</w:t>
      </w:r>
      <w:r>
        <w:rPr>
          <w:spacing w:val="-10"/>
        </w:rPr>
        <w:t> </w:t>
      </w:r>
      <w:r>
        <w:rPr/>
        <w:t>the</w:t>
      </w:r>
      <w:r>
        <w:rPr>
          <w:spacing w:val="-14"/>
        </w:rPr>
        <w:t> </w:t>
      </w:r>
      <w:r>
        <w:rPr/>
        <w:t>fact</w:t>
      </w:r>
      <w:r>
        <w:rPr>
          <w:spacing w:val="-11"/>
        </w:rPr>
        <w:t> </w:t>
      </w:r>
      <w:r>
        <w:rPr/>
        <w:t>that</w:t>
      </w:r>
      <w:r>
        <w:rPr>
          <w:spacing w:val="-10"/>
        </w:rPr>
        <w:t> </w:t>
      </w:r>
      <w:r>
        <w:rPr/>
        <w:t>the</w:t>
      </w:r>
      <w:r>
        <w:rPr>
          <w:spacing w:val="-14"/>
        </w:rPr>
        <w:t> </w:t>
      </w:r>
      <w:r>
        <w:rPr/>
        <w:t>Committee’s</w:t>
      </w:r>
      <w:r>
        <w:rPr>
          <w:spacing w:val="-9"/>
        </w:rPr>
        <w:t> </w:t>
      </w:r>
      <w:r>
        <w:rPr/>
        <w:t>preferred model</w:t>
      </w:r>
      <w:r>
        <w:rPr>
          <w:spacing w:val="-9"/>
        </w:rPr>
        <w:t> </w:t>
      </w:r>
      <w:r>
        <w:rPr/>
        <w:t>(which</w:t>
      </w:r>
      <w:r>
        <w:rPr>
          <w:spacing w:val="-7"/>
        </w:rPr>
        <w:t> </w:t>
      </w:r>
      <w:r>
        <w:rPr/>
        <w:t>is</w:t>
      </w:r>
      <w:r>
        <w:rPr>
          <w:spacing w:val="-8"/>
        </w:rPr>
        <w:t> </w:t>
      </w:r>
      <w:r>
        <w:rPr/>
        <w:t>challenged</w:t>
      </w:r>
      <w:r>
        <w:rPr>
          <w:spacing w:val="-7"/>
        </w:rPr>
        <w:t> </w:t>
      </w:r>
      <w:r>
        <w:rPr/>
        <w:t>for</w:t>
      </w:r>
      <w:r>
        <w:rPr>
          <w:spacing w:val="-9"/>
        </w:rPr>
        <w:t> </w:t>
      </w:r>
      <w:r>
        <w:rPr/>
        <w:t>multiple</w:t>
      </w:r>
      <w:r>
        <w:rPr>
          <w:spacing w:val="-7"/>
        </w:rPr>
        <w:t> </w:t>
      </w:r>
      <w:r>
        <w:rPr/>
        <w:t>reasons)</w:t>
      </w:r>
      <w:r>
        <w:rPr>
          <w:spacing w:val="-10"/>
        </w:rPr>
        <w:t> </w:t>
      </w:r>
      <w:r>
        <w:rPr/>
        <w:t>would</w:t>
      </w:r>
      <w:r>
        <w:rPr>
          <w:spacing w:val="-7"/>
        </w:rPr>
        <w:t> </w:t>
      </w:r>
      <w:r>
        <w:rPr/>
        <w:t>mean</w:t>
      </w:r>
      <w:r>
        <w:rPr>
          <w:spacing w:val="-7"/>
        </w:rPr>
        <w:t> </w:t>
      </w:r>
      <w:r>
        <w:rPr/>
        <w:t>that</w:t>
      </w:r>
      <w:r>
        <w:rPr>
          <w:spacing w:val="-7"/>
        </w:rPr>
        <w:t> </w:t>
      </w:r>
      <w:r>
        <w:rPr/>
        <w:t>tebentafusp</w:t>
      </w:r>
      <w:r>
        <w:rPr>
          <w:spacing w:val="-7"/>
        </w:rPr>
        <w:t> </w:t>
      </w:r>
      <w:r>
        <w:rPr/>
        <w:t>could</w:t>
      </w:r>
      <w:r>
        <w:rPr>
          <w:spacing w:val="-9"/>
        </w:rPr>
        <w:t> </w:t>
      </w:r>
      <w:r>
        <w:rPr/>
        <w:t>never,</w:t>
      </w:r>
      <w:r>
        <w:rPr>
          <w:spacing w:val="-8"/>
        </w:rPr>
        <w:t> </w:t>
      </w:r>
      <w:r>
        <w:rPr/>
        <w:t>in</w:t>
      </w:r>
      <w:r>
        <w:rPr>
          <w:spacing w:val="-8"/>
        </w:rPr>
        <w:t> </w:t>
      </w:r>
      <w:r>
        <w:rPr/>
        <w:t>any circumstances,</w:t>
      </w:r>
      <w:r>
        <w:rPr>
          <w:spacing w:val="-13"/>
        </w:rPr>
        <w:t> </w:t>
      </w:r>
      <w:r>
        <w:rPr/>
        <w:t>be</w:t>
      </w:r>
      <w:r>
        <w:rPr>
          <w:spacing w:val="-14"/>
        </w:rPr>
        <w:t> </w:t>
      </w:r>
      <w:r>
        <w:rPr/>
        <w:t>considered</w:t>
      </w:r>
      <w:r>
        <w:rPr>
          <w:spacing w:val="-14"/>
        </w:rPr>
        <w:t> </w:t>
      </w:r>
      <w:r>
        <w:rPr/>
        <w:t>cost-effective,</w:t>
      </w:r>
      <w:r>
        <w:rPr>
          <w:spacing w:val="-14"/>
        </w:rPr>
        <w:t> </w:t>
      </w:r>
      <w:r>
        <w:rPr/>
        <w:t>because</w:t>
      </w:r>
      <w:r>
        <w:rPr>
          <w:spacing w:val="-14"/>
        </w:rPr>
        <w:t> </w:t>
      </w:r>
      <w:r>
        <w:rPr/>
        <w:t>it</w:t>
      </w:r>
      <w:r>
        <w:rPr>
          <w:spacing w:val="-14"/>
        </w:rPr>
        <w:t> </w:t>
      </w:r>
      <w:r>
        <w:rPr/>
        <w:t>would</w:t>
      </w:r>
      <w:r>
        <w:rPr>
          <w:spacing w:val="-14"/>
        </w:rPr>
        <w:t> </w:t>
      </w:r>
      <w:r>
        <w:rPr/>
        <w:t>require</w:t>
      </w:r>
      <w:r>
        <w:rPr>
          <w:spacing w:val="-14"/>
        </w:rPr>
        <w:t> </w:t>
      </w:r>
      <w:r>
        <w:rPr/>
        <w:t>the</w:t>
      </w:r>
      <w:r>
        <w:rPr>
          <w:spacing w:val="-15"/>
        </w:rPr>
        <w:t> </w:t>
      </w:r>
      <w:r>
        <w:rPr/>
        <w:t>technology</w:t>
      </w:r>
      <w:r>
        <w:rPr>
          <w:spacing w:val="-14"/>
        </w:rPr>
        <w:t> </w:t>
      </w:r>
      <w:r>
        <w:rPr/>
        <w:t>to</w:t>
      </w:r>
      <w:r>
        <w:rPr>
          <w:spacing w:val="-14"/>
        </w:rPr>
        <w:t> </w:t>
      </w:r>
      <w:r>
        <w:rPr/>
        <w:t>be</w:t>
      </w:r>
      <w:r>
        <w:rPr>
          <w:spacing w:val="-14"/>
        </w:rPr>
        <w:t> </w:t>
      </w:r>
      <w:r>
        <w:rPr/>
        <w:t>priced- below cost. A model that leads to such an outcome is inherently implausible and is inconsistent with the fact that tebentafusp is funded in many other countries across Europe. The Committee unreasonably failed to take into account the implausible outcome of their preferred model on the cost-effective price which resulted in unreasonable and unsustainable economic outcome.</w:t>
      </w:r>
    </w:p>
    <w:p>
      <w:pPr>
        <w:pStyle w:val="BodyText"/>
        <w:spacing w:before="7"/>
        <w:rPr>
          <w:sz w:val="25"/>
        </w:rPr>
      </w:pPr>
    </w:p>
    <w:p>
      <w:pPr>
        <w:pStyle w:val="Heading1"/>
        <w:spacing w:line="276" w:lineRule="auto"/>
        <w:ind w:right="147"/>
      </w:pPr>
      <w:r>
        <w:rPr/>
        <w:t>2.4</w:t>
      </w:r>
      <w:r>
        <w:rPr>
          <w:spacing w:val="-12"/>
        </w:rPr>
        <w:t> </w:t>
      </w:r>
      <w:r>
        <w:rPr/>
        <w:t>In</w:t>
      </w:r>
      <w:r>
        <w:rPr>
          <w:spacing w:val="-13"/>
        </w:rPr>
        <w:t> </w:t>
      </w:r>
      <w:r>
        <w:rPr/>
        <w:t>the</w:t>
      </w:r>
      <w:r>
        <w:rPr>
          <w:spacing w:val="-11"/>
        </w:rPr>
        <w:t> </w:t>
      </w:r>
      <w:r>
        <w:rPr/>
        <w:t>context</w:t>
      </w:r>
      <w:r>
        <w:rPr>
          <w:spacing w:val="-11"/>
        </w:rPr>
        <w:t> </w:t>
      </w:r>
      <w:r>
        <w:rPr/>
        <w:t>of</w:t>
      </w:r>
      <w:r>
        <w:rPr>
          <w:spacing w:val="-12"/>
        </w:rPr>
        <w:t> </w:t>
      </w:r>
      <w:r>
        <w:rPr/>
        <w:t>an</w:t>
      </w:r>
      <w:r>
        <w:rPr>
          <w:spacing w:val="-13"/>
        </w:rPr>
        <w:t> </w:t>
      </w:r>
      <w:r>
        <w:rPr/>
        <w:t>appraisal</w:t>
      </w:r>
      <w:r>
        <w:rPr>
          <w:spacing w:val="-11"/>
        </w:rPr>
        <w:t> </w:t>
      </w:r>
      <w:r>
        <w:rPr/>
        <w:t>of</w:t>
      </w:r>
      <w:r>
        <w:rPr>
          <w:spacing w:val="-12"/>
        </w:rPr>
        <w:t> </w:t>
      </w:r>
      <w:r>
        <w:rPr/>
        <w:t>a</w:t>
      </w:r>
      <w:r>
        <w:rPr>
          <w:spacing w:val="-13"/>
        </w:rPr>
        <w:t> </w:t>
      </w:r>
      <w:r>
        <w:rPr/>
        <w:t>medicine</w:t>
      </w:r>
      <w:r>
        <w:rPr>
          <w:spacing w:val="-13"/>
        </w:rPr>
        <w:t> </w:t>
      </w:r>
      <w:r>
        <w:rPr/>
        <w:t>for</w:t>
      </w:r>
      <w:r>
        <w:rPr>
          <w:spacing w:val="-11"/>
        </w:rPr>
        <w:t> </w:t>
      </w:r>
      <w:r>
        <w:rPr/>
        <w:t>an</w:t>
      </w:r>
      <w:r>
        <w:rPr>
          <w:spacing w:val="-13"/>
        </w:rPr>
        <w:t> </w:t>
      </w:r>
      <w:r>
        <w:rPr/>
        <w:t>ultra-rare</w:t>
      </w:r>
      <w:r>
        <w:rPr>
          <w:spacing w:val="-12"/>
        </w:rPr>
        <w:t> </w:t>
      </w:r>
      <w:r>
        <w:rPr/>
        <w:t>disease,</w:t>
      </w:r>
      <w:r>
        <w:rPr>
          <w:spacing w:val="-12"/>
        </w:rPr>
        <w:t> </w:t>
      </w:r>
      <w:r>
        <w:rPr/>
        <w:t>it</w:t>
      </w:r>
      <w:r>
        <w:rPr>
          <w:spacing w:val="-12"/>
        </w:rPr>
        <w:t> </w:t>
      </w:r>
      <w:r>
        <w:rPr/>
        <w:t>is</w:t>
      </w:r>
      <w:r>
        <w:rPr>
          <w:spacing w:val="-13"/>
        </w:rPr>
        <w:t> </w:t>
      </w:r>
      <w:r>
        <w:rPr/>
        <w:t>not</w:t>
      </w:r>
      <w:r>
        <w:rPr>
          <w:spacing w:val="-12"/>
        </w:rPr>
        <w:t> </w:t>
      </w:r>
      <w:r>
        <w:rPr/>
        <w:t>reasonable for the Committee to reject the Company’s model on the grounds that the decrease in hazards is based on only a limited number of people.</w:t>
      </w:r>
    </w:p>
    <w:p>
      <w:pPr>
        <w:pStyle w:val="BodyText"/>
        <w:spacing w:before="5"/>
        <w:rPr>
          <w:b/>
          <w:sz w:val="25"/>
        </w:rPr>
      </w:pPr>
    </w:p>
    <w:p>
      <w:pPr>
        <w:pStyle w:val="BodyText"/>
        <w:spacing w:line="276" w:lineRule="auto"/>
        <w:ind w:left="120" w:right="142"/>
        <w:jc w:val="both"/>
      </w:pPr>
      <w:r>
        <w:rPr/>
        <w:t>Ultra-rare</w:t>
      </w:r>
      <w:r>
        <w:rPr>
          <w:spacing w:val="-13"/>
        </w:rPr>
        <w:t> </w:t>
      </w:r>
      <w:r>
        <w:rPr/>
        <w:t>diseases</w:t>
      </w:r>
      <w:r>
        <w:rPr>
          <w:spacing w:val="-13"/>
        </w:rPr>
        <w:t> </w:t>
      </w:r>
      <w:r>
        <w:rPr/>
        <w:t>such</w:t>
      </w:r>
      <w:r>
        <w:rPr>
          <w:spacing w:val="-14"/>
        </w:rPr>
        <w:t> </w:t>
      </w:r>
      <w:r>
        <w:rPr/>
        <w:t>as</w:t>
      </w:r>
      <w:r>
        <w:rPr>
          <w:spacing w:val="-12"/>
        </w:rPr>
        <w:t> </w:t>
      </w:r>
      <w:r>
        <w:rPr/>
        <w:t>metastatic</w:t>
      </w:r>
      <w:r>
        <w:rPr>
          <w:spacing w:val="-11"/>
        </w:rPr>
        <w:t> </w:t>
      </w:r>
      <w:r>
        <w:rPr/>
        <w:t>uveal</w:t>
      </w:r>
      <w:r>
        <w:rPr>
          <w:spacing w:val="-13"/>
        </w:rPr>
        <w:t> </w:t>
      </w:r>
      <w:r>
        <w:rPr/>
        <w:t>melanoma</w:t>
      </w:r>
      <w:r>
        <w:rPr>
          <w:spacing w:val="-14"/>
        </w:rPr>
        <w:t> </w:t>
      </w:r>
      <w:r>
        <w:rPr/>
        <w:t>show</w:t>
      </w:r>
      <w:r>
        <w:rPr>
          <w:spacing w:val="-11"/>
        </w:rPr>
        <w:t> </w:t>
      </w:r>
      <w:r>
        <w:rPr/>
        <w:t>a</w:t>
      </w:r>
      <w:r>
        <w:rPr>
          <w:spacing w:val="-14"/>
        </w:rPr>
        <w:t> </w:t>
      </w:r>
      <w:r>
        <w:rPr/>
        <w:t>clear</w:t>
      </w:r>
      <w:r>
        <w:rPr>
          <w:spacing w:val="-12"/>
        </w:rPr>
        <w:t> </w:t>
      </w:r>
      <w:r>
        <w:rPr/>
        <w:t>decrease</w:t>
      </w:r>
      <w:r>
        <w:rPr>
          <w:spacing w:val="-12"/>
        </w:rPr>
        <w:t> </w:t>
      </w:r>
      <w:r>
        <w:rPr/>
        <w:t>in</w:t>
      </w:r>
      <w:r>
        <w:rPr>
          <w:spacing w:val="-14"/>
        </w:rPr>
        <w:t> </w:t>
      </w:r>
      <w:r>
        <w:rPr/>
        <w:t>patient</w:t>
      </w:r>
      <w:r>
        <w:rPr>
          <w:spacing w:val="-13"/>
        </w:rPr>
        <w:t> </w:t>
      </w:r>
      <w:r>
        <w:rPr/>
        <w:t>numbers at</w:t>
      </w:r>
      <w:r>
        <w:rPr>
          <w:spacing w:val="-8"/>
        </w:rPr>
        <w:t> </w:t>
      </w:r>
      <w:r>
        <w:rPr/>
        <w:t>risk</w:t>
      </w:r>
      <w:r>
        <w:rPr>
          <w:spacing w:val="-5"/>
        </w:rPr>
        <w:t> </w:t>
      </w:r>
      <w:r>
        <w:rPr/>
        <w:t>over</w:t>
      </w:r>
      <w:r>
        <w:rPr>
          <w:spacing w:val="-7"/>
        </w:rPr>
        <w:t> </w:t>
      </w:r>
      <w:r>
        <w:rPr/>
        <w:t>the</w:t>
      </w:r>
      <w:r>
        <w:rPr>
          <w:spacing w:val="-8"/>
        </w:rPr>
        <w:t> </w:t>
      </w:r>
      <w:r>
        <w:rPr/>
        <w:t>course</w:t>
      </w:r>
      <w:r>
        <w:rPr>
          <w:spacing w:val="-8"/>
        </w:rPr>
        <w:t> </w:t>
      </w:r>
      <w:r>
        <w:rPr/>
        <w:t>of</w:t>
      </w:r>
      <w:r>
        <w:rPr>
          <w:spacing w:val="-7"/>
        </w:rPr>
        <w:t> </w:t>
      </w:r>
      <w:r>
        <w:rPr/>
        <w:t>treatment.</w:t>
      </w:r>
      <w:r>
        <w:rPr>
          <w:spacing w:val="-5"/>
        </w:rPr>
        <w:t> </w:t>
      </w:r>
      <w:r>
        <w:rPr/>
        <w:t>As</w:t>
      </w:r>
      <w:r>
        <w:rPr>
          <w:spacing w:val="-8"/>
        </w:rPr>
        <w:t> </w:t>
      </w:r>
      <w:r>
        <w:rPr/>
        <w:t>noted</w:t>
      </w:r>
      <w:r>
        <w:rPr>
          <w:spacing w:val="-8"/>
        </w:rPr>
        <w:t> </w:t>
      </w:r>
      <w:r>
        <w:rPr/>
        <w:t>in</w:t>
      </w:r>
      <w:r>
        <w:rPr>
          <w:spacing w:val="-8"/>
        </w:rPr>
        <w:t> </w:t>
      </w:r>
      <w:r>
        <w:rPr/>
        <w:t>the</w:t>
      </w:r>
      <w:r>
        <w:rPr>
          <w:spacing w:val="-5"/>
        </w:rPr>
        <w:t> </w:t>
      </w:r>
      <w:r>
        <w:rPr/>
        <w:t>appeal</w:t>
      </w:r>
      <w:r>
        <w:rPr>
          <w:spacing w:val="-8"/>
        </w:rPr>
        <w:t> </w:t>
      </w:r>
      <w:r>
        <w:rPr/>
        <w:t>letter,</w:t>
      </w:r>
      <w:r>
        <w:rPr>
          <w:spacing w:val="-6"/>
        </w:rPr>
        <w:t> </w:t>
      </w:r>
      <w:r>
        <w:rPr/>
        <w:t>in</w:t>
      </w:r>
      <w:r>
        <w:rPr>
          <w:spacing w:val="-8"/>
        </w:rPr>
        <w:t> </w:t>
      </w:r>
      <w:r>
        <w:rPr/>
        <w:t>the</w:t>
      </w:r>
      <w:r>
        <w:rPr>
          <w:spacing w:val="-8"/>
        </w:rPr>
        <w:t> </w:t>
      </w:r>
      <w:r>
        <w:rPr/>
        <w:t>tebentafusp</w:t>
      </w:r>
      <w:r>
        <w:rPr>
          <w:spacing w:val="-7"/>
        </w:rPr>
        <w:t> </w:t>
      </w:r>
      <w:r>
        <w:rPr/>
        <w:t>arm</w:t>
      </w:r>
      <w:r>
        <w:rPr>
          <w:spacing w:val="-9"/>
        </w:rPr>
        <w:t> </w:t>
      </w:r>
      <w:r>
        <w:rPr/>
        <w:t>there</w:t>
      </w:r>
      <w:r>
        <w:rPr>
          <w:spacing w:val="-8"/>
        </w:rPr>
        <w:t> </w:t>
      </w:r>
      <w:r>
        <w:rPr/>
        <w:t>are the</w:t>
      </w:r>
      <w:r>
        <w:rPr>
          <w:spacing w:val="-2"/>
        </w:rPr>
        <w:t> </w:t>
      </w:r>
      <w:r>
        <w:rPr/>
        <w:t>following number of patients at</w:t>
      </w:r>
      <w:r>
        <w:rPr>
          <w:spacing w:val="-1"/>
        </w:rPr>
        <w:t> </w:t>
      </w:r>
      <w:r>
        <w:rPr/>
        <w:t>risk: 46 at</w:t>
      </w:r>
      <w:r>
        <w:rPr>
          <w:spacing w:val="-1"/>
        </w:rPr>
        <w:t> </w:t>
      </w:r>
      <w:r>
        <w:rPr/>
        <w:t>27</w:t>
      </w:r>
      <w:r>
        <w:rPr>
          <w:spacing w:val="-3"/>
        </w:rPr>
        <w:t> </w:t>
      </w:r>
      <w:r>
        <w:rPr/>
        <w:t>months, 32 at 30</w:t>
      </w:r>
      <w:r>
        <w:rPr>
          <w:spacing w:val="-2"/>
        </w:rPr>
        <w:t> </w:t>
      </w:r>
      <w:r>
        <w:rPr/>
        <w:t>months, 22 at 33</w:t>
      </w:r>
      <w:r>
        <w:rPr>
          <w:spacing w:val="-2"/>
        </w:rPr>
        <w:t> </w:t>
      </w:r>
      <w:r>
        <w:rPr/>
        <w:t>months. This is because tebentafusp is a treatment for a very a rare disease for which survival outcomes are poor. The already small patient numbers decrease over time due to death. The Committee is insisting</w:t>
      </w:r>
      <w:r>
        <w:rPr>
          <w:spacing w:val="-3"/>
        </w:rPr>
        <w:t> </w:t>
      </w:r>
      <w:r>
        <w:rPr/>
        <w:t>on</w:t>
      </w:r>
      <w:r>
        <w:rPr>
          <w:spacing w:val="-6"/>
        </w:rPr>
        <w:t> </w:t>
      </w:r>
      <w:r>
        <w:rPr/>
        <w:t>an</w:t>
      </w:r>
      <w:r>
        <w:rPr>
          <w:spacing w:val="-7"/>
        </w:rPr>
        <w:t> </w:t>
      </w:r>
      <w:r>
        <w:rPr/>
        <w:t>unachievable</w:t>
      </w:r>
      <w:r>
        <w:rPr>
          <w:spacing w:val="-3"/>
        </w:rPr>
        <w:t> </w:t>
      </w:r>
      <w:r>
        <w:rPr/>
        <w:t>level</w:t>
      </w:r>
      <w:r>
        <w:rPr>
          <w:spacing w:val="-5"/>
        </w:rPr>
        <w:t> </w:t>
      </w:r>
      <w:r>
        <w:rPr/>
        <w:t>of</w:t>
      </w:r>
      <w:r>
        <w:rPr>
          <w:spacing w:val="-6"/>
        </w:rPr>
        <w:t> </w:t>
      </w:r>
      <w:r>
        <w:rPr/>
        <w:t>analysis</w:t>
      </w:r>
      <w:r>
        <w:rPr>
          <w:spacing w:val="-5"/>
        </w:rPr>
        <w:t> </w:t>
      </w:r>
      <w:r>
        <w:rPr/>
        <w:t>on</w:t>
      </w:r>
      <w:r>
        <w:rPr>
          <w:spacing w:val="-7"/>
        </w:rPr>
        <w:t> </w:t>
      </w:r>
      <w:r>
        <w:rPr/>
        <w:t>a</w:t>
      </w:r>
      <w:r>
        <w:rPr>
          <w:spacing w:val="-4"/>
        </w:rPr>
        <w:t> </w:t>
      </w:r>
      <w:r>
        <w:rPr/>
        <w:t>data</w:t>
      </w:r>
      <w:r>
        <w:rPr>
          <w:spacing w:val="-6"/>
        </w:rPr>
        <w:t> </w:t>
      </w:r>
      <w:r>
        <w:rPr/>
        <w:t>set</w:t>
      </w:r>
      <w:r>
        <w:rPr>
          <w:spacing w:val="-5"/>
        </w:rPr>
        <w:t> </w:t>
      </w:r>
      <w:r>
        <w:rPr/>
        <w:t>which</w:t>
      </w:r>
      <w:r>
        <w:rPr>
          <w:spacing w:val="-3"/>
        </w:rPr>
        <w:t> </w:t>
      </w:r>
      <w:r>
        <w:rPr/>
        <w:t>does</w:t>
      </w:r>
      <w:r>
        <w:rPr>
          <w:spacing w:val="-5"/>
        </w:rPr>
        <w:t> </w:t>
      </w:r>
      <w:r>
        <w:rPr/>
        <w:t>not</w:t>
      </w:r>
      <w:r>
        <w:rPr>
          <w:spacing w:val="-5"/>
        </w:rPr>
        <w:t> </w:t>
      </w:r>
      <w:r>
        <w:rPr/>
        <w:t>exist</w:t>
      </w:r>
      <w:r>
        <w:rPr>
          <w:spacing w:val="-6"/>
        </w:rPr>
        <w:t> </w:t>
      </w:r>
      <w:r>
        <w:rPr/>
        <w:t>for</w:t>
      </w:r>
      <w:r>
        <w:rPr>
          <w:spacing w:val="-6"/>
        </w:rPr>
        <w:t> </w:t>
      </w:r>
      <w:r>
        <w:rPr/>
        <w:t>such</w:t>
      </w:r>
      <w:r>
        <w:rPr>
          <w:spacing w:val="-6"/>
        </w:rPr>
        <w:t> </w:t>
      </w:r>
      <w:r>
        <w:rPr/>
        <w:t>an</w:t>
      </w:r>
      <w:r>
        <w:rPr>
          <w:spacing w:val="-4"/>
        </w:rPr>
        <w:t> </w:t>
      </w:r>
      <w:r>
        <w:rPr/>
        <w:t>ultra- rare</w:t>
      </w:r>
      <w:r>
        <w:rPr>
          <w:spacing w:val="-12"/>
        </w:rPr>
        <w:t> </w:t>
      </w:r>
      <w:r>
        <w:rPr/>
        <w:t>disease.</w:t>
      </w:r>
      <w:r>
        <w:rPr>
          <w:spacing w:val="-13"/>
        </w:rPr>
        <w:t> </w:t>
      </w:r>
      <w:r>
        <w:rPr/>
        <w:t>The</w:t>
      </w:r>
      <w:r>
        <w:rPr>
          <w:spacing w:val="-14"/>
        </w:rPr>
        <w:t> </w:t>
      </w:r>
      <w:r>
        <w:rPr/>
        <w:t>Committee’s</w:t>
      </w:r>
      <w:r>
        <w:rPr>
          <w:spacing w:val="-13"/>
        </w:rPr>
        <w:t> </w:t>
      </w:r>
      <w:r>
        <w:rPr/>
        <w:t>focus</w:t>
      </w:r>
      <w:r>
        <w:rPr>
          <w:spacing w:val="-15"/>
        </w:rPr>
        <w:t> </w:t>
      </w:r>
      <w:r>
        <w:rPr/>
        <w:t>on</w:t>
      </w:r>
      <w:r>
        <w:rPr>
          <w:spacing w:val="-13"/>
        </w:rPr>
        <w:t> </w:t>
      </w:r>
      <w:r>
        <w:rPr/>
        <w:t>number</w:t>
      </w:r>
      <w:r>
        <w:rPr>
          <w:spacing w:val="-14"/>
        </w:rPr>
        <w:t> </w:t>
      </w:r>
      <w:r>
        <w:rPr/>
        <w:t>of</w:t>
      </w:r>
      <w:r>
        <w:rPr>
          <w:spacing w:val="-12"/>
        </w:rPr>
        <w:t> </w:t>
      </w:r>
      <w:r>
        <w:rPr/>
        <w:t>patients</w:t>
      </w:r>
      <w:r>
        <w:rPr>
          <w:spacing w:val="-14"/>
        </w:rPr>
        <w:t> </w:t>
      </w:r>
      <w:r>
        <w:rPr/>
        <w:t>at</w:t>
      </w:r>
      <w:r>
        <w:rPr>
          <w:spacing w:val="-14"/>
        </w:rPr>
        <w:t> </w:t>
      </w:r>
      <w:r>
        <w:rPr/>
        <w:t>the</w:t>
      </w:r>
      <w:r>
        <w:rPr>
          <w:spacing w:val="-14"/>
        </w:rPr>
        <w:t> </w:t>
      </w:r>
      <w:r>
        <w:rPr/>
        <w:t>tail</w:t>
      </w:r>
      <w:r>
        <w:rPr>
          <w:spacing w:val="-12"/>
        </w:rPr>
        <w:t> </w:t>
      </w:r>
      <w:r>
        <w:rPr/>
        <w:t>of</w:t>
      </w:r>
      <w:r>
        <w:rPr>
          <w:spacing w:val="-14"/>
        </w:rPr>
        <w:t> </w:t>
      </w:r>
      <w:r>
        <w:rPr/>
        <w:t>the</w:t>
      </w:r>
      <w:r>
        <w:rPr>
          <w:spacing w:val="-14"/>
        </w:rPr>
        <w:t> </w:t>
      </w:r>
      <w:r>
        <w:rPr/>
        <w:t>KM</w:t>
      </w:r>
      <w:r>
        <w:rPr>
          <w:spacing w:val="-14"/>
        </w:rPr>
        <w:t> </w:t>
      </w:r>
      <w:r>
        <w:rPr/>
        <w:t>curve</w:t>
      </w:r>
      <w:r>
        <w:rPr>
          <w:spacing w:val="-12"/>
        </w:rPr>
        <w:t> </w:t>
      </w:r>
      <w:r>
        <w:rPr/>
        <w:t>is,</w:t>
      </w:r>
      <w:r>
        <w:rPr>
          <w:spacing w:val="-12"/>
        </w:rPr>
        <w:t> </w:t>
      </w:r>
      <w:r>
        <w:rPr/>
        <w:t>therefore, misplaced, as this tail off is to be expected given (i) the rarity of the condition and (ii) the life- threatening nature of the condition.</w:t>
      </w:r>
    </w:p>
    <w:p>
      <w:pPr>
        <w:pStyle w:val="BodyText"/>
        <w:spacing w:before="7"/>
        <w:rPr>
          <w:sz w:val="25"/>
        </w:rPr>
      </w:pPr>
    </w:p>
    <w:p>
      <w:pPr>
        <w:pStyle w:val="BodyText"/>
        <w:spacing w:line="276" w:lineRule="auto"/>
        <w:ind w:left="120" w:right="142"/>
        <w:jc w:val="both"/>
      </w:pPr>
      <w:r>
        <w:rPr/>
        <w:t>Moreover, guidance on best practise for modelling survival for immunotherapy treatments recommends that flexible approaches better capture complex survival functions with hazards varying</w:t>
      </w:r>
      <w:r>
        <w:rPr>
          <w:spacing w:val="-7"/>
        </w:rPr>
        <w:t> </w:t>
      </w:r>
      <w:r>
        <w:rPr/>
        <w:t>over</w:t>
      </w:r>
      <w:r>
        <w:rPr>
          <w:spacing w:val="-9"/>
        </w:rPr>
        <w:t> </w:t>
      </w:r>
      <w:r>
        <w:rPr/>
        <w:t>time</w:t>
      </w:r>
      <w:r>
        <w:rPr>
          <w:spacing w:val="-8"/>
        </w:rPr>
        <w:t> </w:t>
      </w:r>
      <w:r>
        <w:rPr/>
        <w:t>as</w:t>
      </w:r>
      <w:r>
        <w:rPr>
          <w:spacing w:val="-9"/>
        </w:rPr>
        <w:t> </w:t>
      </w:r>
      <w:r>
        <w:rPr/>
        <w:t>stated</w:t>
      </w:r>
      <w:r>
        <w:rPr>
          <w:spacing w:val="-8"/>
        </w:rPr>
        <w:t> </w:t>
      </w:r>
      <w:r>
        <w:rPr/>
        <w:t>in</w:t>
      </w:r>
      <w:r>
        <w:rPr>
          <w:spacing w:val="-9"/>
        </w:rPr>
        <w:t> </w:t>
      </w:r>
      <w:r>
        <w:rPr/>
        <w:t>the</w:t>
      </w:r>
      <w:r>
        <w:rPr>
          <w:spacing w:val="-9"/>
        </w:rPr>
        <w:t> </w:t>
      </w:r>
      <w:r>
        <w:rPr/>
        <w:t>NICE</w:t>
      </w:r>
      <w:r>
        <w:rPr>
          <w:spacing w:val="-9"/>
        </w:rPr>
        <w:t> </w:t>
      </w:r>
      <w:r>
        <w:rPr/>
        <w:t>endorsed</w:t>
      </w:r>
      <w:r>
        <w:rPr>
          <w:spacing w:val="-10"/>
        </w:rPr>
        <w:t> </w:t>
      </w:r>
      <w:r>
        <w:rPr/>
        <w:t>Technical</w:t>
      </w:r>
      <w:r>
        <w:rPr>
          <w:spacing w:val="-9"/>
        </w:rPr>
        <w:t> </w:t>
      </w:r>
      <w:r>
        <w:rPr/>
        <w:t>Support</w:t>
      </w:r>
      <w:r>
        <w:rPr>
          <w:spacing w:val="-8"/>
        </w:rPr>
        <w:t> </w:t>
      </w:r>
      <w:r>
        <w:rPr/>
        <w:t>21.</w:t>
      </w:r>
      <w:r>
        <w:rPr>
          <w:spacing w:val="-8"/>
        </w:rPr>
        <w:t> </w:t>
      </w:r>
      <w:r>
        <w:rPr/>
        <w:t>This</w:t>
      </w:r>
      <w:r>
        <w:rPr>
          <w:spacing w:val="-7"/>
        </w:rPr>
        <w:t> </w:t>
      </w:r>
      <w:r>
        <w:rPr/>
        <w:t>is</w:t>
      </w:r>
      <w:r>
        <w:rPr>
          <w:spacing w:val="-9"/>
        </w:rPr>
        <w:t> </w:t>
      </w:r>
      <w:r>
        <w:rPr/>
        <w:t>because</w:t>
      </w:r>
      <w:r>
        <w:rPr>
          <w:spacing w:val="-7"/>
        </w:rPr>
        <w:t> </w:t>
      </w:r>
      <w:r>
        <w:rPr/>
        <w:t>standard parametric models are limited in the shape of hazard they can represent. Additionally, the mechanism of action of tebentafusp is unique and translates to pseudo-progression and delayed response</w:t>
      </w:r>
      <w:r>
        <w:rPr>
          <w:spacing w:val="-8"/>
        </w:rPr>
        <w:t> </w:t>
      </w:r>
      <w:r>
        <w:rPr/>
        <w:t>as</w:t>
      </w:r>
      <w:r>
        <w:rPr>
          <w:spacing w:val="-10"/>
        </w:rPr>
        <w:t> </w:t>
      </w:r>
      <w:r>
        <w:rPr/>
        <w:t>has</w:t>
      </w:r>
      <w:r>
        <w:rPr>
          <w:spacing w:val="-8"/>
        </w:rPr>
        <w:t> </w:t>
      </w:r>
      <w:r>
        <w:rPr/>
        <w:t>been</w:t>
      </w:r>
      <w:r>
        <w:rPr>
          <w:spacing w:val="-9"/>
        </w:rPr>
        <w:t> </w:t>
      </w:r>
      <w:r>
        <w:rPr/>
        <w:t>observed</w:t>
      </w:r>
      <w:r>
        <w:rPr>
          <w:spacing w:val="-8"/>
        </w:rPr>
        <w:t> </w:t>
      </w:r>
      <w:r>
        <w:rPr/>
        <w:t>with</w:t>
      </w:r>
      <w:r>
        <w:rPr>
          <w:spacing w:val="-9"/>
        </w:rPr>
        <w:t> </w:t>
      </w:r>
      <w:r>
        <w:rPr/>
        <w:t>other</w:t>
      </w:r>
      <w:r>
        <w:rPr>
          <w:spacing w:val="-8"/>
        </w:rPr>
        <w:t> </w:t>
      </w:r>
      <w:r>
        <w:rPr/>
        <w:t>immunotherapies.</w:t>
      </w:r>
      <w:r>
        <w:rPr>
          <w:spacing w:val="-6"/>
        </w:rPr>
        <w:t> </w:t>
      </w:r>
      <w:r>
        <w:rPr/>
        <w:t>This</w:t>
      </w:r>
      <w:r>
        <w:rPr>
          <w:spacing w:val="-8"/>
        </w:rPr>
        <w:t> </w:t>
      </w:r>
      <w:r>
        <w:rPr/>
        <w:t>aligns</w:t>
      </w:r>
      <w:r>
        <w:rPr>
          <w:spacing w:val="-8"/>
        </w:rPr>
        <w:t> </w:t>
      </w:r>
      <w:r>
        <w:rPr/>
        <w:t>with</w:t>
      </w:r>
      <w:r>
        <w:rPr>
          <w:spacing w:val="-9"/>
        </w:rPr>
        <w:t> </w:t>
      </w:r>
      <w:r>
        <w:rPr/>
        <w:t>the</w:t>
      </w:r>
      <w:r>
        <w:rPr>
          <w:spacing w:val="-8"/>
        </w:rPr>
        <w:t> </w:t>
      </w:r>
      <w:r>
        <w:rPr/>
        <w:t>biphasic</w:t>
      </w:r>
      <w:r>
        <w:rPr>
          <w:spacing w:val="-7"/>
        </w:rPr>
        <w:t> </w:t>
      </w:r>
      <w:r>
        <w:rPr/>
        <w:t>hazard observed in the data and presented to the Committee. Therefore, the conclusion that standard parametric models are more appropriate is wholly unreasonable given the evidence presented.</w:t>
      </w:r>
    </w:p>
    <w:p>
      <w:pPr>
        <w:spacing w:after="0" w:line="276" w:lineRule="auto"/>
        <w:jc w:val="both"/>
        <w:sectPr>
          <w:pgSz w:w="11910" w:h="16840"/>
          <w:pgMar w:header="729" w:footer="1501" w:top="1540" w:bottom="1720" w:left="1240" w:right="980"/>
        </w:sectPr>
      </w:pPr>
    </w:p>
    <w:p>
      <w:pPr>
        <w:pStyle w:val="BodyText"/>
        <w:rPr>
          <w:sz w:val="20"/>
        </w:rPr>
      </w:pPr>
    </w:p>
    <w:p>
      <w:pPr>
        <w:pStyle w:val="BodyText"/>
        <w:rPr>
          <w:sz w:val="20"/>
        </w:rPr>
      </w:pPr>
    </w:p>
    <w:p>
      <w:pPr>
        <w:pStyle w:val="BodyText"/>
        <w:rPr>
          <w:sz w:val="20"/>
        </w:rPr>
      </w:pPr>
    </w:p>
    <w:p>
      <w:pPr>
        <w:pStyle w:val="BodyText"/>
        <w:spacing w:before="6"/>
        <w:rPr>
          <w:sz w:val="17"/>
        </w:rPr>
      </w:pPr>
    </w:p>
    <w:p>
      <w:pPr>
        <w:pStyle w:val="Heading1"/>
        <w:spacing w:line="276" w:lineRule="auto" w:before="93"/>
        <w:ind w:right="150"/>
      </w:pPr>
      <w:r>
        <w:rPr/>
        <w:t>2.6</w:t>
      </w:r>
      <w:r>
        <w:rPr>
          <w:spacing w:val="-16"/>
        </w:rPr>
        <w:t> </w:t>
      </w:r>
      <w:r>
        <w:rPr/>
        <w:t>The</w:t>
      </w:r>
      <w:r>
        <w:rPr>
          <w:spacing w:val="-15"/>
        </w:rPr>
        <w:t> </w:t>
      </w:r>
      <w:r>
        <w:rPr/>
        <w:t>Committee’s</w:t>
      </w:r>
      <w:r>
        <w:rPr>
          <w:spacing w:val="-15"/>
        </w:rPr>
        <w:t> </w:t>
      </w:r>
      <w:r>
        <w:rPr/>
        <w:t>apparent</w:t>
      </w:r>
      <w:r>
        <w:rPr>
          <w:spacing w:val="-16"/>
        </w:rPr>
        <w:t> </w:t>
      </w:r>
      <w:r>
        <w:rPr/>
        <w:t>endorsement</w:t>
      </w:r>
      <w:r>
        <w:rPr>
          <w:spacing w:val="-14"/>
        </w:rPr>
        <w:t> </w:t>
      </w:r>
      <w:r>
        <w:rPr/>
        <w:t>of</w:t>
      </w:r>
      <w:r>
        <w:rPr>
          <w:spacing w:val="-15"/>
        </w:rPr>
        <w:t> </w:t>
      </w:r>
      <w:r>
        <w:rPr/>
        <w:t>a</w:t>
      </w:r>
      <w:r>
        <w:rPr>
          <w:spacing w:val="-16"/>
        </w:rPr>
        <w:t> </w:t>
      </w:r>
      <w:r>
        <w:rPr/>
        <w:t>monthly</w:t>
      </w:r>
      <w:r>
        <w:rPr>
          <w:spacing w:val="-14"/>
        </w:rPr>
        <w:t> </w:t>
      </w:r>
      <w:r>
        <w:rPr/>
        <w:t>best</w:t>
      </w:r>
      <w:r>
        <w:rPr>
          <w:spacing w:val="-16"/>
        </w:rPr>
        <w:t> </w:t>
      </w:r>
      <w:r>
        <w:rPr/>
        <w:t>supportive</w:t>
      </w:r>
      <w:r>
        <w:rPr>
          <w:spacing w:val="-14"/>
        </w:rPr>
        <w:t> </w:t>
      </w:r>
      <w:r>
        <w:rPr/>
        <w:t>care</w:t>
      </w:r>
      <w:r>
        <w:rPr>
          <w:spacing w:val="-15"/>
        </w:rPr>
        <w:t> </w:t>
      </w:r>
      <w:r>
        <w:rPr/>
        <w:t>costs</w:t>
      </w:r>
      <w:r>
        <w:rPr>
          <w:spacing w:val="-16"/>
        </w:rPr>
        <w:t> </w:t>
      </w:r>
      <w:r>
        <w:rPr/>
        <w:t>model, without justification, and the Committee’s rejection of an evidence-based and expert supported one-off aggregated cost model, cannot reasonably be justified.</w:t>
      </w:r>
    </w:p>
    <w:p>
      <w:pPr>
        <w:pStyle w:val="BodyText"/>
        <w:spacing w:line="276" w:lineRule="auto" w:before="165"/>
        <w:ind w:left="120" w:right="142"/>
        <w:jc w:val="both"/>
      </w:pPr>
      <w:r>
        <w:rPr/>
        <w:t>It</w:t>
      </w:r>
      <w:r>
        <w:rPr>
          <w:spacing w:val="-6"/>
        </w:rPr>
        <w:t> </w:t>
      </w:r>
      <w:r>
        <w:rPr/>
        <w:t>was</w:t>
      </w:r>
      <w:r>
        <w:rPr>
          <w:spacing w:val="-5"/>
        </w:rPr>
        <w:t> </w:t>
      </w:r>
      <w:r>
        <w:rPr/>
        <w:t>not</w:t>
      </w:r>
      <w:r>
        <w:rPr>
          <w:spacing w:val="-7"/>
        </w:rPr>
        <w:t> </w:t>
      </w:r>
      <w:r>
        <w:rPr/>
        <w:t>clear</w:t>
      </w:r>
      <w:r>
        <w:rPr>
          <w:spacing w:val="-5"/>
        </w:rPr>
        <w:t> </w:t>
      </w:r>
      <w:r>
        <w:rPr/>
        <w:t>in</w:t>
      </w:r>
      <w:r>
        <w:rPr>
          <w:spacing w:val="-6"/>
        </w:rPr>
        <w:t> </w:t>
      </w:r>
      <w:r>
        <w:rPr/>
        <w:t>the</w:t>
      </w:r>
      <w:r>
        <w:rPr>
          <w:spacing w:val="-8"/>
        </w:rPr>
        <w:t> </w:t>
      </w:r>
      <w:r>
        <w:rPr/>
        <w:t>FAD</w:t>
      </w:r>
      <w:r>
        <w:rPr>
          <w:spacing w:val="-7"/>
        </w:rPr>
        <w:t> </w:t>
      </w:r>
      <w:r>
        <w:rPr/>
        <w:t>that</w:t>
      </w:r>
      <w:r>
        <w:rPr>
          <w:spacing w:val="-7"/>
        </w:rPr>
        <w:t> </w:t>
      </w:r>
      <w:r>
        <w:rPr/>
        <w:t>the</w:t>
      </w:r>
      <w:r>
        <w:rPr>
          <w:spacing w:val="-5"/>
        </w:rPr>
        <w:t> </w:t>
      </w:r>
      <w:r>
        <w:rPr/>
        <w:t>committee</w:t>
      </w:r>
      <w:r>
        <w:rPr>
          <w:spacing w:val="-7"/>
        </w:rPr>
        <w:t> </w:t>
      </w:r>
      <w:r>
        <w:rPr/>
        <w:t>had</w:t>
      </w:r>
      <w:r>
        <w:rPr>
          <w:spacing w:val="-7"/>
        </w:rPr>
        <w:t> </w:t>
      </w:r>
      <w:r>
        <w:rPr/>
        <w:t>retained</w:t>
      </w:r>
      <w:r>
        <w:rPr>
          <w:spacing w:val="-7"/>
        </w:rPr>
        <w:t> </w:t>
      </w:r>
      <w:r>
        <w:rPr/>
        <w:t>their</w:t>
      </w:r>
      <w:r>
        <w:rPr>
          <w:spacing w:val="-5"/>
        </w:rPr>
        <w:t> </w:t>
      </w:r>
      <w:r>
        <w:rPr/>
        <w:t>stated</w:t>
      </w:r>
      <w:r>
        <w:rPr>
          <w:spacing w:val="-6"/>
        </w:rPr>
        <w:t> </w:t>
      </w:r>
      <w:r>
        <w:rPr/>
        <w:t>preferred</w:t>
      </w:r>
      <w:r>
        <w:rPr>
          <w:spacing w:val="-6"/>
        </w:rPr>
        <w:t> </w:t>
      </w:r>
      <w:r>
        <w:rPr/>
        <w:t>approaches</w:t>
      </w:r>
      <w:r>
        <w:rPr>
          <w:spacing w:val="-5"/>
        </w:rPr>
        <w:t> </w:t>
      </w:r>
      <w:r>
        <w:rPr/>
        <w:t>that were</w:t>
      </w:r>
      <w:r>
        <w:rPr>
          <w:spacing w:val="-12"/>
        </w:rPr>
        <w:t> </w:t>
      </w:r>
      <w:r>
        <w:rPr/>
        <w:t>outlined</w:t>
      </w:r>
      <w:r>
        <w:rPr>
          <w:spacing w:val="-14"/>
        </w:rPr>
        <w:t> </w:t>
      </w:r>
      <w:r>
        <w:rPr/>
        <w:t>in</w:t>
      </w:r>
      <w:r>
        <w:rPr>
          <w:spacing w:val="-14"/>
        </w:rPr>
        <w:t> </w:t>
      </w:r>
      <w:r>
        <w:rPr/>
        <w:t>the</w:t>
      </w:r>
      <w:r>
        <w:rPr>
          <w:spacing w:val="-14"/>
        </w:rPr>
        <w:t> </w:t>
      </w:r>
      <w:r>
        <w:rPr/>
        <w:t>ACD</w:t>
      </w:r>
      <w:r>
        <w:rPr>
          <w:spacing w:val="-13"/>
        </w:rPr>
        <w:t> </w:t>
      </w:r>
      <w:r>
        <w:rPr/>
        <w:t>after</w:t>
      </w:r>
      <w:r>
        <w:rPr>
          <w:spacing w:val="-13"/>
        </w:rPr>
        <w:t> </w:t>
      </w:r>
      <w:r>
        <w:rPr/>
        <w:t>the</w:t>
      </w:r>
      <w:r>
        <w:rPr>
          <w:spacing w:val="-14"/>
        </w:rPr>
        <w:t> </w:t>
      </w:r>
      <w:r>
        <w:rPr/>
        <w:t>first</w:t>
      </w:r>
      <w:r>
        <w:rPr>
          <w:spacing w:val="-12"/>
        </w:rPr>
        <w:t> </w:t>
      </w:r>
      <w:r>
        <w:rPr/>
        <w:t>committee</w:t>
      </w:r>
      <w:r>
        <w:rPr>
          <w:spacing w:val="-13"/>
        </w:rPr>
        <w:t> </w:t>
      </w:r>
      <w:r>
        <w:rPr/>
        <w:t>meeting.</w:t>
      </w:r>
      <w:r>
        <w:rPr>
          <w:spacing w:val="-13"/>
        </w:rPr>
        <w:t> </w:t>
      </w:r>
      <w:r>
        <w:rPr/>
        <w:t>In</w:t>
      </w:r>
      <w:r>
        <w:rPr>
          <w:spacing w:val="-14"/>
        </w:rPr>
        <w:t> </w:t>
      </w:r>
      <w:r>
        <w:rPr/>
        <w:t>the</w:t>
      </w:r>
      <w:r>
        <w:rPr>
          <w:spacing w:val="-14"/>
        </w:rPr>
        <w:t> </w:t>
      </w:r>
      <w:r>
        <w:rPr/>
        <w:t>ACD</w:t>
      </w:r>
      <w:r>
        <w:rPr>
          <w:spacing w:val="-13"/>
        </w:rPr>
        <w:t> </w:t>
      </w:r>
      <w:r>
        <w:rPr/>
        <w:t>the</w:t>
      </w:r>
      <w:r>
        <w:rPr>
          <w:spacing w:val="-11"/>
        </w:rPr>
        <w:t> </w:t>
      </w:r>
      <w:r>
        <w:rPr/>
        <w:t>suggestion</w:t>
      </w:r>
      <w:r>
        <w:rPr>
          <w:spacing w:val="-13"/>
        </w:rPr>
        <w:t> </w:t>
      </w:r>
      <w:r>
        <w:rPr/>
        <w:t>to</w:t>
      </w:r>
      <w:r>
        <w:rPr>
          <w:spacing w:val="-14"/>
        </w:rPr>
        <w:t> </w:t>
      </w:r>
      <w:r>
        <w:rPr/>
        <w:t>add</w:t>
      </w:r>
      <w:r>
        <w:rPr>
          <w:spacing w:val="-14"/>
        </w:rPr>
        <w:t> </w:t>
      </w:r>
      <w:r>
        <w:rPr/>
        <w:t>these costs on an ongoing monthly basis was not one of the committee’s preferred assumptions. Inclusion</w:t>
      </w:r>
      <w:r>
        <w:rPr>
          <w:spacing w:val="-4"/>
        </w:rPr>
        <w:t> </w:t>
      </w:r>
      <w:r>
        <w:rPr/>
        <w:t>of</w:t>
      </w:r>
      <w:r>
        <w:rPr>
          <w:spacing w:val="-6"/>
        </w:rPr>
        <w:t> </w:t>
      </w:r>
      <w:r>
        <w:rPr/>
        <w:t>ongoing</w:t>
      </w:r>
      <w:r>
        <w:rPr>
          <w:spacing w:val="-4"/>
        </w:rPr>
        <w:t> </w:t>
      </w:r>
      <w:r>
        <w:rPr/>
        <w:t>monthly</w:t>
      </w:r>
      <w:r>
        <w:rPr>
          <w:spacing w:val="-5"/>
        </w:rPr>
        <w:t> </w:t>
      </w:r>
      <w:r>
        <w:rPr/>
        <w:t>costs</w:t>
      </w:r>
      <w:r>
        <w:rPr>
          <w:spacing w:val="-5"/>
        </w:rPr>
        <w:t> </w:t>
      </w:r>
      <w:r>
        <w:rPr/>
        <w:t>similar</w:t>
      </w:r>
      <w:r>
        <w:rPr>
          <w:spacing w:val="-5"/>
        </w:rPr>
        <w:t> </w:t>
      </w:r>
      <w:r>
        <w:rPr/>
        <w:t>to</w:t>
      </w:r>
      <w:r>
        <w:rPr>
          <w:spacing w:val="-5"/>
        </w:rPr>
        <w:t> </w:t>
      </w:r>
      <w:r>
        <w:rPr/>
        <w:t>a</w:t>
      </w:r>
      <w:r>
        <w:rPr>
          <w:spacing w:val="-4"/>
        </w:rPr>
        <w:t> </w:t>
      </w:r>
      <w:r>
        <w:rPr/>
        <w:t>‘</w:t>
      </w:r>
      <w:r>
        <w:rPr>
          <w:i/>
        </w:rPr>
        <w:t>one-off</w:t>
      </w:r>
      <w:r>
        <w:rPr/>
        <w:t>’</w:t>
      </w:r>
      <w:r>
        <w:rPr>
          <w:spacing w:val="-5"/>
        </w:rPr>
        <w:t> </w:t>
      </w:r>
      <w:r>
        <w:rPr/>
        <w:t>cost</w:t>
      </w:r>
      <w:r>
        <w:rPr>
          <w:spacing w:val="-5"/>
        </w:rPr>
        <w:t> </w:t>
      </w:r>
      <w:r>
        <w:rPr/>
        <w:t>does</w:t>
      </w:r>
      <w:r>
        <w:rPr>
          <w:spacing w:val="-4"/>
        </w:rPr>
        <w:t> </w:t>
      </w:r>
      <w:r>
        <w:rPr/>
        <w:t>not</w:t>
      </w:r>
      <w:r>
        <w:rPr>
          <w:spacing w:val="-6"/>
        </w:rPr>
        <w:t> </w:t>
      </w:r>
      <w:r>
        <w:rPr/>
        <w:t>reflect</w:t>
      </w:r>
      <w:r>
        <w:rPr>
          <w:spacing w:val="-4"/>
        </w:rPr>
        <w:t> </w:t>
      </w:r>
      <w:r>
        <w:rPr/>
        <w:t>the</w:t>
      </w:r>
      <w:r>
        <w:rPr>
          <w:spacing w:val="-7"/>
        </w:rPr>
        <w:t> </w:t>
      </w:r>
      <w:r>
        <w:rPr/>
        <w:t>reality</w:t>
      </w:r>
      <w:r>
        <w:rPr>
          <w:spacing w:val="-5"/>
        </w:rPr>
        <w:t> </w:t>
      </w:r>
      <w:r>
        <w:rPr/>
        <w:t>of</w:t>
      </w:r>
      <w:r>
        <w:rPr>
          <w:spacing w:val="-4"/>
        </w:rPr>
        <w:t> </w:t>
      </w:r>
      <w:r>
        <w:rPr/>
        <w:t>patients experiencing longer-term survival benefit with tebentafusp. Moreover, patients with metastatic uveal</w:t>
      </w:r>
      <w:r>
        <w:rPr>
          <w:spacing w:val="-8"/>
        </w:rPr>
        <w:t> </w:t>
      </w:r>
      <w:r>
        <w:rPr/>
        <w:t>melanoma</w:t>
      </w:r>
      <w:r>
        <w:rPr>
          <w:spacing w:val="-9"/>
        </w:rPr>
        <w:t> </w:t>
      </w:r>
      <w:r>
        <w:rPr/>
        <w:t>do</w:t>
      </w:r>
      <w:r>
        <w:rPr>
          <w:spacing w:val="-9"/>
        </w:rPr>
        <w:t> </w:t>
      </w:r>
      <w:r>
        <w:rPr/>
        <w:t>not</w:t>
      </w:r>
      <w:r>
        <w:rPr>
          <w:spacing w:val="-9"/>
        </w:rPr>
        <w:t> </w:t>
      </w:r>
      <w:r>
        <w:rPr/>
        <w:t>require</w:t>
      </w:r>
      <w:r>
        <w:rPr>
          <w:spacing w:val="-8"/>
        </w:rPr>
        <w:t> </w:t>
      </w:r>
      <w:r>
        <w:rPr/>
        <w:t>best</w:t>
      </w:r>
      <w:r>
        <w:rPr>
          <w:spacing w:val="-9"/>
        </w:rPr>
        <w:t> </w:t>
      </w:r>
      <w:r>
        <w:rPr/>
        <w:t>supportive</w:t>
      </w:r>
      <w:r>
        <w:rPr>
          <w:spacing w:val="-8"/>
        </w:rPr>
        <w:t> </w:t>
      </w:r>
      <w:r>
        <w:rPr/>
        <w:t>care</w:t>
      </w:r>
      <w:r>
        <w:rPr>
          <w:spacing w:val="-9"/>
        </w:rPr>
        <w:t> </w:t>
      </w:r>
      <w:r>
        <w:rPr/>
        <w:t>until</w:t>
      </w:r>
      <w:r>
        <w:rPr>
          <w:spacing w:val="-9"/>
        </w:rPr>
        <w:t> </w:t>
      </w:r>
      <w:r>
        <w:rPr/>
        <w:t>the</w:t>
      </w:r>
      <w:r>
        <w:rPr>
          <w:spacing w:val="-10"/>
        </w:rPr>
        <w:t> </w:t>
      </w:r>
      <w:r>
        <w:rPr/>
        <w:t>last</w:t>
      </w:r>
      <w:r>
        <w:rPr>
          <w:spacing w:val="-9"/>
        </w:rPr>
        <w:t> </w:t>
      </w:r>
      <w:r>
        <w:rPr/>
        <w:t>3-6</w:t>
      </w:r>
      <w:r>
        <w:rPr>
          <w:spacing w:val="-9"/>
        </w:rPr>
        <w:t> </w:t>
      </w:r>
      <w:r>
        <w:rPr/>
        <w:t>months</w:t>
      </w:r>
      <w:r>
        <w:rPr>
          <w:spacing w:val="-8"/>
        </w:rPr>
        <w:t> </w:t>
      </w:r>
      <w:r>
        <w:rPr/>
        <w:t>of</w:t>
      </w:r>
      <w:r>
        <w:rPr>
          <w:spacing w:val="-7"/>
        </w:rPr>
        <w:t> </w:t>
      </w:r>
      <w:r>
        <w:rPr/>
        <w:t>life.</w:t>
      </w:r>
      <w:r>
        <w:rPr>
          <w:spacing w:val="-10"/>
        </w:rPr>
        <w:t> </w:t>
      </w:r>
      <w:r>
        <w:rPr/>
        <w:t>The</w:t>
      </w:r>
      <w:r>
        <w:rPr>
          <w:spacing w:val="-9"/>
        </w:rPr>
        <w:t> </w:t>
      </w:r>
      <w:r>
        <w:rPr/>
        <w:t>company consulted with clinicians on this subject, and all confirmed that this is the case. While the FAD recognised that this had a limited impact on the cost-effectiveness results, the conclusion that there was uncertainty is unreasonable given that the ERG failed to consult expert clinicians on their preferred assumptions and the Committee appear not to have taken into account clinical experts’ comments on this in the second committee meeting that clearly reinforced the approach presented by the Company.</w:t>
      </w:r>
    </w:p>
    <w:p>
      <w:pPr>
        <w:pStyle w:val="BodyText"/>
        <w:rPr>
          <w:sz w:val="24"/>
        </w:rPr>
      </w:pPr>
    </w:p>
    <w:p>
      <w:pPr>
        <w:pStyle w:val="BodyText"/>
        <w:spacing w:before="8"/>
        <w:rPr>
          <w:sz w:val="19"/>
        </w:rPr>
      </w:pPr>
    </w:p>
    <w:p>
      <w:pPr>
        <w:pStyle w:val="Heading1"/>
        <w:spacing w:line="276" w:lineRule="auto"/>
        <w:ind w:right="144"/>
      </w:pPr>
      <w:r>
        <w:rPr/>
        <w:t>2.7 The EAG and the Committee’s preferred scenario is unreasonable because it would require tebentafusp to be provided below-cost in order to be cost-effective. This is inconsistent with NICE’s obligations to support innovation and does not reasonably take into</w:t>
      </w:r>
      <w:r>
        <w:rPr>
          <w:spacing w:val="-13"/>
        </w:rPr>
        <w:t> </w:t>
      </w:r>
      <w:r>
        <w:rPr/>
        <w:t>consideration</w:t>
      </w:r>
      <w:r>
        <w:rPr>
          <w:spacing w:val="-13"/>
        </w:rPr>
        <w:t> </w:t>
      </w:r>
      <w:r>
        <w:rPr/>
        <w:t>the</w:t>
      </w:r>
      <w:r>
        <w:rPr>
          <w:spacing w:val="-12"/>
        </w:rPr>
        <w:t> </w:t>
      </w:r>
      <w:r>
        <w:rPr/>
        <w:t>fact</w:t>
      </w:r>
      <w:r>
        <w:rPr>
          <w:spacing w:val="-13"/>
        </w:rPr>
        <w:t> </w:t>
      </w:r>
      <w:r>
        <w:rPr/>
        <w:t>that</w:t>
      </w:r>
      <w:r>
        <w:rPr>
          <w:spacing w:val="-11"/>
        </w:rPr>
        <w:t> </w:t>
      </w:r>
      <w:r>
        <w:rPr/>
        <w:t>advanced</w:t>
      </w:r>
      <w:r>
        <w:rPr>
          <w:spacing w:val="-11"/>
        </w:rPr>
        <w:t> </w:t>
      </w:r>
      <w:r>
        <w:rPr/>
        <w:t>uveal</w:t>
      </w:r>
      <w:r>
        <w:rPr>
          <w:spacing w:val="-11"/>
        </w:rPr>
        <w:t> </w:t>
      </w:r>
      <w:r>
        <w:rPr/>
        <w:t>melanoma</w:t>
      </w:r>
      <w:r>
        <w:rPr>
          <w:spacing w:val="-12"/>
        </w:rPr>
        <w:t> </w:t>
      </w:r>
      <w:r>
        <w:rPr/>
        <w:t>is</w:t>
      </w:r>
      <w:r>
        <w:rPr>
          <w:spacing w:val="-13"/>
        </w:rPr>
        <w:t> </w:t>
      </w:r>
      <w:r>
        <w:rPr/>
        <w:t>an</w:t>
      </w:r>
      <w:r>
        <w:rPr>
          <w:spacing w:val="-10"/>
        </w:rPr>
        <w:t> </w:t>
      </w:r>
      <w:r>
        <w:rPr/>
        <w:t>ultra-rare</w:t>
      </w:r>
      <w:r>
        <w:rPr>
          <w:spacing w:val="-10"/>
        </w:rPr>
        <w:t> </w:t>
      </w:r>
      <w:r>
        <w:rPr/>
        <w:t>disease</w:t>
      </w:r>
      <w:r>
        <w:rPr>
          <w:spacing w:val="-12"/>
        </w:rPr>
        <w:t> </w:t>
      </w:r>
      <w:r>
        <w:rPr/>
        <w:t>with</w:t>
      </w:r>
      <w:r>
        <w:rPr>
          <w:spacing w:val="-11"/>
        </w:rPr>
        <w:t> </w:t>
      </w:r>
      <w:r>
        <w:rPr/>
        <w:t>only 100 patients per year expected to be eligible for tebentafusp.</w:t>
      </w:r>
    </w:p>
    <w:p>
      <w:pPr>
        <w:pStyle w:val="BodyText"/>
        <w:spacing w:line="288" w:lineRule="auto" w:before="99"/>
        <w:ind w:left="120" w:right="1310"/>
        <w:jc w:val="both"/>
      </w:pPr>
      <w:r>
        <w:rPr/>
        <w:t>The appeal letter presented three arguments on appeal point 2.7, namely the Committee’s decision to apply standard parametric modelling to overall survival is unreasonable because:</w:t>
      </w:r>
    </w:p>
    <w:p>
      <w:pPr>
        <w:pStyle w:val="ListParagraph"/>
        <w:numPr>
          <w:ilvl w:val="0"/>
          <w:numId w:val="2"/>
        </w:numPr>
        <w:tabs>
          <w:tab w:pos="1110" w:val="left" w:leader="none"/>
        </w:tabs>
        <w:spacing w:line="240" w:lineRule="auto" w:before="195" w:after="0"/>
        <w:ind w:left="1110" w:right="0" w:hanging="354"/>
        <w:jc w:val="left"/>
        <w:rPr>
          <w:sz w:val="22"/>
        </w:rPr>
      </w:pPr>
      <w:r>
        <w:rPr>
          <w:spacing w:val="-2"/>
          <w:sz w:val="22"/>
        </w:rPr>
        <w:t>"</w:t>
      </w:r>
      <w:r>
        <w:rPr>
          <w:i/>
          <w:spacing w:val="-2"/>
          <w:sz w:val="22"/>
        </w:rPr>
        <w:t>the</w:t>
      </w:r>
      <w:r>
        <w:rPr>
          <w:i/>
          <w:spacing w:val="-10"/>
          <w:sz w:val="22"/>
        </w:rPr>
        <w:t> </w:t>
      </w:r>
      <w:r>
        <w:rPr>
          <w:i/>
          <w:spacing w:val="-2"/>
          <w:sz w:val="22"/>
        </w:rPr>
        <w:t>price</w:t>
      </w:r>
      <w:r>
        <w:rPr>
          <w:i/>
          <w:spacing w:val="-4"/>
          <w:sz w:val="22"/>
        </w:rPr>
        <w:t> </w:t>
      </w:r>
      <w:r>
        <w:rPr>
          <w:i/>
          <w:spacing w:val="-2"/>
          <w:sz w:val="22"/>
        </w:rPr>
        <w:t>of</w:t>
      </w:r>
      <w:r>
        <w:rPr>
          <w:i/>
          <w:spacing w:val="-5"/>
          <w:sz w:val="22"/>
        </w:rPr>
        <w:t> </w:t>
      </w:r>
      <w:r>
        <w:rPr>
          <w:i/>
          <w:spacing w:val="-2"/>
          <w:sz w:val="22"/>
        </w:rPr>
        <w:t>tebentafusp</w:t>
      </w:r>
      <w:r>
        <w:rPr>
          <w:i/>
          <w:spacing w:val="-4"/>
          <w:sz w:val="22"/>
        </w:rPr>
        <w:t> </w:t>
      </w:r>
      <w:r>
        <w:rPr>
          <w:i/>
          <w:spacing w:val="-2"/>
          <w:sz w:val="22"/>
        </w:rPr>
        <w:t>required</w:t>
      </w:r>
      <w:r>
        <w:rPr>
          <w:i/>
          <w:spacing w:val="-4"/>
          <w:sz w:val="22"/>
        </w:rPr>
        <w:t> </w:t>
      </w:r>
      <w:r>
        <w:rPr>
          <w:i/>
          <w:spacing w:val="-2"/>
          <w:sz w:val="22"/>
        </w:rPr>
        <w:t>to</w:t>
      </w:r>
      <w:r>
        <w:rPr>
          <w:i/>
          <w:spacing w:val="-5"/>
          <w:sz w:val="22"/>
        </w:rPr>
        <w:t> </w:t>
      </w:r>
      <w:r>
        <w:rPr>
          <w:i/>
          <w:spacing w:val="-2"/>
          <w:sz w:val="22"/>
        </w:rPr>
        <w:t>be</w:t>
      </w:r>
      <w:r>
        <w:rPr>
          <w:i/>
          <w:spacing w:val="-7"/>
          <w:sz w:val="22"/>
        </w:rPr>
        <w:t> </w:t>
      </w:r>
      <w:r>
        <w:rPr>
          <w:i/>
          <w:spacing w:val="-2"/>
          <w:sz w:val="22"/>
        </w:rPr>
        <w:t>cost-effective</w:t>
      </w:r>
      <w:r>
        <w:rPr>
          <w:i/>
          <w:spacing w:val="-5"/>
          <w:sz w:val="22"/>
        </w:rPr>
        <w:t> </w:t>
      </w:r>
      <w:r>
        <w:rPr>
          <w:i/>
          <w:spacing w:val="-2"/>
          <w:sz w:val="22"/>
        </w:rPr>
        <w:t>would</w:t>
      </w:r>
      <w:r>
        <w:rPr>
          <w:i/>
          <w:spacing w:val="-4"/>
          <w:sz w:val="22"/>
        </w:rPr>
        <w:t> </w:t>
      </w:r>
      <w:r>
        <w:rPr>
          <w:i/>
          <w:spacing w:val="-2"/>
          <w:sz w:val="22"/>
        </w:rPr>
        <w:t>be</w:t>
      </w:r>
      <w:r>
        <w:rPr>
          <w:i/>
          <w:spacing w:val="-5"/>
          <w:sz w:val="22"/>
        </w:rPr>
        <w:t> </w:t>
      </w:r>
      <w:r>
        <w:rPr>
          <w:i/>
          <w:spacing w:val="-2"/>
          <w:sz w:val="22"/>
        </w:rPr>
        <w:t>below-cost</w:t>
      </w:r>
      <w:r>
        <w:rPr>
          <w:i/>
          <w:spacing w:val="-8"/>
          <w:sz w:val="22"/>
        </w:rPr>
        <w:t> </w:t>
      </w:r>
      <w:r>
        <w:rPr>
          <w:i/>
          <w:spacing w:val="-2"/>
          <w:sz w:val="22"/>
        </w:rPr>
        <w:t>price</w:t>
      </w:r>
      <w:r>
        <w:rPr>
          <w:spacing w:val="-2"/>
          <w:sz w:val="22"/>
        </w:rPr>
        <w:t>";</w:t>
      </w:r>
    </w:p>
    <w:p>
      <w:pPr>
        <w:pStyle w:val="BodyText"/>
        <w:spacing w:before="5"/>
      </w:pPr>
    </w:p>
    <w:p>
      <w:pPr>
        <w:pStyle w:val="ListParagraph"/>
        <w:numPr>
          <w:ilvl w:val="0"/>
          <w:numId w:val="2"/>
        </w:numPr>
        <w:tabs>
          <w:tab w:pos="1110" w:val="left" w:leader="none"/>
        </w:tabs>
        <w:spacing w:line="240" w:lineRule="auto" w:before="0" w:after="0"/>
        <w:ind w:left="1110" w:right="0" w:hanging="354"/>
        <w:jc w:val="left"/>
        <w:rPr>
          <w:sz w:val="22"/>
        </w:rPr>
      </w:pPr>
      <w:r>
        <w:rPr>
          <w:spacing w:val="-2"/>
          <w:sz w:val="22"/>
        </w:rPr>
        <w:t>it</w:t>
      </w:r>
      <w:r>
        <w:rPr>
          <w:spacing w:val="-8"/>
          <w:sz w:val="22"/>
        </w:rPr>
        <w:t> </w:t>
      </w:r>
      <w:r>
        <w:rPr>
          <w:spacing w:val="-2"/>
          <w:sz w:val="22"/>
        </w:rPr>
        <w:t>"</w:t>
      </w:r>
      <w:r>
        <w:rPr>
          <w:i/>
          <w:spacing w:val="-2"/>
          <w:sz w:val="22"/>
        </w:rPr>
        <w:t>is</w:t>
      </w:r>
      <w:r>
        <w:rPr>
          <w:i/>
          <w:spacing w:val="-6"/>
          <w:sz w:val="22"/>
        </w:rPr>
        <w:t> </w:t>
      </w:r>
      <w:r>
        <w:rPr>
          <w:i/>
          <w:spacing w:val="-2"/>
          <w:sz w:val="22"/>
        </w:rPr>
        <w:t>inconsistent</w:t>
      </w:r>
      <w:r>
        <w:rPr>
          <w:i/>
          <w:spacing w:val="-4"/>
          <w:sz w:val="22"/>
        </w:rPr>
        <w:t> </w:t>
      </w:r>
      <w:r>
        <w:rPr>
          <w:i/>
          <w:spacing w:val="-2"/>
          <w:sz w:val="22"/>
        </w:rPr>
        <w:t>with</w:t>
      </w:r>
      <w:r>
        <w:rPr>
          <w:i/>
          <w:spacing w:val="-4"/>
          <w:sz w:val="22"/>
        </w:rPr>
        <w:t> </w:t>
      </w:r>
      <w:r>
        <w:rPr>
          <w:i/>
          <w:spacing w:val="-2"/>
          <w:sz w:val="22"/>
        </w:rPr>
        <w:t>NICE’s</w:t>
      </w:r>
      <w:r>
        <w:rPr>
          <w:i/>
          <w:spacing w:val="-4"/>
          <w:sz w:val="22"/>
        </w:rPr>
        <w:t> </w:t>
      </w:r>
      <w:r>
        <w:rPr>
          <w:i/>
          <w:spacing w:val="-2"/>
          <w:sz w:val="22"/>
        </w:rPr>
        <w:t>obligations</w:t>
      </w:r>
      <w:r>
        <w:rPr>
          <w:i/>
          <w:spacing w:val="-4"/>
          <w:sz w:val="22"/>
        </w:rPr>
        <w:t> </w:t>
      </w:r>
      <w:r>
        <w:rPr>
          <w:i/>
          <w:spacing w:val="-2"/>
          <w:sz w:val="22"/>
        </w:rPr>
        <w:t>to</w:t>
      </w:r>
      <w:r>
        <w:rPr>
          <w:i/>
          <w:spacing w:val="-5"/>
          <w:sz w:val="22"/>
        </w:rPr>
        <w:t> </w:t>
      </w:r>
      <w:r>
        <w:rPr>
          <w:i/>
          <w:spacing w:val="-2"/>
          <w:sz w:val="22"/>
        </w:rPr>
        <w:t>support</w:t>
      </w:r>
      <w:r>
        <w:rPr>
          <w:i/>
          <w:spacing w:val="-5"/>
          <w:sz w:val="22"/>
        </w:rPr>
        <w:t> </w:t>
      </w:r>
      <w:r>
        <w:rPr>
          <w:i/>
          <w:spacing w:val="-2"/>
          <w:sz w:val="22"/>
        </w:rPr>
        <w:t>innovation</w:t>
      </w:r>
      <w:r>
        <w:rPr>
          <w:spacing w:val="-2"/>
          <w:sz w:val="22"/>
        </w:rPr>
        <w:t>";</w:t>
      </w:r>
      <w:r>
        <w:rPr>
          <w:spacing w:val="-4"/>
          <w:sz w:val="22"/>
        </w:rPr>
        <w:t> </w:t>
      </w:r>
      <w:r>
        <w:rPr>
          <w:spacing w:val="-5"/>
          <w:sz w:val="22"/>
        </w:rPr>
        <w:t>and</w:t>
      </w:r>
    </w:p>
    <w:p>
      <w:pPr>
        <w:pStyle w:val="BodyText"/>
        <w:spacing w:before="6"/>
      </w:pPr>
    </w:p>
    <w:p>
      <w:pPr>
        <w:pStyle w:val="ListParagraph"/>
        <w:numPr>
          <w:ilvl w:val="0"/>
          <w:numId w:val="2"/>
        </w:numPr>
        <w:tabs>
          <w:tab w:pos="1110" w:val="left" w:leader="none"/>
          <w:tab w:pos="1113" w:val="left" w:leader="none"/>
        </w:tabs>
        <w:spacing w:line="288" w:lineRule="auto" w:before="0" w:after="0"/>
        <w:ind w:left="1113" w:right="1301" w:hanging="361"/>
        <w:jc w:val="both"/>
        <w:rPr>
          <w:sz w:val="22"/>
        </w:rPr>
      </w:pPr>
      <w:r>
        <w:rPr>
          <w:sz w:val="22"/>
        </w:rPr>
        <w:t>it</w:t>
      </w:r>
      <w:r>
        <w:rPr>
          <w:spacing w:val="-7"/>
          <w:sz w:val="22"/>
        </w:rPr>
        <w:t> </w:t>
      </w:r>
      <w:r>
        <w:rPr>
          <w:sz w:val="22"/>
        </w:rPr>
        <w:t>"</w:t>
      </w:r>
      <w:r>
        <w:rPr>
          <w:i/>
          <w:sz w:val="22"/>
        </w:rPr>
        <w:t>does</w:t>
      </w:r>
      <w:r>
        <w:rPr>
          <w:i/>
          <w:spacing w:val="-6"/>
          <w:sz w:val="22"/>
        </w:rPr>
        <w:t> </w:t>
      </w:r>
      <w:r>
        <w:rPr>
          <w:i/>
          <w:sz w:val="22"/>
        </w:rPr>
        <w:t>not</w:t>
      </w:r>
      <w:r>
        <w:rPr>
          <w:i/>
          <w:spacing w:val="-7"/>
          <w:sz w:val="22"/>
        </w:rPr>
        <w:t> </w:t>
      </w:r>
      <w:r>
        <w:rPr>
          <w:i/>
          <w:sz w:val="22"/>
        </w:rPr>
        <w:t>reasonably</w:t>
      </w:r>
      <w:r>
        <w:rPr>
          <w:i/>
          <w:spacing w:val="-7"/>
          <w:sz w:val="22"/>
        </w:rPr>
        <w:t> </w:t>
      </w:r>
      <w:r>
        <w:rPr>
          <w:i/>
          <w:sz w:val="22"/>
        </w:rPr>
        <w:t>take</w:t>
      </w:r>
      <w:r>
        <w:rPr>
          <w:i/>
          <w:spacing w:val="-7"/>
          <w:sz w:val="22"/>
        </w:rPr>
        <w:t> </w:t>
      </w:r>
      <w:r>
        <w:rPr>
          <w:i/>
          <w:sz w:val="22"/>
        </w:rPr>
        <w:t>into</w:t>
      </w:r>
      <w:r>
        <w:rPr>
          <w:i/>
          <w:spacing w:val="-6"/>
          <w:sz w:val="22"/>
        </w:rPr>
        <w:t> </w:t>
      </w:r>
      <w:r>
        <w:rPr>
          <w:i/>
          <w:sz w:val="22"/>
        </w:rPr>
        <w:t>consideration</w:t>
      </w:r>
      <w:r>
        <w:rPr>
          <w:i/>
          <w:spacing w:val="-6"/>
          <w:sz w:val="22"/>
        </w:rPr>
        <w:t> </w:t>
      </w:r>
      <w:r>
        <w:rPr>
          <w:i/>
          <w:sz w:val="22"/>
        </w:rPr>
        <w:t>the</w:t>
      </w:r>
      <w:r>
        <w:rPr>
          <w:i/>
          <w:spacing w:val="-7"/>
          <w:sz w:val="22"/>
        </w:rPr>
        <w:t> </w:t>
      </w:r>
      <w:r>
        <w:rPr>
          <w:i/>
          <w:sz w:val="22"/>
        </w:rPr>
        <w:t>fact</w:t>
      </w:r>
      <w:r>
        <w:rPr>
          <w:i/>
          <w:spacing w:val="-9"/>
          <w:sz w:val="22"/>
        </w:rPr>
        <w:t> </w:t>
      </w:r>
      <w:r>
        <w:rPr>
          <w:i/>
          <w:sz w:val="22"/>
        </w:rPr>
        <w:t>that</w:t>
      </w:r>
      <w:r>
        <w:rPr>
          <w:i/>
          <w:spacing w:val="-6"/>
          <w:sz w:val="22"/>
        </w:rPr>
        <w:t> </w:t>
      </w:r>
      <w:r>
        <w:rPr>
          <w:i/>
          <w:sz w:val="22"/>
        </w:rPr>
        <w:t>advanced</w:t>
      </w:r>
      <w:r>
        <w:rPr>
          <w:i/>
          <w:spacing w:val="-8"/>
          <w:sz w:val="22"/>
        </w:rPr>
        <w:t> </w:t>
      </w:r>
      <w:r>
        <w:rPr>
          <w:i/>
          <w:sz w:val="22"/>
        </w:rPr>
        <w:t>uveal</w:t>
      </w:r>
      <w:r>
        <w:rPr>
          <w:i/>
          <w:sz w:val="22"/>
        </w:rPr>
        <w:t> melanoma</w:t>
      </w:r>
      <w:r>
        <w:rPr>
          <w:i/>
          <w:spacing w:val="-9"/>
          <w:sz w:val="22"/>
        </w:rPr>
        <w:t> </w:t>
      </w:r>
      <w:r>
        <w:rPr>
          <w:i/>
          <w:sz w:val="22"/>
        </w:rPr>
        <w:t>is</w:t>
      </w:r>
      <w:r>
        <w:rPr>
          <w:i/>
          <w:spacing w:val="-9"/>
          <w:sz w:val="22"/>
        </w:rPr>
        <w:t> </w:t>
      </w:r>
      <w:r>
        <w:rPr>
          <w:i/>
          <w:sz w:val="22"/>
        </w:rPr>
        <w:t>an</w:t>
      </w:r>
      <w:r>
        <w:rPr>
          <w:i/>
          <w:spacing w:val="-9"/>
          <w:sz w:val="22"/>
        </w:rPr>
        <w:t> </w:t>
      </w:r>
      <w:r>
        <w:rPr>
          <w:i/>
          <w:sz w:val="22"/>
        </w:rPr>
        <w:t>ultra-rare</w:t>
      </w:r>
      <w:r>
        <w:rPr>
          <w:i/>
          <w:spacing w:val="-8"/>
          <w:sz w:val="22"/>
        </w:rPr>
        <w:t> </w:t>
      </w:r>
      <w:r>
        <w:rPr>
          <w:i/>
          <w:sz w:val="22"/>
        </w:rPr>
        <w:t>disease</w:t>
      </w:r>
      <w:r>
        <w:rPr>
          <w:i/>
          <w:spacing w:val="-10"/>
          <w:sz w:val="22"/>
        </w:rPr>
        <w:t> </w:t>
      </w:r>
      <w:r>
        <w:rPr>
          <w:i/>
          <w:sz w:val="22"/>
        </w:rPr>
        <w:t>with</w:t>
      </w:r>
      <w:r>
        <w:rPr>
          <w:i/>
          <w:spacing w:val="-8"/>
          <w:sz w:val="22"/>
        </w:rPr>
        <w:t> </w:t>
      </w:r>
      <w:r>
        <w:rPr>
          <w:i/>
          <w:sz w:val="22"/>
        </w:rPr>
        <w:t>only</w:t>
      </w:r>
      <w:r>
        <w:rPr>
          <w:i/>
          <w:spacing w:val="-8"/>
          <w:sz w:val="22"/>
        </w:rPr>
        <w:t> </w:t>
      </w:r>
      <w:r>
        <w:rPr>
          <w:i/>
          <w:sz w:val="22"/>
        </w:rPr>
        <w:t>100</w:t>
      </w:r>
      <w:r>
        <w:rPr>
          <w:i/>
          <w:spacing w:val="-9"/>
          <w:sz w:val="22"/>
        </w:rPr>
        <w:t> </w:t>
      </w:r>
      <w:r>
        <w:rPr>
          <w:i/>
          <w:sz w:val="22"/>
        </w:rPr>
        <w:t>patients</w:t>
      </w:r>
      <w:r>
        <w:rPr>
          <w:i/>
          <w:spacing w:val="-9"/>
          <w:sz w:val="22"/>
        </w:rPr>
        <w:t> </w:t>
      </w:r>
      <w:r>
        <w:rPr>
          <w:i/>
          <w:sz w:val="22"/>
        </w:rPr>
        <w:t>per</w:t>
      </w:r>
      <w:r>
        <w:rPr>
          <w:i/>
          <w:spacing w:val="-10"/>
          <w:sz w:val="22"/>
        </w:rPr>
        <w:t> </w:t>
      </w:r>
      <w:r>
        <w:rPr>
          <w:i/>
          <w:sz w:val="22"/>
        </w:rPr>
        <w:t>year</w:t>
      </w:r>
      <w:r>
        <w:rPr>
          <w:i/>
          <w:spacing w:val="-9"/>
          <w:sz w:val="22"/>
        </w:rPr>
        <w:t> </w:t>
      </w:r>
      <w:r>
        <w:rPr>
          <w:i/>
          <w:sz w:val="22"/>
        </w:rPr>
        <w:t>expected to</w:t>
      </w:r>
      <w:r>
        <w:rPr>
          <w:i/>
          <w:spacing w:val="-12"/>
          <w:sz w:val="22"/>
        </w:rPr>
        <w:t> </w:t>
      </w:r>
      <w:r>
        <w:rPr>
          <w:i/>
          <w:sz w:val="22"/>
        </w:rPr>
        <w:t>be</w:t>
      </w:r>
      <w:r>
        <w:rPr>
          <w:i/>
          <w:spacing w:val="-12"/>
          <w:sz w:val="22"/>
        </w:rPr>
        <w:t> </w:t>
      </w:r>
      <w:r>
        <w:rPr>
          <w:i/>
          <w:sz w:val="22"/>
        </w:rPr>
        <w:t>eligible</w:t>
      </w:r>
      <w:r>
        <w:rPr>
          <w:i/>
          <w:spacing w:val="-12"/>
          <w:sz w:val="22"/>
        </w:rPr>
        <w:t> </w:t>
      </w:r>
      <w:r>
        <w:rPr>
          <w:i/>
          <w:sz w:val="22"/>
        </w:rPr>
        <w:t>for</w:t>
      </w:r>
      <w:r>
        <w:rPr>
          <w:i/>
          <w:spacing w:val="-13"/>
          <w:sz w:val="22"/>
        </w:rPr>
        <w:t> </w:t>
      </w:r>
      <w:r>
        <w:rPr>
          <w:i/>
          <w:sz w:val="22"/>
        </w:rPr>
        <w:t>tebentafusp,</w:t>
      </w:r>
      <w:r>
        <w:rPr>
          <w:i/>
          <w:spacing w:val="-11"/>
          <w:sz w:val="22"/>
        </w:rPr>
        <w:t> </w:t>
      </w:r>
      <w:r>
        <w:rPr>
          <w:i/>
          <w:sz w:val="22"/>
        </w:rPr>
        <w:t>and</w:t>
      </w:r>
      <w:r>
        <w:rPr>
          <w:i/>
          <w:spacing w:val="-14"/>
          <w:sz w:val="22"/>
        </w:rPr>
        <w:t> </w:t>
      </w:r>
      <w:r>
        <w:rPr>
          <w:i/>
          <w:sz w:val="22"/>
        </w:rPr>
        <w:t>does</w:t>
      </w:r>
      <w:r>
        <w:rPr>
          <w:i/>
          <w:spacing w:val="-12"/>
          <w:sz w:val="22"/>
        </w:rPr>
        <w:t> </w:t>
      </w:r>
      <w:r>
        <w:rPr>
          <w:i/>
          <w:sz w:val="22"/>
        </w:rPr>
        <w:t>not</w:t>
      </w:r>
      <w:r>
        <w:rPr>
          <w:i/>
          <w:spacing w:val="-12"/>
          <w:sz w:val="22"/>
        </w:rPr>
        <w:t> </w:t>
      </w:r>
      <w:r>
        <w:rPr>
          <w:i/>
          <w:sz w:val="22"/>
        </w:rPr>
        <w:t>recognise</w:t>
      </w:r>
      <w:r>
        <w:rPr>
          <w:i/>
          <w:spacing w:val="-12"/>
          <w:sz w:val="22"/>
        </w:rPr>
        <w:t> </w:t>
      </w:r>
      <w:r>
        <w:rPr>
          <w:i/>
          <w:sz w:val="22"/>
        </w:rPr>
        <w:t>the</w:t>
      </w:r>
      <w:r>
        <w:rPr>
          <w:i/>
          <w:spacing w:val="-12"/>
          <w:sz w:val="22"/>
        </w:rPr>
        <w:t> </w:t>
      </w:r>
      <w:r>
        <w:rPr>
          <w:i/>
          <w:sz w:val="22"/>
        </w:rPr>
        <w:t>vulnerability</w:t>
      </w:r>
      <w:r>
        <w:rPr>
          <w:i/>
          <w:spacing w:val="-11"/>
          <w:sz w:val="22"/>
        </w:rPr>
        <w:t> </w:t>
      </w:r>
      <w:r>
        <w:rPr>
          <w:i/>
          <w:sz w:val="22"/>
        </w:rPr>
        <w:t>of</w:t>
      </w:r>
      <w:r>
        <w:rPr>
          <w:i/>
          <w:spacing w:val="-13"/>
          <w:sz w:val="22"/>
        </w:rPr>
        <w:t> </w:t>
      </w:r>
      <w:r>
        <w:rPr>
          <w:i/>
          <w:sz w:val="22"/>
        </w:rPr>
        <w:t>the very small patient group facing terminal disease without other proven treatment options</w:t>
      </w:r>
      <w:r>
        <w:rPr>
          <w:sz w:val="22"/>
        </w:rPr>
        <w:t>."</w:t>
      </w:r>
    </w:p>
    <w:p>
      <w:pPr>
        <w:pStyle w:val="BodyText"/>
        <w:spacing w:before="6"/>
        <w:rPr>
          <w:sz w:val="23"/>
        </w:rPr>
      </w:pPr>
    </w:p>
    <w:p>
      <w:pPr>
        <w:pStyle w:val="BodyText"/>
        <w:ind w:left="120"/>
        <w:jc w:val="both"/>
      </w:pPr>
      <w:r>
        <w:rPr/>
        <w:t>Thank</w:t>
      </w:r>
      <w:r>
        <w:rPr>
          <w:spacing w:val="-12"/>
        </w:rPr>
        <w:t> </w:t>
      </w:r>
      <w:r>
        <w:rPr/>
        <w:t>you</w:t>
      </w:r>
      <w:r>
        <w:rPr>
          <w:spacing w:val="-10"/>
        </w:rPr>
        <w:t> </w:t>
      </w:r>
      <w:r>
        <w:rPr/>
        <w:t>for</w:t>
      </w:r>
      <w:r>
        <w:rPr>
          <w:spacing w:val="-11"/>
        </w:rPr>
        <w:t> </w:t>
      </w:r>
      <w:r>
        <w:rPr/>
        <w:t>confirming</w:t>
      </w:r>
      <w:r>
        <w:rPr>
          <w:spacing w:val="-8"/>
        </w:rPr>
        <w:t> </w:t>
      </w:r>
      <w:r>
        <w:rPr/>
        <w:t>that</w:t>
      </w:r>
      <w:r>
        <w:rPr>
          <w:spacing w:val="-8"/>
        </w:rPr>
        <w:t> </w:t>
      </w:r>
      <w:r>
        <w:rPr/>
        <w:t>argument</w:t>
      </w:r>
      <w:r>
        <w:rPr>
          <w:spacing w:val="-5"/>
        </w:rPr>
        <w:t> </w:t>
      </w:r>
      <w:r>
        <w:rPr/>
        <w:t>3</w:t>
      </w:r>
      <w:r>
        <w:rPr>
          <w:spacing w:val="-12"/>
        </w:rPr>
        <w:t> </w:t>
      </w:r>
      <w:r>
        <w:rPr/>
        <w:t>in</w:t>
      </w:r>
      <w:r>
        <w:rPr>
          <w:spacing w:val="-11"/>
        </w:rPr>
        <w:t> </w:t>
      </w:r>
      <w:r>
        <w:rPr/>
        <w:t>this</w:t>
      </w:r>
      <w:r>
        <w:rPr>
          <w:spacing w:val="-9"/>
        </w:rPr>
        <w:t> </w:t>
      </w:r>
      <w:r>
        <w:rPr/>
        <w:t>point</w:t>
      </w:r>
      <w:r>
        <w:rPr>
          <w:spacing w:val="-10"/>
        </w:rPr>
        <w:t> </w:t>
      </w:r>
      <w:r>
        <w:rPr/>
        <w:t>appeal</w:t>
      </w:r>
      <w:r>
        <w:rPr>
          <w:spacing w:val="-11"/>
        </w:rPr>
        <w:t> </w:t>
      </w:r>
      <w:r>
        <w:rPr/>
        <w:t>is</w:t>
      </w:r>
      <w:r>
        <w:rPr>
          <w:spacing w:val="-8"/>
        </w:rPr>
        <w:t> </w:t>
      </w:r>
      <w:r>
        <w:rPr>
          <w:spacing w:val="-2"/>
        </w:rPr>
        <w:t>admissible.</w:t>
      </w:r>
    </w:p>
    <w:p>
      <w:pPr>
        <w:pStyle w:val="BodyText"/>
        <w:spacing w:before="4"/>
        <w:rPr>
          <w:sz w:val="30"/>
        </w:rPr>
      </w:pPr>
    </w:p>
    <w:p>
      <w:pPr>
        <w:spacing w:line="276" w:lineRule="auto" w:before="0"/>
        <w:ind w:left="120" w:right="144" w:firstLine="0"/>
        <w:jc w:val="both"/>
        <w:rPr>
          <w:i/>
          <w:sz w:val="22"/>
        </w:rPr>
      </w:pPr>
      <w:r>
        <w:rPr>
          <w:sz w:val="22"/>
        </w:rPr>
        <w:t>Regarding</w:t>
      </w:r>
      <w:r>
        <w:rPr>
          <w:spacing w:val="-2"/>
          <w:sz w:val="22"/>
        </w:rPr>
        <w:t> </w:t>
      </w:r>
      <w:r>
        <w:rPr>
          <w:sz w:val="22"/>
        </w:rPr>
        <w:t>argument</w:t>
      </w:r>
      <w:r>
        <w:rPr>
          <w:spacing w:val="-3"/>
          <w:sz w:val="22"/>
        </w:rPr>
        <w:t> </w:t>
      </w:r>
      <w:r>
        <w:rPr>
          <w:sz w:val="22"/>
        </w:rPr>
        <w:t>1</w:t>
      </w:r>
      <w:r>
        <w:rPr>
          <w:spacing w:val="-3"/>
          <w:sz w:val="22"/>
        </w:rPr>
        <w:t> </w:t>
      </w:r>
      <w:r>
        <w:rPr>
          <w:sz w:val="22"/>
        </w:rPr>
        <w:t>‘</w:t>
      </w:r>
      <w:r>
        <w:rPr>
          <w:i/>
          <w:sz w:val="22"/>
        </w:rPr>
        <w:t>the</w:t>
      </w:r>
      <w:r>
        <w:rPr>
          <w:i/>
          <w:spacing w:val="-3"/>
          <w:sz w:val="22"/>
        </w:rPr>
        <w:t> </w:t>
      </w:r>
      <w:r>
        <w:rPr>
          <w:i/>
          <w:sz w:val="22"/>
        </w:rPr>
        <w:t>price</w:t>
      </w:r>
      <w:r>
        <w:rPr>
          <w:i/>
          <w:spacing w:val="-4"/>
          <w:sz w:val="22"/>
        </w:rPr>
        <w:t> </w:t>
      </w:r>
      <w:r>
        <w:rPr>
          <w:i/>
          <w:sz w:val="22"/>
        </w:rPr>
        <w:t>of</w:t>
      </w:r>
      <w:r>
        <w:rPr>
          <w:i/>
          <w:spacing w:val="-4"/>
          <w:sz w:val="22"/>
        </w:rPr>
        <w:t> </w:t>
      </w:r>
      <w:r>
        <w:rPr>
          <w:i/>
          <w:sz w:val="22"/>
        </w:rPr>
        <w:t>tebentafusp</w:t>
      </w:r>
      <w:r>
        <w:rPr>
          <w:i/>
          <w:spacing w:val="-5"/>
          <w:sz w:val="22"/>
        </w:rPr>
        <w:t> </w:t>
      </w:r>
      <w:r>
        <w:rPr>
          <w:i/>
          <w:sz w:val="22"/>
        </w:rPr>
        <w:t>required</w:t>
      </w:r>
      <w:r>
        <w:rPr>
          <w:i/>
          <w:spacing w:val="-2"/>
          <w:sz w:val="22"/>
        </w:rPr>
        <w:t> </w:t>
      </w:r>
      <w:r>
        <w:rPr>
          <w:i/>
          <w:sz w:val="22"/>
        </w:rPr>
        <w:t>to</w:t>
      </w:r>
      <w:r>
        <w:rPr>
          <w:i/>
          <w:spacing w:val="-4"/>
          <w:sz w:val="22"/>
        </w:rPr>
        <w:t> </w:t>
      </w:r>
      <w:r>
        <w:rPr>
          <w:i/>
          <w:sz w:val="22"/>
        </w:rPr>
        <w:t>be</w:t>
      </w:r>
      <w:r>
        <w:rPr>
          <w:i/>
          <w:spacing w:val="-3"/>
          <w:sz w:val="22"/>
        </w:rPr>
        <w:t> </w:t>
      </w:r>
      <w:r>
        <w:rPr>
          <w:i/>
          <w:sz w:val="22"/>
        </w:rPr>
        <w:t>cost-effective</w:t>
      </w:r>
      <w:r>
        <w:rPr>
          <w:i/>
          <w:spacing w:val="-3"/>
          <w:sz w:val="22"/>
        </w:rPr>
        <w:t> </w:t>
      </w:r>
      <w:r>
        <w:rPr>
          <w:i/>
          <w:sz w:val="22"/>
        </w:rPr>
        <w:t>would</w:t>
      </w:r>
      <w:r>
        <w:rPr>
          <w:i/>
          <w:spacing w:val="-4"/>
          <w:sz w:val="22"/>
        </w:rPr>
        <w:t> </w:t>
      </w:r>
      <w:r>
        <w:rPr>
          <w:i/>
          <w:sz w:val="22"/>
        </w:rPr>
        <w:t>be</w:t>
      </w:r>
      <w:r>
        <w:rPr>
          <w:i/>
          <w:spacing w:val="-4"/>
          <w:sz w:val="22"/>
        </w:rPr>
        <w:t> </w:t>
      </w:r>
      <w:r>
        <w:rPr>
          <w:i/>
          <w:sz w:val="22"/>
        </w:rPr>
        <w:t>below-cost</w:t>
      </w:r>
      <w:r>
        <w:rPr>
          <w:i/>
          <w:sz w:val="22"/>
        </w:rPr>
        <w:t> price’</w:t>
      </w:r>
      <w:r>
        <w:rPr>
          <w:i/>
          <w:spacing w:val="-9"/>
          <w:sz w:val="22"/>
        </w:rPr>
        <w:t> </w:t>
      </w:r>
      <w:r>
        <w:rPr>
          <w:sz w:val="22"/>
        </w:rPr>
        <w:t>it</w:t>
      </w:r>
      <w:r>
        <w:rPr>
          <w:spacing w:val="-5"/>
          <w:sz w:val="22"/>
        </w:rPr>
        <w:t> </w:t>
      </w:r>
      <w:r>
        <w:rPr>
          <w:sz w:val="22"/>
        </w:rPr>
        <w:t>is</w:t>
      </w:r>
      <w:r>
        <w:rPr>
          <w:spacing w:val="-5"/>
          <w:sz w:val="22"/>
        </w:rPr>
        <w:t> </w:t>
      </w:r>
      <w:r>
        <w:rPr>
          <w:sz w:val="22"/>
        </w:rPr>
        <w:t>relevant</w:t>
      </w:r>
      <w:r>
        <w:rPr>
          <w:spacing w:val="-5"/>
          <w:sz w:val="22"/>
        </w:rPr>
        <w:t> </w:t>
      </w:r>
      <w:r>
        <w:rPr>
          <w:sz w:val="22"/>
        </w:rPr>
        <w:t>to</w:t>
      </w:r>
      <w:r>
        <w:rPr>
          <w:spacing w:val="-5"/>
          <w:sz w:val="22"/>
        </w:rPr>
        <w:t> </w:t>
      </w:r>
      <w:r>
        <w:rPr>
          <w:sz w:val="22"/>
        </w:rPr>
        <w:t>the</w:t>
      </w:r>
      <w:r>
        <w:rPr>
          <w:spacing w:val="-8"/>
          <w:sz w:val="22"/>
        </w:rPr>
        <w:t> </w:t>
      </w:r>
      <w:r>
        <w:rPr>
          <w:sz w:val="22"/>
        </w:rPr>
        <w:t>Committee’s</w:t>
      </w:r>
      <w:r>
        <w:rPr>
          <w:spacing w:val="-4"/>
          <w:sz w:val="22"/>
        </w:rPr>
        <w:t> </w:t>
      </w:r>
      <w:r>
        <w:rPr>
          <w:sz w:val="22"/>
        </w:rPr>
        <w:t>decision</w:t>
      </w:r>
      <w:r>
        <w:rPr>
          <w:spacing w:val="-6"/>
          <w:sz w:val="22"/>
        </w:rPr>
        <w:t> </w:t>
      </w:r>
      <w:r>
        <w:rPr>
          <w:sz w:val="22"/>
        </w:rPr>
        <w:t>given</w:t>
      </w:r>
      <w:r>
        <w:rPr>
          <w:spacing w:val="-6"/>
          <w:sz w:val="22"/>
        </w:rPr>
        <w:t> </w:t>
      </w:r>
      <w:r>
        <w:rPr>
          <w:sz w:val="22"/>
        </w:rPr>
        <w:t>that</w:t>
      </w:r>
      <w:r>
        <w:rPr>
          <w:spacing w:val="-4"/>
          <w:sz w:val="22"/>
        </w:rPr>
        <w:t> </w:t>
      </w:r>
      <w:r>
        <w:rPr>
          <w:sz w:val="22"/>
        </w:rPr>
        <w:t>despite</w:t>
      </w:r>
      <w:r>
        <w:rPr>
          <w:spacing w:val="-5"/>
          <w:sz w:val="22"/>
        </w:rPr>
        <w:t> </w:t>
      </w:r>
      <w:r>
        <w:rPr>
          <w:sz w:val="22"/>
        </w:rPr>
        <w:t>the</w:t>
      </w:r>
      <w:r>
        <w:rPr>
          <w:spacing w:val="-7"/>
          <w:sz w:val="22"/>
        </w:rPr>
        <w:t> </w:t>
      </w:r>
      <w:r>
        <w:rPr>
          <w:sz w:val="22"/>
        </w:rPr>
        <w:t>evidence</w:t>
      </w:r>
      <w:r>
        <w:rPr>
          <w:spacing w:val="-6"/>
          <w:sz w:val="22"/>
        </w:rPr>
        <w:t> </w:t>
      </w:r>
      <w:r>
        <w:rPr>
          <w:sz w:val="22"/>
        </w:rPr>
        <w:t>provided</w:t>
      </w:r>
      <w:r>
        <w:rPr>
          <w:spacing w:val="-6"/>
          <w:sz w:val="22"/>
        </w:rPr>
        <w:t> </w:t>
      </w:r>
      <w:r>
        <w:rPr>
          <w:sz w:val="22"/>
        </w:rPr>
        <w:t>there</w:t>
      </w:r>
      <w:r>
        <w:rPr>
          <w:spacing w:val="-5"/>
          <w:sz w:val="22"/>
        </w:rPr>
        <w:t> </w:t>
      </w:r>
      <w:r>
        <w:rPr>
          <w:sz w:val="22"/>
        </w:rPr>
        <w:t>are no</w:t>
      </w:r>
      <w:r>
        <w:rPr>
          <w:spacing w:val="-8"/>
          <w:sz w:val="22"/>
        </w:rPr>
        <w:t> </w:t>
      </w:r>
      <w:r>
        <w:rPr>
          <w:sz w:val="22"/>
        </w:rPr>
        <w:t>circumstances</w:t>
      </w:r>
      <w:r>
        <w:rPr>
          <w:spacing w:val="-7"/>
          <w:sz w:val="22"/>
        </w:rPr>
        <w:t> </w:t>
      </w:r>
      <w:r>
        <w:rPr>
          <w:sz w:val="22"/>
        </w:rPr>
        <w:t>using</w:t>
      </w:r>
      <w:r>
        <w:rPr>
          <w:spacing w:val="-11"/>
          <w:sz w:val="22"/>
        </w:rPr>
        <w:t> </w:t>
      </w:r>
      <w:r>
        <w:rPr>
          <w:sz w:val="22"/>
        </w:rPr>
        <w:t>methodology</w:t>
      </w:r>
      <w:r>
        <w:rPr>
          <w:spacing w:val="-7"/>
          <w:sz w:val="22"/>
        </w:rPr>
        <w:t> </w:t>
      </w:r>
      <w:r>
        <w:rPr>
          <w:sz w:val="22"/>
        </w:rPr>
        <w:t>accepted</w:t>
      </w:r>
      <w:r>
        <w:rPr>
          <w:spacing w:val="-9"/>
          <w:sz w:val="22"/>
        </w:rPr>
        <w:t> </w:t>
      </w:r>
      <w:r>
        <w:rPr>
          <w:sz w:val="22"/>
        </w:rPr>
        <w:t>by</w:t>
      </w:r>
      <w:r>
        <w:rPr>
          <w:spacing w:val="-9"/>
          <w:sz w:val="22"/>
        </w:rPr>
        <w:t> </w:t>
      </w:r>
      <w:r>
        <w:rPr>
          <w:sz w:val="22"/>
        </w:rPr>
        <w:t>the</w:t>
      </w:r>
      <w:r>
        <w:rPr>
          <w:spacing w:val="-7"/>
          <w:sz w:val="22"/>
        </w:rPr>
        <w:t> </w:t>
      </w:r>
      <w:r>
        <w:rPr>
          <w:sz w:val="22"/>
        </w:rPr>
        <w:t>Committee</w:t>
      </w:r>
      <w:r>
        <w:rPr>
          <w:spacing w:val="-10"/>
          <w:sz w:val="22"/>
        </w:rPr>
        <w:t> </w:t>
      </w:r>
      <w:r>
        <w:rPr>
          <w:sz w:val="22"/>
        </w:rPr>
        <w:t>that</w:t>
      </w:r>
      <w:r>
        <w:rPr>
          <w:spacing w:val="-9"/>
          <w:sz w:val="22"/>
        </w:rPr>
        <w:t> </w:t>
      </w:r>
      <w:r>
        <w:rPr>
          <w:sz w:val="22"/>
        </w:rPr>
        <w:t>tebentafusp</w:t>
      </w:r>
      <w:r>
        <w:rPr>
          <w:spacing w:val="-9"/>
          <w:sz w:val="22"/>
        </w:rPr>
        <w:t> </w:t>
      </w:r>
      <w:r>
        <w:rPr>
          <w:sz w:val="22"/>
        </w:rPr>
        <w:t>would</w:t>
      </w:r>
      <w:r>
        <w:rPr>
          <w:spacing w:val="-7"/>
          <w:sz w:val="22"/>
        </w:rPr>
        <w:t> </w:t>
      </w:r>
      <w:r>
        <w:rPr>
          <w:sz w:val="22"/>
        </w:rPr>
        <w:t>be</w:t>
      </w:r>
      <w:r>
        <w:rPr>
          <w:spacing w:val="-8"/>
          <w:sz w:val="22"/>
        </w:rPr>
        <w:t> </w:t>
      </w:r>
      <w:r>
        <w:rPr>
          <w:sz w:val="22"/>
        </w:rPr>
        <w:t>cost- effective.</w:t>
      </w:r>
      <w:r>
        <w:rPr>
          <w:spacing w:val="-13"/>
          <w:sz w:val="22"/>
        </w:rPr>
        <w:t> </w:t>
      </w:r>
      <w:r>
        <w:rPr>
          <w:sz w:val="22"/>
        </w:rPr>
        <w:t>The</w:t>
      </w:r>
      <w:r>
        <w:rPr>
          <w:spacing w:val="-14"/>
          <w:sz w:val="22"/>
        </w:rPr>
        <w:t> </w:t>
      </w:r>
      <w:r>
        <w:rPr>
          <w:sz w:val="22"/>
        </w:rPr>
        <w:t>FAD</w:t>
      </w:r>
      <w:r>
        <w:rPr>
          <w:spacing w:val="-14"/>
          <w:sz w:val="22"/>
        </w:rPr>
        <w:t> </w:t>
      </w:r>
      <w:r>
        <w:rPr>
          <w:sz w:val="22"/>
        </w:rPr>
        <w:t>states</w:t>
      </w:r>
      <w:r>
        <w:rPr>
          <w:spacing w:val="-13"/>
          <w:sz w:val="22"/>
        </w:rPr>
        <w:t> </w:t>
      </w:r>
      <w:r>
        <w:rPr>
          <w:sz w:val="22"/>
        </w:rPr>
        <w:t>that</w:t>
      </w:r>
      <w:r>
        <w:rPr>
          <w:spacing w:val="-13"/>
          <w:sz w:val="22"/>
        </w:rPr>
        <w:t> </w:t>
      </w:r>
      <w:r>
        <w:rPr>
          <w:sz w:val="22"/>
        </w:rPr>
        <w:t>‘</w:t>
      </w:r>
      <w:r>
        <w:rPr>
          <w:i/>
          <w:sz w:val="22"/>
        </w:rPr>
        <w:t>clinical</w:t>
      </w:r>
      <w:r>
        <w:rPr>
          <w:i/>
          <w:spacing w:val="-13"/>
          <w:sz w:val="22"/>
        </w:rPr>
        <w:t> </w:t>
      </w:r>
      <w:r>
        <w:rPr>
          <w:i/>
          <w:sz w:val="22"/>
        </w:rPr>
        <w:t>trial</w:t>
      </w:r>
      <w:r>
        <w:rPr>
          <w:i/>
          <w:spacing w:val="-12"/>
          <w:sz w:val="22"/>
        </w:rPr>
        <w:t> </w:t>
      </w:r>
      <w:r>
        <w:rPr>
          <w:i/>
          <w:sz w:val="22"/>
        </w:rPr>
        <w:t>evidence</w:t>
      </w:r>
      <w:r>
        <w:rPr>
          <w:i/>
          <w:spacing w:val="-10"/>
          <w:sz w:val="22"/>
        </w:rPr>
        <w:t> </w:t>
      </w:r>
      <w:r>
        <w:rPr>
          <w:i/>
          <w:sz w:val="22"/>
        </w:rPr>
        <w:t>suggests</w:t>
      </w:r>
      <w:r>
        <w:rPr>
          <w:i/>
          <w:spacing w:val="-14"/>
          <w:sz w:val="22"/>
        </w:rPr>
        <w:t> </w:t>
      </w:r>
      <w:r>
        <w:rPr>
          <w:i/>
          <w:sz w:val="22"/>
        </w:rPr>
        <w:t>that</w:t>
      </w:r>
      <w:r>
        <w:rPr>
          <w:i/>
          <w:spacing w:val="-14"/>
          <w:sz w:val="22"/>
        </w:rPr>
        <w:t> </w:t>
      </w:r>
      <w:r>
        <w:rPr>
          <w:i/>
          <w:sz w:val="22"/>
        </w:rPr>
        <w:t>tebentafusp</w:t>
      </w:r>
      <w:r>
        <w:rPr>
          <w:i/>
          <w:spacing w:val="-11"/>
          <w:sz w:val="22"/>
        </w:rPr>
        <w:t> </w:t>
      </w:r>
      <w:r>
        <w:rPr>
          <w:i/>
          <w:sz w:val="22"/>
        </w:rPr>
        <w:t>could</w:t>
      </w:r>
      <w:r>
        <w:rPr>
          <w:i/>
          <w:spacing w:val="-13"/>
          <w:sz w:val="22"/>
        </w:rPr>
        <w:t> </w:t>
      </w:r>
      <w:r>
        <w:rPr>
          <w:i/>
          <w:sz w:val="22"/>
        </w:rPr>
        <w:t>increase</w:t>
      </w:r>
      <w:r>
        <w:rPr>
          <w:i/>
          <w:spacing w:val="-13"/>
          <w:sz w:val="22"/>
        </w:rPr>
        <w:t> </w:t>
      </w:r>
      <w:r>
        <w:rPr>
          <w:i/>
          <w:sz w:val="22"/>
        </w:rPr>
        <w:t>how</w:t>
      </w:r>
      <w:r>
        <w:rPr>
          <w:i/>
          <w:sz w:val="22"/>
        </w:rPr>
        <w:t> long people live and the length of time before their cancer gets worse compared with the usual</w:t>
      </w:r>
    </w:p>
    <w:p>
      <w:pPr>
        <w:spacing w:after="0" w:line="276" w:lineRule="auto"/>
        <w:jc w:val="both"/>
        <w:rPr>
          <w:sz w:val="22"/>
        </w:rPr>
        <w:sectPr>
          <w:pgSz w:w="11910" w:h="16840"/>
          <w:pgMar w:header="729" w:footer="1501" w:top="1540" w:bottom="1700" w:left="1240" w:right="980"/>
        </w:sectPr>
      </w:pPr>
    </w:p>
    <w:p>
      <w:pPr>
        <w:pStyle w:val="BodyText"/>
        <w:rPr>
          <w:i/>
          <w:sz w:val="20"/>
        </w:rPr>
      </w:pPr>
      <w:r>
        <w:rPr/>
        <mc:AlternateContent>
          <mc:Choice Requires="wps">
            <w:drawing>
              <wp:anchor distT="0" distB="0" distL="0" distR="0" allowOverlap="1" layoutInCell="1" locked="0" behindDoc="0" simplePos="0" relativeHeight="15729664">
                <wp:simplePos x="0" y="0"/>
                <wp:positionH relativeFrom="page">
                  <wp:posOffset>638115</wp:posOffset>
                </wp:positionH>
                <wp:positionV relativeFrom="page">
                  <wp:posOffset>3978212</wp:posOffset>
                </wp:positionV>
                <wp:extent cx="4284345" cy="236093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284345" cy="2360930"/>
                        </a:xfrm>
                        <a:custGeom>
                          <a:avLst/>
                          <a:gdLst/>
                          <a:ahLst/>
                          <a:cxnLst/>
                          <a:rect l="l" t="t" r="r" b="b"/>
                          <a:pathLst>
                            <a:path w="4284345" h="2360930">
                              <a:moveTo>
                                <a:pt x="4283816" y="0"/>
                              </a:moveTo>
                              <a:lnTo>
                                <a:pt x="0" y="0"/>
                              </a:lnTo>
                              <a:lnTo>
                                <a:pt x="0" y="2360809"/>
                              </a:lnTo>
                              <a:lnTo>
                                <a:pt x="4283816" y="2360809"/>
                              </a:lnTo>
                              <a:lnTo>
                                <a:pt x="4283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245346pt;margin-top:313.245056pt;width:337.3084pt;height:185.8905pt;mso-position-horizontal-relative:page;mso-position-vertical-relative:page;z-index:15729664" id="docshape5" filled="true" fillcolor="#000000" stroked="false">
                <v:fill type="solid"/>
                <w10:wrap type="none"/>
              </v:rect>
            </w:pict>
          </mc:Fallback>
        </mc:AlternateContent>
      </w:r>
    </w:p>
    <w:p>
      <w:pPr>
        <w:pStyle w:val="BodyText"/>
        <w:rPr>
          <w:i/>
          <w:sz w:val="20"/>
        </w:rPr>
      </w:pPr>
    </w:p>
    <w:p>
      <w:pPr>
        <w:pStyle w:val="BodyText"/>
        <w:spacing w:before="6"/>
        <w:rPr>
          <w:i/>
          <w:sz w:val="20"/>
        </w:rPr>
      </w:pPr>
    </w:p>
    <w:p>
      <w:pPr>
        <w:spacing w:line="276" w:lineRule="auto" w:before="0"/>
        <w:ind w:left="120" w:right="144" w:firstLine="0"/>
        <w:jc w:val="both"/>
        <w:rPr>
          <w:sz w:val="22"/>
        </w:rPr>
      </w:pPr>
      <w:r>
        <w:rPr>
          <w:i/>
          <w:sz w:val="22"/>
        </w:rPr>
        <w:t>treatments offered</w:t>
      </w:r>
      <w:r>
        <w:rPr>
          <w:sz w:val="22"/>
        </w:rPr>
        <w:t>.’ And that ‘</w:t>
      </w:r>
      <w:r>
        <w:rPr>
          <w:i/>
          <w:sz w:val="22"/>
        </w:rPr>
        <w:t>Tebentafusp meets the criteria for a life-extending treatment at the</w:t>
      </w:r>
      <w:r>
        <w:rPr>
          <w:i/>
          <w:sz w:val="22"/>
        </w:rPr>
        <w:t> end</w:t>
      </w:r>
      <w:r>
        <w:rPr>
          <w:i/>
          <w:spacing w:val="-16"/>
          <w:sz w:val="22"/>
        </w:rPr>
        <w:t> </w:t>
      </w:r>
      <w:r>
        <w:rPr>
          <w:i/>
          <w:sz w:val="22"/>
        </w:rPr>
        <w:t>of</w:t>
      </w:r>
      <w:r>
        <w:rPr>
          <w:i/>
          <w:spacing w:val="-15"/>
          <w:sz w:val="22"/>
        </w:rPr>
        <w:t> </w:t>
      </w:r>
      <w:r>
        <w:rPr>
          <w:i/>
          <w:sz w:val="22"/>
        </w:rPr>
        <w:t>life</w:t>
      </w:r>
      <w:r>
        <w:rPr>
          <w:i/>
          <w:spacing w:val="-14"/>
          <w:sz w:val="22"/>
        </w:rPr>
        <w:t> </w:t>
      </w:r>
      <w:r>
        <w:rPr>
          <w:i/>
          <w:sz w:val="22"/>
        </w:rPr>
        <w:t>and</w:t>
      </w:r>
      <w:r>
        <w:rPr>
          <w:i/>
          <w:spacing w:val="-15"/>
          <w:sz w:val="22"/>
        </w:rPr>
        <w:t> </w:t>
      </w:r>
      <w:r>
        <w:rPr>
          <w:i/>
          <w:sz w:val="22"/>
        </w:rPr>
        <w:t>is</w:t>
      </w:r>
      <w:r>
        <w:rPr>
          <w:i/>
          <w:spacing w:val="-15"/>
          <w:sz w:val="22"/>
        </w:rPr>
        <w:t> </w:t>
      </w:r>
      <w:r>
        <w:rPr>
          <w:i/>
          <w:sz w:val="22"/>
        </w:rPr>
        <w:t>likely</w:t>
      </w:r>
      <w:r>
        <w:rPr>
          <w:i/>
          <w:spacing w:val="-15"/>
          <w:sz w:val="22"/>
        </w:rPr>
        <w:t> </w:t>
      </w:r>
      <w:r>
        <w:rPr>
          <w:i/>
          <w:sz w:val="22"/>
        </w:rPr>
        <w:t>to</w:t>
      </w:r>
      <w:r>
        <w:rPr>
          <w:i/>
          <w:spacing w:val="-15"/>
          <w:sz w:val="22"/>
        </w:rPr>
        <w:t> </w:t>
      </w:r>
      <w:r>
        <w:rPr>
          <w:i/>
          <w:sz w:val="22"/>
        </w:rPr>
        <w:t>increase</w:t>
      </w:r>
      <w:r>
        <w:rPr>
          <w:i/>
          <w:spacing w:val="-15"/>
          <w:sz w:val="22"/>
        </w:rPr>
        <w:t> </w:t>
      </w:r>
      <w:r>
        <w:rPr>
          <w:i/>
          <w:sz w:val="22"/>
        </w:rPr>
        <w:t>how</w:t>
      </w:r>
      <w:r>
        <w:rPr>
          <w:i/>
          <w:spacing w:val="-16"/>
          <w:sz w:val="22"/>
        </w:rPr>
        <w:t> </w:t>
      </w:r>
      <w:r>
        <w:rPr>
          <w:i/>
          <w:sz w:val="22"/>
        </w:rPr>
        <w:t>long</w:t>
      </w:r>
      <w:r>
        <w:rPr>
          <w:i/>
          <w:spacing w:val="-15"/>
          <w:sz w:val="22"/>
        </w:rPr>
        <w:t> </w:t>
      </w:r>
      <w:r>
        <w:rPr>
          <w:i/>
          <w:sz w:val="22"/>
        </w:rPr>
        <w:t>people</w:t>
      </w:r>
      <w:r>
        <w:rPr>
          <w:i/>
          <w:spacing w:val="-15"/>
          <w:sz w:val="22"/>
        </w:rPr>
        <w:t> </w:t>
      </w:r>
      <w:r>
        <w:rPr>
          <w:i/>
          <w:sz w:val="22"/>
        </w:rPr>
        <w:t>live’</w:t>
      </w:r>
      <w:r>
        <w:rPr>
          <w:sz w:val="22"/>
        </w:rPr>
        <w:t>.</w:t>
      </w:r>
      <w:r>
        <w:rPr>
          <w:spacing w:val="-13"/>
          <w:sz w:val="22"/>
        </w:rPr>
        <w:t> </w:t>
      </w:r>
      <w:r>
        <w:rPr>
          <w:sz w:val="22"/>
        </w:rPr>
        <w:t>Given</w:t>
      </w:r>
      <w:r>
        <w:rPr>
          <w:spacing w:val="-14"/>
          <w:sz w:val="22"/>
        </w:rPr>
        <w:t> </w:t>
      </w:r>
      <w:r>
        <w:rPr>
          <w:sz w:val="22"/>
        </w:rPr>
        <w:t>the</w:t>
      </w:r>
      <w:r>
        <w:rPr>
          <w:spacing w:val="-15"/>
          <w:sz w:val="22"/>
        </w:rPr>
        <w:t> </w:t>
      </w:r>
      <w:r>
        <w:rPr>
          <w:sz w:val="22"/>
        </w:rPr>
        <w:t>Committee’s</w:t>
      </w:r>
      <w:r>
        <w:rPr>
          <w:spacing w:val="-12"/>
          <w:sz w:val="22"/>
        </w:rPr>
        <w:t> </w:t>
      </w:r>
      <w:r>
        <w:rPr>
          <w:sz w:val="22"/>
        </w:rPr>
        <w:t>remit</w:t>
      </w:r>
      <w:r>
        <w:rPr>
          <w:spacing w:val="-15"/>
          <w:sz w:val="22"/>
        </w:rPr>
        <w:t> </w:t>
      </w:r>
      <w:r>
        <w:rPr>
          <w:sz w:val="22"/>
        </w:rPr>
        <w:t>is</w:t>
      </w:r>
      <w:r>
        <w:rPr>
          <w:spacing w:val="-15"/>
          <w:sz w:val="22"/>
        </w:rPr>
        <w:t> </w:t>
      </w:r>
      <w:r>
        <w:rPr>
          <w:sz w:val="22"/>
        </w:rPr>
        <w:t>to</w:t>
      </w:r>
      <w:r>
        <w:rPr>
          <w:spacing w:val="-15"/>
          <w:sz w:val="22"/>
        </w:rPr>
        <w:t> </w:t>
      </w:r>
      <w:r>
        <w:rPr>
          <w:sz w:val="22"/>
        </w:rPr>
        <w:t>evaluate cost-effectiveness,</w:t>
      </w:r>
      <w:r>
        <w:rPr>
          <w:spacing w:val="-4"/>
          <w:sz w:val="22"/>
        </w:rPr>
        <w:t> </w:t>
      </w:r>
      <w:r>
        <w:rPr>
          <w:sz w:val="22"/>
        </w:rPr>
        <w:t>it</w:t>
      </w:r>
      <w:r>
        <w:rPr>
          <w:spacing w:val="-6"/>
          <w:sz w:val="22"/>
        </w:rPr>
        <w:t> </w:t>
      </w:r>
      <w:r>
        <w:rPr>
          <w:sz w:val="22"/>
        </w:rPr>
        <w:t>is</w:t>
      </w:r>
      <w:r>
        <w:rPr>
          <w:spacing w:val="-5"/>
          <w:sz w:val="22"/>
        </w:rPr>
        <w:t> </w:t>
      </w:r>
      <w:r>
        <w:rPr>
          <w:sz w:val="22"/>
        </w:rPr>
        <w:t>therefore</w:t>
      </w:r>
      <w:r>
        <w:rPr>
          <w:spacing w:val="-3"/>
          <w:sz w:val="22"/>
        </w:rPr>
        <w:t> </w:t>
      </w:r>
      <w:r>
        <w:rPr>
          <w:sz w:val="22"/>
        </w:rPr>
        <w:t>an</w:t>
      </w:r>
      <w:r>
        <w:rPr>
          <w:spacing w:val="-6"/>
          <w:sz w:val="22"/>
        </w:rPr>
        <w:t> </w:t>
      </w:r>
      <w:r>
        <w:rPr>
          <w:sz w:val="22"/>
        </w:rPr>
        <w:t>illogical</w:t>
      </w:r>
      <w:r>
        <w:rPr>
          <w:spacing w:val="-4"/>
          <w:sz w:val="22"/>
        </w:rPr>
        <w:t> </w:t>
      </w:r>
      <w:r>
        <w:rPr>
          <w:sz w:val="22"/>
        </w:rPr>
        <w:t>paradox</w:t>
      </w:r>
      <w:r>
        <w:rPr>
          <w:spacing w:val="-5"/>
          <w:sz w:val="22"/>
        </w:rPr>
        <w:t> </w:t>
      </w:r>
      <w:r>
        <w:rPr>
          <w:sz w:val="22"/>
        </w:rPr>
        <w:t>that</w:t>
      </w:r>
      <w:r>
        <w:rPr>
          <w:spacing w:val="-5"/>
          <w:sz w:val="22"/>
        </w:rPr>
        <w:t> </w:t>
      </w:r>
      <w:r>
        <w:rPr>
          <w:sz w:val="22"/>
        </w:rPr>
        <w:t>the</w:t>
      </w:r>
      <w:r>
        <w:rPr>
          <w:spacing w:val="-5"/>
          <w:sz w:val="22"/>
        </w:rPr>
        <w:t> </w:t>
      </w:r>
      <w:r>
        <w:rPr>
          <w:sz w:val="22"/>
        </w:rPr>
        <w:t>Committee’s</w:t>
      </w:r>
      <w:r>
        <w:rPr>
          <w:spacing w:val="-4"/>
          <w:sz w:val="22"/>
        </w:rPr>
        <w:t> </w:t>
      </w:r>
      <w:r>
        <w:rPr>
          <w:sz w:val="22"/>
        </w:rPr>
        <w:t>conclusion</w:t>
      </w:r>
      <w:r>
        <w:rPr>
          <w:spacing w:val="-5"/>
          <w:sz w:val="22"/>
        </w:rPr>
        <w:t> </w:t>
      </w:r>
      <w:r>
        <w:rPr>
          <w:sz w:val="22"/>
        </w:rPr>
        <w:t>in</w:t>
      </w:r>
      <w:r>
        <w:rPr>
          <w:spacing w:val="-5"/>
          <w:sz w:val="22"/>
        </w:rPr>
        <w:t> </w:t>
      </w:r>
      <w:r>
        <w:rPr>
          <w:sz w:val="22"/>
        </w:rPr>
        <w:t>this</w:t>
      </w:r>
      <w:r>
        <w:rPr>
          <w:spacing w:val="-5"/>
          <w:sz w:val="22"/>
        </w:rPr>
        <w:t> </w:t>
      </w:r>
      <w:r>
        <w:rPr>
          <w:sz w:val="22"/>
        </w:rPr>
        <w:t>case is that tebentafusp cannot be cost-effective using their preferred modelling approach.</w:t>
      </w:r>
    </w:p>
    <w:p>
      <w:pPr>
        <w:pStyle w:val="BodyText"/>
        <w:spacing w:before="10"/>
        <w:rPr>
          <w:sz w:val="26"/>
        </w:rPr>
      </w:pPr>
    </w:p>
    <w:p>
      <w:pPr>
        <w:pStyle w:val="BodyText"/>
        <w:spacing w:line="276" w:lineRule="auto"/>
        <w:ind w:left="120" w:right="148"/>
        <w:jc w:val="both"/>
      </w:pPr>
      <w:r>
        <w:rPr/>
        <w:t>Regarding</w:t>
      </w:r>
      <w:r>
        <w:rPr>
          <w:spacing w:val="-2"/>
        </w:rPr>
        <w:t> </w:t>
      </w:r>
      <w:r>
        <w:rPr/>
        <w:t>argument</w:t>
      </w:r>
      <w:r>
        <w:rPr>
          <w:spacing w:val="-4"/>
        </w:rPr>
        <w:t> </w:t>
      </w:r>
      <w:r>
        <w:rPr/>
        <w:t>2,</w:t>
      </w:r>
      <w:r>
        <w:rPr>
          <w:spacing w:val="-4"/>
        </w:rPr>
        <w:t> </w:t>
      </w:r>
      <w:r>
        <w:rPr/>
        <w:t>we</w:t>
      </w:r>
      <w:r>
        <w:rPr>
          <w:spacing w:val="-4"/>
        </w:rPr>
        <w:t> </w:t>
      </w:r>
      <w:r>
        <w:rPr/>
        <w:t>agree</w:t>
      </w:r>
      <w:r>
        <w:rPr>
          <w:spacing w:val="-5"/>
        </w:rPr>
        <w:t> </w:t>
      </w:r>
      <w:r>
        <w:rPr/>
        <w:t>that</w:t>
      </w:r>
      <w:r>
        <w:rPr>
          <w:spacing w:val="-4"/>
        </w:rPr>
        <w:t> </w:t>
      </w:r>
      <w:r>
        <w:rPr/>
        <w:t>the</w:t>
      </w:r>
      <w:r>
        <w:rPr>
          <w:spacing w:val="-3"/>
        </w:rPr>
        <w:t> </w:t>
      </w:r>
      <w:r>
        <w:rPr/>
        <w:t>Committee</w:t>
      </w:r>
      <w:r>
        <w:rPr>
          <w:spacing w:val="-5"/>
        </w:rPr>
        <w:t> </w:t>
      </w:r>
      <w:r>
        <w:rPr/>
        <w:t>states</w:t>
      </w:r>
      <w:r>
        <w:rPr>
          <w:spacing w:val="-4"/>
        </w:rPr>
        <w:t> </w:t>
      </w:r>
      <w:r>
        <w:rPr/>
        <w:t>in</w:t>
      </w:r>
      <w:r>
        <w:rPr>
          <w:spacing w:val="-6"/>
        </w:rPr>
        <w:t> </w:t>
      </w:r>
      <w:r>
        <w:rPr/>
        <w:t>the</w:t>
      </w:r>
      <w:r>
        <w:rPr>
          <w:spacing w:val="-4"/>
        </w:rPr>
        <w:t> </w:t>
      </w:r>
      <w:r>
        <w:rPr/>
        <w:t>FAD</w:t>
      </w:r>
      <w:r>
        <w:rPr>
          <w:spacing w:val="-6"/>
        </w:rPr>
        <w:t> </w:t>
      </w:r>
      <w:r>
        <w:rPr/>
        <w:t>(3.20)</w:t>
      </w:r>
      <w:r>
        <w:rPr>
          <w:spacing w:val="-4"/>
        </w:rPr>
        <w:t> </w:t>
      </w:r>
      <w:r>
        <w:rPr/>
        <w:t>that</w:t>
      </w:r>
      <w:r>
        <w:rPr>
          <w:spacing w:val="-4"/>
        </w:rPr>
        <w:t> </w:t>
      </w:r>
      <w:r>
        <w:rPr/>
        <w:t>they</w:t>
      </w:r>
      <w:r>
        <w:rPr>
          <w:spacing w:val="-5"/>
        </w:rPr>
        <w:t> </w:t>
      </w:r>
      <w:r>
        <w:rPr/>
        <w:t>recognise tebentafusp is an innovative new treatment however, there is no suggestion that this is then accounted for in any way upon reviewing the evidence provided.</w:t>
      </w:r>
    </w:p>
    <w:p>
      <w:pPr>
        <w:pStyle w:val="BodyText"/>
        <w:spacing w:before="3"/>
        <w:rPr>
          <w:sz w:val="25"/>
        </w:rPr>
      </w:pPr>
    </w:p>
    <w:p>
      <w:pPr>
        <w:pStyle w:val="BodyText"/>
        <w:spacing w:line="276" w:lineRule="auto" w:before="1"/>
        <w:ind w:left="115" w:right="147"/>
        <w:jc w:val="both"/>
      </w:pPr>
      <w:r>
        <w:rPr/>
        <w:t>We</w:t>
      </w:r>
      <w:r>
        <w:rPr>
          <w:spacing w:val="-14"/>
        </w:rPr>
        <w:t> </w:t>
      </w:r>
      <w:r>
        <w:rPr/>
        <w:t>thank</w:t>
      </w:r>
      <w:r>
        <w:rPr>
          <w:spacing w:val="-9"/>
        </w:rPr>
        <w:t> </w:t>
      </w:r>
      <w:r>
        <w:rPr/>
        <w:t>you</w:t>
      </w:r>
      <w:r>
        <w:rPr>
          <w:spacing w:val="-13"/>
        </w:rPr>
        <w:t> </w:t>
      </w:r>
      <w:r>
        <w:rPr/>
        <w:t>in</w:t>
      </w:r>
      <w:r>
        <w:rPr>
          <w:spacing w:val="-14"/>
        </w:rPr>
        <w:t> </w:t>
      </w:r>
      <w:r>
        <w:rPr/>
        <w:t>advance</w:t>
      </w:r>
      <w:r>
        <w:rPr>
          <w:spacing w:val="-13"/>
        </w:rPr>
        <w:t> </w:t>
      </w:r>
      <w:r>
        <w:rPr/>
        <w:t>for</w:t>
      </w:r>
      <w:r>
        <w:rPr>
          <w:spacing w:val="-10"/>
        </w:rPr>
        <w:t> </w:t>
      </w:r>
      <w:r>
        <w:rPr/>
        <w:t>considering</w:t>
      </w:r>
      <w:r>
        <w:rPr>
          <w:spacing w:val="-13"/>
        </w:rPr>
        <w:t> </w:t>
      </w:r>
      <w:r>
        <w:rPr/>
        <w:t>the</w:t>
      </w:r>
      <w:r>
        <w:rPr>
          <w:spacing w:val="-11"/>
        </w:rPr>
        <w:t> </w:t>
      </w:r>
      <w:r>
        <w:rPr/>
        <w:t>Company’s</w:t>
      </w:r>
      <w:r>
        <w:rPr>
          <w:spacing w:val="-10"/>
        </w:rPr>
        <w:t> </w:t>
      </w:r>
      <w:r>
        <w:rPr/>
        <w:t>submissions</w:t>
      </w:r>
      <w:r>
        <w:rPr>
          <w:spacing w:val="-10"/>
        </w:rPr>
        <w:t> </w:t>
      </w:r>
      <w:r>
        <w:rPr/>
        <w:t>in</w:t>
      </w:r>
      <w:r>
        <w:rPr>
          <w:spacing w:val="-14"/>
        </w:rPr>
        <w:t> </w:t>
      </w:r>
      <w:r>
        <w:rPr/>
        <w:t>this</w:t>
      </w:r>
      <w:r>
        <w:rPr>
          <w:spacing w:val="-11"/>
        </w:rPr>
        <w:t> </w:t>
      </w:r>
      <w:r>
        <w:rPr/>
        <w:t>appeal.</w:t>
      </w:r>
      <w:r>
        <w:rPr>
          <w:spacing w:val="-16"/>
        </w:rPr>
        <w:t> </w:t>
      </w:r>
      <w:r>
        <w:rPr/>
        <w:t>We</w:t>
      </w:r>
      <w:r>
        <w:rPr>
          <w:spacing w:val="-13"/>
        </w:rPr>
        <w:t> </w:t>
      </w:r>
      <w:r>
        <w:rPr/>
        <w:t>hope</w:t>
      </w:r>
      <w:r>
        <w:rPr>
          <w:spacing w:val="-13"/>
        </w:rPr>
        <w:t> </w:t>
      </w:r>
      <w:r>
        <w:rPr/>
        <w:t>that the matters set out in this letter have clarified our appeal and that you now agree that all points may proceed to a full hearing.</w:t>
      </w:r>
    </w:p>
    <w:p>
      <w:pPr>
        <w:pStyle w:val="BodyText"/>
        <w:spacing w:before="9"/>
        <w:rPr>
          <w:sz w:val="20"/>
        </w:rPr>
      </w:pPr>
    </w:p>
    <w:p>
      <w:pPr>
        <w:pStyle w:val="BodyText"/>
        <w:ind w:left="115"/>
        <w:jc w:val="both"/>
      </w:pPr>
      <w:r>
        <w:rPr/>
        <w:t>We</w:t>
      </w:r>
      <w:r>
        <w:rPr>
          <w:spacing w:val="-7"/>
        </w:rPr>
        <w:t> </w:t>
      </w:r>
      <w:r>
        <w:rPr/>
        <w:t>are</w:t>
      </w:r>
      <w:r>
        <w:rPr>
          <w:spacing w:val="-6"/>
        </w:rPr>
        <w:t> </w:t>
      </w:r>
      <w:r>
        <w:rPr/>
        <w:t>available</w:t>
      </w:r>
      <w:r>
        <w:rPr>
          <w:spacing w:val="-5"/>
        </w:rPr>
        <w:t> </w:t>
      </w:r>
      <w:r>
        <w:rPr/>
        <w:t>to</w:t>
      </w:r>
      <w:r>
        <w:rPr>
          <w:spacing w:val="-6"/>
        </w:rPr>
        <w:t> </w:t>
      </w:r>
      <w:r>
        <w:rPr/>
        <w:t>answer</w:t>
      </w:r>
      <w:r>
        <w:rPr>
          <w:spacing w:val="-5"/>
        </w:rPr>
        <w:t> </w:t>
      </w:r>
      <w:r>
        <w:rPr/>
        <w:t>any</w:t>
      </w:r>
      <w:r>
        <w:rPr>
          <w:spacing w:val="-6"/>
        </w:rPr>
        <w:t> </w:t>
      </w:r>
      <w:r>
        <w:rPr/>
        <w:t>questions</w:t>
      </w:r>
      <w:r>
        <w:rPr>
          <w:spacing w:val="-5"/>
        </w:rPr>
        <w:t> </w:t>
      </w:r>
      <w:r>
        <w:rPr/>
        <w:t>you</w:t>
      </w:r>
      <w:r>
        <w:rPr>
          <w:spacing w:val="-6"/>
        </w:rPr>
        <w:t> </w:t>
      </w:r>
      <w:r>
        <w:rPr/>
        <w:t>may</w:t>
      </w:r>
      <w:r>
        <w:rPr>
          <w:spacing w:val="-6"/>
        </w:rPr>
        <w:t> </w:t>
      </w:r>
      <w:r>
        <w:rPr/>
        <w:t>have</w:t>
      </w:r>
      <w:r>
        <w:rPr>
          <w:spacing w:val="-6"/>
        </w:rPr>
        <w:t> </w:t>
      </w:r>
      <w:r>
        <w:rPr/>
        <w:t>or</w:t>
      </w:r>
      <w:r>
        <w:rPr>
          <w:spacing w:val="-5"/>
        </w:rPr>
        <w:t> </w:t>
      </w:r>
      <w:r>
        <w:rPr/>
        <w:t>provide</w:t>
      </w:r>
      <w:r>
        <w:rPr>
          <w:spacing w:val="-5"/>
        </w:rPr>
        <w:t> </w:t>
      </w:r>
      <w:r>
        <w:rPr/>
        <w:t>further</w:t>
      </w:r>
      <w:r>
        <w:rPr>
          <w:spacing w:val="-6"/>
        </w:rPr>
        <w:t> </w:t>
      </w:r>
      <w:r>
        <w:rPr>
          <w:spacing w:val="-2"/>
        </w:rPr>
        <w:t>clarifications.</w:t>
      </w:r>
    </w:p>
    <w:p>
      <w:pPr>
        <w:spacing w:after="0"/>
        <w:jc w:val="both"/>
        <w:sectPr>
          <w:pgSz w:w="11910" w:h="16840"/>
          <w:pgMar w:header="729" w:footer="1501" w:top="1540" w:bottom="1720" w:left="1240" w:right="980"/>
        </w:sectPr>
      </w:pPr>
    </w:p>
    <w:p>
      <w:pPr>
        <w:pStyle w:val="BodyText"/>
        <w:rPr>
          <w:sz w:val="20"/>
        </w:rPr>
      </w:pPr>
    </w:p>
    <w:p>
      <w:pPr>
        <w:pStyle w:val="BodyText"/>
        <w:rPr>
          <w:sz w:val="20"/>
        </w:rPr>
      </w:pPr>
    </w:p>
    <w:p>
      <w:pPr>
        <w:pStyle w:val="BodyText"/>
        <w:spacing w:before="4"/>
        <w:rPr>
          <w:sz w:val="20"/>
        </w:rPr>
      </w:pPr>
    </w:p>
    <w:p>
      <w:pPr>
        <w:pStyle w:val="Heading1"/>
        <w:spacing w:before="1"/>
        <w:jc w:val="left"/>
      </w:pPr>
      <w:r>
        <w:rPr>
          <w:spacing w:val="-2"/>
        </w:rPr>
        <w:t>REFERENCES</w:t>
      </w:r>
    </w:p>
    <w:p>
      <w:pPr>
        <w:pStyle w:val="BodyText"/>
        <w:spacing w:before="3"/>
        <w:rPr>
          <w:b/>
        </w:rPr>
      </w:pPr>
    </w:p>
    <w:p>
      <w:pPr>
        <w:pStyle w:val="ListParagraph"/>
        <w:numPr>
          <w:ilvl w:val="0"/>
          <w:numId w:val="3"/>
        </w:numPr>
        <w:tabs>
          <w:tab w:pos="687" w:val="left" w:leader="none"/>
        </w:tabs>
        <w:spacing w:line="240" w:lineRule="auto" w:before="0" w:after="0"/>
        <w:ind w:left="687" w:right="324" w:hanging="568"/>
        <w:jc w:val="left"/>
        <w:rPr>
          <w:sz w:val="22"/>
        </w:rPr>
      </w:pPr>
      <w:r>
        <w:rPr>
          <w:sz w:val="22"/>
        </w:rPr>
        <w:t>Yang</w:t>
      </w:r>
      <w:r>
        <w:rPr>
          <w:spacing w:val="-3"/>
          <w:sz w:val="22"/>
        </w:rPr>
        <w:t> </w:t>
      </w:r>
      <w:r>
        <w:rPr>
          <w:sz w:val="22"/>
        </w:rPr>
        <w:t>J,</w:t>
      </w:r>
      <w:r>
        <w:rPr>
          <w:spacing w:val="-4"/>
          <w:sz w:val="22"/>
        </w:rPr>
        <w:t> </w:t>
      </w:r>
      <w:r>
        <w:rPr>
          <w:sz w:val="22"/>
        </w:rPr>
        <w:t>Manson</w:t>
      </w:r>
      <w:r>
        <w:rPr>
          <w:spacing w:val="-3"/>
          <w:sz w:val="22"/>
        </w:rPr>
        <w:t> </w:t>
      </w:r>
      <w:r>
        <w:rPr>
          <w:sz w:val="22"/>
        </w:rPr>
        <w:t>DK,</w:t>
      </w:r>
      <w:r>
        <w:rPr>
          <w:spacing w:val="-4"/>
          <w:sz w:val="22"/>
        </w:rPr>
        <w:t> </w:t>
      </w:r>
      <w:r>
        <w:rPr>
          <w:sz w:val="22"/>
        </w:rPr>
        <w:t>Marr</w:t>
      </w:r>
      <w:r>
        <w:rPr>
          <w:spacing w:val="-4"/>
          <w:sz w:val="22"/>
        </w:rPr>
        <w:t> </w:t>
      </w:r>
      <w:r>
        <w:rPr>
          <w:sz w:val="22"/>
        </w:rPr>
        <w:t>BP,</w:t>
      </w:r>
      <w:r>
        <w:rPr>
          <w:spacing w:val="-3"/>
          <w:sz w:val="22"/>
        </w:rPr>
        <w:t> </w:t>
      </w:r>
      <w:r>
        <w:rPr>
          <w:sz w:val="22"/>
        </w:rPr>
        <w:t>Carvajal</w:t>
      </w:r>
      <w:r>
        <w:rPr>
          <w:spacing w:val="-3"/>
          <w:sz w:val="22"/>
        </w:rPr>
        <w:t> </w:t>
      </w:r>
      <w:r>
        <w:rPr>
          <w:sz w:val="22"/>
        </w:rPr>
        <w:t>RD.</w:t>
      </w:r>
      <w:r>
        <w:rPr>
          <w:spacing w:val="-4"/>
          <w:sz w:val="22"/>
        </w:rPr>
        <w:t> </w:t>
      </w:r>
      <w:r>
        <w:rPr>
          <w:sz w:val="22"/>
        </w:rPr>
        <w:t>Treatment</w:t>
      </w:r>
      <w:r>
        <w:rPr>
          <w:spacing w:val="-3"/>
          <w:sz w:val="22"/>
        </w:rPr>
        <w:t> </w:t>
      </w:r>
      <w:r>
        <w:rPr>
          <w:sz w:val="22"/>
        </w:rPr>
        <w:t>of</w:t>
      </w:r>
      <w:r>
        <w:rPr>
          <w:spacing w:val="-3"/>
          <w:sz w:val="22"/>
        </w:rPr>
        <w:t> </w:t>
      </w:r>
      <w:r>
        <w:rPr>
          <w:sz w:val="22"/>
        </w:rPr>
        <w:t>uveal</w:t>
      </w:r>
      <w:r>
        <w:rPr>
          <w:spacing w:val="-3"/>
          <w:sz w:val="22"/>
        </w:rPr>
        <w:t> </w:t>
      </w:r>
      <w:r>
        <w:rPr>
          <w:sz w:val="22"/>
        </w:rPr>
        <w:t>melanoma:</w:t>
      </w:r>
      <w:r>
        <w:rPr>
          <w:spacing w:val="-3"/>
          <w:sz w:val="22"/>
        </w:rPr>
        <w:t> </w:t>
      </w:r>
      <w:r>
        <w:rPr>
          <w:sz w:val="22"/>
        </w:rPr>
        <w:t>where</w:t>
      </w:r>
      <w:r>
        <w:rPr>
          <w:spacing w:val="-3"/>
          <w:sz w:val="22"/>
        </w:rPr>
        <w:t> </w:t>
      </w:r>
      <w:r>
        <w:rPr>
          <w:sz w:val="22"/>
        </w:rPr>
        <w:t>are</w:t>
      </w:r>
      <w:r>
        <w:rPr>
          <w:spacing w:val="-4"/>
          <w:sz w:val="22"/>
        </w:rPr>
        <w:t> </w:t>
      </w:r>
      <w:r>
        <w:rPr>
          <w:sz w:val="22"/>
        </w:rPr>
        <w:t>we now? Therapeutic advances in medical oncology. 2018;10:1758834018757175.</w:t>
      </w:r>
    </w:p>
    <w:p>
      <w:pPr>
        <w:pStyle w:val="ListParagraph"/>
        <w:numPr>
          <w:ilvl w:val="0"/>
          <w:numId w:val="3"/>
        </w:numPr>
        <w:tabs>
          <w:tab w:pos="687" w:val="left" w:leader="none"/>
        </w:tabs>
        <w:spacing w:line="240" w:lineRule="auto" w:before="0" w:after="0"/>
        <w:ind w:left="687" w:right="253" w:hanging="568"/>
        <w:jc w:val="left"/>
        <w:rPr>
          <w:sz w:val="22"/>
        </w:rPr>
      </w:pPr>
      <w:r>
        <w:rPr>
          <w:sz w:val="22"/>
        </w:rPr>
        <w:t>Nathan</w:t>
      </w:r>
      <w:r>
        <w:rPr>
          <w:spacing w:val="38"/>
          <w:sz w:val="22"/>
        </w:rPr>
        <w:t> </w:t>
      </w:r>
      <w:r>
        <w:rPr>
          <w:sz w:val="22"/>
        </w:rPr>
        <w:t>P,</w:t>
      </w:r>
      <w:r>
        <w:rPr>
          <w:spacing w:val="38"/>
          <w:sz w:val="22"/>
        </w:rPr>
        <w:t> </w:t>
      </w:r>
      <w:r>
        <w:rPr>
          <w:sz w:val="22"/>
        </w:rPr>
        <w:t>Coupland</w:t>
      </w:r>
      <w:r>
        <w:rPr>
          <w:spacing w:val="38"/>
          <w:sz w:val="22"/>
        </w:rPr>
        <w:t> </w:t>
      </w:r>
      <w:r>
        <w:rPr>
          <w:sz w:val="22"/>
        </w:rPr>
        <w:t>S,</w:t>
      </w:r>
      <w:r>
        <w:rPr>
          <w:spacing w:val="37"/>
          <w:sz w:val="22"/>
        </w:rPr>
        <w:t> </w:t>
      </w:r>
      <w:r>
        <w:rPr>
          <w:sz w:val="22"/>
        </w:rPr>
        <w:t>Lewis</w:t>
      </w:r>
      <w:r>
        <w:rPr>
          <w:spacing w:val="38"/>
          <w:sz w:val="22"/>
        </w:rPr>
        <w:t> </w:t>
      </w:r>
      <w:r>
        <w:rPr>
          <w:sz w:val="22"/>
        </w:rPr>
        <w:t>R,</w:t>
      </w:r>
      <w:r>
        <w:rPr>
          <w:spacing w:val="38"/>
          <w:sz w:val="22"/>
        </w:rPr>
        <w:t> </w:t>
      </w:r>
      <w:r>
        <w:rPr>
          <w:sz w:val="22"/>
        </w:rPr>
        <w:t>Modi</w:t>
      </w:r>
      <w:r>
        <w:rPr>
          <w:spacing w:val="38"/>
          <w:sz w:val="22"/>
        </w:rPr>
        <w:t> </w:t>
      </w:r>
      <w:r>
        <w:rPr>
          <w:sz w:val="22"/>
        </w:rPr>
        <w:t>S,</w:t>
      </w:r>
      <w:r>
        <w:rPr>
          <w:spacing w:val="37"/>
          <w:sz w:val="22"/>
        </w:rPr>
        <w:t> </w:t>
      </w:r>
      <w:r>
        <w:rPr>
          <w:sz w:val="22"/>
        </w:rPr>
        <w:t>Rashid</w:t>
      </w:r>
      <w:r>
        <w:rPr>
          <w:spacing w:val="39"/>
          <w:sz w:val="22"/>
        </w:rPr>
        <w:t> </w:t>
      </w:r>
      <w:r>
        <w:rPr>
          <w:sz w:val="22"/>
        </w:rPr>
        <w:t>S,</w:t>
      </w:r>
      <w:r>
        <w:rPr>
          <w:spacing w:val="37"/>
          <w:sz w:val="22"/>
        </w:rPr>
        <w:t> </w:t>
      </w:r>
      <w:r>
        <w:rPr>
          <w:sz w:val="22"/>
        </w:rPr>
        <w:t>Sacco</w:t>
      </w:r>
      <w:r>
        <w:rPr>
          <w:spacing w:val="38"/>
          <w:sz w:val="22"/>
        </w:rPr>
        <w:t> </w:t>
      </w:r>
      <w:r>
        <w:rPr>
          <w:sz w:val="22"/>
        </w:rPr>
        <w:t>J,</w:t>
      </w:r>
      <w:r>
        <w:rPr>
          <w:spacing w:val="37"/>
          <w:sz w:val="22"/>
        </w:rPr>
        <w:t> </w:t>
      </w:r>
      <w:r>
        <w:rPr>
          <w:sz w:val="22"/>
        </w:rPr>
        <w:t>et</w:t>
      </w:r>
      <w:r>
        <w:rPr>
          <w:spacing w:val="37"/>
          <w:sz w:val="22"/>
        </w:rPr>
        <w:t> </w:t>
      </w:r>
      <w:r>
        <w:rPr>
          <w:sz w:val="22"/>
        </w:rPr>
        <w:t>al.</w:t>
      </w:r>
      <w:r>
        <w:rPr>
          <w:spacing w:val="37"/>
          <w:sz w:val="22"/>
        </w:rPr>
        <w:t> </w:t>
      </w:r>
      <w:r>
        <w:rPr>
          <w:sz w:val="22"/>
        </w:rPr>
        <w:t>Uveal</w:t>
      </w:r>
      <w:r>
        <w:rPr>
          <w:spacing w:val="38"/>
          <w:sz w:val="22"/>
        </w:rPr>
        <w:t> </w:t>
      </w:r>
      <w:r>
        <w:rPr>
          <w:sz w:val="22"/>
        </w:rPr>
        <w:t>Melanoma Guidelines</w:t>
      </w:r>
      <w:r>
        <w:rPr>
          <w:spacing w:val="35"/>
          <w:sz w:val="22"/>
        </w:rPr>
        <w:t> </w:t>
      </w:r>
      <w:r>
        <w:rPr>
          <w:sz w:val="22"/>
        </w:rPr>
        <w:t>UK:</w:t>
      </w:r>
      <w:r>
        <w:rPr>
          <w:spacing w:val="34"/>
          <w:sz w:val="22"/>
        </w:rPr>
        <w:t> </w:t>
      </w:r>
      <w:r>
        <w:rPr>
          <w:sz w:val="22"/>
        </w:rPr>
        <w:t>Uveal</w:t>
      </w:r>
      <w:r>
        <w:rPr>
          <w:spacing w:val="36"/>
          <w:sz w:val="22"/>
        </w:rPr>
        <w:t> </w:t>
      </w:r>
      <w:r>
        <w:rPr>
          <w:sz w:val="22"/>
        </w:rPr>
        <w:t>Melanoma</w:t>
      </w:r>
      <w:r>
        <w:rPr>
          <w:spacing w:val="36"/>
          <w:sz w:val="22"/>
        </w:rPr>
        <w:t> </w:t>
      </w:r>
      <w:r>
        <w:rPr>
          <w:sz w:val="22"/>
        </w:rPr>
        <w:t>Guideline</w:t>
      </w:r>
      <w:r>
        <w:rPr>
          <w:spacing w:val="35"/>
          <w:sz w:val="22"/>
        </w:rPr>
        <w:t> </w:t>
      </w:r>
      <w:r>
        <w:rPr>
          <w:sz w:val="22"/>
        </w:rPr>
        <w:t>Development</w:t>
      </w:r>
      <w:r>
        <w:rPr>
          <w:spacing w:val="35"/>
          <w:sz w:val="22"/>
        </w:rPr>
        <w:t> </w:t>
      </w:r>
      <w:r>
        <w:rPr>
          <w:sz w:val="22"/>
        </w:rPr>
        <w:t>Group;</w:t>
      </w:r>
      <w:r>
        <w:rPr>
          <w:spacing w:val="35"/>
          <w:sz w:val="22"/>
        </w:rPr>
        <w:t> </w:t>
      </w:r>
      <w:r>
        <w:rPr>
          <w:sz w:val="22"/>
        </w:rPr>
        <w:t>2022</w:t>
      </w:r>
      <w:r>
        <w:rPr>
          <w:spacing w:val="35"/>
          <w:sz w:val="22"/>
        </w:rPr>
        <w:t> </w:t>
      </w:r>
      <w:r>
        <w:rPr>
          <w:sz w:val="22"/>
        </w:rPr>
        <w:t>[Available</w:t>
      </w:r>
      <w:r>
        <w:rPr>
          <w:spacing w:val="35"/>
          <w:sz w:val="22"/>
        </w:rPr>
        <w:t> </w:t>
      </w:r>
      <w:r>
        <w:rPr>
          <w:sz w:val="22"/>
        </w:rPr>
        <w:t>from: </w:t>
      </w:r>
      <w:hyperlink r:id="rId9">
        <w:r>
          <w:rPr>
            <w:spacing w:val="-2"/>
            <w:sz w:val="22"/>
            <w:u w:val="single"/>
          </w:rPr>
          <w:t>hiips://melanomafocus.org/for-professionals/rare-melanoma-guidelines-and-</w:t>
        </w:r>
      </w:hyperlink>
      <w:r>
        <w:rPr>
          <w:spacing w:val="-2"/>
          <w:sz w:val="22"/>
        </w:rPr>
        <w:t> </w:t>
      </w:r>
      <w:hyperlink r:id="rId9">
        <w:r>
          <w:rPr>
            <w:spacing w:val="-2"/>
            <w:sz w:val="22"/>
            <w:u w:val="single"/>
          </w:rPr>
          <w:t>consultations/uveal-melanoma-guidelines/</w:t>
        </w:r>
        <w:r>
          <w:rPr>
            <w:spacing w:val="-2"/>
            <w:sz w:val="22"/>
          </w:rPr>
          <w:t>.</w:t>
        </w:r>
      </w:hyperlink>
    </w:p>
    <w:p>
      <w:pPr>
        <w:pStyle w:val="ListParagraph"/>
        <w:numPr>
          <w:ilvl w:val="0"/>
          <w:numId w:val="3"/>
        </w:numPr>
        <w:tabs>
          <w:tab w:pos="681" w:val="left" w:leader="none"/>
          <w:tab w:pos="687" w:val="left" w:leader="none"/>
        </w:tabs>
        <w:spacing w:line="240" w:lineRule="auto" w:before="0" w:after="0"/>
        <w:ind w:left="687" w:right="158" w:hanging="568"/>
        <w:jc w:val="both"/>
        <w:rPr>
          <w:sz w:val="22"/>
        </w:rPr>
      </w:pPr>
      <w:r>
        <w:rPr>
          <w:sz w:val="22"/>
        </w:rPr>
        <w:t>Carvajal RD, Schwartz GK, Tezel T, Marr B, Francis JH, Nathan PD. Metastatic disease from uveal melanoma: treatment options and future prospects. Br J Ophthalmol. </w:t>
      </w:r>
      <w:r>
        <w:rPr>
          <w:spacing w:val="-2"/>
          <w:sz w:val="22"/>
        </w:rPr>
        <w:t>2017;101(1):38-44.</w:t>
      </w:r>
    </w:p>
    <w:p>
      <w:pPr>
        <w:pStyle w:val="ListParagraph"/>
        <w:numPr>
          <w:ilvl w:val="0"/>
          <w:numId w:val="3"/>
        </w:numPr>
        <w:tabs>
          <w:tab w:pos="681" w:val="left" w:leader="none"/>
          <w:tab w:pos="687" w:val="left" w:leader="none"/>
        </w:tabs>
        <w:spacing w:line="242" w:lineRule="auto" w:before="0" w:after="0"/>
        <w:ind w:left="687" w:right="147" w:hanging="568"/>
        <w:jc w:val="both"/>
        <w:rPr>
          <w:sz w:val="22"/>
        </w:rPr>
      </w:pPr>
      <w:r>
        <w:rPr>
          <w:sz w:val="22"/>
        </w:rPr>
        <w:t>Rantala ES, Hernberg M, Kivelä TT. Overall survival after treatment for metastatic uveal melanoma:</w:t>
      </w:r>
      <w:r>
        <w:rPr>
          <w:spacing w:val="-3"/>
          <w:sz w:val="22"/>
        </w:rPr>
        <w:t> </w:t>
      </w:r>
      <w:r>
        <w:rPr>
          <w:sz w:val="22"/>
        </w:rPr>
        <w:t>a</w:t>
      </w:r>
      <w:r>
        <w:rPr>
          <w:spacing w:val="-6"/>
          <w:sz w:val="22"/>
        </w:rPr>
        <w:t> </w:t>
      </w:r>
      <w:r>
        <w:rPr>
          <w:sz w:val="22"/>
        </w:rPr>
        <w:t>systematic</w:t>
      </w:r>
      <w:r>
        <w:rPr>
          <w:spacing w:val="-8"/>
          <w:sz w:val="22"/>
        </w:rPr>
        <w:t> </w:t>
      </w:r>
      <w:r>
        <w:rPr>
          <w:sz w:val="22"/>
        </w:rPr>
        <w:t>review</w:t>
      </w:r>
      <w:r>
        <w:rPr>
          <w:spacing w:val="-7"/>
          <w:sz w:val="22"/>
        </w:rPr>
        <w:t> </w:t>
      </w:r>
      <w:r>
        <w:rPr>
          <w:sz w:val="22"/>
        </w:rPr>
        <w:t>and</w:t>
      </w:r>
      <w:r>
        <w:rPr>
          <w:spacing w:val="-6"/>
          <w:sz w:val="22"/>
        </w:rPr>
        <w:t> </w:t>
      </w:r>
      <w:r>
        <w:rPr>
          <w:sz w:val="22"/>
        </w:rPr>
        <w:t>meta-analysis.</w:t>
      </w:r>
      <w:r>
        <w:rPr>
          <w:spacing w:val="-3"/>
          <w:sz w:val="22"/>
        </w:rPr>
        <w:t> </w:t>
      </w:r>
      <w:r>
        <w:rPr>
          <w:sz w:val="22"/>
        </w:rPr>
        <w:t>Melanoma</w:t>
      </w:r>
      <w:r>
        <w:rPr>
          <w:spacing w:val="-4"/>
          <w:sz w:val="22"/>
        </w:rPr>
        <w:t> </w:t>
      </w:r>
      <w:r>
        <w:rPr>
          <w:sz w:val="22"/>
        </w:rPr>
        <w:t>research.</w:t>
      </w:r>
      <w:r>
        <w:rPr>
          <w:spacing w:val="-5"/>
          <w:sz w:val="22"/>
        </w:rPr>
        <w:t> </w:t>
      </w:r>
      <w:r>
        <w:rPr>
          <w:sz w:val="22"/>
        </w:rPr>
        <w:t>2019;29(6):561-8.</w:t>
      </w:r>
    </w:p>
    <w:p>
      <w:pPr>
        <w:pStyle w:val="ListParagraph"/>
        <w:numPr>
          <w:ilvl w:val="0"/>
          <w:numId w:val="3"/>
        </w:numPr>
        <w:tabs>
          <w:tab w:pos="681" w:val="left" w:leader="none"/>
          <w:tab w:pos="687" w:val="left" w:leader="none"/>
        </w:tabs>
        <w:spacing w:line="242" w:lineRule="auto" w:before="0" w:after="0"/>
        <w:ind w:left="687" w:right="157" w:hanging="568"/>
        <w:jc w:val="both"/>
        <w:rPr>
          <w:sz w:val="22"/>
        </w:rPr>
      </w:pPr>
      <w:r>
        <w:rPr>
          <w:sz w:val="22"/>
        </w:rPr>
        <w:t>Singh M, Durairaj P, Yeung J. Uveal melanoma: a review of the literature. Oncol Ther. </w:t>
      </w:r>
      <w:r>
        <w:rPr>
          <w:spacing w:val="-2"/>
          <w:sz w:val="22"/>
        </w:rPr>
        <w:t>2018;6(1):87-104.</w:t>
      </w:r>
    </w:p>
    <w:p>
      <w:pPr>
        <w:pStyle w:val="ListParagraph"/>
        <w:numPr>
          <w:ilvl w:val="0"/>
          <w:numId w:val="3"/>
        </w:numPr>
        <w:tabs>
          <w:tab w:pos="681" w:val="left" w:leader="none"/>
          <w:tab w:pos="687" w:val="left" w:leader="none"/>
        </w:tabs>
        <w:spacing w:line="240" w:lineRule="auto" w:before="0" w:after="0"/>
        <w:ind w:left="687" w:right="147" w:hanging="568"/>
        <w:jc w:val="both"/>
        <w:rPr>
          <w:sz w:val="22"/>
        </w:rPr>
      </w:pPr>
      <w:r>
        <w:rPr>
          <w:sz w:val="22"/>
        </w:rPr>
        <w:t>Khoja L, Atenafu EG, Suciu S, Leyvraz S, Sato T, Marshall E, et al. Meta-analysis in metastatic</w:t>
      </w:r>
      <w:r>
        <w:rPr>
          <w:spacing w:val="-6"/>
          <w:sz w:val="22"/>
        </w:rPr>
        <w:t> </w:t>
      </w:r>
      <w:r>
        <w:rPr>
          <w:sz w:val="22"/>
        </w:rPr>
        <w:t>uveal</w:t>
      </w:r>
      <w:r>
        <w:rPr>
          <w:spacing w:val="-7"/>
          <w:sz w:val="22"/>
        </w:rPr>
        <w:t> </w:t>
      </w:r>
      <w:r>
        <w:rPr>
          <w:sz w:val="22"/>
        </w:rPr>
        <w:t>melanoma</w:t>
      </w:r>
      <w:r>
        <w:rPr>
          <w:spacing w:val="-7"/>
          <w:sz w:val="22"/>
        </w:rPr>
        <w:t> </w:t>
      </w:r>
      <w:r>
        <w:rPr>
          <w:sz w:val="22"/>
        </w:rPr>
        <w:t>to</w:t>
      </w:r>
      <w:r>
        <w:rPr>
          <w:spacing w:val="-6"/>
          <w:sz w:val="22"/>
        </w:rPr>
        <w:t> </w:t>
      </w:r>
      <w:r>
        <w:rPr>
          <w:sz w:val="22"/>
        </w:rPr>
        <w:t>determine</w:t>
      </w:r>
      <w:r>
        <w:rPr>
          <w:spacing w:val="-6"/>
          <w:sz w:val="22"/>
        </w:rPr>
        <w:t> </w:t>
      </w:r>
      <w:r>
        <w:rPr>
          <w:sz w:val="22"/>
        </w:rPr>
        <w:t>progression</w:t>
      </w:r>
      <w:r>
        <w:rPr>
          <w:spacing w:val="-6"/>
          <w:sz w:val="22"/>
        </w:rPr>
        <w:t> </w:t>
      </w:r>
      <w:r>
        <w:rPr>
          <w:sz w:val="22"/>
        </w:rPr>
        <w:t>free</w:t>
      </w:r>
      <w:r>
        <w:rPr>
          <w:spacing w:val="-8"/>
          <w:sz w:val="22"/>
        </w:rPr>
        <w:t> </w:t>
      </w:r>
      <w:r>
        <w:rPr>
          <w:sz w:val="22"/>
        </w:rPr>
        <w:t>and</w:t>
      </w:r>
      <w:r>
        <w:rPr>
          <w:spacing w:val="-7"/>
          <w:sz w:val="22"/>
        </w:rPr>
        <w:t> </w:t>
      </w:r>
      <w:r>
        <w:rPr>
          <w:sz w:val="22"/>
        </w:rPr>
        <w:t>overall</w:t>
      </w:r>
      <w:r>
        <w:rPr>
          <w:spacing w:val="-6"/>
          <w:sz w:val="22"/>
        </w:rPr>
        <w:t> </w:t>
      </w:r>
      <w:r>
        <w:rPr>
          <w:sz w:val="22"/>
        </w:rPr>
        <w:t>survival</w:t>
      </w:r>
      <w:r>
        <w:rPr>
          <w:spacing w:val="-6"/>
          <w:sz w:val="22"/>
        </w:rPr>
        <w:t> </w:t>
      </w:r>
      <w:r>
        <w:rPr>
          <w:sz w:val="22"/>
        </w:rPr>
        <w:t>benchmarks: an international rare cancers initiative (IRCI) ocular melanoma study. Ann Oncol. </w:t>
      </w:r>
      <w:r>
        <w:rPr>
          <w:spacing w:val="-2"/>
          <w:sz w:val="22"/>
        </w:rPr>
        <w:t>2019;30(8):1370-80.</w:t>
      </w:r>
    </w:p>
    <w:p>
      <w:pPr>
        <w:pStyle w:val="ListParagraph"/>
        <w:numPr>
          <w:ilvl w:val="0"/>
          <w:numId w:val="3"/>
        </w:numPr>
        <w:tabs>
          <w:tab w:pos="681" w:val="left" w:leader="none"/>
          <w:tab w:pos="687" w:val="left" w:leader="none"/>
        </w:tabs>
        <w:spacing w:line="240" w:lineRule="auto" w:before="0" w:after="0"/>
        <w:ind w:left="687" w:right="161" w:hanging="568"/>
        <w:jc w:val="both"/>
        <w:rPr>
          <w:sz w:val="22"/>
        </w:rPr>
      </w:pPr>
      <w:r>
        <w:rPr>
          <w:sz w:val="22"/>
        </w:rPr>
        <w:t>Nathan P, Cohen V, Coupland S, Curtis K, Damato B, Evans J, et al. Uveal melanoma UK national guidelines. European journal of cancer. 2015;51(16):2404-12.</w:t>
      </w:r>
    </w:p>
    <w:p>
      <w:pPr>
        <w:pStyle w:val="ListParagraph"/>
        <w:numPr>
          <w:ilvl w:val="0"/>
          <w:numId w:val="3"/>
        </w:numPr>
        <w:tabs>
          <w:tab w:pos="681" w:val="left" w:leader="none"/>
          <w:tab w:pos="687" w:val="left" w:leader="none"/>
        </w:tabs>
        <w:spacing w:line="240" w:lineRule="auto" w:before="0" w:after="0"/>
        <w:ind w:left="687" w:right="165" w:hanging="568"/>
        <w:jc w:val="both"/>
        <w:rPr>
          <w:sz w:val="22"/>
        </w:rPr>
      </w:pPr>
      <w:r>
        <w:rPr>
          <w:sz w:val="22"/>
        </w:rPr>
        <w:t>Augsburger JJ, Correa ZM, Shaikh AH. Effectiveness of treatments for metastatic uveal melanoma. American Journal of Ophthalmology. 2009;148(1):119-27.</w:t>
      </w:r>
    </w:p>
    <w:p>
      <w:pPr>
        <w:pStyle w:val="ListParagraph"/>
        <w:numPr>
          <w:ilvl w:val="0"/>
          <w:numId w:val="3"/>
        </w:numPr>
        <w:tabs>
          <w:tab w:pos="681" w:val="left" w:leader="none"/>
          <w:tab w:pos="687" w:val="left" w:leader="none"/>
        </w:tabs>
        <w:spacing w:line="240" w:lineRule="auto" w:before="0" w:after="0"/>
        <w:ind w:left="687" w:right="151" w:hanging="568"/>
        <w:jc w:val="both"/>
        <w:rPr>
          <w:sz w:val="22"/>
        </w:rPr>
      </w:pPr>
      <w:r>
        <w:rPr>
          <w:sz w:val="22"/>
        </w:rPr>
        <w:t>Nathan P, Hassel JC, Rutkowski P, Baurain J-F, Butler MO, Schlaak M, et al. Overall Survival Benefit with Tebentafusp in Metastatic Uveal Melanoma. New England Journal of Medicine. 2021;385(13):1196-206.</w:t>
      </w:r>
    </w:p>
    <w:p>
      <w:pPr>
        <w:pStyle w:val="ListParagraph"/>
        <w:numPr>
          <w:ilvl w:val="0"/>
          <w:numId w:val="3"/>
        </w:numPr>
        <w:tabs>
          <w:tab w:pos="681" w:val="left" w:leader="none"/>
          <w:tab w:pos="687" w:val="left" w:leader="none"/>
        </w:tabs>
        <w:spacing w:line="240" w:lineRule="auto" w:before="0" w:after="0"/>
        <w:ind w:left="687" w:right="144" w:hanging="568"/>
        <w:jc w:val="both"/>
        <w:rPr>
          <w:sz w:val="22"/>
        </w:rPr>
      </w:pPr>
      <w:r>
        <w:rPr>
          <w:sz w:val="22"/>
        </w:rPr>
        <w:t>Robert</w:t>
      </w:r>
      <w:r>
        <w:rPr>
          <w:spacing w:val="-8"/>
          <w:sz w:val="22"/>
        </w:rPr>
        <w:t> </w:t>
      </w:r>
      <w:r>
        <w:rPr>
          <w:sz w:val="22"/>
        </w:rPr>
        <w:t>C,</w:t>
      </w:r>
      <w:r>
        <w:rPr>
          <w:spacing w:val="-10"/>
          <w:sz w:val="22"/>
        </w:rPr>
        <w:t> </w:t>
      </w:r>
      <w:r>
        <w:rPr>
          <w:sz w:val="22"/>
        </w:rPr>
        <w:t>Schachter</w:t>
      </w:r>
      <w:r>
        <w:rPr>
          <w:spacing w:val="-10"/>
          <w:sz w:val="22"/>
        </w:rPr>
        <w:t> </w:t>
      </w:r>
      <w:r>
        <w:rPr>
          <w:sz w:val="22"/>
        </w:rPr>
        <w:t>J,</w:t>
      </w:r>
      <w:r>
        <w:rPr>
          <w:spacing w:val="-12"/>
          <w:sz w:val="22"/>
        </w:rPr>
        <w:t> </w:t>
      </w:r>
      <w:r>
        <w:rPr>
          <w:sz w:val="22"/>
        </w:rPr>
        <w:t>Long</w:t>
      </w:r>
      <w:r>
        <w:rPr>
          <w:spacing w:val="-10"/>
          <w:sz w:val="22"/>
        </w:rPr>
        <w:t> </w:t>
      </w:r>
      <w:r>
        <w:rPr>
          <w:sz w:val="22"/>
        </w:rPr>
        <w:t>GV,</w:t>
      </w:r>
      <w:r>
        <w:rPr>
          <w:spacing w:val="-11"/>
          <w:sz w:val="22"/>
        </w:rPr>
        <w:t> </w:t>
      </w:r>
      <w:r>
        <w:rPr>
          <w:sz w:val="22"/>
        </w:rPr>
        <w:t>Arance</w:t>
      </w:r>
      <w:r>
        <w:rPr>
          <w:spacing w:val="-10"/>
          <w:sz w:val="22"/>
        </w:rPr>
        <w:t> </w:t>
      </w:r>
      <w:r>
        <w:rPr>
          <w:sz w:val="22"/>
        </w:rPr>
        <w:t>A,</w:t>
      </w:r>
      <w:r>
        <w:rPr>
          <w:spacing w:val="-10"/>
          <w:sz w:val="22"/>
        </w:rPr>
        <w:t> </w:t>
      </w:r>
      <w:r>
        <w:rPr>
          <w:sz w:val="22"/>
        </w:rPr>
        <w:t>Grob</w:t>
      </w:r>
      <w:r>
        <w:rPr>
          <w:spacing w:val="-11"/>
          <w:sz w:val="22"/>
        </w:rPr>
        <w:t> </w:t>
      </w:r>
      <w:r>
        <w:rPr>
          <w:sz w:val="22"/>
        </w:rPr>
        <w:t>JJ,</w:t>
      </w:r>
      <w:r>
        <w:rPr>
          <w:spacing w:val="-10"/>
          <w:sz w:val="22"/>
        </w:rPr>
        <w:t> </w:t>
      </w:r>
      <w:r>
        <w:rPr>
          <w:sz w:val="22"/>
        </w:rPr>
        <w:t>Mortier</w:t>
      </w:r>
      <w:r>
        <w:rPr>
          <w:spacing w:val="-10"/>
          <w:sz w:val="22"/>
        </w:rPr>
        <w:t> </w:t>
      </w:r>
      <w:r>
        <w:rPr>
          <w:sz w:val="22"/>
        </w:rPr>
        <w:t>L,</w:t>
      </w:r>
      <w:r>
        <w:rPr>
          <w:spacing w:val="-10"/>
          <w:sz w:val="22"/>
        </w:rPr>
        <w:t> </w:t>
      </w:r>
      <w:r>
        <w:rPr>
          <w:sz w:val="22"/>
        </w:rPr>
        <w:t>et</w:t>
      </w:r>
      <w:r>
        <w:rPr>
          <w:spacing w:val="-10"/>
          <w:sz w:val="22"/>
        </w:rPr>
        <w:t> </w:t>
      </w:r>
      <w:r>
        <w:rPr>
          <w:sz w:val="22"/>
        </w:rPr>
        <w:t>al.</w:t>
      </w:r>
      <w:r>
        <w:rPr>
          <w:spacing w:val="-9"/>
          <w:sz w:val="22"/>
        </w:rPr>
        <w:t> </w:t>
      </w:r>
      <w:r>
        <w:rPr>
          <w:sz w:val="22"/>
        </w:rPr>
        <w:t>Pembrolizumab</w:t>
      </w:r>
      <w:r>
        <w:rPr>
          <w:spacing w:val="-9"/>
          <w:sz w:val="22"/>
        </w:rPr>
        <w:t> </w:t>
      </w:r>
      <w:r>
        <w:rPr>
          <w:sz w:val="22"/>
        </w:rPr>
        <w:t>versus ipilimumab</w:t>
      </w:r>
      <w:r>
        <w:rPr>
          <w:spacing w:val="-3"/>
          <w:sz w:val="22"/>
        </w:rPr>
        <w:t> </w:t>
      </w:r>
      <w:r>
        <w:rPr>
          <w:sz w:val="22"/>
        </w:rPr>
        <w:t>in</w:t>
      </w:r>
      <w:r>
        <w:rPr>
          <w:spacing w:val="-4"/>
          <w:sz w:val="22"/>
        </w:rPr>
        <w:t> </w:t>
      </w:r>
      <w:r>
        <w:rPr>
          <w:sz w:val="22"/>
        </w:rPr>
        <w:t>advanced</w:t>
      </w:r>
      <w:r>
        <w:rPr>
          <w:spacing w:val="-4"/>
          <w:sz w:val="22"/>
        </w:rPr>
        <w:t> </w:t>
      </w:r>
      <w:r>
        <w:rPr>
          <w:sz w:val="22"/>
        </w:rPr>
        <w:t>melanoma.</w:t>
      </w:r>
      <w:r>
        <w:rPr>
          <w:spacing w:val="-2"/>
          <w:sz w:val="22"/>
        </w:rPr>
        <w:t> </w:t>
      </w:r>
      <w:r>
        <w:rPr>
          <w:sz w:val="22"/>
        </w:rPr>
        <w:t>New</w:t>
      </w:r>
      <w:r>
        <w:rPr>
          <w:spacing w:val="-5"/>
          <w:sz w:val="22"/>
        </w:rPr>
        <w:t> </w:t>
      </w:r>
      <w:r>
        <w:rPr>
          <w:sz w:val="22"/>
        </w:rPr>
        <w:t>England</w:t>
      </w:r>
      <w:r>
        <w:rPr>
          <w:spacing w:val="-3"/>
          <w:sz w:val="22"/>
        </w:rPr>
        <w:t> </w:t>
      </w:r>
      <w:r>
        <w:rPr>
          <w:sz w:val="22"/>
        </w:rPr>
        <w:t>Journal</w:t>
      </w:r>
      <w:r>
        <w:rPr>
          <w:spacing w:val="-3"/>
          <w:sz w:val="22"/>
        </w:rPr>
        <w:t> </w:t>
      </w:r>
      <w:r>
        <w:rPr>
          <w:sz w:val="22"/>
        </w:rPr>
        <w:t>of</w:t>
      </w:r>
      <w:r>
        <w:rPr>
          <w:spacing w:val="-4"/>
          <w:sz w:val="22"/>
        </w:rPr>
        <w:t> </w:t>
      </w:r>
      <w:r>
        <w:rPr>
          <w:sz w:val="22"/>
        </w:rPr>
        <w:t>Medicine.</w:t>
      </w:r>
      <w:r>
        <w:rPr>
          <w:spacing w:val="-3"/>
          <w:sz w:val="22"/>
        </w:rPr>
        <w:t> </w:t>
      </w:r>
      <w:r>
        <w:rPr>
          <w:sz w:val="22"/>
        </w:rPr>
        <w:t>2015;372(26):2521- </w:t>
      </w:r>
      <w:r>
        <w:rPr>
          <w:spacing w:val="-4"/>
          <w:sz w:val="22"/>
        </w:rPr>
        <w:t>32.</w:t>
      </w:r>
    </w:p>
    <w:p>
      <w:pPr>
        <w:pStyle w:val="ListParagraph"/>
        <w:numPr>
          <w:ilvl w:val="0"/>
          <w:numId w:val="3"/>
        </w:numPr>
        <w:tabs>
          <w:tab w:pos="681" w:val="left" w:leader="none"/>
          <w:tab w:pos="687" w:val="left" w:leader="none"/>
        </w:tabs>
        <w:spacing w:line="240" w:lineRule="auto" w:before="0" w:after="0"/>
        <w:ind w:left="687" w:right="142" w:hanging="568"/>
        <w:jc w:val="both"/>
        <w:rPr>
          <w:sz w:val="22"/>
        </w:rPr>
      </w:pPr>
      <w:r>
        <w:rPr>
          <w:sz w:val="22"/>
        </w:rPr>
        <w:t>Hamid</w:t>
      </w:r>
      <w:r>
        <w:rPr>
          <w:spacing w:val="-4"/>
          <w:sz w:val="22"/>
        </w:rPr>
        <w:t> </w:t>
      </w:r>
      <w:r>
        <w:rPr>
          <w:sz w:val="22"/>
        </w:rPr>
        <w:t>O,</w:t>
      </w:r>
      <w:r>
        <w:rPr>
          <w:spacing w:val="-3"/>
          <w:sz w:val="22"/>
        </w:rPr>
        <w:t> </w:t>
      </w:r>
      <w:r>
        <w:rPr>
          <w:sz w:val="22"/>
        </w:rPr>
        <w:t>Puzanov</w:t>
      </w:r>
      <w:r>
        <w:rPr>
          <w:spacing w:val="-5"/>
          <w:sz w:val="22"/>
        </w:rPr>
        <w:t> </w:t>
      </w:r>
      <w:r>
        <w:rPr>
          <w:sz w:val="22"/>
        </w:rPr>
        <w:t>I,</w:t>
      </w:r>
      <w:r>
        <w:rPr>
          <w:spacing w:val="-4"/>
          <w:sz w:val="22"/>
        </w:rPr>
        <w:t> </w:t>
      </w:r>
      <w:r>
        <w:rPr>
          <w:sz w:val="22"/>
        </w:rPr>
        <w:t>Dummer</w:t>
      </w:r>
      <w:r>
        <w:rPr>
          <w:spacing w:val="-3"/>
          <w:sz w:val="22"/>
        </w:rPr>
        <w:t> </w:t>
      </w:r>
      <w:r>
        <w:rPr>
          <w:sz w:val="22"/>
        </w:rPr>
        <w:t>R,</w:t>
      </w:r>
      <w:r>
        <w:rPr>
          <w:spacing w:val="-3"/>
          <w:sz w:val="22"/>
        </w:rPr>
        <w:t> </w:t>
      </w:r>
      <w:r>
        <w:rPr>
          <w:sz w:val="22"/>
        </w:rPr>
        <w:t>Schachter</w:t>
      </w:r>
      <w:r>
        <w:rPr>
          <w:spacing w:val="-5"/>
          <w:sz w:val="22"/>
        </w:rPr>
        <w:t> </w:t>
      </w:r>
      <w:r>
        <w:rPr>
          <w:sz w:val="22"/>
        </w:rPr>
        <w:t>J,</w:t>
      </w:r>
      <w:r>
        <w:rPr>
          <w:spacing w:val="-5"/>
          <w:sz w:val="22"/>
        </w:rPr>
        <w:t> </w:t>
      </w:r>
      <w:r>
        <w:rPr>
          <w:sz w:val="22"/>
        </w:rPr>
        <w:t>Daud</w:t>
      </w:r>
      <w:r>
        <w:rPr>
          <w:spacing w:val="-4"/>
          <w:sz w:val="22"/>
        </w:rPr>
        <w:t> </w:t>
      </w:r>
      <w:r>
        <w:rPr>
          <w:sz w:val="22"/>
        </w:rPr>
        <w:t>A,</w:t>
      </w:r>
      <w:r>
        <w:rPr>
          <w:spacing w:val="-4"/>
          <w:sz w:val="22"/>
        </w:rPr>
        <w:t> </w:t>
      </w:r>
      <w:r>
        <w:rPr>
          <w:sz w:val="22"/>
        </w:rPr>
        <w:t>Schadendorf</w:t>
      </w:r>
      <w:r>
        <w:rPr>
          <w:spacing w:val="-3"/>
          <w:sz w:val="22"/>
        </w:rPr>
        <w:t> </w:t>
      </w:r>
      <w:r>
        <w:rPr>
          <w:sz w:val="22"/>
        </w:rPr>
        <w:t>D,</w:t>
      </w:r>
      <w:r>
        <w:rPr>
          <w:spacing w:val="-4"/>
          <w:sz w:val="22"/>
        </w:rPr>
        <w:t> </w:t>
      </w:r>
      <w:r>
        <w:rPr>
          <w:sz w:val="22"/>
        </w:rPr>
        <w:t>et</w:t>
      </w:r>
      <w:r>
        <w:rPr>
          <w:spacing w:val="-4"/>
          <w:sz w:val="22"/>
        </w:rPr>
        <w:t> </w:t>
      </w:r>
      <w:r>
        <w:rPr>
          <w:sz w:val="22"/>
        </w:rPr>
        <w:t>al.</w:t>
      </w:r>
      <w:r>
        <w:rPr>
          <w:spacing w:val="-4"/>
          <w:sz w:val="22"/>
        </w:rPr>
        <w:t> </w:t>
      </w:r>
      <w:r>
        <w:rPr>
          <w:sz w:val="22"/>
        </w:rPr>
        <w:t>Final</w:t>
      </w:r>
      <w:r>
        <w:rPr>
          <w:spacing w:val="-6"/>
          <w:sz w:val="22"/>
        </w:rPr>
        <w:t> </w:t>
      </w:r>
      <w:r>
        <w:rPr>
          <w:sz w:val="22"/>
        </w:rPr>
        <w:t>analysis of a randomised trial comparing pembrolizumab versus investigator-choice chemotherapy for ipilimumab-refractory advanced melanoma. European Journal of Cancer. 2017;86:37- </w:t>
      </w:r>
      <w:r>
        <w:rPr>
          <w:spacing w:val="-4"/>
          <w:sz w:val="22"/>
        </w:rPr>
        <w:t>45.</w:t>
      </w:r>
    </w:p>
    <w:p>
      <w:pPr>
        <w:pStyle w:val="ListParagraph"/>
        <w:numPr>
          <w:ilvl w:val="0"/>
          <w:numId w:val="3"/>
        </w:numPr>
        <w:tabs>
          <w:tab w:pos="687" w:val="left" w:leader="none"/>
        </w:tabs>
        <w:spacing w:line="247" w:lineRule="exact" w:before="0" w:after="0"/>
        <w:ind w:left="687" w:right="0" w:hanging="567"/>
        <w:jc w:val="left"/>
        <w:rPr>
          <w:sz w:val="22"/>
        </w:rPr>
      </w:pPr>
      <w:r>
        <w:rPr>
          <w:sz w:val="22"/>
        </w:rPr>
        <w:t>NICE-DSU.</w:t>
      </w:r>
      <w:r>
        <w:rPr>
          <w:spacing w:val="42"/>
          <w:sz w:val="22"/>
        </w:rPr>
        <w:t> </w:t>
      </w:r>
      <w:r>
        <w:rPr>
          <w:sz w:val="22"/>
        </w:rPr>
        <w:t>NICE</w:t>
      </w:r>
      <w:r>
        <w:rPr>
          <w:spacing w:val="42"/>
          <w:sz w:val="22"/>
        </w:rPr>
        <w:t> </w:t>
      </w:r>
      <w:r>
        <w:rPr>
          <w:sz w:val="22"/>
        </w:rPr>
        <w:t>DSU</w:t>
      </w:r>
      <w:r>
        <w:rPr>
          <w:spacing w:val="40"/>
          <w:sz w:val="22"/>
        </w:rPr>
        <w:t> </w:t>
      </w:r>
      <w:r>
        <w:rPr>
          <w:sz w:val="22"/>
        </w:rPr>
        <w:t>TECHNICAL</w:t>
      </w:r>
      <w:r>
        <w:rPr>
          <w:spacing w:val="43"/>
          <w:sz w:val="22"/>
        </w:rPr>
        <w:t> </w:t>
      </w:r>
      <w:r>
        <w:rPr>
          <w:sz w:val="22"/>
        </w:rPr>
        <w:t>SUPPORT</w:t>
      </w:r>
      <w:r>
        <w:rPr>
          <w:spacing w:val="42"/>
          <w:sz w:val="22"/>
        </w:rPr>
        <w:t> </w:t>
      </w:r>
      <w:r>
        <w:rPr>
          <w:sz w:val="22"/>
        </w:rPr>
        <w:t>DOCUMENT</w:t>
      </w:r>
      <w:r>
        <w:rPr>
          <w:spacing w:val="45"/>
          <w:sz w:val="22"/>
        </w:rPr>
        <w:t> </w:t>
      </w:r>
      <w:r>
        <w:rPr>
          <w:sz w:val="22"/>
        </w:rPr>
        <w:t>21:Flexible</w:t>
      </w:r>
      <w:r>
        <w:rPr>
          <w:spacing w:val="43"/>
          <w:sz w:val="22"/>
        </w:rPr>
        <w:t> </w:t>
      </w:r>
      <w:r>
        <w:rPr>
          <w:sz w:val="22"/>
        </w:rPr>
        <w:t>Methods</w:t>
      </w:r>
      <w:r>
        <w:rPr>
          <w:spacing w:val="41"/>
          <w:sz w:val="22"/>
        </w:rPr>
        <w:t> </w:t>
      </w:r>
      <w:r>
        <w:rPr>
          <w:spacing w:val="-5"/>
          <w:sz w:val="22"/>
        </w:rPr>
        <w:t>for</w:t>
      </w:r>
    </w:p>
    <w:p>
      <w:pPr>
        <w:pStyle w:val="BodyText"/>
        <w:spacing w:before="2"/>
        <w:ind w:left="687"/>
      </w:pPr>
      <w:r>
        <w:rPr>
          <w:spacing w:val="-2"/>
        </w:rPr>
        <w:t>Survival</w:t>
      </w:r>
      <w:r>
        <w:rPr>
          <w:spacing w:val="-1"/>
        </w:rPr>
        <w:t> </w:t>
      </w:r>
      <w:r>
        <w:rPr>
          <w:spacing w:val="-2"/>
        </w:rPr>
        <w:t>Analysis.</w:t>
      </w:r>
      <w:r>
        <w:rPr>
          <w:spacing w:val="2"/>
        </w:rPr>
        <w:t> </w:t>
      </w:r>
      <w:r>
        <w:rPr>
          <w:spacing w:val="-4"/>
        </w:rPr>
        <w:t>2020.</w:t>
      </w:r>
    </w:p>
    <w:p>
      <w:pPr>
        <w:pStyle w:val="ListParagraph"/>
        <w:numPr>
          <w:ilvl w:val="0"/>
          <w:numId w:val="3"/>
        </w:numPr>
        <w:tabs>
          <w:tab w:pos="681" w:val="left" w:leader="none"/>
          <w:tab w:pos="687" w:val="left" w:leader="none"/>
        </w:tabs>
        <w:spacing w:line="240" w:lineRule="auto" w:before="152" w:after="0"/>
        <w:ind w:left="687" w:right="154" w:hanging="568"/>
        <w:jc w:val="both"/>
        <w:rPr>
          <w:sz w:val="22"/>
        </w:rPr>
      </w:pPr>
      <w:r>
        <w:rPr>
          <w:sz w:val="22"/>
        </w:rPr>
        <w:t>Palmer S, Borget I, Friede T, Husereau D, Karnon J, Kearns B, et al. A Guide to Selecting Flexible</w:t>
      </w:r>
      <w:r>
        <w:rPr>
          <w:spacing w:val="-16"/>
          <w:sz w:val="22"/>
        </w:rPr>
        <w:t> </w:t>
      </w:r>
      <w:r>
        <w:rPr>
          <w:sz w:val="22"/>
        </w:rPr>
        <w:t>Survival</w:t>
      </w:r>
      <w:r>
        <w:rPr>
          <w:spacing w:val="-15"/>
          <w:sz w:val="22"/>
        </w:rPr>
        <w:t> </w:t>
      </w:r>
      <w:r>
        <w:rPr>
          <w:sz w:val="22"/>
        </w:rPr>
        <w:t>Models</w:t>
      </w:r>
      <w:r>
        <w:rPr>
          <w:spacing w:val="-15"/>
          <w:sz w:val="22"/>
        </w:rPr>
        <w:t> </w:t>
      </w:r>
      <w:r>
        <w:rPr>
          <w:sz w:val="22"/>
        </w:rPr>
        <w:t>to</w:t>
      </w:r>
      <w:r>
        <w:rPr>
          <w:spacing w:val="-16"/>
          <w:sz w:val="22"/>
        </w:rPr>
        <w:t> </w:t>
      </w:r>
      <w:r>
        <w:rPr>
          <w:sz w:val="22"/>
        </w:rPr>
        <w:t>Inform</w:t>
      </w:r>
      <w:r>
        <w:rPr>
          <w:spacing w:val="-15"/>
          <w:sz w:val="22"/>
        </w:rPr>
        <w:t> </w:t>
      </w:r>
      <w:r>
        <w:rPr>
          <w:sz w:val="22"/>
        </w:rPr>
        <w:t>Economic</w:t>
      </w:r>
      <w:r>
        <w:rPr>
          <w:spacing w:val="-15"/>
          <w:sz w:val="22"/>
        </w:rPr>
        <w:t> </w:t>
      </w:r>
      <w:r>
        <w:rPr>
          <w:sz w:val="22"/>
        </w:rPr>
        <w:t>Evaluations</w:t>
      </w:r>
      <w:r>
        <w:rPr>
          <w:spacing w:val="-15"/>
          <w:sz w:val="22"/>
        </w:rPr>
        <w:t> </w:t>
      </w:r>
      <w:r>
        <w:rPr>
          <w:sz w:val="22"/>
        </w:rPr>
        <w:t>of</w:t>
      </w:r>
      <w:r>
        <w:rPr>
          <w:spacing w:val="-16"/>
          <w:sz w:val="22"/>
        </w:rPr>
        <w:t> </w:t>
      </w:r>
      <w:r>
        <w:rPr>
          <w:sz w:val="22"/>
        </w:rPr>
        <w:t>Cancer</w:t>
      </w:r>
      <w:r>
        <w:rPr>
          <w:spacing w:val="-15"/>
          <w:sz w:val="22"/>
        </w:rPr>
        <w:t> </w:t>
      </w:r>
      <w:r>
        <w:rPr>
          <w:sz w:val="22"/>
        </w:rPr>
        <w:t>Immunotherapies.</w:t>
      </w:r>
      <w:r>
        <w:rPr>
          <w:spacing w:val="-15"/>
          <w:sz w:val="22"/>
        </w:rPr>
        <w:t> </w:t>
      </w:r>
      <w:r>
        <w:rPr>
          <w:sz w:val="22"/>
        </w:rPr>
        <w:t>Value in Health. 2023;26(2):185-92.</w:t>
      </w:r>
    </w:p>
    <w:p>
      <w:pPr>
        <w:pStyle w:val="ListParagraph"/>
        <w:numPr>
          <w:ilvl w:val="0"/>
          <w:numId w:val="3"/>
        </w:numPr>
        <w:tabs>
          <w:tab w:pos="681" w:val="left" w:leader="none"/>
          <w:tab w:pos="687" w:val="left" w:leader="none"/>
        </w:tabs>
        <w:spacing w:line="240" w:lineRule="auto" w:before="0" w:after="0"/>
        <w:ind w:left="687" w:right="152" w:hanging="568"/>
        <w:jc w:val="both"/>
        <w:rPr>
          <w:sz w:val="22"/>
        </w:rPr>
      </w:pPr>
      <w:r>
        <w:rPr>
          <w:sz w:val="22"/>
        </w:rPr>
        <w:t>NICE.</w:t>
      </w:r>
      <w:r>
        <w:rPr>
          <w:spacing w:val="-1"/>
          <w:sz w:val="22"/>
        </w:rPr>
        <w:t> </w:t>
      </w:r>
      <w:r>
        <w:rPr>
          <w:sz w:val="22"/>
        </w:rPr>
        <w:t>Pembrolizumab for</w:t>
      </w:r>
      <w:r>
        <w:rPr>
          <w:spacing w:val="-3"/>
          <w:sz w:val="22"/>
        </w:rPr>
        <w:t> </w:t>
      </w:r>
      <w:r>
        <w:rPr>
          <w:sz w:val="22"/>
        </w:rPr>
        <w:t>treating</w:t>
      </w:r>
      <w:r>
        <w:rPr>
          <w:spacing w:val="-1"/>
          <w:sz w:val="22"/>
        </w:rPr>
        <w:t> </w:t>
      </w:r>
      <w:r>
        <w:rPr>
          <w:sz w:val="22"/>
        </w:rPr>
        <w:t>locally</w:t>
      </w:r>
      <w:r>
        <w:rPr>
          <w:spacing w:val="-1"/>
          <w:sz w:val="22"/>
        </w:rPr>
        <w:t> </w:t>
      </w:r>
      <w:r>
        <w:rPr>
          <w:sz w:val="22"/>
        </w:rPr>
        <w:t>advanced</w:t>
      </w:r>
      <w:r>
        <w:rPr>
          <w:spacing w:val="-2"/>
          <w:sz w:val="22"/>
        </w:rPr>
        <w:t> </w:t>
      </w:r>
      <w:r>
        <w:rPr>
          <w:sz w:val="22"/>
        </w:rPr>
        <w:t>or</w:t>
      </w:r>
      <w:r>
        <w:rPr>
          <w:spacing w:val="-3"/>
          <w:sz w:val="22"/>
        </w:rPr>
        <w:t> </w:t>
      </w:r>
      <w:r>
        <w:rPr>
          <w:sz w:val="22"/>
        </w:rPr>
        <w:t>metastatic</w:t>
      </w:r>
      <w:r>
        <w:rPr>
          <w:spacing w:val="-1"/>
          <w:sz w:val="22"/>
        </w:rPr>
        <w:t> </w:t>
      </w:r>
      <w:r>
        <w:rPr>
          <w:sz w:val="22"/>
        </w:rPr>
        <w:t>urothelial</w:t>
      </w:r>
      <w:r>
        <w:rPr>
          <w:spacing w:val="-3"/>
          <w:sz w:val="22"/>
        </w:rPr>
        <w:t> </w:t>
      </w:r>
      <w:r>
        <w:rPr>
          <w:sz w:val="22"/>
        </w:rPr>
        <w:t>carcinoma</w:t>
      </w:r>
      <w:r>
        <w:rPr>
          <w:spacing w:val="-1"/>
          <w:sz w:val="22"/>
        </w:rPr>
        <w:t> </w:t>
      </w:r>
      <w:r>
        <w:rPr>
          <w:sz w:val="22"/>
        </w:rPr>
        <w:t>after platinum-containing chemotherapy [TA516]. 2018.</w:t>
      </w:r>
    </w:p>
    <w:p>
      <w:pPr>
        <w:pStyle w:val="ListParagraph"/>
        <w:numPr>
          <w:ilvl w:val="0"/>
          <w:numId w:val="3"/>
        </w:numPr>
        <w:tabs>
          <w:tab w:pos="681" w:val="left" w:leader="none"/>
          <w:tab w:pos="687" w:val="left" w:leader="none"/>
        </w:tabs>
        <w:spacing w:line="240" w:lineRule="auto" w:before="1" w:after="0"/>
        <w:ind w:left="687" w:right="156" w:hanging="568"/>
        <w:jc w:val="both"/>
        <w:rPr>
          <w:sz w:val="22"/>
        </w:rPr>
      </w:pPr>
      <w:r>
        <w:rPr>
          <w:sz w:val="22"/>
        </w:rPr>
        <w:t>Jia W, Gao Q, Han A, Zhu H, Yu J. The potential mechanism, recognition and clinical significance of tumor pseudoprogression after immunotherapy. Cancer Biol Med. </w:t>
      </w:r>
      <w:r>
        <w:rPr>
          <w:spacing w:val="-2"/>
          <w:sz w:val="22"/>
        </w:rPr>
        <w:t>2019;16(4):655-70.</w:t>
      </w:r>
    </w:p>
    <w:p>
      <w:pPr>
        <w:pStyle w:val="ListParagraph"/>
        <w:numPr>
          <w:ilvl w:val="0"/>
          <w:numId w:val="3"/>
        </w:numPr>
        <w:tabs>
          <w:tab w:pos="681" w:val="left" w:leader="none"/>
          <w:tab w:pos="687" w:val="left" w:leader="none"/>
        </w:tabs>
        <w:spacing w:line="240" w:lineRule="auto" w:before="0" w:after="0"/>
        <w:ind w:left="687" w:right="155" w:hanging="568"/>
        <w:jc w:val="both"/>
        <w:rPr>
          <w:sz w:val="22"/>
        </w:rPr>
      </w:pPr>
      <w:r>
        <w:rPr>
          <w:sz w:val="22"/>
        </w:rPr>
        <w:t>Rossi E, Pagliara MM, Orteschi D, Dosa T, Sammarco MG, Caputo CG, et al. Pembrolizumab as first-line treatment for metastatic uveal melanoma. Cancer Immunol Immunother. 2019;68(7):1179-85.</w:t>
      </w:r>
    </w:p>
    <w:p>
      <w:pPr>
        <w:pStyle w:val="ListParagraph"/>
        <w:numPr>
          <w:ilvl w:val="0"/>
          <w:numId w:val="3"/>
        </w:numPr>
        <w:tabs>
          <w:tab w:pos="681" w:val="left" w:leader="none"/>
          <w:tab w:pos="687" w:val="left" w:leader="none"/>
        </w:tabs>
        <w:spacing w:line="240" w:lineRule="auto" w:before="0" w:after="0"/>
        <w:ind w:left="687" w:right="152" w:hanging="568"/>
        <w:jc w:val="both"/>
        <w:rPr>
          <w:sz w:val="22"/>
        </w:rPr>
      </w:pPr>
      <w:r>
        <w:rPr>
          <w:sz w:val="22"/>
        </w:rPr>
        <w:t>McKendrick J, Gijsen M, Quinn C, Barber B, Zhao Z. Estimating healthcare resource use associated</w:t>
      </w:r>
      <w:r>
        <w:rPr>
          <w:spacing w:val="-7"/>
          <w:sz w:val="22"/>
        </w:rPr>
        <w:t> </w:t>
      </w:r>
      <w:r>
        <w:rPr>
          <w:sz w:val="22"/>
        </w:rPr>
        <w:t>with</w:t>
      </w:r>
      <w:r>
        <w:rPr>
          <w:spacing w:val="-7"/>
          <w:sz w:val="22"/>
        </w:rPr>
        <w:t> </w:t>
      </w:r>
      <w:r>
        <w:rPr>
          <w:sz w:val="22"/>
        </w:rPr>
        <w:t>the</w:t>
      </w:r>
      <w:r>
        <w:rPr>
          <w:spacing w:val="-8"/>
          <w:sz w:val="22"/>
        </w:rPr>
        <w:t> </w:t>
      </w:r>
      <w:r>
        <w:rPr>
          <w:sz w:val="22"/>
        </w:rPr>
        <w:t>treatment</w:t>
      </w:r>
      <w:r>
        <w:rPr>
          <w:spacing w:val="-6"/>
          <w:sz w:val="22"/>
        </w:rPr>
        <w:t> </w:t>
      </w:r>
      <w:r>
        <w:rPr>
          <w:sz w:val="22"/>
        </w:rPr>
        <w:t>of</w:t>
      </w:r>
      <w:r>
        <w:rPr>
          <w:spacing w:val="-8"/>
          <w:sz w:val="22"/>
        </w:rPr>
        <w:t> </w:t>
      </w:r>
      <w:r>
        <w:rPr>
          <w:sz w:val="22"/>
        </w:rPr>
        <w:t>metastatic</w:t>
      </w:r>
      <w:r>
        <w:rPr>
          <w:spacing w:val="-8"/>
          <w:sz w:val="22"/>
        </w:rPr>
        <w:t> </w:t>
      </w:r>
      <w:r>
        <w:rPr>
          <w:sz w:val="22"/>
        </w:rPr>
        <w:t>melanoma</w:t>
      </w:r>
      <w:r>
        <w:rPr>
          <w:spacing w:val="-7"/>
          <w:sz w:val="22"/>
        </w:rPr>
        <w:t> </w:t>
      </w:r>
      <w:r>
        <w:rPr>
          <w:sz w:val="22"/>
        </w:rPr>
        <w:t>in</w:t>
      </w:r>
      <w:r>
        <w:rPr>
          <w:spacing w:val="-8"/>
          <w:sz w:val="22"/>
        </w:rPr>
        <w:t> </w:t>
      </w:r>
      <w:r>
        <w:rPr>
          <w:sz w:val="22"/>
        </w:rPr>
        <w:t>eight</w:t>
      </w:r>
      <w:r>
        <w:rPr>
          <w:spacing w:val="-7"/>
          <w:sz w:val="22"/>
        </w:rPr>
        <w:t> </w:t>
      </w:r>
      <w:r>
        <w:rPr>
          <w:sz w:val="22"/>
        </w:rPr>
        <w:t>countries.</w:t>
      </w:r>
      <w:r>
        <w:rPr>
          <w:spacing w:val="-9"/>
          <w:sz w:val="22"/>
        </w:rPr>
        <w:t> </w:t>
      </w:r>
      <w:r>
        <w:rPr>
          <w:sz w:val="22"/>
        </w:rPr>
        <w:t>Journal</w:t>
      </w:r>
      <w:r>
        <w:rPr>
          <w:spacing w:val="-7"/>
          <w:sz w:val="22"/>
        </w:rPr>
        <w:t> </w:t>
      </w:r>
      <w:r>
        <w:rPr>
          <w:sz w:val="22"/>
        </w:rPr>
        <w:t>of</w:t>
      </w:r>
      <w:r>
        <w:rPr>
          <w:spacing w:val="-7"/>
          <w:sz w:val="22"/>
        </w:rPr>
        <w:t> </w:t>
      </w:r>
      <w:r>
        <w:rPr>
          <w:sz w:val="22"/>
        </w:rPr>
        <w:t>Medical Economics. 2016;19(6):587-95.</w:t>
      </w:r>
    </w:p>
    <w:sectPr>
      <w:pgSz w:w="11910" w:h="16840"/>
      <w:pgMar w:header="729" w:footer="1501" w:top="1540" w:bottom="1720" w:left="12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87485952">
              <wp:simplePos x="0" y="0"/>
              <wp:positionH relativeFrom="page">
                <wp:posOffset>852169</wp:posOffset>
              </wp:positionH>
              <wp:positionV relativeFrom="page">
                <wp:posOffset>9580574</wp:posOffset>
              </wp:positionV>
              <wp:extent cx="54229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42290" cy="139065"/>
                      </a:xfrm>
                      <a:prstGeom prst="rect">
                        <a:avLst/>
                      </a:prstGeom>
                    </wps:spPr>
                    <wps:txbx>
                      <w:txbxContent>
                        <w:p>
                          <w:pPr>
                            <w:spacing w:before="14"/>
                            <w:ind w:left="20" w:right="0" w:firstLine="0"/>
                            <w:jc w:val="left"/>
                            <w:rPr>
                              <w:sz w:val="16"/>
                            </w:rPr>
                          </w:pPr>
                          <w:r>
                            <w:rPr>
                              <w:color w:val="09466C"/>
                              <w:sz w:val="16"/>
                            </w:rPr>
                            <w:t>Page</w:t>
                          </w:r>
                          <w:r>
                            <w:rPr>
                              <w:color w:val="09466C"/>
                              <w:spacing w:val="-5"/>
                              <w:sz w:val="16"/>
                            </w:rPr>
                            <w:t> </w:t>
                          </w:r>
                          <w:r>
                            <w:rPr>
                              <w:color w:val="09466C"/>
                              <w:sz w:val="16"/>
                            </w:rPr>
                            <w:fldChar w:fldCharType="begin"/>
                          </w:r>
                          <w:r>
                            <w:rPr>
                              <w:color w:val="09466C"/>
                              <w:sz w:val="16"/>
                            </w:rPr>
                            <w:instrText> PAGE </w:instrText>
                          </w:r>
                          <w:r>
                            <w:rPr>
                              <w:color w:val="09466C"/>
                              <w:sz w:val="16"/>
                            </w:rPr>
                            <w:fldChar w:fldCharType="separate"/>
                          </w:r>
                          <w:r>
                            <w:rPr>
                              <w:color w:val="09466C"/>
                              <w:sz w:val="16"/>
                            </w:rPr>
                            <w:t>5</w:t>
                          </w:r>
                          <w:r>
                            <w:rPr>
                              <w:color w:val="09466C"/>
                              <w:sz w:val="16"/>
                            </w:rPr>
                            <w:fldChar w:fldCharType="end"/>
                          </w:r>
                          <w:r>
                            <w:rPr>
                              <w:color w:val="09466C"/>
                              <w:spacing w:val="-6"/>
                              <w:sz w:val="16"/>
                            </w:rPr>
                            <w:t> </w:t>
                          </w:r>
                          <w:r>
                            <w:rPr>
                              <w:color w:val="09466C"/>
                              <w:sz w:val="16"/>
                            </w:rPr>
                            <w:t>of</w:t>
                          </w:r>
                          <w:r>
                            <w:rPr>
                              <w:color w:val="09466C"/>
                              <w:spacing w:val="-2"/>
                              <w:sz w:val="16"/>
                            </w:rPr>
                            <w:t> </w:t>
                          </w:r>
                          <w:r>
                            <w:rPr>
                              <w:color w:val="09466C"/>
                              <w:spacing w:val="-10"/>
                              <w:sz w:val="16"/>
                            </w:rPr>
                            <w:fldChar w:fldCharType="begin"/>
                          </w:r>
                          <w:r>
                            <w:rPr>
                              <w:color w:val="09466C"/>
                              <w:spacing w:val="-10"/>
                              <w:sz w:val="16"/>
                            </w:rPr>
                            <w:instrText> NUMPAGES </w:instrText>
                          </w:r>
                          <w:r>
                            <w:rPr>
                              <w:color w:val="09466C"/>
                              <w:spacing w:val="-10"/>
                              <w:sz w:val="16"/>
                            </w:rPr>
                            <w:fldChar w:fldCharType="separate"/>
                          </w:r>
                          <w:r>
                            <w:rPr>
                              <w:color w:val="09466C"/>
                              <w:spacing w:val="-10"/>
                              <w:sz w:val="16"/>
                            </w:rPr>
                            <w:t>7</w:t>
                          </w:r>
                          <w:r>
                            <w:rPr>
                              <w:color w:val="09466C"/>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7.099998pt;margin-top:754.375916pt;width:42.7pt;height:10.95pt;mso-position-horizontal-relative:page;mso-position-vertical-relative:page;z-index:-15830528" type="#_x0000_t202" id="docshape4" filled="false" stroked="false">
              <v:textbox inset="0,0,0,0">
                <w:txbxContent>
                  <w:p>
                    <w:pPr>
                      <w:spacing w:before="14"/>
                      <w:ind w:left="20" w:right="0" w:firstLine="0"/>
                      <w:jc w:val="left"/>
                      <w:rPr>
                        <w:sz w:val="16"/>
                      </w:rPr>
                    </w:pPr>
                    <w:r>
                      <w:rPr>
                        <w:color w:val="09466C"/>
                        <w:sz w:val="16"/>
                      </w:rPr>
                      <w:t>Page</w:t>
                    </w:r>
                    <w:r>
                      <w:rPr>
                        <w:color w:val="09466C"/>
                        <w:spacing w:val="-5"/>
                        <w:sz w:val="16"/>
                      </w:rPr>
                      <w:t> </w:t>
                    </w:r>
                    <w:r>
                      <w:rPr>
                        <w:color w:val="09466C"/>
                        <w:sz w:val="16"/>
                      </w:rPr>
                      <w:fldChar w:fldCharType="begin"/>
                    </w:r>
                    <w:r>
                      <w:rPr>
                        <w:color w:val="09466C"/>
                        <w:sz w:val="16"/>
                      </w:rPr>
                      <w:instrText> PAGE </w:instrText>
                    </w:r>
                    <w:r>
                      <w:rPr>
                        <w:color w:val="09466C"/>
                        <w:sz w:val="16"/>
                      </w:rPr>
                      <w:fldChar w:fldCharType="separate"/>
                    </w:r>
                    <w:r>
                      <w:rPr>
                        <w:color w:val="09466C"/>
                        <w:sz w:val="16"/>
                      </w:rPr>
                      <w:t>5</w:t>
                    </w:r>
                    <w:r>
                      <w:rPr>
                        <w:color w:val="09466C"/>
                        <w:sz w:val="16"/>
                      </w:rPr>
                      <w:fldChar w:fldCharType="end"/>
                    </w:r>
                    <w:r>
                      <w:rPr>
                        <w:color w:val="09466C"/>
                        <w:spacing w:val="-6"/>
                        <w:sz w:val="16"/>
                      </w:rPr>
                      <w:t> </w:t>
                    </w:r>
                    <w:r>
                      <w:rPr>
                        <w:color w:val="09466C"/>
                        <w:sz w:val="16"/>
                      </w:rPr>
                      <w:t>of</w:t>
                    </w:r>
                    <w:r>
                      <w:rPr>
                        <w:color w:val="09466C"/>
                        <w:spacing w:val="-2"/>
                        <w:sz w:val="16"/>
                      </w:rPr>
                      <w:t> </w:t>
                    </w:r>
                    <w:r>
                      <w:rPr>
                        <w:color w:val="09466C"/>
                        <w:spacing w:val="-10"/>
                        <w:sz w:val="16"/>
                      </w:rPr>
                      <w:fldChar w:fldCharType="begin"/>
                    </w:r>
                    <w:r>
                      <w:rPr>
                        <w:color w:val="09466C"/>
                        <w:spacing w:val="-10"/>
                        <w:sz w:val="16"/>
                      </w:rPr>
                      <w:instrText> NUMPAGES </w:instrText>
                    </w:r>
                    <w:r>
                      <w:rPr>
                        <w:color w:val="09466C"/>
                        <w:spacing w:val="-10"/>
                        <w:sz w:val="16"/>
                      </w:rPr>
                      <w:fldChar w:fldCharType="separate"/>
                    </w:r>
                    <w:r>
                      <w:rPr>
                        <w:color w:val="09466C"/>
                        <w:spacing w:val="-10"/>
                        <w:sz w:val="16"/>
                      </w:rPr>
                      <w:t>7</w:t>
                    </w:r>
                    <w:r>
                      <w:rPr>
                        <w:color w:val="09466C"/>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4928">
          <wp:simplePos x="0" y="0"/>
          <wp:positionH relativeFrom="page">
            <wp:posOffset>5123815</wp:posOffset>
          </wp:positionH>
          <wp:positionV relativeFrom="page">
            <wp:posOffset>462914</wp:posOffset>
          </wp:positionV>
          <wp:extent cx="1681098" cy="20891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1681098" cy="208915"/>
                  </a:xfrm>
                  <a:prstGeom prst="rect">
                    <a:avLst/>
                  </a:prstGeom>
                </pic:spPr>
              </pic:pic>
            </a:graphicData>
          </a:graphic>
        </wp:anchor>
      </w:drawing>
    </w:r>
    <w:r>
      <w:rPr/>
      <mc:AlternateContent>
        <mc:Choice Requires="wps">
          <w:drawing>
            <wp:anchor distT="0" distB="0" distL="0" distR="0" allowOverlap="1" layoutInCell="1" locked="0" behindDoc="1" simplePos="0" relativeHeight="487485440">
              <wp:simplePos x="0" y="0"/>
              <wp:positionH relativeFrom="page">
                <wp:posOffset>0</wp:posOffset>
              </wp:positionH>
              <wp:positionV relativeFrom="page">
                <wp:posOffset>974089</wp:posOffset>
              </wp:positionV>
              <wp:extent cx="7560945"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560945" cy="12700"/>
                      </a:xfrm>
                      <a:custGeom>
                        <a:avLst/>
                        <a:gdLst/>
                        <a:ahLst/>
                        <a:cxnLst/>
                        <a:rect l="l" t="t" r="r" b="b"/>
                        <a:pathLst>
                          <a:path w="7560945" h="12700">
                            <a:moveTo>
                              <a:pt x="7560564" y="0"/>
                            </a:moveTo>
                            <a:lnTo>
                              <a:pt x="0" y="0"/>
                            </a:lnTo>
                            <a:lnTo>
                              <a:pt x="0" y="12700"/>
                            </a:lnTo>
                            <a:lnTo>
                              <a:pt x="7560564" y="12700"/>
                            </a:lnTo>
                            <a:lnTo>
                              <a:pt x="7560564" y="0"/>
                            </a:lnTo>
                            <a:close/>
                          </a:path>
                        </a:pathLst>
                      </a:custGeom>
                      <a:solidFill>
                        <a:srgbClr val="FFA804"/>
                      </a:solidFill>
                    </wps:spPr>
                    <wps:bodyPr wrap="square" lIns="0" tIns="0" rIns="0" bIns="0" rtlCol="0">
                      <a:prstTxWarp prst="textNoShape">
                        <a:avLst/>
                      </a:prstTxWarp>
                      <a:noAutofit/>
                    </wps:bodyPr>
                  </wps:wsp>
                </a:graphicData>
              </a:graphic>
            </wp:anchor>
          </w:drawing>
        </mc:Choice>
        <mc:Fallback>
          <w:pict>
            <v:rect style="position:absolute;margin-left:0pt;margin-top:76.699982pt;width:595.320pt;height:1pt;mso-position-horizontal-relative:page;mso-position-vertical-relative:page;z-index:-15831040" id="docshape3" filled="true" fillcolor="#ffa804"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12" w:hanging="356"/>
        <w:jc w:val="left"/>
      </w:pPr>
      <w:rPr>
        <w:rFonts w:hint="default" w:ascii="Arial" w:hAnsi="Arial" w:eastAsia="Arial" w:cs="Arial"/>
        <w:b w:val="0"/>
        <w:bCs w:val="0"/>
        <w:i w:val="0"/>
        <w:iCs w:val="0"/>
        <w:spacing w:val="-1"/>
        <w:w w:val="98"/>
        <w:sz w:val="20"/>
        <w:szCs w:val="20"/>
        <w:lang w:val="en-US" w:eastAsia="en-US" w:bidi="ar-SA"/>
      </w:rPr>
    </w:lvl>
    <w:lvl w:ilvl="1">
      <w:start w:val="0"/>
      <w:numFmt w:val="bullet"/>
      <w:lvlText w:val="•"/>
      <w:lvlJc w:val="left"/>
      <w:pPr>
        <w:ind w:left="1977" w:hanging="356"/>
      </w:pPr>
      <w:rPr>
        <w:rFonts w:hint="default"/>
        <w:lang w:val="en-US" w:eastAsia="en-US" w:bidi="ar-SA"/>
      </w:rPr>
    </w:lvl>
    <w:lvl w:ilvl="2">
      <w:start w:val="0"/>
      <w:numFmt w:val="bullet"/>
      <w:lvlText w:val="•"/>
      <w:lvlJc w:val="left"/>
      <w:pPr>
        <w:ind w:left="2834" w:hanging="356"/>
      </w:pPr>
      <w:rPr>
        <w:rFonts w:hint="default"/>
        <w:lang w:val="en-US" w:eastAsia="en-US" w:bidi="ar-SA"/>
      </w:rPr>
    </w:lvl>
    <w:lvl w:ilvl="3">
      <w:start w:val="0"/>
      <w:numFmt w:val="bullet"/>
      <w:lvlText w:val="•"/>
      <w:lvlJc w:val="left"/>
      <w:pPr>
        <w:ind w:left="3691" w:hanging="356"/>
      </w:pPr>
      <w:rPr>
        <w:rFonts w:hint="default"/>
        <w:lang w:val="en-US" w:eastAsia="en-US" w:bidi="ar-SA"/>
      </w:rPr>
    </w:lvl>
    <w:lvl w:ilvl="4">
      <w:start w:val="0"/>
      <w:numFmt w:val="bullet"/>
      <w:lvlText w:val="•"/>
      <w:lvlJc w:val="left"/>
      <w:pPr>
        <w:ind w:left="4548" w:hanging="356"/>
      </w:pPr>
      <w:rPr>
        <w:rFonts w:hint="default"/>
        <w:lang w:val="en-US" w:eastAsia="en-US" w:bidi="ar-SA"/>
      </w:rPr>
    </w:lvl>
    <w:lvl w:ilvl="5">
      <w:start w:val="0"/>
      <w:numFmt w:val="bullet"/>
      <w:lvlText w:val="•"/>
      <w:lvlJc w:val="left"/>
      <w:pPr>
        <w:ind w:left="5405" w:hanging="356"/>
      </w:pPr>
      <w:rPr>
        <w:rFonts w:hint="default"/>
        <w:lang w:val="en-US" w:eastAsia="en-US" w:bidi="ar-SA"/>
      </w:rPr>
    </w:lvl>
    <w:lvl w:ilvl="6">
      <w:start w:val="0"/>
      <w:numFmt w:val="bullet"/>
      <w:lvlText w:val="•"/>
      <w:lvlJc w:val="left"/>
      <w:pPr>
        <w:ind w:left="6262" w:hanging="356"/>
      </w:pPr>
      <w:rPr>
        <w:rFonts w:hint="default"/>
        <w:lang w:val="en-US" w:eastAsia="en-US" w:bidi="ar-SA"/>
      </w:rPr>
    </w:lvl>
    <w:lvl w:ilvl="7">
      <w:start w:val="0"/>
      <w:numFmt w:val="bullet"/>
      <w:lvlText w:val="•"/>
      <w:lvlJc w:val="left"/>
      <w:pPr>
        <w:ind w:left="7119" w:hanging="356"/>
      </w:pPr>
      <w:rPr>
        <w:rFonts w:hint="default"/>
        <w:lang w:val="en-US" w:eastAsia="en-US" w:bidi="ar-SA"/>
      </w:rPr>
    </w:lvl>
    <w:lvl w:ilvl="8">
      <w:start w:val="0"/>
      <w:numFmt w:val="bullet"/>
      <w:lvlText w:val="•"/>
      <w:lvlJc w:val="left"/>
      <w:pPr>
        <w:ind w:left="7976" w:hanging="356"/>
      </w:pPr>
      <w:rPr>
        <w:rFonts w:hint="default"/>
        <w:lang w:val="en-US" w:eastAsia="en-US" w:bidi="ar-SA"/>
      </w:rPr>
    </w:lvl>
  </w:abstractNum>
  <w:abstractNum w:abstractNumId="0">
    <w:multiLevelType w:val="hybridMultilevel"/>
    <w:lvl w:ilvl="0">
      <w:start w:val="1"/>
      <w:numFmt w:val="decimal"/>
      <w:lvlText w:val="%1."/>
      <w:lvlJc w:val="left"/>
      <w:pPr>
        <w:ind w:left="841" w:hanging="358"/>
        <w:jc w:val="left"/>
      </w:pPr>
      <w:rPr>
        <w:rFonts w:hint="default" w:ascii="Arial" w:hAnsi="Arial" w:eastAsia="Arial" w:cs="Arial"/>
        <w:b w:val="0"/>
        <w:bCs w:val="0"/>
        <w:i w:val="0"/>
        <w:iCs w:val="0"/>
        <w:spacing w:val="-1"/>
        <w:w w:val="98"/>
        <w:sz w:val="20"/>
        <w:szCs w:val="20"/>
        <w:lang w:val="en-US" w:eastAsia="en-US" w:bidi="ar-SA"/>
      </w:rPr>
    </w:lvl>
    <w:lvl w:ilvl="1">
      <w:start w:val="0"/>
      <w:numFmt w:val="bullet"/>
      <w:lvlText w:val="•"/>
      <w:lvlJc w:val="left"/>
      <w:pPr>
        <w:ind w:left="1725" w:hanging="358"/>
      </w:pPr>
      <w:rPr>
        <w:rFonts w:hint="default"/>
        <w:lang w:val="en-US" w:eastAsia="en-US" w:bidi="ar-SA"/>
      </w:rPr>
    </w:lvl>
    <w:lvl w:ilvl="2">
      <w:start w:val="0"/>
      <w:numFmt w:val="bullet"/>
      <w:lvlText w:val="•"/>
      <w:lvlJc w:val="left"/>
      <w:pPr>
        <w:ind w:left="2610" w:hanging="358"/>
      </w:pPr>
      <w:rPr>
        <w:rFonts w:hint="default"/>
        <w:lang w:val="en-US" w:eastAsia="en-US" w:bidi="ar-SA"/>
      </w:rPr>
    </w:lvl>
    <w:lvl w:ilvl="3">
      <w:start w:val="0"/>
      <w:numFmt w:val="bullet"/>
      <w:lvlText w:val="•"/>
      <w:lvlJc w:val="left"/>
      <w:pPr>
        <w:ind w:left="3495" w:hanging="358"/>
      </w:pPr>
      <w:rPr>
        <w:rFonts w:hint="default"/>
        <w:lang w:val="en-US" w:eastAsia="en-US" w:bidi="ar-SA"/>
      </w:rPr>
    </w:lvl>
    <w:lvl w:ilvl="4">
      <w:start w:val="0"/>
      <w:numFmt w:val="bullet"/>
      <w:lvlText w:val="•"/>
      <w:lvlJc w:val="left"/>
      <w:pPr>
        <w:ind w:left="4380" w:hanging="358"/>
      </w:pPr>
      <w:rPr>
        <w:rFonts w:hint="default"/>
        <w:lang w:val="en-US" w:eastAsia="en-US" w:bidi="ar-SA"/>
      </w:rPr>
    </w:lvl>
    <w:lvl w:ilvl="5">
      <w:start w:val="0"/>
      <w:numFmt w:val="bullet"/>
      <w:lvlText w:val="•"/>
      <w:lvlJc w:val="left"/>
      <w:pPr>
        <w:ind w:left="5265" w:hanging="358"/>
      </w:pPr>
      <w:rPr>
        <w:rFonts w:hint="default"/>
        <w:lang w:val="en-US" w:eastAsia="en-US" w:bidi="ar-SA"/>
      </w:rPr>
    </w:lvl>
    <w:lvl w:ilvl="6">
      <w:start w:val="0"/>
      <w:numFmt w:val="bullet"/>
      <w:lvlText w:val="•"/>
      <w:lvlJc w:val="left"/>
      <w:pPr>
        <w:ind w:left="6150" w:hanging="358"/>
      </w:pPr>
      <w:rPr>
        <w:rFonts w:hint="default"/>
        <w:lang w:val="en-US" w:eastAsia="en-US" w:bidi="ar-SA"/>
      </w:rPr>
    </w:lvl>
    <w:lvl w:ilvl="7">
      <w:start w:val="0"/>
      <w:numFmt w:val="bullet"/>
      <w:lvlText w:val="•"/>
      <w:lvlJc w:val="left"/>
      <w:pPr>
        <w:ind w:left="7035" w:hanging="358"/>
      </w:pPr>
      <w:rPr>
        <w:rFonts w:hint="default"/>
        <w:lang w:val="en-US" w:eastAsia="en-US" w:bidi="ar-SA"/>
      </w:rPr>
    </w:lvl>
    <w:lvl w:ilvl="8">
      <w:start w:val="0"/>
      <w:numFmt w:val="bullet"/>
      <w:lvlText w:val="•"/>
      <w:lvlJc w:val="left"/>
      <w:pPr>
        <w:ind w:left="7920" w:hanging="358"/>
      </w:pPr>
      <w:rPr>
        <w:rFonts w:hint="default"/>
        <w:lang w:val="en-US" w:eastAsia="en-US" w:bidi="ar-SA"/>
      </w:rPr>
    </w:lvl>
  </w:abstractNum>
  <w:abstractNum w:abstractNumId="2">
    <w:multiLevelType w:val="hybridMultilevel"/>
    <w:lvl w:ilvl="0">
      <w:start w:val="1"/>
      <w:numFmt w:val="decimal"/>
      <w:lvlText w:val="%1."/>
      <w:lvlJc w:val="left"/>
      <w:pPr>
        <w:ind w:left="687" w:hanging="568"/>
        <w:jc w:val="left"/>
      </w:pPr>
      <w:rPr>
        <w:rFonts w:hint="default" w:ascii="Arial" w:hAnsi="Arial" w:eastAsia="Arial" w:cs="Arial"/>
        <w:b w:val="0"/>
        <w:bCs w:val="0"/>
        <w:i w:val="0"/>
        <w:iCs w:val="0"/>
        <w:spacing w:val="-1"/>
        <w:w w:val="99"/>
        <w:sz w:val="22"/>
        <w:szCs w:val="22"/>
        <w:lang w:val="en-US" w:eastAsia="en-US" w:bidi="ar-SA"/>
      </w:rPr>
    </w:lvl>
    <w:lvl w:ilvl="1">
      <w:start w:val="0"/>
      <w:numFmt w:val="bullet"/>
      <w:lvlText w:val="•"/>
      <w:lvlJc w:val="left"/>
      <w:pPr>
        <w:ind w:left="1581" w:hanging="568"/>
      </w:pPr>
      <w:rPr>
        <w:rFonts w:hint="default"/>
        <w:lang w:val="en-US" w:eastAsia="en-US" w:bidi="ar-SA"/>
      </w:rPr>
    </w:lvl>
    <w:lvl w:ilvl="2">
      <w:start w:val="0"/>
      <w:numFmt w:val="bullet"/>
      <w:lvlText w:val="•"/>
      <w:lvlJc w:val="left"/>
      <w:pPr>
        <w:ind w:left="2482" w:hanging="568"/>
      </w:pPr>
      <w:rPr>
        <w:rFonts w:hint="default"/>
        <w:lang w:val="en-US" w:eastAsia="en-US" w:bidi="ar-SA"/>
      </w:rPr>
    </w:lvl>
    <w:lvl w:ilvl="3">
      <w:start w:val="0"/>
      <w:numFmt w:val="bullet"/>
      <w:lvlText w:val="•"/>
      <w:lvlJc w:val="left"/>
      <w:pPr>
        <w:ind w:left="3383" w:hanging="568"/>
      </w:pPr>
      <w:rPr>
        <w:rFonts w:hint="default"/>
        <w:lang w:val="en-US" w:eastAsia="en-US" w:bidi="ar-SA"/>
      </w:rPr>
    </w:lvl>
    <w:lvl w:ilvl="4">
      <w:start w:val="0"/>
      <w:numFmt w:val="bullet"/>
      <w:lvlText w:val="•"/>
      <w:lvlJc w:val="left"/>
      <w:pPr>
        <w:ind w:left="4284" w:hanging="568"/>
      </w:pPr>
      <w:rPr>
        <w:rFonts w:hint="default"/>
        <w:lang w:val="en-US" w:eastAsia="en-US" w:bidi="ar-SA"/>
      </w:rPr>
    </w:lvl>
    <w:lvl w:ilvl="5">
      <w:start w:val="0"/>
      <w:numFmt w:val="bullet"/>
      <w:lvlText w:val="•"/>
      <w:lvlJc w:val="left"/>
      <w:pPr>
        <w:ind w:left="5185" w:hanging="568"/>
      </w:pPr>
      <w:rPr>
        <w:rFonts w:hint="default"/>
        <w:lang w:val="en-US" w:eastAsia="en-US" w:bidi="ar-SA"/>
      </w:rPr>
    </w:lvl>
    <w:lvl w:ilvl="6">
      <w:start w:val="0"/>
      <w:numFmt w:val="bullet"/>
      <w:lvlText w:val="•"/>
      <w:lvlJc w:val="left"/>
      <w:pPr>
        <w:ind w:left="6086" w:hanging="568"/>
      </w:pPr>
      <w:rPr>
        <w:rFonts w:hint="default"/>
        <w:lang w:val="en-US" w:eastAsia="en-US" w:bidi="ar-SA"/>
      </w:rPr>
    </w:lvl>
    <w:lvl w:ilvl="7">
      <w:start w:val="0"/>
      <w:numFmt w:val="bullet"/>
      <w:lvlText w:val="•"/>
      <w:lvlJc w:val="left"/>
      <w:pPr>
        <w:ind w:left="6987" w:hanging="568"/>
      </w:pPr>
      <w:rPr>
        <w:rFonts w:hint="default"/>
        <w:lang w:val="en-US" w:eastAsia="en-US" w:bidi="ar-SA"/>
      </w:rPr>
    </w:lvl>
    <w:lvl w:ilvl="8">
      <w:start w:val="0"/>
      <w:numFmt w:val="bullet"/>
      <w:lvlText w:val="•"/>
      <w:lvlJc w:val="left"/>
      <w:pPr>
        <w:ind w:left="7888" w:hanging="568"/>
      </w:pPr>
      <w:rPr>
        <w:rFonts w:hint="default"/>
        <w:lang w:val="en-US" w:eastAsia="en-US" w:bidi="ar-SA"/>
      </w:rPr>
    </w:lvl>
  </w:abstract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20"/>
      <w:jc w:val="both"/>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687" w:hanging="568"/>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mmunocore.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melanomafocus.org/for-professionals/rare-melanoma-guidelines-and-consultations/uveal-melanoma-guidelines/"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2023-10-11T15:34:44Z</dcterms:created>
  <dcterms:modified xsi:type="dcterms:W3CDTF">2023-10-11T15:34:44Z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for Microsoft 365</vt:lpwstr>
  </property>
  <property fmtid="{D5CDD505-2E9C-101B-9397-08002B2CF9AE}" pid="4" name="LastSaved">
    <vt:filetime>2023-10-11T00:00:00Z</vt:filetime>
  </property>
  <property fmtid="{D5CDD505-2E9C-101B-9397-08002B2CF9AE}" pid="5" name="MSIP_Label_c69d85d5-6d9e-4305-a294-1f636ec0f2d6_ActionId">
    <vt:lpwstr>e2e9418c-9955-4c03-a606-032cb8c33876</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2023-10-10T13:42:11Z</vt:lpwstr>
  </property>
  <property fmtid="{D5CDD505-2E9C-101B-9397-08002B2CF9AE}" pid="11" name="MSIP_Label_c69d85d5-6d9e-4305-a294-1f636ec0f2d6_SiteId">
    <vt:lpwstr>6030f479-b342-472d-a5dd-740ff7538de9</vt:lpwstr>
  </property>
  <property fmtid="{D5CDD505-2E9C-101B-9397-08002B2CF9AE}" pid="12" name="Producer">
    <vt:lpwstr>Microsoft® Word for Microsoft 365</vt:lpwstr>
  </property>
</Properties>
</file>