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665DAC" w:rsidRDefault="005A0CD8">
      <w:pPr>
        <w:pStyle w:val="BodyText"/>
        <w:ind w:left="2727"/>
        <w:rPr>
          <w:rFonts w:ascii="Times New Roman"/>
          <w:sz w:val="20"/>
        </w:rPr>
      </w:pPr>
      <w:r>
        <w:rPr>
          <w:rFonts w:ascii="Times New Roman"/>
          <w:noProof/>
          <w:sz w:val="20"/>
        </w:rPr>
        <w:drawing>
          <wp:inline distT="0" distB="0" distL="0" distR="0" wp14:anchorId="284EC796" wp14:editId="07777777">
            <wp:extent cx="1933775" cy="691515"/>
            <wp:effectExtent l="0" t="0" r="0" b="0"/>
            <wp:docPr id="2" name="Image 2" descr="A logo with text and a he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text and a heart  Description automatically generated"/>
                    <pic:cNvPicPr/>
                  </pic:nvPicPr>
                  <pic:blipFill>
                    <a:blip r:embed="rId10" cstate="print"/>
                    <a:stretch>
                      <a:fillRect/>
                    </a:stretch>
                  </pic:blipFill>
                  <pic:spPr>
                    <a:xfrm>
                      <a:off x="0" y="0"/>
                      <a:ext cx="1933775" cy="691515"/>
                    </a:xfrm>
                    <a:prstGeom prst="rect">
                      <a:avLst/>
                    </a:prstGeom>
                  </pic:spPr>
                </pic:pic>
              </a:graphicData>
            </a:graphic>
          </wp:inline>
        </w:drawing>
      </w:r>
    </w:p>
    <w:p w14:paraId="0A37501D" w14:textId="77777777" w:rsidR="00665DAC" w:rsidRDefault="00665DAC">
      <w:pPr>
        <w:pStyle w:val="BodyText"/>
        <w:spacing w:before="232"/>
        <w:rPr>
          <w:rFonts w:ascii="Times New Roman"/>
        </w:rPr>
      </w:pPr>
    </w:p>
    <w:p w14:paraId="4ED954F9" w14:textId="77777777" w:rsidR="00665DAC" w:rsidRDefault="005A0CD8">
      <w:pPr>
        <w:pStyle w:val="BodyText"/>
        <w:ind w:left="120"/>
      </w:pPr>
      <w:proofErr w:type="gramStart"/>
      <w:r>
        <w:t>27</w:t>
      </w:r>
      <w:r>
        <w:rPr>
          <w:vertAlign w:val="superscript"/>
        </w:rPr>
        <w:t>rd</w:t>
      </w:r>
      <w:proofErr w:type="gramEnd"/>
      <w:r>
        <w:rPr>
          <w:spacing w:val="-5"/>
        </w:rPr>
        <w:t xml:space="preserve"> </w:t>
      </w:r>
      <w:r>
        <w:t>August</w:t>
      </w:r>
      <w:r>
        <w:rPr>
          <w:spacing w:val="-3"/>
        </w:rPr>
        <w:t xml:space="preserve"> </w:t>
      </w:r>
      <w:r>
        <w:rPr>
          <w:spacing w:val="-4"/>
        </w:rPr>
        <w:t>2024</w:t>
      </w:r>
    </w:p>
    <w:p w14:paraId="5DAB6C7B" w14:textId="77777777" w:rsidR="00665DAC" w:rsidRDefault="00665DAC">
      <w:pPr>
        <w:pStyle w:val="BodyText"/>
      </w:pPr>
    </w:p>
    <w:p w14:paraId="422D2F5E" w14:textId="77777777" w:rsidR="00665DAC" w:rsidRDefault="005A0CD8">
      <w:pPr>
        <w:pStyle w:val="BodyText"/>
        <w:ind w:left="120"/>
      </w:pPr>
      <w:r>
        <w:t>Dr</w:t>
      </w:r>
      <w:r>
        <w:rPr>
          <w:spacing w:val="-1"/>
        </w:rPr>
        <w:t xml:space="preserve"> </w:t>
      </w:r>
      <w:r>
        <w:t>Mark</w:t>
      </w:r>
      <w:r>
        <w:rPr>
          <w:spacing w:val="-4"/>
        </w:rPr>
        <w:t xml:space="preserve"> </w:t>
      </w:r>
      <w:r>
        <w:rPr>
          <w:spacing w:val="-2"/>
        </w:rPr>
        <w:t>Chakravarty</w:t>
      </w:r>
    </w:p>
    <w:p w14:paraId="0FAC8EBD" w14:textId="77777777" w:rsidR="00665DAC" w:rsidRDefault="005A0CD8">
      <w:pPr>
        <w:pStyle w:val="BodyText"/>
        <w:spacing w:before="2"/>
        <w:ind w:left="120"/>
      </w:pPr>
      <w:r>
        <w:t>Lead</w:t>
      </w:r>
      <w:r>
        <w:rPr>
          <w:spacing w:val="-4"/>
        </w:rPr>
        <w:t xml:space="preserve"> </w:t>
      </w:r>
      <w:r>
        <w:t>Non-executive</w:t>
      </w:r>
      <w:r>
        <w:rPr>
          <w:spacing w:val="-4"/>
        </w:rPr>
        <w:t xml:space="preserve"> </w:t>
      </w:r>
      <w:r>
        <w:t>Director</w:t>
      </w:r>
      <w:r>
        <w:rPr>
          <w:spacing w:val="-5"/>
        </w:rPr>
        <w:t xml:space="preserve"> </w:t>
      </w:r>
      <w:r>
        <w:t>NICE</w:t>
      </w:r>
      <w:r>
        <w:rPr>
          <w:spacing w:val="-4"/>
        </w:rPr>
        <w:t xml:space="preserve"> </w:t>
      </w:r>
      <w:r>
        <w:t>Appeals</w:t>
      </w:r>
      <w:r>
        <w:rPr>
          <w:spacing w:val="-1"/>
        </w:rPr>
        <w:t xml:space="preserve"> </w:t>
      </w:r>
      <w:r>
        <w:t>–</w:t>
      </w:r>
      <w:r>
        <w:rPr>
          <w:spacing w:val="-6"/>
        </w:rPr>
        <w:t xml:space="preserve"> </w:t>
      </w:r>
      <w:r>
        <w:t>Technology</w:t>
      </w:r>
      <w:r>
        <w:rPr>
          <w:spacing w:val="-3"/>
        </w:rPr>
        <w:t xml:space="preserve"> </w:t>
      </w:r>
      <w:r>
        <w:t>Appraisals</w:t>
      </w:r>
      <w:r>
        <w:rPr>
          <w:spacing w:val="-3"/>
        </w:rPr>
        <w:t xml:space="preserve"> </w:t>
      </w:r>
      <w:r>
        <w:t>and</w:t>
      </w:r>
      <w:r>
        <w:rPr>
          <w:spacing w:val="-6"/>
        </w:rPr>
        <w:t xml:space="preserve"> </w:t>
      </w:r>
      <w:r>
        <w:t>Highly Specialised Technologies</w:t>
      </w:r>
    </w:p>
    <w:p w14:paraId="23758FE1" w14:textId="77777777" w:rsidR="00665DAC" w:rsidRDefault="005A0CD8">
      <w:pPr>
        <w:pStyle w:val="BodyText"/>
        <w:ind w:left="120" w:right="3459"/>
      </w:pPr>
      <w:r>
        <w:t>National</w:t>
      </w:r>
      <w:r>
        <w:rPr>
          <w:spacing w:val="-5"/>
        </w:rPr>
        <w:t xml:space="preserve"> </w:t>
      </w:r>
      <w:r>
        <w:t>Institute</w:t>
      </w:r>
      <w:r>
        <w:rPr>
          <w:spacing w:val="-7"/>
        </w:rPr>
        <w:t xml:space="preserve"> </w:t>
      </w:r>
      <w:r>
        <w:t>for</w:t>
      </w:r>
      <w:r>
        <w:rPr>
          <w:spacing w:val="-5"/>
        </w:rPr>
        <w:t xml:space="preserve"> </w:t>
      </w:r>
      <w:r>
        <w:t>Health</w:t>
      </w:r>
      <w:r>
        <w:rPr>
          <w:spacing w:val="-5"/>
        </w:rPr>
        <w:t xml:space="preserve"> </w:t>
      </w:r>
      <w:r>
        <w:t>and</w:t>
      </w:r>
      <w:r>
        <w:rPr>
          <w:spacing w:val="-5"/>
        </w:rPr>
        <w:t xml:space="preserve"> </w:t>
      </w:r>
      <w:r>
        <w:t>Care</w:t>
      </w:r>
      <w:r>
        <w:rPr>
          <w:spacing w:val="-5"/>
        </w:rPr>
        <w:t xml:space="preserve"> </w:t>
      </w:r>
      <w:r>
        <w:t>Excellence 2</w:t>
      </w:r>
      <w:r>
        <w:rPr>
          <w:vertAlign w:val="superscript"/>
        </w:rPr>
        <w:t>nd</w:t>
      </w:r>
      <w:r>
        <w:t xml:space="preserve"> Floor</w:t>
      </w:r>
    </w:p>
    <w:p w14:paraId="2409B795" w14:textId="77777777" w:rsidR="00665DAC" w:rsidRDefault="005A0CD8">
      <w:pPr>
        <w:pStyle w:val="BodyText"/>
        <w:ind w:left="120" w:right="6097"/>
      </w:pPr>
      <w:r>
        <w:t>2</w:t>
      </w:r>
      <w:r>
        <w:rPr>
          <w:spacing w:val="-3"/>
        </w:rPr>
        <w:t xml:space="preserve"> </w:t>
      </w:r>
      <w:r>
        <w:t>Redman</w:t>
      </w:r>
      <w:r>
        <w:rPr>
          <w:spacing w:val="-5"/>
        </w:rPr>
        <w:t xml:space="preserve"> </w:t>
      </w:r>
      <w:r>
        <w:t>Place London</w:t>
      </w:r>
      <w:r>
        <w:rPr>
          <w:spacing w:val="-3"/>
        </w:rPr>
        <w:t xml:space="preserve"> </w:t>
      </w:r>
      <w:r>
        <w:t>E20</w:t>
      </w:r>
      <w:r>
        <w:rPr>
          <w:spacing w:val="-3"/>
        </w:rPr>
        <w:t xml:space="preserve"> </w:t>
      </w:r>
      <w:r>
        <w:rPr>
          <w:spacing w:val="-5"/>
        </w:rPr>
        <w:t>1JQ</w:t>
      </w:r>
    </w:p>
    <w:p w14:paraId="02EB378F" w14:textId="77777777" w:rsidR="00665DAC" w:rsidRDefault="00665DAC">
      <w:pPr>
        <w:pStyle w:val="BodyText"/>
        <w:spacing w:before="252"/>
      </w:pPr>
    </w:p>
    <w:p w14:paraId="3B17349A" w14:textId="77777777" w:rsidR="00665DAC" w:rsidRDefault="005A0CD8">
      <w:pPr>
        <w:pStyle w:val="BodyText"/>
        <w:ind w:left="120"/>
      </w:pPr>
      <w:r>
        <w:t>Dear</w:t>
      </w:r>
      <w:r>
        <w:rPr>
          <w:spacing w:val="-2"/>
        </w:rPr>
        <w:t xml:space="preserve"> </w:t>
      </w:r>
      <w:r>
        <w:t>Dr</w:t>
      </w:r>
      <w:r>
        <w:rPr>
          <w:spacing w:val="-3"/>
        </w:rPr>
        <w:t xml:space="preserve"> </w:t>
      </w:r>
      <w:r>
        <w:rPr>
          <w:spacing w:val="-2"/>
        </w:rPr>
        <w:t>Chakravarty,</w:t>
      </w:r>
    </w:p>
    <w:p w14:paraId="6A05A809" w14:textId="77777777" w:rsidR="00665DAC" w:rsidRDefault="00665DAC">
      <w:pPr>
        <w:pStyle w:val="BodyText"/>
      </w:pPr>
    </w:p>
    <w:p w14:paraId="4B7A89CE" w14:textId="77777777" w:rsidR="00665DAC" w:rsidRDefault="005A0CD8">
      <w:pPr>
        <w:pStyle w:val="Heading1"/>
      </w:pPr>
      <w:r>
        <w:t>Re:</w:t>
      </w:r>
      <w:r>
        <w:rPr>
          <w:spacing w:val="-2"/>
        </w:rPr>
        <w:t xml:space="preserve"> </w:t>
      </w:r>
      <w:r>
        <w:t>Final</w:t>
      </w:r>
      <w:r>
        <w:rPr>
          <w:spacing w:val="-4"/>
        </w:rPr>
        <w:t xml:space="preserve"> </w:t>
      </w:r>
      <w:r>
        <w:t>Appraisal</w:t>
      </w:r>
      <w:r>
        <w:rPr>
          <w:spacing w:val="-2"/>
        </w:rPr>
        <w:t xml:space="preserve"> </w:t>
      </w:r>
      <w:r>
        <w:t>Determination</w:t>
      </w:r>
      <w:r>
        <w:rPr>
          <w:spacing w:val="-3"/>
        </w:rPr>
        <w:t xml:space="preserve"> </w:t>
      </w:r>
      <w:r>
        <w:t>–</w:t>
      </w:r>
      <w:r>
        <w:rPr>
          <w:spacing w:val="-5"/>
        </w:rPr>
        <w:t xml:space="preserve"> </w:t>
      </w:r>
      <w:proofErr w:type="spellStart"/>
      <w:r>
        <w:t>Ganaxolone</w:t>
      </w:r>
      <w:proofErr w:type="spellEnd"/>
      <w:r>
        <w:rPr>
          <w:spacing w:val="-3"/>
        </w:rPr>
        <w:t xml:space="preserve"> </w:t>
      </w:r>
      <w:r>
        <w:t>for</w:t>
      </w:r>
      <w:r>
        <w:rPr>
          <w:spacing w:val="-5"/>
        </w:rPr>
        <w:t xml:space="preserve"> </w:t>
      </w:r>
      <w:r>
        <w:t>treating</w:t>
      </w:r>
      <w:r>
        <w:rPr>
          <w:spacing w:val="-3"/>
        </w:rPr>
        <w:t xml:space="preserve"> </w:t>
      </w:r>
      <w:r>
        <w:t>seizures</w:t>
      </w:r>
      <w:r>
        <w:rPr>
          <w:spacing w:val="-5"/>
        </w:rPr>
        <w:t xml:space="preserve"> </w:t>
      </w:r>
      <w:r>
        <w:t>caused by CDKL5 deficiency disorder in people 2 years and over</w:t>
      </w:r>
    </w:p>
    <w:p w14:paraId="5A39BBE3" w14:textId="77777777" w:rsidR="00665DAC" w:rsidRDefault="00665DAC">
      <w:pPr>
        <w:pStyle w:val="BodyText"/>
        <w:rPr>
          <w:b/>
        </w:rPr>
      </w:pPr>
    </w:p>
    <w:p w14:paraId="06DA9D4A" w14:textId="77777777" w:rsidR="00665DAC" w:rsidRDefault="005A0CD8">
      <w:pPr>
        <w:pStyle w:val="BodyText"/>
        <w:ind w:left="120" w:right="155"/>
      </w:pPr>
      <w:r>
        <w:t>CDKL5</w:t>
      </w:r>
      <w:r>
        <w:rPr>
          <w:spacing w:val="-3"/>
        </w:rPr>
        <w:t xml:space="preserve"> </w:t>
      </w:r>
      <w:r>
        <w:t>UK</w:t>
      </w:r>
      <w:r>
        <w:rPr>
          <w:spacing w:val="-3"/>
        </w:rPr>
        <w:t xml:space="preserve"> </w:t>
      </w:r>
      <w:r>
        <w:t>would</w:t>
      </w:r>
      <w:r>
        <w:rPr>
          <w:spacing w:val="-3"/>
        </w:rPr>
        <w:t xml:space="preserve"> </w:t>
      </w:r>
      <w:r>
        <w:t>like</w:t>
      </w:r>
      <w:r>
        <w:rPr>
          <w:spacing w:val="-3"/>
        </w:rPr>
        <w:t xml:space="preserve"> </w:t>
      </w:r>
      <w:r>
        <w:t>to</w:t>
      </w:r>
      <w:r>
        <w:rPr>
          <w:spacing w:val="-5"/>
        </w:rPr>
        <w:t xml:space="preserve"> </w:t>
      </w:r>
      <w:r>
        <w:t>formally</w:t>
      </w:r>
      <w:r>
        <w:rPr>
          <w:spacing w:val="-2"/>
        </w:rPr>
        <w:t xml:space="preserve"> </w:t>
      </w:r>
      <w:r>
        <w:t>appeal</w:t>
      </w:r>
      <w:r>
        <w:rPr>
          <w:spacing w:val="-2"/>
        </w:rPr>
        <w:t xml:space="preserve"> </w:t>
      </w:r>
      <w:r>
        <w:t>Final</w:t>
      </w:r>
      <w:r>
        <w:rPr>
          <w:spacing w:val="-3"/>
        </w:rPr>
        <w:t xml:space="preserve"> </w:t>
      </w:r>
      <w:r>
        <w:t>Appraisal</w:t>
      </w:r>
      <w:r>
        <w:rPr>
          <w:spacing w:val="-4"/>
        </w:rPr>
        <w:t xml:space="preserve"> </w:t>
      </w:r>
      <w:r>
        <w:t>Determination</w:t>
      </w:r>
      <w:r>
        <w:rPr>
          <w:spacing w:val="-1"/>
        </w:rPr>
        <w:t xml:space="preserve"> </w:t>
      </w:r>
      <w:r>
        <w:t>–</w:t>
      </w:r>
      <w:r>
        <w:rPr>
          <w:spacing w:val="-7"/>
        </w:rPr>
        <w:t xml:space="preserve"> </w:t>
      </w:r>
      <w:proofErr w:type="spellStart"/>
      <w:r>
        <w:t>Ganaxolone</w:t>
      </w:r>
      <w:proofErr w:type="spellEnd"/>
      <w:r>
        <w:t xml:space="preserve"> for treating seizures caused by CDKL5 deficiency disorder in people 2 years and</w:t>
      </w:r>
      <w:r>
        <w:rPr>
          <w:spacing w:val="40"/>
        </w:rPr>
        <w:t xml:space="preserve"> </w:t>
      </w:r>
      <w:r>
        <w:t xml:space="preserve">over on the grounds the in making the assessment that preceded the recommendation on ground 1a, that in making the assessment that preceded the recommendation, NICE </w:t>
      </w:r>
      <w:proofErr w:type="gramStart"/>
      <w:r>
        <w:t>has:</w:t>
      </w:r>
      <w:proofErr w:type="gramEnd"/>
      <w:r>
        <w:t xml:space="preserve"> failed to act fairly.</w:t>
      </w:r>
    </w:p>
    <w:p w14:paraId="41C8F396" w14:textId="77777777" w:rsidR="00665DAC" w:rsidRDefault="00665DAC">
      <w:pPr>
        <w:pStyle w:val="BodyText"/>
        <w:spacing w:before="239"/>
      </w:pPr>
    </w:p>
    <w:p w14:paraId="3FFF033A" w14:textId="77777777" w:rsidR="00665DAC" w:rsidRDefault="005A0CD8">
      <w:pPr>
        <w:pStyle w:val="Heading1"/>
        <w:tabs>
          <w:tab w:val="left" w:pos="840"/>
        </w:tabs>
      </w:pPr>
      <w:r>
        <w:rPr>
          <w:spacing w:val="-4"/>
        </w:rPr>
        <w:t>1a.1</w:t>
      </w:r>
      <w:r>
        <w:tab/>
        <w:t>Over-reliance</w:t>
      </w:r>
      <w:r>
        <w:rPr>
          <w:spacing w:val="-4"/>
        </w:rPr>
        <w:t xml:space="preserve"> </w:t>
      </w:r>
      <w:r>
        <w:t>on</w:t>
      </w:r>
      <w:r>
        <w:rPr>
          <w:spacing w:val="-5"/>
        </w:rPr>
        <w:t xml:space="preserve"> </w:t>
      </w:r>
      <w:r>
        <w:t>the</w:t>
      </w:r>
      <w:r>
        <w:rPr>
          <w:spacing w:val="-4"/>
        </w:rPr>
        <w:t xml:space="preserve"> </w:t>
      </w:r>
      <w:r>
        <w:t>placebo</w:t>
      </w:r>
      <w:r>
        <w:rPr>
          <w:spacing w:val="-4"/>
        </w:rPr>
        <w:t xml:space="preserve"> </w:t>
      </w:r>
      <w:r>
        <w:t>data</w:t>
      </w:r>
      <w:r>
        <w:rPr>
          <w:spacing w:val="-4"/>
        </w:rPr>
        <w:t xml:space="preserve"> </w:t>
      </w:r>
      <w:r>
        <w:t>to</w:t>
      </w:r>
      <w:r>
        <w:rPr>
          <w:spacing w:val="-5"/>
        </w:rPr>
        <w:t xml:space="preserve"> </w:t>
      </w:r>
      <w:r>
        <w:t>determine</w:t>
      </w:r>
      <w:r>
        <w:rPr>
          <w:spacing w:val="-4"/>
        </w:rPr>
        <w:t xml:space="preserve"> </w:t>
      </w:r>
      <w:r>
        <w:t>outcome</w:t>
      </w:r>
      <w:r>
        <w:rPr>
          <w:spacing w:val="-3"/>
        </w:rPr>
        <w:t xml:space="preserve"> </w:t>
      </w:r>
      <w:r>
        <w:t>of</w:t>
      </w:r>
      <w:r>
        <w:rPr>
          <w:spacing w:val="-3"/>
        </w:rPr>
        <w:t xml:space="preserve"> </w:t>
      </w:r>
      <w:r>
        <w:t>efficacy</w:t>
      </w:r>
      <w:r>
        <w:rPr>
          <w:spacing w:val="-4"/>
        </w:rPr>
        <w:t xml:space="preserve"> </w:t>
      </w:r>
      <w:proofErr w:type="gramStart"/>
      <w:r>
        <w:t>and also</w:t>
      </w:r>
      <w:proofErr w:type="gramEnd"/>
      <w:r>
        <w:t xml:space="preserve"> to not include </w:t>
      </w:r>
      <w:proofErr w:type="spellStart"/>
      <w:r>
        <w:t>Ganaxolone</w:t>
      </w:r>
      <w:proofErr w:type="spellEnd"/>
      <w:r>
        <w:t xml:space="preserve"> under the HST </w:t>
      </w:r>
      <w:proofErr w:type="spellStart"/>
      <w:r>
        <w:t>programme</w:t>
      </w:r>
      <w:proofErr w:type="spellEnd"/>
      <w:r>
        <w:t>.</w:t>
      </w:r>
    </w:p>
    <w:p w14:paraId="21AE4F8F" w14:textId="77777777" w:rsidR="00665DAC" w:rsidRDefault="005A0CD8">
      <w:pPr>
        <w:pStyle w:val="ListParagraph"/>
        <w:numPr>
          <w:ilvl w:val="0"/>
          <w:numId w:val="1"/>
        </w:numPr>
        <w:tabs>
          <w:tab w:val="left" w:pos="1200"/>
        </w:tabs>
        <w:spacing w:before="243"/>
        <w:ind w:right="155"/>
      </w:pPr>
      <w:r>
        <w:t xml:space="preserve">CDKL5 UK believe, NICE has failed to consider and understand the extremely intractable nature of CDKL5 related </w:t>
      </w:r>
      <w:proofErr w:type="gramStart"/>
      <w:r>
        <w:t>epilepsy</w:t>
      </w:r>
      <w:proofErr w:type="gramEnd"/>
      <w:r>
        <w:t xml:space="preserve"> and this led to </w:t>
      </w:r>
      <w:proofErr w:type="spellStart"/>
      <w:r>
        <w:t>Ganaxolone</w:t>
      </w:r>
      <w:proofErr w:type="spellEnd"/>
      <w:r>
        <w:t xml:space="preserve"> not being assessed under the HST </w:t>
      </w:r>
      <w:proofErr w:type="spellStart"/>
      <w:r>
        <w:t>programme</w:t>
      </w:r>
      <w:proofErr w:type="spellEnd"/>
      <w:r>
        <w:t>.</w:t>
      </w:r>
      <w:r>
        <w:rPr>
          <w:spacing w:val="40"/>
        </w:rPr>
        <w:t xml:space="preserve"> </w:t>
      </w:r>
      <w:r>
        <w:t>Children with CDKL5 related seizures are difficult to treat, and therefore any trials which</w:t>
      </w:r>
      <w:r>
        <w:rPr>
          <w:spacing w:val="-4"/>
        </w:rPr>
        <w:t xml:space="preserve"> </w:t>
      </w:r>
      <w:r>
        <w:t>is</w:t>
      </w:r>
      <w:r>
        <w:rPr>
          <w:spacing w:val="-4"/>
        </w:rPr>
        <w:t xml:space="preserve"> </w:t>
      </w:r>
      <w:r>
        <w:t>designed</w:t>
      </w:r>
      <w:r>
        <w:rPr>
          <w:spacing w:val="-4"/>
        </w:rPr>
        <w:t xml:space="preserve"> </w:t>
      </w:r>
      <w:r>
        <w:t>with</w:t>
      </w:r>
      <w:r>
        <w:rPr>
          <w:spacing w:val="-6"/>
        </w:rPr>
        <w:t xml:space="preserve"> </w:t>
      </w:r>
      <w:r>
        <w:t>solely</w:t>
      </w:r>
      <w:r>
        <w:rPr>
          <w:spacing w:val="-3"/>
        </w:rPr>
        <w:t xml:space="preserve"> </w:t>
      </w:r>
      <w:r>
        <w:t>seizure</w:t>
      </w:r>
      <w:r>
        <w:rPr>
          <w:spacing w:val="-3"/>
        </w:rPr>
        <w:t xml:space="preserve"> </w:t>
      </w:r>
      <w:r>
        <w:t>reduction</w:t>
      </w:r>
      <w:r>
        <w:rPr>
          <w:spacing w:val="-4"/>
        </w:rPr>
        <w:t xml:space="preserve"> </w:t>
      </w:r>
      <w:r>
        <w:t>as</w:t>
      </w:r>
      <w:r>
        <w:rPr>
          <w:spacing w:val="-3"/>
        </w:rPr>
        <w:t xml:space="preserve"> </w:t>
      </w:r>
      <w:r>
        <w:t>an</w:t>
      </w:r>
      <w:r>
        <w:rPr>
          <w:spacing w:val="-4"/>
        </w:rPr>
        <w:t xml:space="preserve"> </w:t>
      </w:r>
      <w:r>
        <w:t>outcome</w:t>
      </w:r>
      <w:r>
        <w:rPr>
          <w:spacing w:val="-6"/>
        </w:rPr>
        <w:t xml:space="preserve"> </w:t>
      </w:r>
      <w:r>
        <w:t>measure</w:t>
      </w:r>
      <w:r>
        <w:rPr>
          <w:spacing w:val="-4"/>
        </w:rPr>
        <w:t xml:space="preserve"> </w:t>
      </w:r>
      <w:r>
        <w:t>is going to be difficult, because it is rare for children to maintain continuous stability in the frequency of their seizures.</w:t>
      </w:r>
      <w:r>
        <w:rPr>
          <w:spacing w:val="40"/>
        </w:rPr>
        <w:t xml:space="preserve"> </w:t>
      </w:r>
      <w:r>
        <w:t xml:space="preserve">Children </w:t>
      </w:r>
      <w:proofErr w:type="gramStart"/>
      <w:r>
        <w:t>entering into</w:t>
      </w:r>
      <w:proofErr w:type="gramEnd"/>
      <w:r>
        <w:t xml:space="preserve"> the trial would have been because polypharmacy was not working and there is exacerbation in their seizure disorder. We also wonder why the Company was not offered managed access </w:t>
      </w:r>
      <w:proofErr w:type="spellStart"/>
      <w:r>
        <w:t>programme</w:t>
      </w:r>
      <w:proofErr w:type="spellEnd"/>
      <w:r>
        <w:t>, and if they did not know to request, why this was not offered.</w:t>
      </w:r>
    </w:p>
    <w:p w14:paraId="15AF04D1" w14:textId="77777777" w:rsidR="00665DAC" w:rsidRDefault="005A0CD8">
      <w:pPr>
        <w:pStyle w:val="BodyText"/>
        <w:spacing w:before="237"/>
        <w:ind w:left="1200" w:right="175"/>
      </w:pPr>
      <w:r>
        <w:t>Due to the length of time the appraisal took, further data provided by the company during the final committee meeting (EQ5 data which was collected using a comprehensive survey which canvassed over 100 families who care for children with CDD) was not adequately considered, CDKL5 UK believes, given the</w:t>
      </w:r>
      <w:r>
        <w:rPr>
          <w:spacing w:val="-2"/>
        </w:rPr>
        <w:t xml:space="preserve"> </w:t>
      </w:r>
      <w:r>
        <w:t>nature of CDKL5</w:t>
      </w:r>
      <w:r>
        <w:rPr>
          <w:spacing w:val="-2"/>
        </w:rPr>
        <w:t xml:space="preserve"> </w:t>
      </w:r>
      <w:r>
        <w:t>related seizures, and</w:t>
      </w:r>
      <w:r>
        <w:rPr>
          <w:spacing w:val="-2"/>
        </w:rPr>
        <w:t xml:space="preserve"> </w:t>
      </w:r>
      <w:r>
        <w:t>the fact CDKL5 is a</w:t>
      </w:r>
      <w:r>
        <w:rPr>
          <w:spacing w:val="-1"/>
        </w:rPr>
        <w:t xml:space="preserve"> </w:t>
      </w:r>
      <w:r>
        <w:t>rare disease there should have been an opportunity</w:t>
      </w:r>
      <w:r>
        <w:rPr>
          <w:spacing w:val="-1"/>
        </w:rPr>
        <w:t xml:space="preserve"> </w:t>
      </w:r>
      <w:r>
        <w:t>for a further meeting where this information could have been considered more accurately to create a more structurally sound economic model. It should also</w:t>
      </w:r>
      <w:r>
        <w:rPr>
          <w:spacing w:val="-3"/>
        </w:rPr>
        <w:t xml:space="preserve"> </w:t>
      </w:r>
      <w:r>
        <w:t>be</w:t>
      </w:r>
      <w:r>
        <w:rPr>
          <w:spacing w:val="-3"/>
        </w:rPr>
        <w:t xml:space="preserve"> </w:t>
      </w:r>
      <w:r>
        <w:t>noted</w:t>
      </w:r>
      <w:r>
        <w:rPr>
          <w:spacing w:val="-5"/>
        </w:rPr>
        <w:t xml:space="preserve"> </w:t>
      </w:r>
      <w:r>
        <w:t>that</w:t>
      </w:r>
      <w:r>
        <w:rPr>
          <w:spacing w:val="-4"/>
        </w:rPr>
        <w:t xml:space="preserve"> </w:t>
      </w:r>
      <w:r>
        <w:t>after</w:t>
      </w:r>
      <w:r>
        <w:rPr>
          <w:spacing w:val="-4"/>
        </w:rPr>
        <w:t xml:space="preserve"> </w:t>
      </w:r>
      <w:r>
        <w:t>the</w:t>
      </w:r>
      <w:r>
        <w:rPr>
          <w:spacing w:val="-3"/>
        </w:rPr>
        <w:t xml:space="preserve"> </w:t>
      </w:r>
      <w:r>
        <w:t>first</w:t>
      </w:r>
      <w:r>
        <w:rPr>
          <w:spacing w:val="-4"/>
        </w:rPr>
        <w:t xml:space="preserve"> </w:t>
      </w:r>
      <w:r>
        <w:t>final</w:t>
      </w:r>
      <w:r>
        <w:rPr>
          <w:spacing w:val="-3"/>
        </w:rPr>
        <w:t xml:space="preserve"> </w:t>
      </w:r>
      <w:r>
        <w:t>negative</w:t>
      </w:r>
      <w:r>
        <w:rPr>
          <w:spacing w:val="-5"/>
        </w:rPr>
        <w:t xml:space="preserve"> </w:t>
      </w:r>
      <w:r>
        <w:t>recommendation</w:t>
      </w:r>
      <w:r>
        <w:rPr>
          <w:spacing w:val="-3"/>
        </w:rPr>
        <w:t xml:space="preserve"> </w:t>
      </w:r>
      <w:r>
        <w:t>which</w:t>
      </w:r>
      <w:r>
        <w:rPr>
          <w:spacing w:val="-3"/>
        </w:rPr>
        <w:t xml:space="preserve"> </w:t>
      </w:r>
      <w:r>
        <w:t xml:space="preserve">was withdrawn, there was </w:t>
      </w:r>
      <w:proofErr w:type="gramStart"/>
      <w:r>
        <w:t>a period of time</w:t>
      </w:r>
      <w:proofErr w:type="gramEnd"/>
      <w:r>
        <w:t xml:space="preserve"> where NICE were apparently working with the Company.</w:t>
      </w:r>
      <w:r>
        <w:rPr>
          <w:spacing w:val="80"/>
        </w:rPr>
        <w:t xml:space="preserve"> </w:t>
      </w:r>
      <w:r>
        <w:t>Why was there not sufficient dialogue with the company so they were able to rectify and submit an adequate economic model based on more accurate EQ5 data?</w:t>
      </w:r>
    </w:p>
    <w:p w14:paraId="72A3D3EC" w14:textId="77777777" w:rsidR="00665DAC" w:rsidRDefault="00665DAC">
      <w:pPr>
        <w:sectPr w:rsidR="00665DAC">
          <w:footerReference w:type="default" r:id="rId11"/>
          <w:type w:val="continuous"/>
          <w:pgSz w:w="11910" w:h="16840"/>
          <w:pgMar w:top="340" w:right="1680" w:bottom="1200" w:left="1680" w:header="0" w:footer="1004" w:gutter="0"/>
          <w:pgNumType w:start="1"/>
          <w:cols w:space="720"/>
        </w:sectPr>
      </w:pPr>
    </w:p>
    <w:p w14:paraId="20E6BB7F" w14:textId="77777777" w:rsidR="00665DAC" w:rsidRDefault="005A0CD8">
      <w:pPr>
        <w:pStyle w:val="ListParagraph"/>
        <w:numPr>
          <w:ilvl w:val="0"/>
          <w:numId w:val="1"/>
        </w:numPr>
        <w:tabs>
          <w:tab w:val="left" w:pos="1200"/>
        </w:tabs>
        <w:ind w:right="212"/>
      </w:pPr>
      <w:r>
        <w:lastRenderedPageBreak/>
        <w:t>It was acknowledged we believe the use of proxy conditions only served to complicate the appraisal which resulted in an inadequate understanding of CDKLK5 deficiency disorder by both the Company, the Committee</w:t>
      </w:r>
      <w:r>
        <w:rPr>
          <w:spacing w:val="-2"/>
        </w:rPr>
        <w:t xml:space="preserve"> </w:t>
      </w:r>
      <w:r>
        <w:t>and</w:t>
      </w:r>
      <w:r>
        <w:rPr>
          <w:spacing w:val="-4"/>
        </w:rPr>
        <w:t xml:space="preserve"> </w:t>
      </w:r>
      <w:r>
        <w:t>the</w:t>
      </w:r>
      <w:r>
        <w:rPr>
          <w:spacing w:val="-4"/>
        </w:rPr>
        <w:t xml:space="preserve"> </w:t>
      </w:r>
      <w:r>
        <w:t>EAG</w:t>
      </w:r>
      <w:r>
        <w:rPr>
          <w:spacing w:val="-5"/>
        </w:rPr>
        <w:t xml:space="preserve"> </w:t>
      </w:r>
      <w:r>
        <w:t>which</w:t>
      </w:r>
      <w:r>
        <w:rPr>
          <w:spacing w:val="-2"/>
        </w:rPr>
        <w:t xml:space="preserve"> </w:t>
      </w:r>
      <w:r>
        <w:t>we</w:t>
      </w:r>
      <w:r>
        <w:rPr>
          <w:spacing w:val="-2"/>
        </w:rPr>
        <w:t xml:space="preserve"> </w:t>
      </w:r>
      <w:r>
        <w:t>believe</w:t>
      </w:r>
      <w:r>
        <w:rPr>
          <w:spacing w:val="-2"/>
        </w:rPr>
        <w:t xml:space="preserve"> </w:t>
      </w:r>
      <w:r>
        <w:t>has</w:t>
      </w:r>
      <w:r>
        <w:rPr>
          <w:spacing w:val="-2"/>
        </w:rPr>
        <w:t xml:space="preserve"> </w:t>
      </w:r>
      <w:r>
        <w:t>impacted</w:t>
      </w:r>
      <w:r>
        <w:rPr>
          <w:spacing w:val="-2"/>
        </w:rPr>
        <w:t xml:space="preserve"> </w:t>
      </w:r>
      <w:r>
        <w:t>on</w:t>
      </w:r>
      <w:r>
        <w:rPr>
          <w:spacing w:val="-4"/>
        </w:rPr>
        <w:t xml:space="preserve"> </w:t>
      </w:r>
      <w:r>
        <w:t>the</w:t>
      </w:r>
      <w:r>
        <w:rPr>
          <w:spacing w:val="-4"/>
        </w:rPr>
        <w:t xml:space="preserve"> </w:t>
      </w:r>
      <w:r>
        <w:t xml:space="preserve">decisions and recommendations made. It should also be noted that after the first final negative recommendation which was withdrawn, there was </w:t>
      </w:r>
      <w:proofErr w:type="gramStart"/>
      <w:r>
        <w:t>a period of time</w:t>
      </w:r>
      <w:proofErr w:type="gramEnd"/>
      <w:r>
        <w:t xml:space="preserve"> where NICE were apparently working with the Company.</w:t>
      </w:r>
      <w:r>
        <w:rPr>
          <w:spacing w:val="40"/>
        </w:rPr>
        <w:t xml:space="preserve"> </w:t>
      </w:r>
      <w:r>
        <w:t xml:space="preserve">Why was there not sufficient dialogue with the company so they were able to rectify and submit </w:t>
      </w:r>
      <w:proofErr w:type="spellStart"/>
      <w:proofErr w:type="gramStart"/>
      <w:r>
        <w:t>a</w:t>
      </w:r>
      <w:proofErr w:type="spellEnd"/>
      <w:proofErr w:type="gramEnd"/>
      <w:r>
        <w:t xml:space="preserve"> adequate economic model based on more accurate EQ5 data?</w:t>
      </w:r>
    </w:p>
    <w:p w14:paraId="6E00C6EC" w14:textId="77777777" w:rsidR="00665DAC" w:rsidRDefault="005A0CD8">
      <w:pPr>
        <w:pStyle w:val="ListParagraph"/>
        <w:numPr>
          <w:ilvl w:val="0"/>
          <w:numId w:val="1"/>
        </w:numPr>
        <w:tabs>
          <w:tab w:val="left" w:pos="1200"/>
        </w:tabs>
        <w:spacing w:before="241"/>
      </w:pPr>
      <w:r>
        <w:t xml:space="preserve">Given </w:t>
      </w:r>
      <w:proofErr w:type="spellStart"/>
      <w:r>
        <w:t>Ganaxolone</w:t>
      </w:r>
      <w:proofErr w:type="spellEnd"/>
      <w:r>
        <w:t xml:space="preserve"> is used to treat many children now worldwide with CDKL5 deficiency disorder, we believe this discriminates against our UK patients who are not afforded the same right to a seizure medication</w:t>
      </w:r>
      <w:r>
        <w:rPr>
          <w:spacing w:val="40"/>
        </w:rPr>
        <w:t xml:space="preserve"> </w:t>
      </w:r>
      <w:r>
        <w:t>which has shown efficacy in CDKL5 deficiency.</w:t>
      </w:r>
      <w:r>
        <w:rPr>
          <w:spacing w:val="40"/>
        </w:rPr>
        <w:t xml:space="preserve"> </w:t>
      </w:r>
      <w:r>
        <w:t>We also believe, if the committee</w:t>
      </w:r>
      <w:r>
        <w:rPr>
          <w:spacing w:val="-4"/>
        </w:rPr>
        <w:t xml:space="preserve"> </w:t>
      </w:r>
      <w:r>
        <w:t>and</w:t>
      </w:r>
      <w:r>
        <w:rPr>
          <w:spacing w:val="-3"/>
        </w:rPr>
        <w:t xml:space="preserve"> </w:t>
      </w:r>
      <w:r>
        <w:t>EAG</w:t>
      </w:r>
      <w:r>
        <w:rPr>
          <w:spacing w:val="-3"/>
        </w:rPr>
        <w:t xml:space="preserve"> </w:t>
      </w:r>
      <w:r>
        <w:t>felt</w:t>
      </w:r>
      <w:r>
        <w:rPr>
          <w:spacing w:val="-3"/>
        </w:rPr>
        <w:t xml:space="preserve"> </w:t>
      </w:r>
      <w:r>
        <w:t>there</w:t>
      </w:r>
      <w:r>
        <w:rPr>
          <w:spacing w:val="-3"/>
        </w:rPr>
        <w:t xml:space="preserve"> </w:t>
      </w:r>
      <w:r>
        <w:t>was</w:t>
      </w:r>
      <w:r>
        <w:rPr>
          <w:spacing w:val="-4"/>
        </w:rPr>
        <w:t xml:space="preserve"> </w:t>
      </w:r>
      <w:r>
        <w:t>insufficient</w:t>
      </w:r>
      <w:r>
        <w:rPr>
          <w:spacing w:val="-3"/>
        </w:rPr>
        <w:t xml:space="preserve"> </w:t>
      </w:r>
      <w:r>
        <w:t>evidence,</w:t>
      </w:r>
      <w:r>
        <w:rPr>
          <w:spacing w:val="-1"/>
        </w:rPr>
        <w:t xml:space="preserve"> </w:t>
      </w:r>
      <w:r>
        <w:t>why</w:t>
      </w:r>
      <w:r>
        <w:rPr>
          <w:spacing w:val="-4"/>
        </w:rPr>
        <w:t xml:space="preserve"> </w:t>
      </w:r>
      <w:r>
        <w:t>was</w:t>
      </w:r>
      <w:r>
        <w:rPr>
          <w:spacing w:val="-4"/>
        </w:rPr>
        <w:t xml:space="preserve"> </w:t>
      </w:r>
      <w:r>
        <w:t>there</w:t>
      </w:r>
      <w:r>
        <w:rPr>
          <w:spacing w:val="-4"/>
        </w:rPr>
        <w:t xml:space="preserve"> </w:t>
      </w:r>
      <w:r>
        <w:t xml:space="preserve">no recommendation for managed access </w:t>
      </w:r>
      <w:proofErr w:type="spellStart"/>
      <w:r>
        <w:t>programme</w:t>
      </w:r>
      <w:proofErr w:type="spellEnd"/>
      <w:r>
        <w:t xml:space="preserve"> which could have resulted in more effective data being gathered over a longer </w:t>
      </w:r>
      <w:proofErr w:type="gramStart"/>
      <w:r>
        <w:t>period of time</w:t>
      </w:r>
      <w:proofErr w:type="gramEnd"/>
      <w:r>
        <w:t>.</w:t>
      </w:r>
      <w:r>
        <w:rPr>
          <w:spacing w:val="40"/>
        </w:rPr>
        <w:t xml:space="preserve"> </w:t>
      </w:r>
      <w:r>
        <w:t>This would undoubtedly serve to assist with further applications to NICE for CDKL5 in the coming years.</w:t>
      </w:r>
      <w:r>
        <w:rPr>
          <w:spacing w:val="40"/>
        </w:rPr>
        <w:t xml:space="preserve"> </w:t>
      </w:r>
      <w:r>
        <w:t>CDKL5 UK feel given the rarity of CDKL5, current lack of data such as natural history and longitudinal studies, any further applications for other medications will be met with the same resistance as it felt impossible during the process to adequately put across the quality of live benefits of even small improvements in seizure burden to caregivers and the children.</w:t>
      </w:r>
    </w:p>
    <w:p w14:paraId="0D0B940D" w14:textId="77777777" w:rsidR="00665DAC" w:rsidRDefault="00665DAC">
      <w:pPr>
        <w:pStyle w:val="BodyText"/>
      </w:pPr>
    </w:p>
    <w:p w14:paraId="0E27B00A" w14:textId="77777777" w:rsidR="00665DAC" w:rsidRDefault="00665DAC">
      <w:pPr>
        <w:pStyle w:val="BodyText"/>
        <w:spacing w:before="223"/>
      </w:pPr>
    </w:p>
    <w:p w14:paraId="2B2A7A39" w14:textId="77777777" w:rsidR="00665DAC" w:rsidRDefault="005A0CD8">
      <w:pPr>
        <w:pStyle w:val="Heading1"/>
        <w:ind w:right="0"/>
      </w:pPr>
      <w:r>
        <w:rPr>
          <w:spacing w:val="-2"/>
        </w:rPr>
        <w:t>Conclusion</w:t>
      </w:r>
    </w:p>
    <w:p w14:paraId="012C5745" w14:textId="77777777" w:rsidR="00665DAC" w:rsidRDefault="005A0CD8">
      <w:pPr>
        <w:pStyle w:val="BodyText"/>
        <w:spacing w:before="61"/>
        <w:ind w:left="120" w:right="130"/>
      </w:pPr>
      <w:r>
        <w:t xml:space="preserve">CDKL5 UK feel disappointed in the recommendation given </w:t>
      </w:r>
      <w:proofErr w:type="spellStart"/>
      <w:r>
        <w:t>Ganaxolone</w:t>
      </w:r>
      <w:proofErr w:type="spellEnd"/>
      <w:r>
        <w:t xml:space="preserve"> has been approved by the MHRA.</w:t>
      </w:r>
      <w:r>
        <w:rPr>
          <w:spacing w:val="40"/>
        </w:rPr>
        <w:t xml:space="preserve"> </w:t>
      </w:r>
      <w:r>
        <w:t xml:space="preserve">We feel the lack of data about the seizure burden and natural history of the condition has discriminated against our patients being able to access </w:t>
      </w:r>
      <w:proofErr w:type="spellStart"/>
      <w:r>
        <w:t>Ganaxolone</w:t>
      </w:r>
      <w:proofErr w:type="spellEnd"/>
      <w:r>
        <w:t xml:space="preserve"> which has been proven to be an effective treatment for CDKL5 related seizures, we also felt the committee did not </w:t>
      </w:r>
      <w:proofErr w:type="spellStart"/>
      <w:r>
        <w:t>recognise</w:t>
      </w:r>
      <w:proofErr w:type="spellEnd"/>
      <w:r>
        <w:t xml:space="preserve"> that some reduction in seizures</w:t>
      </w:r>
      <w:r>
        <w:rPr>
          <w:spacing w:val="-1"/>
        </w:rPr>
        <w:t xml:space="preserve"> </w:t>
      </w:r>
      <w:r>
        <w:t>would</w:t>
      </w:r>
      <w:r>
        <w:rPr>
          <w:spacing w:val="-2"/>
        </w:rPr>
        <w:t xml:space="preserve"> </w:t>
      </w:r>
      <w:r>
        <w:t>not impact</w:t>
      </w:r>
      <w:r>
        <w:rPr>
          <w:spacing w:val="-3"/>
        </w:rPr>
        <w:t xml:space="preserve"> </w:t>
      </w:r>
      <w:r>
        <w:t>their</w:t>
      </w:r>
      <w:r>
        <w:rPr>
          <w:spacing w:val="-1"/>
        </w:rPr>
        <w:t xml:space="preserve"> </w:t>
      </w:r>
      <w:r>
        <w:t>quality</w:t>
      </w:r>
      <w:r>
        <w:rPr>
          <w:spacing w:val="-4"/>
        </w:rPr>
        <w:t xml:space="preserve"> </w:t>
      </w:r>
      <w:r>
        <w:t>of</w:t>
      </w:r>
      <w:r>
        <w:rPr>
          <w:spacing w:val="-3"/>
        </w:rPr>
        <w:t xml:space="preserve"> </w:t>
      </w:r>
      <w:r>
        <w:t>life.</w:t>
      </w:r>
      <w:r>
        <w:rPr>
          <w:spacing w:val="40"/>
        </w:rPr>
        <w:t xml:space="preserve"> </w:t>
      </w:r>
      <w:r>
        <w:t>In</w:t>
      </w:r>
      <w:r>
        <w:rPr>
          <w:spacing w:val="-6"/>
        </w:rPr>
        <w:t xml:space="preserve"> </w:t>
      </w:r>
      <w:r>
        <w:t>addition</w:t>
      </w:r>
      <w:r>
        <w:rPr>
          <w:spacing w:val="-1"/>
        </w:rPr>
        <w:t xml:space="preserve"> </w:t>
      </w:r>
      <w:r>
        <w:t>to</w:t>
      </w:r>
      <w:r>
        <w:rPr>
          <w:spacing w:val="-2"/>
        </w:rPr>
        <w:t xml:space="preserve"> </w:t>
      </w:r>
      <w:r>
        <w:t>not</w:t>
      </w:r>
      <w:r>
        <w:rPr>
          <w:spacing w:val="-3"/>
        </w:rPr>
        <w:t xml:space="preserve"> </w:t>
      </w:r>
      <w:r>
        <w:t>allowing</w:t>
      </w:r>
      <w:r>
        <w:rPr>
          <w:spacing w:val="-2"/>
        </w:rPr>
        <w:t xml:space="preserve"> </w:t>
      </w:r>
      <w:r>
        <w:t>the</w:t>
      </w:r>
      <w:r>
        <w:rPr>
          <w:spacing w:val="-2"/>
        </w:rPr>
        <w:t xml:space="preserve"> </w:t>
      </w:r>
      <w:r>
        <w:t xml:space="preserve">appraisal to be considered under HST, why NICE were not able to adequately negotiate with the Company during the period between the first negative recommendation which was withdrawn, and why was managed access </w:t>
      </w:r>
      <w:proofErr w:type="spellStart"/>
      <w:r>
        <w:t>programme</w:t>
      </w:r>
      <w:proofErr w:type="spellEnd"/>
      <w:r>
        <w:t xml:space="preserve"> not considered as an outcome, if they company needed to request this, then this should be openly communicated to them as an option.</w:t>
      </w:r>
    </w:p>
    <w:p w14:paraId="60061E4C" w14:textId="77777777" w:rsidR="00665DAC" w:rsidRDefault="00665DAC">
      <w:pPr>
        <w:pStyle w:val="BodyText"/>
        <w:spacing w:before="1"/>
      </w:pPr>
    </w:p>
    <w:p w14:paraId="47743282" w14:textId="77777777" w:rsidR="00665DAC" w:rsidRDefault="005A0CD8">
      <w:pPr>
        <w:pStyle w:val="BodyText"/>
        <w:spacing w:line="477" w:lineRule="auto"/>
        <w:ind w:left="120" w:right="4208"/>
      </w:pPr>
      <w:r>
        <w:t>CDKL5</w:t>
      </w:r>
      <w:r>
        <w:rPr>
          <w:spacing w:val="-6"/>
        </w:rPr>
        <w:t xml:space="preserve"> </w:t>
      </w:r>
      <w:r>
        <w:t>UK</w:t>
      </w:r>
      <w:r>
        <w:rPr>
          <w:spacing w:val="-6"/>
        </w:rPr>
        <w:t xml:space="preserve"> </w:t>
      </w:r>
      <w:r>
        <w:t>request</w:t>
      </w:r>
      <w:r>
        <w:rPr>
          <w:spacing w:val="-7"/>
        </w:rPr>
        <w:t xml:space="preserve"> </w:t>
      </w:r>
      <w:r>
        <w:t>for</w:t>
      </w:r>
      <w:r>
        <w:rPr>
          <w:spacing w:val="-7"/>
        </w:rPr>
        <w:t xml:space="preserve"> </w:t>
      </w:r>
      <w:r>
        <w:t>an</w:t>
      </w:r>
      <w:r>
        <w:rPr>
          <w:spacing w:val="-6"/>
        </w:rPr>
        <w:t xml:space="preserve"> </w:t>
      </w:r>
      <w:r>
        <w:t>oral</w:t>
      </w:r>
      <w:r>
        <w:rPr>
          <w:spacing w:val="-7"/>
        </w:rPr>
        <w:t xml:space="preserve"> </w:t>
      </w:r>
      <w:r>
        <w:t>appeal. Yours sincerely</w:t>
      </w:r>
    </w:p>
    <w:p w14:paraId="444DD804" w14:textId="77777777" w:rsidR="006B7354" w:rsidRDefault="006B7354">
      <w:pPr>
        <w:pStyle w:val="BodyText"/>
        <w:spacing w:line="477" w:lineRule="auto"/>
        <w:ind w:left="120" w:right="4208"/>
      </w:pPr>
    </w:p>
    <w:p w14:paraId="270CFA47" w14:textId="3BE61CAC" w:rsidR="006B7354" w:rsidRPr="006B7354" w:rsidRDefault="006B7354">
      <w:pPr>
        <w:pStyle w:val="BodyText"/>
        <w:spacing w:line="477" w:lineRule="auto"/>
        <w:ind w:left="120" w:right="4208"/>
        <w:rPr>
          <w:highlight w:val="black"/>
        </w:rPr>
      </w:pPr>
      <w:r w:rsidRPr="006B7354">
        <w:rPr>
          <w:highlight w:val="black"/>
        </w:rPr>
        <w:t>XXXXXXXXXXXXXXXXX</w:t>
      </w:r>
    </w:p>
    <w:p w14:paraId="3C140F1D" w14:textId="468823DB" w:rsidR="00665DAC" w:rsidRDefault="00665DAC">
      <w:pPr>
        <w:pStyle w:val="BodyText"/>
        <w:spacing w:before="9"/>
        <w:rPr>
          <w:sz w:val="12"/>
        </w:rPr>
      </w:pPr>
    </w:p>
    <w:p w14:paraId="5CA1CED2" w14:textId="77777777" w:rsidR="006B7354" w:rsidRDefault="00687F08">
      <w:pPr>
        <w:pStyle w:val="BodyText"/>
        <w:spacing w:before="1"/>
        <w:ind w:left="120" w:right="5185"/>
        <w:rPr>
          <w:highlight w:val="black"/>
        </w:rPr>
      </w:pPr>
      <w:r w:rsidRPr="006B7354">
        <w:rPr>
          <w:highlight w:val="black"/>
        </w:rPr>
        <w:t>XXXXXXXXXXXXXXXXXXXXX</w:t>
      </w:r>
    </w:p>
    <w:p w14:paraId="214483AA" w14:textId="77777777" w:rsidR="006B7354" w:rsidRPr="006B7354" w:rsidRDefault="006B7354">
      <w:pPr>
        <w:pStyle w:val="BodyText"/>
        <w:spacing w:before="1"/>
        <w:ind w:left="120" w:right="5185"/>
        <w:rPr>
          <w:highlight w:val="black"/>
        </w:rPr>
      </w:pPr>
    </w:p>
    <w:p w14:paraId="5DBAE523" w14:textId="312B13C2" w:rsidR="00665DAC" w:rsidRDefault="005A0CD8">
      <w:pPr>
        <w:pStyle w:val="BodyText"/>
        <w:spacing w:before="1"/>
        <w:ind w:left="120" w:right="5185"/>
      </w:pPr>
      <w:r>
        <w:t>Chairperson</w:t>
      </w:r>
      <w:r>
        <w:rPr>
          <w:spacing w:val="-9"/>
        </w:rPr>
        <w:t xml:space="preserve"> </w:t>
      </w:r>
      <w:r>
        <w:t>of</w:t>
      </w:r>
      <w:r>
        <w:rPr>
          <w:spacing w:val="-8"/>
        </w:rPr>
        <w:t xml:space="preserve"> </w:t>
      </w:r>
      <w:r>
        <w:t>CDKL5</w:t>
      </w:r>
      <w:r>
        <w:rPr>
          <w:spacing w:val="-9"/>
        </w:rPr>
        <w:t xml:space="preserve"> </w:t>
      </w:r>
      <w:r>
        <w:t>UK</w:t>
      </w:r>
      <w:r>
        <w:rPr>
          <w:spacing w:val="-9"/>
        </w:rPr>
        <w:t xml:space="preserve"> </w:t>
      </w:r>
      <w:r>
        <w:t>and</w:t>
      </w:r>
    </w:p>
    <w:p w14:paraId="7E52A86F" w14:textId="77777777" w:rsidR="00665DAC" w:rsidRDefault="005A0CD8">
      <w:pPr>
        <w:pStyle w:val="BodyText"/>
        <w:spacing w:before="1"/>
        <w:ind w:left="120"/>
      </w:pPr>
      <w:r>
        <w:t>On</w:t>
      </w:r>
      <w:r>
        <w:rPr>
          <w:spacing w:val="-5"/>
        </w:rPr>
        <w:t xml:space="preserve"> </w:t>
      </w:r>
      <w:r>
        <w:t>behalf</w:t>
      </w:r>
      <w:r>
        <w:rPr>
          <w:spacing w:val="-5"/>
        </w:rPr>
        <w:t xml:space="preserve"> </w:t>
      </w:r>
      <w:r>
        <w:t>of</w:t>
      </w:r>
      <w:r>
        <w:rPr>
          <w:spacing w:val="-6"/>
        </w:rPr>
        <w:t xml:space="preserve"> </w:t>
      </w:r>
      <w:r>
        <w:t>the</w:t>
      </w:r>
      <w:r>
        <w:rPr>
          <w:spacing w:val="-4"/>
        </w:rPr>
        <w:t xml:space="preserve"> </w:t>
      </w:r>
      <w:r>
        <w:t>Trustees</w:t>
      </w:r>
      <w:r>
        <w:rPr>
          <w:spacing w:val="-4"/>
        </w:rPr>
        <w:t xml:space="preserve"> </w:t>
      </w:r>
      <w:r>
        <w:t>and</w:t>
      </w:r>
      <w:r>
        <w:rPr>
          <w:spacing w:val="-4"/>
        </w:rPr>
        <w:t xml:space="preserve"> </w:t>
      </w:r>
      <w:r>
        <w:t>families</w:t>
      </w:r>
      <w:r>
        <w:rPr>
          <w:spacing w:val="-5"/>
        </w:rPr>
        <w:t xml:space="preserve"> </w:t>
      </w:r>
      <w:r>
        <w:t>living</w:t>
      </w:r>
      <w:r>
        <w:rPr>
          <w:spacing w:val="-4"/>
        </w:rPr>
        <w:t xml:space="preserve"> </w:t>
      </w:r>
      <w:r>
        <w:t>with</w:t>
      </w:r>
      <w:r>
        <w:rPr>
          <w:spacing w:val="-6"/>
        </w:rPr>
        <w:t xml:space="preserve"> </w:t>
      </w:r>
      <w:r>
        <w:rPr>
          <w:spacing w:val="-2"/>
        </w:rPr>
        <w:t>CDKL5</w:t>
      </w:r>
    </w:p>
    <w:sectPr w:rsidR="00665DAC">
      <w:pgSz w:w="11910" w:h="16840"/>
      <w:pgMar w:top="880" w:right="1680" w:bottom="1200" w:left="168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76B0E" w14:textId="77777777" w:rsidR="005A0CD8" w:rsidRDefault="005A0CD8">
      <w:r>
        <w:separator/>
      </w:r>
    </w:p>
  </w:endnote>
  <w:endnote w:type="continuationSeparator" w:id="0">
    <w:p w14:paraId="6345D594" w14:textId="77777777" w:rsidR="005A0CD8" w:rsidRDefault="005A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A997E" w14:textId="77777777" w:rsidR="00665DAC" w:rsidRDefault="005A0CD8">
    <w:pPr>
      <w:pStyle w:val="BodyText"/>
      <w:spacing w:line="14" w:lineRule="auto"/>
      <w:rPr>
        <w:sz w:val="20"/>
      </w:rPr>
    </w:pPr>
    <w:r>
      <w:rPr>
        <w:noProof/>
      </w:rPr>
      <mc:AlternateContent>
        <mc:Choice Requires="wps">
          <w:drawing>
            <wp:anchor distT="0" distB="0" distL="0" distR="0" simplePos="0" relativeHeight="487551488" behindDoc="1" locked="0" layoutInCell="1" allowOverlap="1" wp14:anchorId="2FC53D95" wp14:editId="07777777">
              <wp:simplePos x="0" y="0"/>
              <wp:positionH relativeFrom="page">
                <wp:posOffset>3699383</wp:posOffset>
              </wp:positionH>
              <wp:positionV relativeFrom="page">
                <wp:posOffset>9915051</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4590CB77" w14:textId="77777777" w:rsidR="00665DAC" w:rsidRDefault="005A0CD8">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2FC53D95" id="_x0000_t202" coordsize="21600,21600" o:spt="202" path="m,l,21600r21600,l21600,xe">
              <v:stroke joinstyle="miter"/>
              <v:path gradientshapeok="t" o:connecttype="rect"/>
            </v:shapetype>
            <v:shape id="Textbox 1" o:spid="_x0000_s1026" type="#_x0000_t202" style="position:absolute;margin-left:291.3pt;margin-top:780.7pt;width:13.7pt;height:15.45pt;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" filled="f" stroked="f">
              <v:textbox inset="0,0,0,0">
                <w:txbxContent>
                  <w:p w14:paraId="4590CB77" w14:textId="77777777" w:rsidR="00665DAC" w:rsidRDefault="005A0CD8">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91440" w14:textId="77777777" w:rsidR="005A0CD8" w:rsidRDefault="005A0CD8">
      <w:r>
        <w:separator/>
      </w:r>
    </w:p>
  </w:footnote>
  <w:footnote w:type="continuationSeparator" w:id="0">
    <w:p w14:paraId="5654B54F" w14:textId="77777777" w:rsidR="005A0CD8" w:rsidRDefault="005A0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A5690"/>
    <w:multiLevelType w:val="hybridMultilevel"/>
    <w:tmpl w:val="FFFFFFFF"/>
    <w:lvl w:ilvl="0" w:tplc="44FE1480">
      <w:numFmt w:val="bullet"/>
      <w:lvlText w:val=""/>
      <w:lvlJc w:val="left"/>
      <w:pPr>
        <w:ind w:left="1200" w:hanging="360"/>
      </w:pPr>
      <w:rPr>
        <w:rFonts w:ascii="Symbol" w:eastAsia="Symbol" w:hAnsi="Symbol" w:cs="Symbol" w:hint="default"/>
        <w:b w:val="0"/>
        <w:bCs w:val="0"/>
        <w:i w:val="0"/>
        <w:iCs w:val="0"/>
        <w:spacing w:val="0"/>
        <w:w w:val="100"/>
        <w:sz w:val="22"/>
        <w:szCs w:val="22"/>
        <w:lang w:val="en-US" w:eastAsia="en-US" w:bidi="ar-SA"/>
      </w:rPr>
    </w:lvl>
    <w:lvl w:ilvl="1" w:tplc="F850CED4">
      <w:numFmt w:val="bullet"/>
      <w:lvlText w:val="•"/>
      <w:lvlJc w:val="left"/>
      <w:pPr>
        <w:ind w:left="1934" w:hanging="360"/>
      </w:pPr>
      <w:rPr>
        <w:rFonts w:hint="default"/>
        <w:lang w:val="en-US" w:eastAsia="en-US" w:bidi="ar-SA"/>
      </w:rPr>
    </w:lvl>
    <w:lvl w:ilvl="2" w:tplc="23421944">
      <w:numFmt w:val="bullet"/>
      <w:lvlText w:val="•"/>
      <w:lvlJc w:val="left"/>
      <w:pPr>
        <w:ind w:left="2669" w:hanging="360"/>
      </w:pPr>
      <w:rPr>
        <w:rFonts w:hint="default"/>
        <w:lang w:val="en-US" w:eastAsia="en-US" w:bidi="ar-SA"/>
      </w:rPr>
    </w:lvl>
    <w:lvl w:ilvl="3" w:tplc="98822E04">
      <w:numFmt w:val="bullet"/>
      <w:lvlText w:val="•"/>
      <w:lvlJc w:val="left"/>
      <w:pPr>
        <w:ind w:left="3403" w:hanging="360"/>
      </w:pPr>
      <w:rPr>
        <w:rFonts w:hint="default"/>
        <w:lang w:val="en-US" w:eastAsia="en-US" w:bidi="ar-SA"/>
      </w:rPr>
    </w:lvl>
    <w:lvl w:ilvl="4" w:tplc="D318FF58">
      <w:numFmt w:val="bullet"/>
      <w:lvlText w:val="•"/>
      <w:lvlJc w:val="left"/>
      <w:pPr>
        <w:ind w:left="4138" w:hanging="360"/>
      </w:pPr>
      <w:rPr>
        <w:rFonts w:hint="default"/>
        <w:lang w:val="en-US" w:eastAsia="en-US" w:bidi="ar-SA"/>
      </w:rPr>
    </w:lvl>
    <w:lvl w:ilvl="5" w:tplc="56FC7438">
      <w:numFmt w:val="bullet"/>
      <w:lvlText w:val="•"/>
      <w:lvlJc w:val="left"/>
      <w:pPr>
        <w:ind w:left="4873" w:hanging="360"/>
      </w:pPr>
      <w:rPr>
        <w:rFonts w:hint="default"/>
        <w:lang w:val="en-US" w:eastAsia="en-US" w:bidi="ar-SA"/>
      </w:rPr>
    </w:lvl>
    <w:lvl w:ilvl="6" w:tplc="F04051CC">
      <w:numFmt w:val="bullet"/>
      <w:lvlText w:val="•"/>
      <w:lvlJc w:val="left"/>
      <w:pPr>
        <w:ind w:left="5607" w:hanging="360"/>
      </w:pPr>
      <w:rPr>
        <w:rFonts w:hint="default"/>
        <w:lang w:val="en-US" w:eastAsia="en-US" w:bidi="ar-SA"/>
      </w:rPr>
    </w:lvl>
    <w:lvl w:ilvl="7" w:tplc="5172EDCC">
      <w:numFmt w:val="bullet"/>
      <w:lvlText w:val="•"/>
      <w:lvlJc w:val="left"/>
      <w:pPr>
        <w:ind w:left="6342" w:hanging="360"/>
      </w:pPr>
      <w:rPr>
        <w:rFonts w:hint="default"/>
        <w:lang w:val="en-US" w:eastAsia="en-US" w:bidi="ar-SA"/>
      </w:rPr>
    </w:lvl>
    <w:lvl w:ilvl="8" w:tplc="3AC02F44">
      <w:numFmt w:val="bullet"/>
      <w:lvlText w:val="•"/>
      <w:lvlJc w:val="left"/>
      <w:pPr>
        <w:ind w:left="7077" w:hanging="360"/>
      </w:pPr>
      <w:rPr>
        <w:rFonts w:hint="default"/>
        <w:lang w:val="en-US" w:eastAsia="en-US" w:bidi="ar-SA"/>
      </w:rPr>
    </w:lvl>
  </w:abstractNum>
  <w:num w:numId="1" w16cid:durableId="166122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0DC2973"/>
    <w:rsid w:val="00511F73"/>
    <w:rsid w:val="005A0CD8"/>
    <w:rsid w:val="00665DAC"/>
    <w:rsid w:val="00687F08"/>
    <w:rsid w:val="006B7354"/>
    <w:rsid w:val="00FF27E2"/>
    <w:rsid w:val="50DC29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4523"/>
  <w15:docId w15:val="{5C58FEAE-8C9B-4864-866A-AD08E7C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right="2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spacing w:before="87"/>
      <w:ind w:left="1200" w:right="12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F0827-A7A5-40B9-8CCD-F4DFC2A01EEE}">
  <ds:schemaRefs>
    <ds:schemaRef ds:uri="http://schemas.microsoft.com/sharepoint/v3/contenttype/forms"/>
  </ds:schemaRefs>
</ds:datastoreItem>
</file>

<file path=customXml/itemProps2.xml><?xml version="1.0" encoding="utf-8"?>
<ds:datastoreItem xmlns:ds="http://schemas.openxmlformats.org/officeDocument/2006/customXml" ds:itemID="{A0DDD229-4AE1-47E3-A437-0F786E28AD79}">
  <ds:schemaRefs>
    <ds:schemaRef ds:uri="http://schemas.microsoft.com/office/infopath/2007/PartnerControls"/>
    <ds:schemaRef ds:uri="http://purl.org/dc/dcmitype/"/>
    <ds:schemaRef ds:uri="http://purl.org/dc/elements/1.1/"/>
    <ds:schemaRef ds:uri="68f19371-ebe6-4483-8e72-73d36cd7064e"/>
    <ds:schemaRef ds:uri="http://purl.org/dc/term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465a54fe-435b-4423-8fe2-c9a3626b31f7"/>
  </ds:schemaRefs>
</ds:datastoreItem>
</file>

<file path=customXml/itemProps3.xml><?xml version="1.0" encoding="utf-8"?>
<ds:datastoreItem xmlns:ds="http://schemas.openxmlformats.org/officeDocument/2006/customXml" ds:itemID="{D84EB49C-15C9-4773-8CC8-A19EB7AF9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Murphy</cp:lastModifiedBy>
  <cp:revision>3</cp:revision>
  <dcterms:created xsi:type="dcterms:W3CDTF">2024-11-12T14:43:00Z</dcterms:created>
  <dcterms:modified xsi:type="dcterms:W3CDTF">2024-11-12T14:47:00Z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Microsoft® Word for Microsoft 365</vt:lpwstr>
  </property>
  <property fmtid="{D5CDD505-2E9C-101B-9397-08002B2CF9AE}" pid="4" name="LastSaved">
    <vt:filetime>2024-09-27T00:00:00Z</vt:filetime>
  </property>
  <property fmtid="{D5CDD505-2E9C-101B-9397-08002B2CF9AE}" pid="5" name="Producer">
    <vt:lpwstr>Microsoft® Word for Microsoft 365</vt:lpwstr>
  </property>
  <property fmtid="{D5CDD505-2E9C-101B-9397-08002B2CF9AE}" pid="6" name="ContentTypeId">
    <vt:lpwstr>0x0101003300E5E64B980D458C754FFE05DEE26D</vt:lpwstr>
  </property>
  <property fmtid="{D5CDD505-2E9C-101B-9397-08002B2CF9AE}" pid="7" name="MSIP_Label_c69d85d5-6d9e-4305-a294-1f636ec0f2d6_Enabled">
    <vt:lpwstr>true</vt:lpwstr>
  </property>
  <property fmtid="{D5CDD505-2E9C-101B-9397-08002B2CF9AE}" pid="8" name="MSIP_Label_c69d85d5-6d9e-4305-a294-1f636ec0f2d6_SetDate">
    <vt:lpwstr>2024-11-12T14:43:58Z</vt:lpwstr>
  </property>
  <property fmtid="{D5CDD505-2E9C-101B-9397-08002B2CF9AE}" pid="9" name="MSIP_Label_c69d85d5-6d9e-4305-a294-1f636ec0f2d6_Method">
    <vt:lpwstr>Standard</vt:lpwstr>
  </property>
  <property fmtid="{D5CDD505-2E9C-101B-9397-08002B2CF9AE}" pid="10" name="MSIP_Label_c69d85d5-6d9e-4305-a294-1f636ec0f2d6_Name">
    <vt:lpwstr>OFFICIAL</vt:lpwstr>
  </property>
  <property fmtid="{D5CDD505-2E9C-101B-9397-08002B2CF9AE}" pid="11" name="MSIP_Label_c69d85d5-6d9e-4305-a294-1f636ec0f2d6_SiteId">
    <vt:lpwstr>6030f479-b342-472d-a5dd-740ff7538de9</vt:lpwstr>
  </property>
  <property fmtid="{D5CDD505-2E9C-101B-9397-08002B2CF9AE}" pid="12" name="MSIP_Label_c69d85d5-6d9e-4305-a294-1f636ec0f2d6_ActionId">
    <vt:lpwstr>25dda024-4bd2-4da5-8611-53b209e94b38</vt:lpwstr>
  </property>
  <property fmtid="{D5CDD505-2E9C-101B-9397-08002B2CF9AE}" pid="13" name="MSIP_Label_c69d85d5-6d9e-4305-a294-1f636ec0f2d6_ContentBits">
    <vt:lpwstr>0</vt:lpwstr>
  </property>
</Properties>
</file>