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BA0B25" w14:textId="77777777" w:rsidR="006E7F81" w:rsidRDefault="00000000">
      <w:pPr>
        <w:pStyle w:val="BodyText"/>
        <w:spacing w:before="69"/>
        <w:ind w:left="9967" w:right="100" w:firstLine="710"/>
        <w:jc w:val="right"/>
      </w:pPr>
      <w:r>
        <w:rPr>
          <w:noProof/>
        </w:rPr>
        <w:drawing>
          <wp:anchor distT="0" distB="0" distL="0" distR="0" simplePos="0" relativeHeight="15729152" behindDoc="0" locked="0" layoutInCell="1" allowOverlap="1" wp14:anchorId="5CBA0B67" wp14:editId="5CBA0B68">
            <wp:simplePos x="0" y="0"/>
            <wp:positionH relativeFrom="page">
              <wp:posOffset>214629</wp:posOffset>
            </wp:positionH>
            <wp:positionV relativeFrom="paragraph">
              <wp:posOffset>36855</wp:posOffset>
            </wp:positionV>
            <wp:extent cx="2800348" cy="496568"/>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0" cstate="print"/>
                    <a:stretch>
                      <a:fillRect/>
                    </a:stretch>
                  </pic:blipFill>
                  <pic:spPr>
                    <a:xfrm>
                      <a:off x="0" y="0"/>
                      <a:ext cx="2800348" cy="496568"/>
                    </a:xfrm>
                    <a:prstGeom prst="rect">
                      <a:avLst/>
                    </a:prstGeom>
                  </pic:spPr>
                </pic:pic>
              </a:graphicData>
            </a:graphic>
          </wp:anchor>
        </w:drawing>
      </w:r>
      <w:r>
        <w:rPr>
          <w:color w:val="0E0E0E"/>
        </w:rPr>
        <w:t>2</w:t>
      </w:r>
      <w:proofErr w:type="spellStart"/>
      <w:r>
        <w:rPr>
          <w:color w:val="0E0E0E"/>
          <w:position w:val="6"/>
          <w:sz w:val="13"/>
        </w:rPr>
        <w:t>nd</w:t>
      </w:r>
      <w:proofErr w:type="spellEnd"/>
      <w:r>
        <w:rPr>
          <w:color w:val="0E0E0E"/>
          <w:spacing w:val="-1"/>
          <w:position w:val="6"/>
          <w:sz w:val="13"/>
        </w:rPr>
        <w:t xml:space="preserve"> </w:t>
      </w:r>
      <w:r>
        <w:rPr>
          <w:color w:val="0E0E0E"/>
        </w:rPr>
        <w:t>Floor 2</w:t>
      </w:r>
      <w:r>
        <w:rPr>
          <w:color w:val="0E0E0E"/>
          <w:spacing w:val="-5"/>
        </w:rPr>
        <w:t xml:space="preserve"> </w:t>
      </w:r>
      <w:r>
        <w:rPr>
          <w:color w:val="0E0E0E"/>
        </w:rPr>
        <w:t>Redman</w:t>
      </w:r>
      <w:r>
        <w:rPr>
          <w:color w:val="0E0E0E"/>
          <w:spacing w:val="-5"/>
        </w:rPr>
        <w:t xml:space="preserve"> </w:t>
      </w:r>
      <w:r>
        <w:rPr>
          <w:color w:val="0E0E0E"/>
          <w:spacing w:val="-2"/>
        </w:rPr>
        <w:t>Place</w:t>
      </w:r>
    </w:p>
    <w:p w14:paraId="5CBA0B26" w14:textId="77777777" w:rsidR="006E7F81" w:rsidRDefault="00000000">
      <w:pPr>
        <w:pStyle w:val="BodyText"/>
        <w:ind w:left="10667" w:right="100" w:firstLine="110"/>
        <w:jc w:val="right"/>
      </w:pPr>
      <w:r>
        <w:rPr>
          <w:color w:val="0E0E0E"/>
          <w:spacing w:val="-2"/>
        </w:rPr>
        <w:t xml:space="preserve">London </w:t>
      </w:r>
      <w:r>
        <w:rPr>
          <w:color w:val="0E0E0E"/>
        </w:rPr>
        <w:t>E20</w:t>
      </w:r>
      <w:r>
        <w:rPr>
          <w:color w:val="0E0E0E"/>
          <w:spacing w:val="-5"/>
        </w:rPr>
        <w:t xml:space="preserve"> 1JQ</w:t>
      </w:r>
    </w:p>
    <w:p w14:paraId="5CBA0B27" w14:textId="77777777" w:rsidR="006E7F81" w:rsidRDefault="00000000">
      <w:pPr>
        <w:pStyle w:val="BodyText"/>
        <w:ind w:right="101"/>
        <w:jc w:val="right"/>
      </w:pPr>
      <w:r>
        <w:rPr>
          <w:color w:val="0E0E0E"/>
        </w:rPr>
        <w:t>United</w:t>
      </w:r>
      <w:r>
        <w:rPr>
          <w:color w:val="0E0E0E"/>
          <w:spacing w:val="-7"/>
        </w:rPr>
        <w:t xml:space="preserve"> </w:t>
      </w:r>
      <w:r>
        <w:rPr>
          <w:color w:val="0E0E0E"/>
          <w:spacing w:val="-2"/>
        </w:rPr>
        <w:t>Kingdom</w:t>
      </w:r>
    </w:p>
    <w:p w14:paraId="5CBA0B28" w14:textId="77777777" w:rsidR="006E7F81" w:rsidRDefault="006E7F81">
      <w:pPr>
        <w:pStyle w:val="BodyText"/>
      </w:pPr>
    </w:p>
    <w:p w14:paraId="5CBA0B29" w14:textId="77777777" w:rsidR="006E7F81" w:rsidRDefault="00000000">
      <w:pPr>
        <w:pStyle w:val="BodyText"/>
        <w:ind w:right="101"/>
        <w:jc w:val="right"/>
        <w:rPr>
          <w:rFonts w:ascii="Lato"/>
        </w:rPr>
      </w:pPr>
      <w:r>
        <w:rPr>
          <w:rFonts w:ascii="Lato"/>
        </w:rPr>
        <w:t>+44</w:t>
      </w:r>
      <w:r>
        <w:rPr>
          <w:rFonts w:ascii="Lato"/>
          <w:spacing w:val="-5"/>
        </w:rPr>
        <w:t xml:space="preserve"> </w:t>
      </w:r>
      <w:r>
        <w:rPr>
          <w:rFonts w:ascii="Lato"/>
        </w:rPr>
        <w:t>(0)300</w:t>
      </w:r>
      <w:r>
        <w:rPr>
          <w:rFonts w:ascii="Lato"/>
          <w:spacing w:val="-4"/>
        </w:rPr>
        <w:t xml:space="preserve"> </w:t>
      </w:r>
      <w:r>
        <w:rPr>
          <w:rFonts w:ascii="Lato"/>
        </w:rPr>
        <w:t>323</w:t>
      </w:r>
      <w:r>
        <w:rPr>
          <w:rFonts w:ascii="Lato"/>
          <w:spacing w:val="-7"/>
        </w:rPr>
        <w:t xml:space="preserve"> </w:t>
      </w:r>
      <w:r>
        <w:rPr>
          <w:rFonts w:ascii="Lato"/>
          <w:spacing w:val="-4"/>
        </w:rPr>
        <w:t>0140</w:t>
      </w:r>
    </w:p>
    <w:p w14:paraId="5CBA0B2A" w14:textId="77777777" w:rsidR="006E7F81" w:rsidRDefault="006E7F81">
      <w:pPr>
        <w:pStyle w:val="BodyText"/>
        <w:spacing w:before="29"/>
        <w:rPr>
          <w:rFonts w:ascii="Lato"/>
        </w:rPr>
      </w:pPr>
    </w:p>
    <w:p w14:paraId="5CBA0B2C" w14:textId="74FA1C78" w:rsidR="006E7F81" w:rsidRPr="00612FC1" w:rsidRDefault="00000000" w:rsidP="00612FC1">
      <w:pPr>
        <w:pStyle w:val="BodyText"/>
        <w:spacing w:line="480" w:lineRule="auto"/>
        <w:ind w:left="1380" w:right="7227"/>
        <w:rPr>
          <w:spacing w:val="-14"/>
        </w:rPr>
      </w:pPr>
      <w:r>
        <w:t>Sent</w:t>
      </w:r>
      <w:r>
        <w:rPr>
          <w:spacing w:val="-4"/>
        </w:rPr>
        <w:t xml:space="preserve"> </w:t>
      </w:r>
      <w:r>
        <w:t>by</w:t>
      </w:r>
      <w:r>
        <w:rPr>
          <w:spacing w:val="-5"/>
        </w:rPr>
        <w:t xml:space="preserve"> </w:t>
      </w:r>
      <w:r>
        <w:t>e-mail</w:t>
      </w:r>
      <w:r>
        <w:rPr>
          <w:spacing w:val="-6"/>
        </w:rPr>
        <w:t xml:space="preserve"> </w:t>
      </w:r>
      <w:r>
        <w:t>only:</w:t>
      </w:r>
      <w:r>
        <w:rPr>
          <w:spacing w:val="-5"/>
        </w:rPr>
        <w:t xml:space="preserve"> </w:t>
      </w:r>
      <w:r w:rsidR="00490A02" w:rsidRPr="00490A02">
        <w:rPr>
          <w:highlight w:val="black"/>
        </w:rPr>
        <w:t>XXXXXXXXXXX XXXXXXXX</w:t>
      </w:r>
      <w:r w:rsidR="00490A02">
        <w:t xml:space="preserve"> </w:t>
      </w:r>
    </w:p>
    <w:p w14:paraId="4D2192D7" w14:textId="66342E2A" w:rsidR="00E974D6" w:rsidRPr="00E974D6" w:rsidRDefault="00000000" w:rsidP="00C6256D">
      <w:pPr>
        <w:pStyle w:val="BodyText"/>
        <w:spacing w:line="480" w:lineRule="auto"/>
        <w:ind w:left="1380" w:right="7227"/>
        <w:rPr>
          <w:spacing w:val="-14"/>
        </w:rPr>
      </w:pPr>
      <w:r>
        <w:t>FAO</w:t>
      </w:r>
      <w:r w:rsidR="00E974D6" w:rsidRPr="00490A02">
        <w:rPr>
          <w:highlight w:val="black"/>
        </w:rPr>
        <w:t xml:space="preserve">XXXXXXXXXXX </w:t>
      </w:r>
    </w:p>
    <w:p w14:paraId="5CBA0B2E" w14:textId="55CE3869" w:rsidR="006E7F81" w:rsidRDefault="00000000" w:rsidP="00C6256D">
      <w:pPr>
        <w:pStyle w:val="BodyText"/>
        <w:spacing w:line="480" w:lineRule="auto"/>
        <w:ind w:left="1380" w:right="7227"/>
      </w:pPr>
      <w:r>
        <w:t>CDKL5 UK</w:t>
      </w:r>
    </w:p>
    <w:p w14:paraId="5CBA0B2F" w14:textId="77777777" w:rsidR="006E7F81" w:rsidRDefault="00000000">
      <w:pPr>
        <w:pStyle w:val="BodyText"/>
        <w:ind w:left="1380"/>
      </w:pPr>
      <w:r>
        <w:t>24</w:t>
      </w:r>
      <w:r>
        <w:rPr>
          <w:spacing w:val="-10"/>
        </w:rPr>
        <w:t xml:space="preserve"> </w:t>
      </w:r>
      <w:r>
        <w:t>September</w:t>
      </w:r>
      <w:r>
        <w:rPr>
          <w:spacing w:val="-6"/>
        </w:rPr>
        <w:t xml:space="preserve"> </w:t>
      </w:r>
      <w:r>
        <w:rPr>
          <w:spacing w:val="-4"/>
        </w:rPr>
        <w:t>2024</w:t>
      </w:r>
    </w:p>
    <w:p w14:paraId="5CBA0B30" w14:textId="77777777" w:rsidR="006E7F81" w:rsidRDefault="006E7F81">
      <w:pPr>
        <w:pStyle w:val="BodyText"/>
      </w:pPr>
    </w:p>
    <w:p w14:paraId="5CBA0B32" w14:textId="1A33BFDE" w:rsidR="006E7F81" w:rsidRDefault="006E7F81" w:rsidP="00C6256D">
      <w:pPr>
        <w:pStyle w:val="BodyText"/>
        <w:tabs>
          <w:tab w:val="left" w:pos="2690"/>
        </w:tabs>
        <w:spacing w:before="8"/>
      </w:pPr>
    </w:p>
    <w:p w14:paraId="5CBA0B33" w14:textId="7BB713DD" w:rsidR="006E7F81" w:rsidRDefault="00000000">
      <w:pPr>
        <w:pStyle w:val="BodyText"/>
        <w:ind w:left="1380"/>
      </w:pPr>
      <w:r>
        <w:t>Dear</w:t>
      </w:r>
      <w:r>
        <w:rPr>
          <w:spacing w:val="-10"/>
        </w:rPr>
        <w:t xml:space="preserve"> </w:t>
      </w:r>
      <w:r w:rsidR="00E974D6" w:rsidRPr="00490A02">
        <w:rPr>
          <w:highlight w:val="black"/>
        </w:rPr>
        <w:t>XXXXXXXXXXX XXXXXXXX</w:t>
      </w:r>
    </w:p>
    <w:p w14:paraId="5CBA0B34" w14:textId="77777777" w:rsidR="006E7F81" w:rsidRDefault="006E7F81">
      <w:pPr>
        <w:pStyle w:val="BodyText"/>
        <w:spacing w:before="6"/>
      </w:pPr>
    </w:p>
    <w:p w14:paraId="5CBA0B35" w14:textId="77777777" w:rsidR="006E7F81" w:rsidRDefault="00000000">
      <w:pPr>
        <w:spacing w:line="276" w:lineRule="auto"/>
        <w:ind w:left="1806" w:right="977" w:hanging="427"/>
        <w:rPr>
          <w:b/>
          <w:sz w:val="20"/>
        </w:rPr>
      </w:pPr>
      <w:r>
        <w:rPr>
          <w:noProof/>
        </w:rPr>
        <mc:AlternateContent>
          <mc:Choice Requires="wps">
            <w:drawing>
              <wp:anchor distT="0" distB="0" distL="0" distR="0" simplePos="0" relativeHeight="15729664" behindDoc="0" locked="0" layoutInCell="1" allowOverlap="1" wp14:anchorId="5CBA0B69" wp14:editId="5CBA0B6A">
                <wp:simplePos x="0" y="0"/>
                <wp:positionH relativeFrom="page">
                  <wp:posOffset>108586</wp:posOffset>
                </wp:positionH>
                <wp:positionV relativeFrom="paragraph">
                  <wp:posOffset>255739</wp:posOffset>
                </wp:positionV>
                <wp:extent cx="81915" cy="127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1915" cy="1270"/>
                        </a:xfrm>
                        <a:custGeom>
                          <a:avLst/>
                          <a:gdLst/>
                          <a:ahLst/>
                          <a:cxnLst/>
                          <a:rect l="l" t="t" r="r" b="b"/>
                          <a:pathLst>
                            <a:path w="81915">
                              <a:moveTo>
                                <a:pt x="0" y="0"/>
                              </a:moveTo>
                              <a:lnTo>
                                <a:pt x="81915" y="0"/>
                              </a:lnTo>
                            </a:path>
                          </a:pathLst>
                        </a:custGeom>
                        <a:ln w="3175">
                          <a:solidFill>
                            <a:srgbClr val="505050"/>
                          </a:solidFill>
                          <a:prstDash val="solid"/>
                        </a:ln>
                      </wps:spPr>
                      <wps:bodyPr wrap="square" lIns="0" tIns="0" rIns="0" bIns="0" rtlCol="0">
                        <a:prstTxWarp prst="textNoShape">
                          <a:avLst/>
                        </a:prstTxWarp>
                        <a:noAutofit/>
                      </wps:bodyPr>
                    </wps:wsp>
                  </a:graphicData>
                </a:graphic>
              </wp:anchor>
            </w:drawing>
          </mc:Choice>
          <mc:Fallback>
            <w:pict>
              <v:shape w14:anchorId="4A83F16D" id="Graphic 2" o:spid="_x0000_s1026" style="position:absolute;margin-left:8.55pt;margin-top:20.15pt;width:6.45pt;height:.1pt;z-index:15729664;visibility:visible;mso-wrap-style:square;mso-wrap-distance-left:0;mso-wrap-distance-top:0;mso-wrap-distance-right:0;mso-wrap-distance-bottom:0;mso-position-horizontal:absolute;mso-position-horizontal-relative:page;mso-position-vertical:absolute;mso-position-vertical-relative:text;v-text-anchor:top" coordsize="819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" path="m,l81915,e" filled="f" strokecolor="#505050" strokeweight=".25pt">
                <v:path arrowok="t"/>
                <w10:wrap anchorx="page"/>
              </v:shape>
            </w:pict>
          </mc:Fallback>
        </mc:AlternateContent>
      </w:r>
      <w:r>
        <w:rPr>
          <w:b/>
          <w:sz w:val="20"/>
        </w:rPr>
        <w:t xml:space="preserve">Re: Final Draft Guidance - </w:t>
      </w:r>
      <w:proofErr w:type="spellStart"/>
      <w:r>
        <w:rPr>
          <w:b/>
          <w:sz w:val="20"/>
        </w:rPr>
        <w:t>Ganaxolone</w:t>
      </w:r>
      <w:proofErr w:type="spellEnd"/>
      <w:r>
        <w:rPr>
          <w:b/>
          <w:sz w:val="20"/>
        </w:rPr>
        <w:t xml:space="preserve"> for treating seizures caused by CDKL5 deficiency disorder in people 2 years and over (ID3988)</w:t>
      </w:r>
    </w:p>
    <w:p w14:paraId="5CBA0B36" w14:textId="77777777" w:rsidR="006E7F81" w:rsidRDefault="00000000">
      <w:pPr>
        <w:pStyle w:val="BodyText"/>
        <w:spacing w:before="201" w:line="276" w:lineRule="auto"/>
        <w:ind w:left="1379" w:right="1141"/>
        <w:jc w:val="both"/>
      </w:pPr>
      <w:r>
        <w:t>Thank</w:t>
      </w:r>
      <w:r>
        <w:rPr>
          <w:spacing w:val="-3"/>
        </w:rPr>
        <w:t xml:space="preserve"> </w:t>
      </w:r>
      <w:r>
        <w:t>you</w:t>
      </w:r>
      <w:r>
        <w:rPr>
          <w:spacing w:val="-4"/>
        </w:rPr>
        <w:t xml:space="preserve"> </w:t>
      </w:r>
      <w:r>
        <w:t>for</w:t>
      </w:r>
      <w:r>
        <w:rPr>
          <w:spacing w:val="-3"/>
        </w:rPr>
        <w:t xml:space="preserve"> </w:t>
      </w:r>
      <w:r>
        <w:t>your</w:t>
      </w:r>
      <w:r>
        <w:rPr>
          <w:spacing w:val="-3"/>
        </w:rPr>
        <w:t xml:space="preserve"> </w:t>
      </w:r>
      <w:r>
        <w:t>letter</w:t>
      </w:r>
      <w:r>
        <w:rPr>
          <w:spacing w:val="-3"/>
        </w:rPr>
        <w:t xml:space="preserve"> </w:t>
      </w:r>
      <w:r>
        <w:t>of</w:t>
      </w:r>
      <w:r>
        <w:rPr>
          <w:spacing w:val="-4"/>
        </w:rPr>
        <w:t xml:space="preserve"> </w:t>
      </w:r>
      <w:r>
        <w:t>17</w:t>
      </w:r>
      <w:r>
        <w:rPr>
          <w:spacing w:val="-4"/>
        </w:rPr>
        <w:t xml:space="preserve"> </w:t>
      </w:r>
      <w:r>
        <w:t>September</w:t>
      </w:r>
      <w:r>
        <w:rPr>
          <w:spacing w:val="-3"/>
        </w:rPr>
        <w:t xml:space="preserve"> </w:t>
      </w:r>
      <w:r>
        <w:t>2024</w:t>
      </w:r>
      <w:r>
        <w:rPr>
          <w:spacing w:val="-4"/>
        </w:rPr>
        <w:t xml:space="preserve"> </w:t>
      </w:r>
      <w:r>
        <w:t>responding</w:t>
      </w:r>
      <w:r>
        <w:rPr>
          <w:spacing w:val="-4"/>
        </w:rPr>
        <w:t xml:space="preserve"> </w:t>
      </w:r>
      <w:r>
        <w:t>to</w:t>
      </w:r>
      <w:r>
        <w:rPr>
          <w:spacing w:val="-4"/>
        </w:rPr>
        <w:t xml:space="preserve"> </w:t>
      </w:r>
      <w:r>
        <w:t>my</w:t>
      </w:r>
      <w:r>
        <w:rPr>
          <w:spacing w:val="-3"/>
        </w:rPr>
        <w:t xml:space="preserve"> </w:t>
      </w:r>
      <w:r>
        <w:t>initial</w:t>
      </w:r>
      <w:r>
        <w:rPr>
          <w:spacing w:val="-5"/>
        </w:rPr>
        <w:t xml:space="preserve"> </w:t>
      </w:r>
      <w:r>
        <w:t>scrutiny</w:t>
      </w:r>
      <w:r>
        <w:rPr>
          <w:spacing w:val="-3"/>
        </w:rPr>
        <w:t xml:space="preserve"> </w:t>
      </w:r>
      <w:r>
        <w:t>views.</w:t>
      </w:r>
      <w:r>
        <w:rPr>
          <w:spacing w:val="-4"/>
        </w:rPr>
        <w:t xml:space="preserve"> </w:t>
      </w:r>
      <w:r>
        <w:t>This</w:t>
      </w:r>
      <w:r>
        <w:rPr>
          <w:spacing w:val="-3"/>
        </w:rPr>
        <w:t xml:space="preserve"> </w:t>
      </w:r>
      <w:r>
        <w:t>is</w:t>
      </w:r>
      <w:r>
        <w:rPr>
          <w:spacing w:val="-3"/>
        </w:rPr>
        <w:t xml:space="preserve"> </w:t>
      </w:r>
      <w:r>
        <w:t>my</w:t>
      </w:r>
      <w:r>
        <w:rPr>
          <w:spacing w:val="-3"/>
        </w:rPr>
        <w:t xml:space="preserve"> </w:t>
      </w:r>
      <w:r>
        <w:t>final decision on initial scrutiny.</w:t>
      </w:r>
    </w:p>
    <w:p w14:paraId="5CBA0B37" w14:textId="77777777" w:rsidR="006E7F81" w:rsidRDefault="006E7F81">
      <w:pPr>
        <w:pStyle w:val="BodyText"/>
        <w:spacing w:before="8"/>
      </w:pPr>
    </w:p>
    <w:p w14:paraId="5CBA0B38" w14:textId="77777777" w:rsidR="006E7F81" w:rsidRDefault="00000000">
      <w:pPr>
        <w:pStyle w:val="BodyText"/>
        <w:spacing w:before="1" w:line="276" w:lineRule="auto"/>
        <w:ind w:left="1379" w:right="1139"/>
        <w:jc w:val="both"/>
      </w:pPr>
      <w:r>
        <w:t>In my initial scrutiny letter dated 03 September 2024, I invited CDKL5 UK to provide evidence and/or argument as to why you consider that the Committee's approach was arguably unfair in its failure to give</w:t>
      </w:r>
      <w:r>
        <w:rPr>
          <w:spacing w:val="-11"/>
        </w:rPr>
        <w:t xml:space="preserve"> </w:t>
      </w:r>
      <w:r>
        <w:t>adequate</w:t>
      </w:r>
      <w:r>
        <w:rPr>
          <w:spacing w:val="-11"/>
        </w:rPr>
        <w:t xml:space="preserve"> </w:t>
      </w:r>
      <w:r>
        <w:t>time</w:t>
      </w:r>
      <w:r>
        <w:rPr>
          <w:spacing w:val="-11"/>
        </w:rPr>
        <w:t xml:space="preserve"> </w:t>
      </w:r>
      <w:r>
        <w:t>or</w:t>
      </w:r>
      <w:r>
        <w:rPr>
          <w:spacing w:val="-10"/>
        </w:rPr>
        <w:t xml:space="preserve"> </w:t>
      </w:r>
      <w:r>
        <w:t>consideration</w:t>
      </w:r>
      <w:r>
        <w:rPr>
          <w:spacing w:val="-11"/>
        </w:rPr>
        <w:t xml:space="preserve"> </w:t>
      </w:r>
      <w:r>
        <w:t>to</w:t>
      </w:r>
      <w:r>
        <w:rPr>
          <w:spacing w:val="-11"/>
        </w:rPr>
        <w:t xml:space="preserve"> </w:t>
      </w:r>
      <w:r>
        <w:t>further</w:t>
      </w:r>
      <w:r>
        <w:rPr>
          <w:spacing w:val="-10"/>
        </w:rPr>
        <w:t xml:space="preserve"> </w:t>
      </w:r>
      <w:r>
        <w:t>data</w:t>
      </w:r>
      <w:r>
        <w:rPr>
          <w:spacing w:val="-11"/>
        </w:rPr>
        <w:t xml:space="preserve"> </w:t>
      </w:r>
      <w:r>
        <w:t>submitted</w:t>
      </w:r>
      <w:r>
        <w:rPr>
          <w:spacing w:val="-11"/>
        </w:rPr>
        <w:t xml:space="preserve"> </w:t>
      </w:r>
      <w:r>
        <w:t>by</w:t>
      </w:r>
      <w:r>
        <w:rPr>
          <w:spacing w:val="-10"/>
        </w:rPr>
        <w:t xml:space="preserve"> </w:t>
      </w:r>
      <w:r>
        <w:t>the</w:t>
      </w:r>
      <w:r>
        <w:rPr>
          <w:spacing w:val="-11"/>
        </w:rPr>
        <w:t xml:space="preserve"> </w:t>
      </w:r>
      <w:r>
        <w:t>Orion</w:t>
      </w:r>
      <w:r>
        <w:rPr>
          <w:spacing w:val="-11"/>
        </w:rPr>
        <w:t xml:space="preserve"> </w:t>
      </w:r>
      <w:r>
        <w:t>Pharma</w:t>
      </w:r>
      <w:r>
        <w:rPr>
          <w:spacing w:val="-9"/>
        </w:rPr>
        <w:t xml:space="preserve"> </w:t>
      </w:r>
      <w:r>
        <w:t>UK</w:t>
      </w:r>
      <w:r>
        <w:rPr>
          <w:spacing w:val="-12"/>
        </w:rPr>
        <w:t xml:space="preserve"> </w:t>
      </w:r>
      <w:r>
        <w:t>("the</w:t>
      </w:r>
      <w:r>
        <w:rPr>
          <w:spacing w:val="-11"/>
        </w:rPr>
        <w:t xml:space="preserve"> </w:t>
      </w:r>
      <w:r>
        <w:t xml:space="preserve">Company") at the third committee meeting. </w:t>
      </w:r>
      <w:proofErr w:type="gramStart"/>
      <w:r>
        <w:t>In particular I</w:t>
      </w:r>
      <w:proofErr w:type="gramEnd"/>
      <w:r>
        <w:t xml:space="preserve"> invited you to point me to papers evidencing what consideration (if any) was given at the third committee meeting to this data, how much time/consideration you say was required as a matter of procedural fairness and what impact you say further</w:t>
      </w:r>
      <w:r>
        <w:rPr>
          <w:spacing w:val="-1"/>
        </w:rPr>
        <w:t xml:space="preserve"> </w:t>
      </w:r>
      <w:r>
        <w:t>consideration by the Committee would or</w:t>
      </w:r>
      <w:r>
        <w:rPr>
          <w:spacing w:val="-1"/>
        </w:rPr>
        <w:t xml:space="preserve"> </w:t>
      </w:r>
      <w:r>
        <w:t>may have</w:t>
      </w:r>
      <w:r>
        <w:rPr>
          <w:spacing w:val="-1"/>
        </w:rPr>
        <w:t xml:space="preserve"> </w:t>
      </w:r>
      <w:r>
        <w:t>had</w:t>
      </w:r>
      <w:r>
        <w:rPr>
          <w:spacing w:val="-1"/>
        </w:rPr>
        <w:t xml:space="preserve"> </w:t>
      </w:r>
      <w:r>
        <w:t>on</w:t>
      </w:r>
      <w:r>
        <w:rPr>
          <w:spacing w:val="-1"/>
        </w:rPr>
        <w:t xml:space="preserve"> </w:t>
      </w:r>
      <w:r>
        <w:t>its decision-making.</w:t>
      </w:r>
      <w:r>
        <w:rPr>
          <w:spacing w:val="-1"/>
        </w:rPr>
        <w:t xml:space="preserve"> </w:t>
      </w:r>
      <w:r>
        <w:t>I note</w:t>
      </w:r>
      <w:r>
        <w:rPr>
          <w:spacing w:val="-1"/>
        </w:rPr>
        <w:t xml:space="preserve"> </w:t>
      </w:r>
      <w:r>
        <w:t xml:space="preserve">that you have not </w:t>
      </w:r>
      <w:proofErr w:type="gramStart"/>
      <w:r>
        <w:t>provided that</w:t>
      </w:r>
      <w:proofErr w:type="gramEnd"/>
      <w:r>
        <w:t xml:space="preserve"> information but have made some further comments and arguments relating to the committee's approach to the data on utility values. I respond to your further comments below.</w:t>
      </w:r>
    </w:p>
    <w:p w14:paraId="5CBA0B39" w14:textId="77777777" w:rsidR="006E7F81" w:rsidRDefault="006E7F81">
      <w:pPr>
        <w:pStyle w:val="BodyText"/>
        <w:spacing w:before="9"/>
      </w:pPr>
    </w:p>
    <w:p w14:paraId="5CBA0B3A" w14:textId="77777777" w:rsidR="006E7F81" w:rsidRDefault="00000000">
      <w:pPr>
        <w:spacing w:before="1"/>
        <w:ind w:left="1379"/>
        <w:rPr>
          <w:b/>
          <w:i/>
          <w:sz w:val="20"/>
        </w:rPr>
      </w:pPr>
      <w:r>
        <w:rPr>
          <w:b/>
          <w:i/>
          <w:sz w:val="20"/>
        </w:rPr>
        <w:t>Ground</w:t>
      </w:r>
      <w:r>
        <w:rPr>
          <w:b/>
          <w:i/>
          <w:spacing w:val="-7"/>
          <w:sz w:val="20"/>
        </w:rPr>
        <w:t xml:space="preserve"> </w:t>
      </w:r>
      <w:r>
        <w:rPr>
          <w:b/>
          <w:i/>
          <w:sz w:val="20"/>
        </w:rPr>
        <w:t>1(a)</w:t>
      </w:r>
      <w:r>
        <w:rPr>
          <w:b/>
          <w:i/>
          <w:spacing w:val="-4"/>
          <w:sz w:val="20"/>
        </w:rPr>
        <w:t xml:space="preserve"> </w:t>
      </w:r>
      <w:r>
        <w:rPr>
          <w:b/>
          <w:i/>
          <w:sz w:val="20"/>
        </w:rPr>
        <w:t>NICE</w:t>
      </w:r>
      <w:r>
        <w:rPr>
          <w:b/>
          <w:i/>
          <w:spacing w:val="-7"/>
          <w:sz w:val="20"/>
        </w:rPr>
        <w:t xml:space="preserve"> </w:t>
      </w:r>
      <w:r>
        <w:rPr>
          <w:b/>
          <w:i/>
          <w:sz w:val="20"/>
        </w:rPr>
        <w:t>has</w:t>
      </w:r>
      <w:r>
        <w:rPr>
          <w:b/>
          <w:i/>
          <w:spacing w:val="-5"/>
          <w:sz w:val="20"/>
        </w:rPr>
        <w:t xml:space="preserve"> </w:t>
      </w:r>
      <w:r>
        <w:rPr>
          <w:b/>
          <w:i/>
          <w:sz w:val="20"/>
        </w:rPr>
        <w:t>failed</w:t>
      </w:r>
      <w:r>
        <w:rPr>
          <w:b/>
          <w:i/>
          <w:spacing w:val="-5"/>
          <w:sz w:val="20"/>
        </w:rPr>
        <w:t xml:space="preserve"> </w:t>
      </w:r>
      <w:r>
        <w:rPr>
          <w:b/>
          <w:i/>
          <w:sz w:val="20"/>
        </w:rPr>
        <w:t>to</w:t>
      </w:r>
      <w:r>
        <w:rPr>
          <w:b/>
          <w:i/>
          <w:spacing w:val="-4"/>
          <w:sz w:val="20"/>
        </w:rPr>
        <w:t xml:space="preserve"> </w:t>
      </w:r>
      <w:r>
        <w:rPr>
          <w:b/>
          <w:i/>
          <w:sz w:val="20"/>
        </w:rPr>
        <w:t>act</w:t>
      </w:r>
      <w:r>
        <w:rPr>
          <w:b/>
          <w:i/>
          <w:spacing w:val="-4"/>
          <w:sz w:val="20"/>
        </w:rPr>
        <w:t xml:space="preserve"> </w:t>
      </w:r>
      <w:r>
        <w:rPr>
          <w:b/>
          <w:i/>
          <w:spacing w:val="-2"/>
          <w:sz w:val="20"/>
        </w:rPr>
        <w:t>fairly</w:t>
      </w:r>
    </w:p>
    <w:p w14:paraId="5CBA0B3B" w14:textId="77777777" w:rsidR="006E7F81" w:rsidRDefault="006E7F81">
      <w:pPr>
        <w:pStyle w:val="BodyText"/>
        <w:spacing w:before="43"/>
        <w:rPr>
          <w:b/>
          <w:i/>
        </w:rPr>
      </w:pPr>
    </w:p>
    <w:p w14:paraId="5CBA0B3C" w14:textId="77777777" w:rsidR="006E7F81" w:rsidRDefault="00000000">
      <w:pPr>
        <w:spacing w:before="1" w:line="276" w:lineRule="auto"/>
        <w:ind w:left="1379" w:right="1141"/>
        <w:jc w:val="both"/>
        <w:rPr>
          <w:b/>
          <w:i/>
          <w:sz w:val="20"/>
        </w:rPr>
      </w:pPr>
      <w:r>
        <w:rPr>
          <w:b/>
          <w:i/>
          <w:sz w:val="20"/>
        </w:rPr>
        <w:t xml:space="preserve">Appeal </w:t>
      </w:r>
      <w:proofErr w:type="gramStart"/>
      <w:r>
        <w:rPr>
          <w:b/>
          <w:i/>
          <w:sz w:val="20"/>
        </w:rPr>
        <w:t>point</w:t>
      </w:r>
      <w:proofErr w:type="gramEnd"/>
      <w:r>
        <w:rPr>
          <w:b/>
          <w:i/>
          <w:sz w:val="20"/>
        </w:rPr>
        <w:t xml:space="preserve"> 1.1(a): that the Committee gave inadequate time and/or consideration to data submitted by the company at the third Committee meeting.</w:t>
      </w:r>
    </w:p>
    <w:p w14:paraId="5CBA0B3D" w14:textId="77777777" w:rsidR="006E7F81" w:rsidRDefault="006E7F81">
      <w:pPr>
        <w:pStyle w:val="BodyText"/>
        <w:spacing w:before="11"/>
        <w:rPr>
          <w:b/>
          <w:i/>
        </w:rPr>
      </w:pPr>
    </w:p>
    <w:p w14:paraId="5CBA0B3E" w14:textId="77777777" w:rsidR="006E7F81" w:rsidRDefault="00000000">
      <w:pPr>
        <w:pStyle w:val="BodyText"/>
        <w:ind w:left="1379"/>
      </w:pPr>
      <w:r>
        <w:t>In</w:t>
      </w:r>
      <w:r>
        <w:rPr>
          <w:spacing w:val="-7"/>
        </w:rPr>
        <w:t xml:space="preserve"> </w:t>
      </w:r>
      <w:r>
        <w:t>your</w:t>
      </w:r>
      <w:r>
        <w:rPr>
          <w:spacing w:val="-5"/>
        </w:rPr>
        <w:t xml:space="preserve"> </w:t>
      </w:r>
      <w:r>
        <w:t>response,</w:t>
      </w:r>
      <w:r>
        <w:rPr>
          <w:spacing w:val="-7"/>
        </w:rPr>
        <w:t xml:space="preserve"> </w:t>
      </w:r>
      <w:r>
        <w:rPr>
          <w:spacing w:val="-4"/>
        </w:rPr>
        <w:t>you:</w:t>
      </w:r>
    </w:p>
    <w:p w14:paraId="5CBA0B3F" w14:textId="77777777" w:rsidR="006E7F81" w:rsidRDefault="006E7F81">
      <w:pPr>
        <w:pStyle w:val="BodyText"/>
        <w:spacing w:before="44"/>
      </w:pPr>
    </w:p>
    <w:p w14:paraId="5CBA0B40" w14:textId="77777777" w:rsidR="006E7F81" w:rsidRDefault="00000000">
      <w:pPr>
        <w:pStyle w:val="ListParagraph"/>
        <w:numPr>
          <w:ilvl w:val="0"/>
          <w:numId w:val="1"/>
        </w:numPr>
        <w:tabs>
          <w:tab w:val="left" w:pos="2096"/>
          <w:tab w:val="left" w:pos="2098"/>
        </w:tabs>
        <w:spacing w:line="276" w:lineRule="auto"/>
        <w:ind w:right="1143"/>
        <w:jc w:val="both"/>
        <w:rPr>
          <w:sz w:val="20"/>
        </w:rPr>
      </w:pPr>
      <w:r>
        <w:rPr>
          <w:sz w:val="20"/>
        </w:rPr>
        <w:t>Note that you cannot see reference to the international parent caregiver survey in the EAG or company submissions for the third meeting</w:t>
      </w:r>
    </w:p>
    <w:p w14:paraId="5CBA0B41" w14:textId="77777777" w:rsidR="006E7F81" w:rsidRDefault="006E7F81">
      <w:pPr>
        <w:pStyle w:val="BodyText"/>
        <w:spacing w:before="9"/>
      </w:pPr>
    </w:p>
    <w:p w14:paraId="5CBA0B42" w14:textId="77777777" w:rsidR="006E7F81" w:rsidRDefault="00000000">
      <w:pPr>
        <w:pStyle w:val="ListParagraph"/>
        <w:numPr>
          <w:ilvl w:val="0"/>
          <w:numId w:val="1"/>
        </w:numPr>
        <w:tabs>
          <w:tab w:val="left" w:pos="2096"/>
          <w:tab w:val="left" w:pos="2098"/>
        </w:tabs>
        <w:spacing w:line="276" w:lineRule="auto"/>
        <w:ind w:right="1140"/>
        <w:jc w:val="both"/>
        <w:rPr>
          <w:sz w:val="20"/>
        </w:rPr>
      </w:pPr>
      <w:r>
        <w:rPr>
          <w:sz w:val="20"/>
        </w:rPr>
        <w:t>State that there was debate between the company, EAG and committee as to how best to assess burden of illness</w:t>
      </w:r>
    </w:p>
    <w:p w14:paraId="5CBA0B43" w14:textId="77777777" w:rsidR="006E7F81" w:rsidRDefault="006E7F81">
      <w:pPr>
        <w:pStyle w:val="BodyText"/>
        <w:spacing w:before="9"/>
      </w:pPr>
    </w:p>
    <w:p w14:paraId="5CBA0B44" w14:textId="77777777" w:rsidR="006E7F81" w:rsidRDefault="00000000">
      <w:pPr>
        <w:pStyle w:val="ListParagraph"/>
        <w:numPr>
          <w:ilvl w:val="0"/>
          <w:numId w:val="1"/>
        </w:numPr>
        <w:tabs>
          <w:tab w:val="left" w:pos="2096"/>
          <w:tab w:val="left" w:pos="2098"/>
        </w:tabs>
        <w:spacing w:line="278" w:lineRule="auto"/>
        <w:jc w:val="both"/>
        <w:rPr>
          <w:sz w:val="20"/>
        </w:rPr>
      </w:pPr>
      <w:r>
        <w:rPr>
          <w:sz w:val="20"/>
        </w:rPr>
        <w:t>Express disappointment that the "</w:t>
      </w:r>
      <w:r>
        <w:rPr>
          <w:i/>
          <w:sz w:val="20"/>
        </w:rPr>
        <w:t xml:space="preserve">EAG remain </w:t>
      </w:r>
      <w:proofErr w:type="spellStart"/>
      <w:r>
        <w:rPr>
          <w:i/>
          <w:sz w:val="20"/>
        </w:rPr>
        <w:t>focussed</w:t>
      </w:r>
      <w:proofErr w:type="spellEnd"/>
      <w:r>
        <w:rPr>
          <w:i/>
          <w:sz w:val="20"/>
        </w:rPr>
        <w:t xml:space="preserve"> on using </w:t>
      </w:r>
      <w:proofErr w:type="spellStart"/>
      <w:r>
        <w:rPr>
          <w:i/>
          <w:sz w:val="20"/>
        </w:rPr>
        <w:t>Auvin</w:t>
      </w:r>
      <w:proofErr w:type="spellEnd"/>
      <w:r>
        <w:rPr>
          <w:i/>
          <w:sz w:val="20"/>
        </w:rPr>
        <w:t xml:space="preserve"> as the most suitable proxy for CDD whilst acknowledging it's limitation</w:t>
      </w:r>
      <w:r>
        <w:rPr>
          <w:sz w:val="20"/>
        </w:rPr>
        <w:t>"</w:t>
      </w:r>
    </w:p>
    <w:p w14:paraId="5CBA0B45" w14:textId="77777777" w:rsidR="006E7F81" w:rsidRDefault="006E7F81">
      <w:pPr>
        <w:pStyle w:val="BodyText"/>
        <w:spacing w:before="6"/>
      </w:pPr>
    </w:p>
    <w:p w14:paraId="5CBA0B46" w14:textId="77777777" w:rsidR="006E7F81" w:rsidRDefault="00000000">
      <w:pPr>
        <w:pStyle w:val="ListParagraph"/>
        <w:numPr>
          <w:ilvl w:val="0"/>
          <w:numId w:val="1"/>
        </w:numPr>
        <w:tabs>
          <w:tab w:val="left" w:pos="2096"/>
          <w:tab w:val="left" w:pos="2098"/>
        </w:tabs>
        <w:spacing w:before="1" w:line="276" w:lineRule="auto"/>
        <w:jc w:val="both"/>
        <w:rPr>
          <w:sz w:val="20"/>
        </w:rPr>
      </w:pPr>
      <w:r>
        <w:rPr>
          <w:sz w:val="20"/>
        </w:rPr>
        <w:t>Conclude that "</w:t>
      </w:r>
      <w:r>
        <w:rPr>
          <w:i/>
          <w:sz w:val="20"/>
        </w:rPr>
        <w:t xml:space="preserve">despite the availability of more meaningful data in the international caregiver survey, disagreements between the committee, the Evidence Appraisal Group and the company surrounding </w:t>
      </w:r>
      <w:proofErr w:type="spellStart"/>
      <w:r>
        <w:rPr>
          <w:i/>
          <w:sz w:val="20"/>
        </w:rPr>
        <w:t>proxy's</w:t>
      </w:r>
      <w:proofErr w:type="spellEnd"/>
      <w:r>
        <w:rPr>
          <w:i/>
          <w:sz w:val="20"/>
        </w:rPr>
        <w:t xml:space="preserve"> have led to a decision that will negatively impact patients</w:t>
      </w:r>
      <w:r>
        <w:rPr>
          <w:sz w:val="20"/>
        </w:rPr>
        <w:t>".</w:t>
      </w:r>
    </w:p>
    <w:p w14:paraId="5CBA0B47" w14:textId="77777777" w:rsidR="006E7F81" w:rsidRDefault="006E7F81">
      <w:pPr>
        <w:pStyle w:val="BodyText"/>
        <w:spacing w:before="8"/>
      </w:pPr>
    </w:p>
    <w:p w14:paraId="5CBA0B48" w14:textId="77777777" w:rsidR="006E7F81" w:rsidRDefault="00000000">
      <w:pPr>
        <w:pStyle w:val="BodyText"/>
        <w:spacing w:line="278" w:lineRule="auto"/>
        <w:ind w:left="1379" w:right="1141"/>
        <w:jc w:val="both"/>
      </w:pPr>
      <w:r>
        <w:t xml:space="preserve">I am not persuaded that reference to this survey in the </w:t>
      </w:r>
      <w:proofErr w:type="gramStart"/>
      <w:r>
        <w:t>EAG</w:t>
      </w:r>
      <w:proofErr w:type="gramEnd"/>
      <w:r>
        <w:t xml:space="preserve"> or company submissions supports any arguable</w:t>
      </w:r>
      <w:r>
        <w:rPr>
          <w:spacing w:val="25"/>
        </w:rPr>
        <w:t xml:space="preserve"> </w:t>
      </w:r>
      <w:r>
        <w:t>procedural</w:t>
      </w:r>
      <w:r>
        <w:rPr>
          <w:spacing w:val="25"/>
        </w:rPr>
        <w:t xml:space="preserve"> </w:t>
      </w:r>
      <w:r>
        <w:t>unfairness.</w:t>
      </w:r>
      <w:r>
        <w:rPr>
          <w:spacing w:val="23"/>
        </w:rPr>
        <w:t xml:space="preserve"> </w:t>
      </w:r>
      <w:r>
        <w:t>You</w:t>
      </w:r>
      <w:r>
        <w:rPr>
          <w:spacing w:val="23"/>
        </w:rPr>
        <w:t xml:space="preserve"> </w:t>
      </w:r>
      <w:r>
        <w:t>have</w:t>
      </w:r>
      <w:r>
        <w:rPr>
          <w:spacing w:val="23"/>
        </w:rPr>
        <w:t xml:space="preserve"> </w:t>
      </w:r>
      <w:r>
        <w:t>not</w:t>
      </w:r>
      <w:r>
        <w:rPr>
          <w:spacing w:val="23"/>
        </w:rPr>
        <w:t xml:space="preserve"> </w:t>
      </w:r>
      <w:r>
        <w:t>pointed</w:t>
      </w:r>
      <w:r>
        <w:rPr>
          <w:spacing w:val="23"/>
        </w:rPr>
        <w:t xml:space="preserve"> </w:t>
      </w:r>
      <w:r>
        <w:t>to</w:t>
      </w:r>
      <w:r>
        <w:rPr>
          <w:spacing w:val="25"/>
        </w:rPr>
        <w:t xml:space="preserve"> </w:t>
      </w:r>
      <w:r>
        <w:t>any</w:t>
      </w:r>
      <w:r>
        <w:rPr>
          <w:spacing w:val="25"/>
        </w:rPr>
        <w:t xml:space="preserve"> </w:t>
      </w:r>
      <w:r>
        <w:t>evidence</w:t>
      </w:r>
      <w:r>
        <w:rPr>
          <w:spacing w:val="25"/>
        </w:rPr>
        <w:t xml:space="preserve"> </w:t>
      </w:r>
      <w:r>
        <w:t>to</w:t>
      </w:r>
      <w:r>
        <w:rPr>
          <w:spacing w:val="23"/>
        </w:rPr>
        <w:t xml:space="preserve"> </w:t>
      </w:r>
      <w:r>
        <w:t>suggest</w:t>
      </w:r>
      <w:r>
        <w:rPr>
          <w:spacing w:val="23"/>
        </w:rPr>
        <w:t xml:space="preserve"> </w:t>
      </w:r>
      <w:r>
        <w:t>it</w:t>
      </w:r>
      <w:r>
        <w:rPr>
          <w:spacing w:val="23"/>
        </w:rPr>
        <w:t xml:space="preserve"> </w:t>
      </w:r>
      <w:r>
        <w:t>was</w:t>
      </w:r>
      <w:r>
        <w:rPr>
          <w:spacing w:val="25"/>
        </w:rPr>
        <w:t xml:space="preserve"> </w:t>
      </w:r>
      <w:r>
        <w:t>not</w:t>
      </w:r>
      <w:r>
        <w:rPr>
          <w:spacing w:val="23"/>
        </w:rPr>
        <w:t xml:space="preserve"> </w:t>
      </w:r>
      <w:r>
        <w:t>given</w:t>
      </w:r>
    </w:p>
    <w:p w14:paraId="5CBA0B49" w14:textId="77777777" w:rsidR="006E7F81" w:rsidRDefault="00000000">
      <w:pPr>
        <w:pStyle w:val="BodyText"/>
        <w:spacing w:before="101"/>
      </w:pPr>
      <w:r>
        <w:rPr>
          <w:noProof/>
        </w:rPr>
        <w:drawing>
          <wp:anchor distT="0" distB="0" distL="0" distR="0" simplePos="0" relativeHeight="487587840" behindDoc="1" locked="0" layoutInCell="1" allowOverlap="1" wp14:anchorId="5CBA0B6B" wp14:editId="5CBA0B6C">
            <wp:simplePos x="0" y="0"/>
            <wp:positionH relativeFrom="page">
              <wp:posOffset>280352</wp:posOffset>
            </wp:positionH>
            <wp:positionV relativeFrom="paragraph">
              <wp:posOffset>225431</wp:posOffset>
            </wp:positionV>
            <wp:extent cx="6988725" cy="362712"/>
            <wp:effectExtent l="0" t="0" r="0" b="0"/>
            <wp:wrapTopAndBottom/>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1" cstate="print"/>
                    <a:stretch>
                      <a:fillRect/>
                    </a:stretch>
                  </pic:blipFill>
                  <pic:spPr>
                    <a:xfrm>
                      <a:off x="0" y="0"/>
                      <a:ext cx="6988725" cy="362712"/>
                    </a:xfrm>
                    <a:prstGeom prst="rect">
                      <a:avLst/>
                    </a:prstGeom>
                  </pic:spPr>
                </pic:pic>
              </a:graphicData>
            </a:graphic>
          </wp:anchor>
        </w:drawing>
      </w:r>
    </w:p>
    <w:p w14:paraId="5CBA0B4A" w14:textId="77777777" w:rsidR="006E7F81" w:rsidRDefault="006E7F81">
      <w:pPr>
        <w:sectPr w:rsidR="006E7F81">
          <w:type w:val="continuous"/>
          <w:pgSz w:w="11910" w:h="16840"/>
          <w:pgMar w:top="620" w:right="300" w:bottom="280" w:left="60" w:header="720" w:footer="720" w:gutter="0"/>
          <w:cols w:space="720"/>
        </w:sectPr>
      </w:pPr>
    </w:p>
    <w:p w14:paraId="5CBA0B4B" w14:textId="77777777" w:rsidR="006E7F81" w:rsidRDefault="00000000">
      <w:pPr>
        <w:pStyle w:val="BodyText"/>
        <w:spacing w:before="81" w:line="276" w:lineRule="auto"/>
        <w:ind w:left="1379" w:right="1135"/>
        <w:jc w:val="both"/>
      </w:pPr>
      <w:r>
        <w:lastRenderedPageBreak/>
        <w:t>adequate</w:t>
      </w:r>
      <w:r>
        <w:rPr>
          <w:spacing w:val="-11"/>
        </w:rPr>
        <w:t xml:space="preserve"> </w:t>
      </w:r>
      <w:r>
        <w:t>time</w:t>
      </w:r>
      <w:r>
        <w:rPr>
          <w:spacing w:val="-11"/>
        </w:rPr>
        <w:t xml:space="preserve"> </w:t>
      </w:r>
      <w:r>
        <w:t>or</w:t>
      </w:r>
      <w:r>
        <w:rPr>
          <w:spacing w:val="-10"/>
        </w:rPr>
        <w:t xml:space="preserve"> </w:t>
      </w:r>
      <w:r>
        <w:t>consideration</w:t>
      </w:r>
      <w:r>
        <w:rPr>
          <w:spacing w:val="-11"/>
        </w:rPr>
        <w:t xml:space="preserve"> </w:t>
      </w:r>
      <w:r>
        <w:t>by</w:t>
      </w:r>
      <w:r>
        <w:rPr>
          <w:spacing w:val="-10"/>
        </w:rPr>
        <w:t xml:space="preserve"> </w:t>
      </w:r>
      <w:r>
        <w:rPr>
          <w:u w:val="single"/>
        </w:rPr>
        <w:t>the</w:t>
      </w:r>
      <w:r>
        <w:rPr>
          <w:spacing w:val="-11"/>
          <w:u w:val="single"/>
        </w:rPr>
        <w:t xml:space="preserve"> </w:t>
      </w:r>
      <w:r>
        <w:rPr>
          <w:u w:val="single"/>
        </w:rPr>
        <w:t>committee</w:t>
      </w:r>
      <w:r>
        <w:t>.</w:t>
      </w:r>
      <w:r>
        <w:rPr>
          <w:spacing w:val="-11"/>
        </w:rPr>
        <w:t xml:space="preserve"> </w:t>
      </w:r>
      <w:r>
        <w:t>Rather,</w:t>
      </w:r>
      <w:r>
        <w:rPr>
          <w:spacing w:val="-11"/>
        </w:rPr>
        <w:t xml:space="preserve"> </w:t>
      </w:r>
      <w:r>
        <w:t>it</w:t>
      </w:r>
      <w:r>
        <w:rPr>
          <w:spacing w:val="-11"/>
        </w:rPr>
        <w:t xml:space="preserve"> </w:t>
      </w:r>
      <w:r>
        <w:t>seems</w:t>
      </w:r>
      <w:r>
        <w:rPr>
          <w:spacing w:val="-10"/>
        </w:rPr>
        <w:t xml:space="preserve"> </w:t>
      </w:r>
      <w:r>
        <w:t>to</w:t>
      </w:r>
      <w:r>
        <w:rPr>
          <w:spacing w:val="-11"/>
        </w:rPr>
        <w:t xml:space="preserve"> </w:t>
      </w:r>
      <w:r>
        <w:t>me</w:t>
      </w:r>
      <w:r>
        <w:rPr>
          <w:spacing w:val="-11"/>
        </w:rPr>
        <w:t xml:space="preserve"> </w:t>
      </w:r>
      <w:r>
        <w:t>that</w:t>
      </w:r>
      <w:r>
        <w:rPr>
          <w:spacing w:val="-11"/>
        </w:rPr>
        <w:t xml:space="preserve"> </w:t>
      </w:r>
      <w:r>
        <w:t>the</w:t>
      </w:r>
      <w:r>
        <w:rPr>
          <w:spacing w:val="-11"/>
        </w:rPr>
        <w:t xml:space="preserve"> </w:t>
      </w:r>
      <w:r>
        <w:t>committee</w:t>
      </w:r>
      <w:r>
        <w:rPr>
          <w:spacing w:val="-11"/>
        </w:rPr>
        <w:t xml:space="preserve"> </w:t>
      </w:r>
      <w:r>
        <w:t>was</w:t>
      </w:r>
      <w:r>
        <w:rPr>
          <w:spacing w:val="-10"/>
        </w:rPr>
        <w:t xml:space="preserve"> </w:t>
      </w:r>
      <w:r>
        <w:t>aware of and understood this evidence as it is referenced and explained in context at para 3.16 of the Final Draft</w:t>
      </w:r>
      <w:r>
        <w:rPr>
          <w:spacing w:val="-8"/>
        </w:rPr>
        <w:t xml:space="preserve"> </w:t>
      </w:r>
      <w:r>
        <w:t>Guidance</w:t>
      </w:r>
      <w:r>
        <w:rPr>
          <w:spacing w:val="-8"/>
        </w:rPr>
        <w:t xml:space="preserve"> </w:t>
      </w:r>
      <w:r>
        <w:t>("FDG").</w:t>
      </w:r>
      <w:r>
        <w:rPr>
          <w:spacing w:val="-8"/>
        </w:rPr>
        <w:t xml:space="preserve"> </w:t>
      </w:r>
      <w:r>
        <w:t>I</w:t>
      </w:r>
      <w:r>
        <w:rPr>
          <w:spacing w:val="-8"/>
        </w:rPr>
        <w:t xml:space="preserve"> </w:t>
      </w:r>
      <w:r>
        <w:t>would</w:t>
      </w:r>
      <w:r>
        <w:rPr>
          <w:spacing w:val="-8"/>
        </w:rPr>
        <w:t xml:space="preserve"> </w:t>
      </w:r>
      <w:r>
        <w:t>note</w:t>
      </w:r>
      <w:r>
        <w:rPr>
          <w:spacing w:val="-8"/>
        </w:rPr>
        <w:t xml:space="preserve"> </w:t>
      </w:r>
      <w:r>
        <w:t>that</w:t>
      </w:r>
      <w:r>
        <w:rPr>
          <w:spacing w:val="-5"/>
        </w:rPr>
        <w:t xml:space="preserve"> </w:t>
      </w:r>
      <w:r>
        <w:t>NICE</w:t>
      </w:r>
      <w:r>
        <w:rPr>
          <w:spacing w:val="-9"/>
        </w:rPr>
        <w:t xml:space="preserve"> </w:t>
      </w:r>
      <w:r>
        <w:t>has</w:t>
      </w:r>
      <w:r>
        <w:rPr>
          <w:spacing w:val="-6"/>
        </w:rPr>
        <w:t xml:space="preserve"> </w:t>
      </w:r>
      <w:r>
        <w:t>a</w:t>
      </w:r>
      <w:r>
        <w:rPr>
          <w:spacing w:val="-8"/>
        </w:rPr>
        <w:t xml:space="preserve"> </w:t>
      </w:r>
      <w:r>
        <w:t>'factual</w:t>
      </w:r>
      <w:r>
        <w:rPr>
          <w:spacing w:val="-6"/>
        </w:rPr>
        <w:t xml:space="preserve"> </w:t>
      </w:r>
      <w:r>
        <w:t>accuracy'</w:t>
      </w:r>
      <w:r>
        <w:rPr>
          <w:spacing w:val="-7"/>
        </w:rPr>
        <w:t xml:space="preserve"> </w:t>
      </w:r>
      <w:r>
        <w:t>process</w:t>
      </w:r>
      <w:r>
        <w:rPr>
          <w:spacing w:val="-6"/>
        </w:rPr>
        <w:t xml:space="preserve"> </w:t>
      </w:r>
      <w:r>
        <w:t>enabling</w:t>
      </w:r>
      <w:r>
        <w:rPr>
          <w:spacing w:val="-6"/>
        </w:rPr>
        <w:t xml:space="preserve"> </w:t>
      </w:r>
      <w:r>
        <w:t>stakeholders to challenge the accuracy of statements in the FDG, and the company has not challenged the committee's description of the survey at para 3.16.</w:t>
      </w:r>
    </w:p>
    <w:p w14:paraId="5CBA0B4C" w14:textId="77777777" w:rsidR="006E7F81" w:rsidRDefault="006E7F81">
      <w:pPr>
        <w:pStyle w:val="BodyText"/>
        <w:spacing w:before="10"/>
      </w:pPr>
    </w:p>
    <w:p w14:paraId="5CBA0B4D" w14:textId="77777777" w:rsidR="006E7F81" w:rsidRDefault="00000000">
      <w:pPr>
        <w:pStyle w:val="BodyText"/>
        <w:spacing w:line="276" w:lineRule="auto"/>
        <w:ind w:left="1380" w:right="1141"/>
        <w:jc w:val="both"/>
      </w:pPr>
      <w:r>
        <w:t xml:space="preserve">In your letter, you state that there was debate between the company, EAG and committee and you express disappointment that "the EAG remain </w:t>
      </w:r>
      <w:proofErr w:type="spellStart"/>
      <w:r>
        <w:t>focussed</w:t>
      </w:r>
      <w:proofErr w:type="spellEnd"/>
      <w:r>
        <w:t xml:space="preserve"> on using </w:t>
      </w:r>
      <w:proofErr w:type="spellStart"/>
      <w:r>
        <w:t>Auvin</w:t>
      </w:r>
      <w:proofErr w:type="spellEnd"/>
      <w:r>
        <w:t xml:space="preserve"> as the most suitable proxy for CDD whilst acknowledging it's limitation".</w:t>
      </w:r>
    </w:p>
    <w:p w14:paraId="5CBA0B4E" w14:textId="77777777" w:rsidR="006E7F81" w:rsidRDefault="006E7F81">
      <w:pPr>
        <w:pStyle w:val="BodyText"/>
        <w:spacing w:before="11"/>
      </w:pPr>
    </w:p>
    <w:p w14:paraId="5CBA0B4F" w14:textId="77777777" w:rsidR="006E7F81" w:rsidRDefault="00000000">
      <w:pPr>
        <w:pStyle w:val="BodyText"/>
        <w:spacing w:line="276" w:lineRule="auto"/>
        <w:ind w:left="1380" w:right="1138"/>
        <w:jc w:val="both"/>
      </w:pPr>
      <w:r>
        <w:t>I</w:t>
      </w:r>
      <w:r>
        <w:rPr>
          <w:spacing w:val="-3"/>
        </w:rPr>
        <w:t xml:space="preserve"> </w:t>
      </w:r>
      <w:r>
        <w:t>hope</w:t>
      </w:r>
      <w:r>
        <w:rPr>
          <w:spacing w:val="-3"/>
        </w:rPr>
        <w:t xml:space="preserve"> </w:t>
      </w:r>
      <w:r>
        <w:t>it</w:t>
      </w:r>
      <w:r>
        <w:rPr>
          <w:spacing w:val="-3"/>
        </w:rPr>
        <w:t xml:space="preserve"> </w:t>
      </w:r>
      <w:r>
        <w:t>will</w:t>
      </w:r>
      <w:r>
        <w:rPr>
          <w:spacing w:val="-2"/>
        </w:rPr>
        <w:t xml:space="preserve"> </w:t>
      </w:r>
      <w:r>
        <w:t>assist</w:t>
      </w:r>
      <w:r>
        <w:rPr>
          <w:spacing w:val="-3"/>
        </w:rPr>
        <w:t xml:space="preserve"> </w:t>
      </w:r>
      <w:r>
        <w:t>you</w:t>
      </w:r>
      <w:r>
        <w:rPr>
          <w:spacing w:val="-1"/>
        </w:rPr>
        <w:t xml:space="preserve"> </w:t>
      </w:r>
      <w:r>
        <w:t>if</w:t>
      </w:r>
      <w:r>
        <w:rPr>
          <w:spacing w:val="-3"/>
        </w:rPr>
        <w:t xml:space="preserve"> </w:t>
      </w:r>
      <w:r>
        <w:t>I</w:t>
      </w:r>
      <w:r>
        <w:rPr>
          <w:spacing w:val="-1"/>
        </w:rPr>
        <w:t xml:space="preserve"> </w:t>
      </w:r>
      <w:r>
        <w:t>explain</w:t>
      </w:r>
      <w:r>
        <w:rPr>
          <w:spacing w:val="-3"/>
        </w:rPr>
        <w:t xml:space="preserve"> </w:t>
      </w:r>
      <w:r>
        <w:t>the</w:t>
      </w:r>
      <w:r>
        <w:rPr>
          <w:spacing w:val="-1"/>
        </w:rPr>
        <w:t xml:space="preserve"> </w:t>
      </w:r>
      <w:r>
        <w:t>EAG's</w:t>
      </w:r>
      <w:r>
        <w:rPr>
          <w:spacing w:val="-2"/>
        </w:rPr>
        <w:t xml:space="preserve"> </w:t>
      </w:r>
      <w:r>
        <w:t>role</w:t>
      </w:r>
      <w:r>
        <w:rPr>
          <w:spacing w:val="-3"/>
        </w:rPr>
        <w:t xml:space="preserve"> </w:t>
      </w:r>
      <w:r>
        <w:t>in</w:t>
      </w:r>
      <w:r>
        <w:rPr>
          <w:spacing w:val="-3"/>
        </w:rPr>
        <w:t xml:space="preserve"> </w:t>
      </w:r>
      <w:r>
        <w:t>NICE's</w:t>
      </w:r>
      <w:r>
        <w:rPr>
          <w:spacing w:val="-2"/>
        </w:rPr>
        <w:t xml:space="preserve"> </w:t>
      </w:r>
      <w:r>
        <w:t>technology</w:t>
      </w:r>
      <w:r>
        <w:rPr>
          <w:spacing w:val="-2"/>
        </w:rPr>
        <w:t xml:space="preserve"> </w:t>
      </w:r>
      <w:r>
        <w:t>appraisal</w:t>
      </w:r>
      <w:r>
        <w:rPr>
          <w:spacing w:val="-2"/>
        </w:rPr>
        <w:t xml:space="preserve"> </w:t>
      </w:r>
      <w:r>
        <w:t>process.</w:t>
      </w:r>
      <w:r>
        <w:rPr>
          <w:spacing w:val="-3"/>
        </w:rPr>
        <w:t xml:space="preserve"> </w:t>
      </w:r>
      <w:r>
        <w:t>As</w:t>
      </w:r>
      <w:r>
        <w:rPr>
          <w:spacing w:val="-2"/>
        </w:rPr>
        <w:t xml:space="preserve"> </w:t>
      </w:r>
      <w:r>
        <w:t>set</w:t>
      </w:r>
      <w:r>
        <w:rPr>
          <w:spacing w:val="-3"/>
        </w:rPr>
        <w:t xml:space="preserve"> </w:t>
      </w:r>
      <w:r>
        <w:t>out</w:t>
      </w:r>
      <w:r>
        <w:rPr>
          <w:spacing w:val="-3"/>
        </w:rPr>
        <w:t xml:space="preserve"> </w:t>
      </w:r>
      <w:r>
        <w:t xml:space="preserve">in the </w:t>
      </w:r>
      <w:hyperlink r:id="rId12">
        <w:r>
          <w:rPr>
            <w:color w:val="0000FF"/>
            <w:u w:val="single" w:color="0000FF"/>
          </w:rPr>
          <w:t>NICE health technology evaluations: the manual</w:t>
        </w:r>
      </w:hyperlink>
      <w:r>
        <w:rPr>
          <w:color w:val="0000FF"/>
        </w:rPr>
        <w:t xml:space="preserve"> </w:t>
      </w:r>
      <w:r>
        <w:t>("the Manual"), NICE invites evidence from a number</w:t>
      </w:r>
      <w:r>
        <w:rPr>
          <w:spacing w:val="-10"/>
        </w:rPr>
        <w:t xml:space="preserve"> </w:t>
      </w:r>
      <w:r>
        <w:t>of</w:t>
      </w:r>
      <w:r>
        <w:rPr>
          <w:spacing w:val="-14"/>
        </w:rPr>
        <w:t xml:space="preserve"> </w:t>
      </w:r>
      <w:r>
        <w:t>stakeholders,</w:t>
      </w:r>
      <w:r>
        <w:rPr>
          <w:spacing w:val="-11"/>
        </w:rPr>
        <w:t xml:space="preserve"> </w:t>
      </w:r>
      <w:r>
        <w:t>which</w:t>
      </w:r>
      <w:r>
        <w:rPr>
          <w:spacing w:val="-11"/>
        </w:rPr>
        <w:t xml:space="preserve"> </w:t>
      </w:r>
      <w:r>
        <w:t>includes</w:t>
      </w:r>
      <w:r>
        <w:rPr>
          <w:spacing w:val="-10"/>
        </w:rPr>
        <w:t xml:space="preserve"> </w:t>
      </w:r>
      <w:r>
        <w:t>companies,</w:t>
      </w:r>
      <w:r>
        <w:rPr>
          <w:spacing w:val="-14"/>
        </w:rPr>
        <w:t xml:space="preserve"> </w:t>
      </w:r>
      <w:r>
        <w:t>clinical</w:t>
      </w:r>
      <w:r>
        <w:rPr>
          <w:spacing w:val="-12"/>
        </w:rPr>
        <w:t xml:space="preserve"> </w:t>
      </w:r>
      <w:r>
        <w:t>experts</w:t>
      </w:r>
      <w:r>
        <w:rPr>
          <w:spacing w:val="-9"/>
        </w:rPr>
        <w:t xml:space="preserve"> </w:t>
      </w:r>
      <w:r>
        <w:t>and</w:t>
      </w:r>
      <w:r>
        <w:rPr>
          <w:spacing w:val="-14"/>
        </w:rPr>
        <w:t xml:space="preserve"> </w:t>
      </w:r>
      <w:r>
        <w:t>the</w:t>
      </w:r>
      <w:r>
        <w:rPr>
          <w:spacing w:val="-11"/>
        </w:rPr>
        <w:t xml:space="preserve"> </w:t>
      </w:r>
      <w:r>
        <w:t>external</w:t>
      </w:r>
      <w:r>
        <w:rPr>
          <w:spacing w:val="-12"/>
        </w:rPr>
        <w:t xml:space="preserve"> </w:t>
      </w:r>
      <w:r>
        <w:t>assessment</w:t>
      </w:r>
      <w:r>
        <w:rPr>
          <w:spacing w:val="-11"/>
        </w:rPr>
        <w:t xml:space="preserve"> </w:t>
      </w:r>
      <w:r>
        <w:t>group ("EAG"). The EAG is an independent academic group that reviews the evidence including any stakeholder</w:t>
      </w:r>
      <w:r>
        <w:rPr>
          <w:spacing w:val="-8"/>
        </w:rPr>
        <w:t xml:space="preserve"> </w:t>
      </w:r>
      <w:r>
        <w:t>submissions</w:t>
      </w:r>
      <w:r>
        <w:rPr>
          <w:spacing w:val="-7"/>
        </w:rPr>
        <w:t xml:space="preserve"> </w:t>
      </w:r>
      <w:r>
        <w:t>and</w:t>
      </w:r>
      <w:r>
        <w:rPr>
          <w:spacing w:val="-9"/>
        </w:rPr>
        <w:t xml:space="preserve"> </w:t>
      </w:r>
      <w:r>
        <w:t>the</w:t>
      </w:r>
      <w:r>
        <w:rPr>
          <w:spacing w:val="-9"/>
        </w:rPr>
        <w:t xml:space="preserve"> </w:t>
      </w:r>
      <w:r>
        <w:t>clinical</w:t>
      </w:r>
      <w:r>
        <w:rPr>
          <w:spacing w:val="-7"/>
        </w:rPr>
        <w:t xml:space="preserve"> </w:t>
      </w:r>
      <w:r>
        <w:t>and</w:t>
      </w:r>
      <w:r>
        <w:rPr>
          <w:spacing w:val="-9"/>
        </w:rPr>
        <w:t xml:space="preserve"> </w:t>
      </w:r>
      <w:r>
        <w:t>cost</w:t>
      </w:r>
      <w:r>
        <w:rPr>
          <w:spacing w:val="-6"/>
        </w:rPr>
        <w:t xml:space="preserve"> </w:t>
      </w:r>
      <w:r>
        <w:t>effectiveness,</w:t>
      </w:r>
      <w:r>
        <w:rPr>
          <w:spacing w:val="-9"/>
        </w:rPr>
        <w:t xml:space="preserve"> </w:t>
      </w:r>
      <w:r>
        <w:t>or</w:t>
      </w:r>
      <w:r>
        <w:rPr>
          <w:spacing w:val="-8"/>
        </w:rPr>
        <w:t xml:space="preserve"> </w:t>
      </w:r>
      <w:r>
        <w:t>cost</w:t>
      </w:r>
      <w:r>
        <w:rPr>
          <w:spacing w:val="-6"/>
        </w:rPr>
        <w:t xml:space="preserve"> </w:t>
      </w:r>
      <w:r>
        <w:t>comparisons</w:t>
      </w:r>
      <w:r>
        <w:rPr>
          <w:spacing w:val="-7"/>
        </w:rPr>
        <w:t xml:space="preserve"> </w:t>
      </w:r>
      <w:r>
        <w:t>of</w:t>
      </w:r>
      <w:r>
        <w:rPr>
          <w:spacing w:val="-6"/>
        </w:rPr>
        <w:t xml:space="preserve"> </w:t>
      </w:r>
      <w:r>
        <w:t>the</w:t>
      </w:r>
      <w:r>
        <w:rPr>
          <w:spacing w:val="-7"/>
        </w:rPr>
        <w:t xml:space="preserve"> </w:t>
      </w:r>
      <w:r>
        <w:t>technology or</w:t>
      </w:r>
      <w:r>
        <w:rPr>
          <w:spacing w:val="-3"/>
        </w:rPr>
        <w:t xml:space="preserve"> </w:t>
      </w:r>
      <w:r>
        <w:t>technologies</w:t>
      </w:r>
      <w:r>
        <w:rPr>
          <w:spacing w:val="-3"/>
        </w:rPr>
        <w:t xml:space="preserve"> </w:t>
      </w:r>
      <w:r>
        <w:t>being</w:t>
      </w:r>
      <w:r>
        <w:rPr>
          <w:spacing w:val="-2"/>
        </w:rPr>
        <w:t xml:space="preserve"> </w:t>
      </w:r>
      <w:r>
        <w:t>evaluated.</w:t>
      </w:r>
      <w:r>
        <w:rPr>
          <w:spacing w:val="-2"/>
        </w:rPr>
        <w:t xml:space="preserve"> </w:t>
      </w:r>
      <w:r>
        <w:t>The</w:t>
      </w:r>
      <w:r>
        <w:rPr>
          <w:spacing w:val="-2"/>
        </w:rPr>
        <w:t xml:space="preserve"> </w:t>
      </w:r>
      <w:r>
        <w:t>EAG develops an</w:t>
      </w:r>
      <w:r>
        <w:rPr>
          <w:spacing w:val="-4"/>
        </w:rPr>
        <w:t xml:space="preserve"> </w:t>
      </w:r>
      <w:r>
        <w:t>external</w:t>
      </w:r>
      <w:r>
        <w:rPr>
          <w:spacing w:val="-5"/>
        </w:rPr>
        <w:t xml:space="preserve"> </w:t>
      </w:r>
      <w:r>
        <w:t>assessment</w:t>
      </w:r>
      <w:r>
        <w:rPr>
          <w:spacing w:val="-3"/>
        </w:rPr>
        <w:t xml:space="preserve"> </w:t>
      </w:r>
      <w:r>
        <w:t>report</w:t>
      </w:r>
      <w:r>
        <w:rPr>
          <w:spacing w:val="-4"/>
        </w:rPr>
        <w:t xml:space="preserve"> </w:t>
      </w:r>
      <w:r>
        <w:t>for</w:t>
      </w:r>
      <w:r>
        <w:rPr>
          <w:spacing w:val="-3"/>
        </w:rPr>
        <w:t xml:space="preserve"> </w:t>
      </w:r>
      <w:r>
        <w:t>the</w:t>
      </w:r>
      <w:r>
        <w:rPr>
          <w:spacing w:val="-4"/>
        </w:rPr>
        <w:t xml:space="preserve"> </w:t>
      </w:r>
      <w:r>
        <w:t>committee.</w:t>
      </w:r>
    </w:p>
    <w:p w14:paraId="5CBA0B50" w14:textId="77777777" w:rsidR="006E7F81" w:rsidRDefault="006E7F81">
      <w:pPr>
        <w:pStyle w:val="BodyText"/>
        <w:spacing w:before="9"/>
      </w:pPr>
    </w:p>
    <w:p w14:paraId="5CBA0B51" w14:textId="77777777" w:rsidR="006E7F81" w:rsidRDefault="00000000">
      <w:pPr>
        <w:pStyle w:val="BodyText"/>
        <w:spacing w:line="276" w:lineRule="auto"/>
        <w:ind w:left="1379" w:right="1140"/>
        <w:jc w:val="both"/>
      </w:pPr>
      <w:r>
        <w:t>In other words, the EAG is not a decision-maker. Nor indeed is the company. It is for the company to make its case to the committee, the EAG to provide the committee with its expert advice and the committee to reach a decision.</w:t>
      </w:r>
      <w:r>
        <w:rPr>
          <w:spacing w:val="40"/>
        </w:rPr>
        <w:t xml:space="preserve"> </w:t>
      </w:r>
      <w:r>
        <w:t>This means the EAG, company and committee do not debate or deliberate</w:t>
      </w:r>
      <w:r>
        <w:rPr>
          <w:spacing w:val="-7"/>
        </w:rPr>
        <w:t xml:space="preserve"> </w:t>
      </w:r>
      <w:proofErr w:type="gramStart"/>
      <w:r>
        <w:t>in</w:t>
      </w:r>
      <w:r>
        <w:rPr>
          <w:spacing w:val="-7"/>
        </w:rPr>
        <w:t xml:space="preserve"> </w:t>
      </w:r>
      <w:r>
        <w:t>order</w:t>
      </w:r>
      <w:r>
        <w:rPr>
          <w:spacing w:val="-5"/>
        </w:rPr>
        <w:t xml:space="preserve"> </w:t>
      </w:r>
      <w:r>
        <w:t>to</w:t>
      </w:r>
      <w:proofErr w:type="gramEnd"/>
      <w:r>
        <w:rPr>
          <w:spacing w:val="-7"/>
        </w:rPr>
        <w:t xml:space="preserve"> </w:t>
      </w:r>
      <w:r>
        <w:t>reach</w:t>
      </w:r>
      <w:r>
        <w:rPr>
          <w:spacing w:val="-4"/>
        </w:rPr>
        <w:t xml:space="preserve"> </w:t>
      </w:r>
      <w:r>
        <w:t>a</w:t>
      </w:r>
      <w:r>
        <w:rPr>
          <w:spacing w:val="-7"/>
        </w:rPr>
        <w:t xml:space="preserve"> </w:t>
      </w:r>
      <w:r>
        <w:t>joint</w:t>
      </w:r>
      <w:r>
        <w:rPr>
          <w:spacing w:val="-6"/>
        </w:rPr>
        <w:t xml:space="preserve"> </w:t>
      </w:r>
      <w:r>
        <w:t>decision.</w:t>
      </w:r>
      <w:r>
        <w:rPr>
          <w:spacing w:val="-6"/>
        </w:rPr>
        <w:t xml:space="preserve"> </w:t>
      </w:r>
      <w:r>
        <w:t>Rather,</w:t>
      </w:r>
      <w:r>
        <w:rPr>
          <w:spacing w:val="-6"/>
        </w:rPr>
        <w:t xml:space="preserve"> </w:t>
      </w:r>
      <w:r>
        <w:t>the</w:t>
      </w:r>
      <w:r>
        <w:rPr>
          <w:spacing w:val="-4"/>
        </w:rPr>
        <w:t xml:space="preserve"> </w:t>
      </w:r>
      <w:r>
        <w:t>committee</w:t>
      </w:r>
      <w:r>
        <w:rPr>
          <w:spacing w:val="-7"/>
        </w:rPr>
        <w:t xml:space="preserve"> </w:t>
      </w:r>
      <w:r>
        <w:t>considers</w:t>
      </w:r>
      <w:r>
        <w:rPr>
          <w:spacing w:val="-5"/>
        </w:rPr>
        <w:t xml:space="preserve"> </w:t>
      </w:r>
      <w:r>
        <w:t>evidence</w:t>
      </w:r>
      <w:r>
        <w:rPr>
          <w:spacing w:val="-7"/>
        </w:rPr>
        <w:t xml:space="preserve"> </w:t>
      </w:r>
      <w:r>
        <w:t>of</w:t>
      </w:r>
      <w:r>
        <w:rPr>
          <w:spacing w:val="-6"/>
        </w:rPr>
        <w:t xml:space="preserve"> </w:t>
      </w:r>
      <w:r>
        <w:t>various</w:t>
      </w:r>
      <w:r>
        <w:rPr>
          <w:spacing w:val="-5"/>
        </w:rPr>
        <w:t xml:space="preserve"> </w:t>
      </w:r>
      <w:r>
        <w:t>types and from multiple sources (including from the company and EAG) to make its own recommendation. The</w:t>
      </w:r>
      <w:r>
        <w:rPr>
          <w:spacing w:val="-3"/>
        </w:rPr>
        <w:t xml:space="preserve"> </w:t>
      </w:r>
      <w:r>
        <w:t>key</w:t>
      </w:r>
      <w:r>
        <w:rPr>
          <w:spacing w:val="-2"/>
        </w:rPr>
        <w:t xml:space="preserve"> </w:t>
      </w:r>
      <w:r>
        <w:t>point</w:t>
      </w:r>
      <w:r>
        <w:rPr>
          <w:spacing w:val="-3"/>
        </w:rPr>
        <w:t xml:space="preserve"> </w:t>
      </w:r>
      <w:r>
        <w:t>here</w:t>
      </w:r>
      <w:r>
        <w:rPr>
          <w:spacing w:val="-3"/>
        </w:rPr>
        <w:t xml:space="preserve"> </w:t>
      </w:r>
      <w:r>
        <w:t>is</w:t>
      </w:r>
      <w:r>
        <w:rPr>
          <w:spacing w:val="-2"/>
        </w:rPr>
        <w:t xml:space="preserve"> </w:t>
      </w:r>
      <w:r>
        <w:t>that</w:t>
      </w:r>
      <w:r>
        <w:rPr>
          <w:spacing w:val="-3"/>
        </w:rPr>
        <w:t xml:space="preserve"> </w:t>
      </w:r>
      <w:r>
        <w:t>the</w:t>
      </w:r>
      <w:r>
        <w:rPr>
          <w:spacing w:val="-3"/>
        </w:rPr>
        <w:t xml:space="preserve"> </w:t>
      </w:r>
      <w:r>
        <w:t>EAG's</w:t>
      </w:r>
      <w:r>
        <w:rPr>
          <w:spacing w:val="-2"/>
        </w:rPr>
        <w:t xml:space="preserve"> </w:t>
      </w:r>
      <w:r>
        <w:t>view</w:t>
      </w:r>
      <w:r>
        <w:rPr>
          <w:spacing w:val="-3"/>
        </w:rPr>
        <w:t xml:space="preserve"> </w:t>
      </w:r>
      <w:r>
        <w:t>is</w:t>
      </w:r>
      <w:r>
        <w:rPr>
          <w:spacing w:val="-2"/>
        </w:rPr>
        <w:t xml:space="preserve"> </w:t>
      </w:r>
      <w:r>
        <w:t>not</w:t>
      </w:r>
      <w:r>
        <w:rPr>
          <w:spacing w:val="-3"/>
        </w:rPr>
        <w:t xml:space="preserve"> </w:t>
      </w:r>
      <w:r>
        <w:t>to</w:t>
      </w:r>
      <w:r>
        <w:rPr>
          <w:spacing w:val="-1"/>
        </w:rPr>
        <w:t xml:space="preserve"> </w:t>
      </w:r>
      <w:r>
        <w:t>be</w:t>
      </w:r>
      <w:r>
        <w:rPr>
          <w:spacing w:val="-1"/>
        </w:rPr>
        <w:t xml:space="preserve"> </w:t>
      </w:r>
      <w:r>
        <w:t>conflated</w:t>
      </w:r>
      <w:r>
        <w:rPr>
          <w:spacing w:val="-3"/>
        </w:rPr>
        <w:t xml:space="preserve"> </w:t>
      </w:r>
      <w:r>
        <w:t>with</w:t>
      </w:r>
      <w:r>
        <w:rPr>
          <w:spacing w:val="-1"/>
        </w:rPr>
        <w:t xml:space="preserve"> </w:t>
      </w:r>
      <w:r>
        <w:t>the</w:t>
      </w:r>
      <w:r>
        <w:rPr>
          <w:spacing w:val="-3"/>
        </w:rPr>
        <w:t xml:space="preserve"> </w:t>
      </w:r>
      <w:r>
        <w:t>committee's</w:t>
      </w:r>
      <w:r>
        <w:rPr>
          <w:spacing w:val="-2"/>
        </w:rPr>
        <w:t xml:space="preserve"> </w:t>
      </w:r>
      <w:r>
        <w:t>own</w:t>
      </w:r>
      <w:r>
        <w:rPr>
          <w:spacing w:val="-3"/>
        </w:rPr>
        <w:t xml:space="preserve"> </w:t>
      </w:r>
      <w:r>
        <w:t>view.</w:t>
      </w:r>
      <w:r>
        <w:rPr>
          <w:spacing w:val="40"/>
        </w:rPr>
        <w:t xml:space="preserve"> </w:t>
      </w:r>
      <w:r>
        <w:t>This</w:t>
      </w:r>
      <w:r>
        <w:rPr>
          <w:spacing w:val="-2"/>
        </w:rPr>
        <w:t xml:space="preserve"> </w:t>
      </w:r>
      <w:r>
        <w:t xml:space="preserve">is why NICE's </w:t>
      </w:r>
      <w:hyperlink r:id="rId13" w:anchor="what-is-the-scope-of-an-appeal">
        <w:r>
          <w:rPr>
            <w:color w:val="0000FF"/>
            <w:u w:val="single" w:color="0000FF"/>
          </w:rPr>
          <w:t>appeals process</w:t>
        </w:r>
      </w:hyperlink>
      <w:r>
        <w:rPr>
          <w:color w:val="0000FF"/>
        </w:rPr>
        <w:t xml:space="preserve"> </w:t>
      </w:r>
      <w:r>
        <w:t>is for challenges to the committee's decision-making (not conclusions of the EAG).</w:t>
      </w:r>
    </w:p>
    <w:p w14:paraId="5CBA0B52" w14:textId="77777777" w:rsidR="006E7F81" w:rsidRDefault="006E7F81">
      <w:pPr>
        <w:pStyle w:val="BodyText"/>
        <w:spacing w:before="9"/>
      </w:pPr>
    </w:p>
    <w:p w14:paraId="5CBA0B53" w14:textId="77777777" w:rsidR="006E7F81" w:rsidRDefault="00000000">
      <w:pPr>
        <w:pStyle w:val="BodyText"/>
        <w:ind w:left="1380"/>
      </w:pPr>
      <w:r>
        <w:t>Although</w:t>
      </w:r>
      <w:r>
        <w:rPr>
          <w:spacing w:val="-2"/>
        </w:rPr>
        <w:t xml:space="preserve"> </w:t>
      </w:r>
      <w:r>
        <w:t>it</w:t>
      </w:r>
      <w:r>
        <w:rPr>
          <w:spacing w:val="-1"/>
        </w:rPr>
        <w:t xml:space="preserve"> </w:t>
      </w:r>
      <w:r>
        <w:t>is</w:t>
      </w:r>
      <w:r>
        <w:rPr>
          <w:spacing w:val="-1"/>
        </w:rPr>
        <w:t xml:space="preserve"> </w:t>
      </w:r>
      <w:r>
        <w:t>right</w:t>
      </w:r>
      <w:r>
        <w:rPr>
          <w:spacing w:val="-1"/>
        </w:rPr>
        <w:t xml:space="preserve"> </w:t>
      </w:r>
      <w:r>
        <w:t>that</w:t>
      </w:r>
      <w:r>
        <w:rPr>
          <w:spacing w:val="-1"/>
        </w:rPr>
        <w:t xml:space="preserve"> </w:t>
      </w:r>
      <w:r>
        <w:rPr>
          <w:u w:val="single"/>
        </w:rPr>
        <w:t>the</w:t>
      </w:r>
      <w:r>
        <w:rPr>
          <w:spacing w:val="1"/>
          <w:u w:val="single"/>
        </w:rPr>
        <w:t xml:space="preserve"> </w:t>
      </w:r>
      <w:r>
        <w:rPr>
          <w:u w:val="single"/>
        </w:rPr>
        <w:t>EAG</w:t>
      </w:r>
      <w:r>
        <w:rPr>
          <w:spacing w:val="1"/>
        </w:rPr>
        <w:t xml:space="preserve"> </w:t>
      </w:r>
      <w:r>
        <w:t>preferred</w:t>
      </w:r>
      <w:r>
        <w:rPr>
          <w:spacing w:val="-2"/>
        </w:rPr>
        <w:t xml:space="preserve"> </w:t>
      </w:r>
      <w:r>
        <w:t>the</w:t>
      </w:r>
      <w:r>
        <w:rPr>
          <w:spacing w:val="-2"/>
        </w:rPr>
        <w:t xml:space="preserve"> </w:t>
      </w:r>
      <w:proofErr w:type="spellStart"/>
      <w:r>
        <w:t>Auvin</w:t>
      </w:r>
      <w:proofErr w:type="spellEnd"/>
      <w:r>
        <w:rPr>
          <w:spacing w:val="1"/>
        </w:rPr>
        <w:t xml:space="preserve"> </w:t>
      </w:r>
      <w:r>
        <w:t>et</w:t>
      </w:r>
      <w:r>
        <w:rPr>
          <w:spacing w:val="1"/>
        </w:rPr>
        <w:t xml:space="preserve"> </w:t>
      </w:r>
      <w:r>
        <w:t>al</w:t>
      </w:r>
      <w:r>
        <w:rPr>
          <w:spacing w:val="-2"/>
        </w:rPr>
        <w:t xml:space="preserve"> </w:t>
      </w:r>
      <w:r>
        <w:t>(2021) vignette</w:t>
      </w:r>
      <w:r>
        <w:rPr>
          <w:spacing w:val="-2"/>
        </w:rPr>
        <w:t xml:space="preserve"> </w:t>
      </w:r>
      <w:r>
        <w:t>study,</w:t>
      </w:r>
      <w:r>
        <w:rPr>
          <w:spacing w:val="-1"/>
        </w:rPr>
        <w:t xml:space="preserve"> </w:t>
      </w:r>
      <w:r>
        <w:rPr>
          <w:u w:val="single"/>
        </w:rPr>
        <w:t>the</w:t>
      </w:r>
      <w:r>
        <w:rPr>
          <w:spacing w:val="-1"/>
          <w:u w:val="single"/>
        </w:rPr>
        <w:t xml:space="preserve"> </w:t>
      </w:r>
      <w:r>
        <w:rPr>
          <w:u w:val="single"/>
        </w:rPr>
        <w:t>committee</w:t>
      </w:r>
      <w:r>
        <w:rPr>
          <w:spacing w:val="-1"/>
        </w:rPr>
        <w:t xml:space="preserve"> </w:t>
      </w:r>
      <w:r>
        <w:t>at</w:t>
      </w:r>
      <w:r>
        <w:rPr>
          <w:spacing w:val="-1"/>
        </w:rPr>
        <w:t xml:space="preserve"> </w:t>
      </w:r>
      <w:r>
        <w:rPr>
          <w:spacing w:val="-4"/>
        </w:rPr>
        <w:t>para</w:t>
      </w:r>
    </w:p>
    <w:p w14:paraId="5CBA0B54" w14:textId="77777777" w:rsidR="006E7F81" w:rsidRDefault="00000000">
      <w:pPr>
        <w:pStyle w:val="BodyText"/>
        <w:spacing w:before="36" w:line="276" w:lineRule="auto"/>
        <w:ind w:left="1379" w:right="977"/>
      </w:pPr>
      <w:r>
        <w:t>3.16</w:t>
      </w:r>
      <w:r>
        <w:rPr>
          <w:spacing w:val="-2"/>
        </w:rPr>
        <w:t xml:space="preserve"> </w:t>
      </w:r>
      <w:r>
        <w:t>FDG concluded</w:t>
      </w:r>
      <w:r>
        <w:rPr>
          <w:spacing w:val="-2"/>
        </w:rPr>
        <w:t xml:space="preserve"> </w:t>
      </w:r>
      <w:r>
        <w:t>that</w:t>
      </w:r>
      <w:r>
        <w:rPr>
          <w:spacing w:val="-2"/>
        </w:rPr>
        <w:t xml:space="preserve"> </w:t>
      </w:r>
      <w:r>
        <w:t>it preferred</w:t>
      </w:r>
      <w:r>
        <w:rPr>
          <w:spacing w:val="-2"/>
        </w:rPr>
        <w:t xml:space="preserve"> </w:t>
      </w:r>
      <w:r>
        <w:t>the</w:t>
      </w:r>
      <w:r>
        <w:rPr>
          <w:spacing w:val="-2"/>
        </w:rPr>
        <w:t xml:space="preserve"> </w:t>
      </w:r>
      <w:r>
        <w:t>Lo</w:t>
      </w:r>
      <w:r>
        <w:rPr>
          <w:spacing w:val="-2"/>
        </w:rPr>
        <w:t xml:space="preserve"> </w:t>
      </w:r>
      <w:r>
        <w:t>et</w:t>
      </w:r>
      <w:r>
        <w:rPr>
          <w:spacing w:val="-2"/>
        </w:rPr>
        <w:t xml:space="preserve"> </w:t>
      </w:r>
      <w:r>
        <w:t>al.</w:t>
      </w:r>
      <w:r>
        <w:rPr>
          <w:spacing w:val="-2"/>
        </w:rPr>
        <w:t xml:space="preserve"> </w:t>
      </w:r>
      <w:r>
        <w:t>(2022)</w:t>
      </w:r>
      <w:r>
        <w:rPr>
          <w:spacing w:val="-1"/>
        </w:rPr>
        <w:t xml:space="preserve"> </w:t>
      </w:r>
      <w:r>
        <w:t>vignette</w:t>
      </w:r>
      <w:r>
        <w:rPr>
          <w:spacing w:val="-2"/>
        </w:rPr>
        <w:t xml:space="preserve"> </w:t>
      </w:r>
      <w:r>
        <w:t>study as presented</w:t>
      </w:r>
      <w:r>
        <w:rPr>
          <w:spacing w:val="-2"/>
        </w:rPr>
        <w:t xml:space="preserve"> </w:t>
      </w:r>
      <w:r>
        <w:t>by the</w:t>
      </w:r>
      <w:r>
        <w:rPr>
          <w:spacing w:val="-2"/>
        </w:rPr>
        <w:t xml:space="preserve"> </w:t>
      </w:r>
      <w:r>
        <w:t>company, despite its substantial limitations.</w:t>
      </w:r>
    </w:p>
    <w:p w14:paraId="5CBA0B55" w14:textId="77777777" w:rsidR="006E7F81" w:rsidRDefault="006E7F81">
      <w:pPr>
        <w:pStyle w:val="BodyText"/>
        <w:spacing w:before="9"/>
      </w:pPr>
    </w:p>
    <w:p w14:paraId="5CBA0B56" w14:textId="77777777" w:rsidR="006E7F81" w:rsidRDefault="00000000">
      <w:pPr>
        <w:pStyle w:val="BodyText"/>
        <w:spacing w:before="1" w:line="276" w:lineRule="auto"/>
        <w:ind w:left="1380" w:right="1137" w:hanging="1"/>
        <w:jc w:val="both"/>
      </w:pPr>
      <w:r>
        <w:t>The</w:t>
      </w:r>
      <w:r>
        <w:rPr>
          <w:spacing w:val="-4"/>
        </w:rPr>
        <w:t xml:space="preserve"> </w:t>
      </w:r>
      <w:r>
        <w:t>FDG sets out</w:t>
      </w:r>
      <w:r>
        <w:rPr>
          <w:spacing w:val="-2"/>
        </w:rPr>
        <w:t xml:space="preserve"> </w:t>
      </w:r>
      <w:r>
        <w:t>(at</w:t>
      </w:r>
      <w:r>
        <w:rPr>
          <w:spacing w:val="-2"/>
        </w:rPr>
        <w:t xml:space="preserve"> </w:t>
      </w:r>
      <w:r>
        <w:t>paragraph</w:t>
      </w:r>
      <w:r>
        <w:rPr>
          <w:spacing w:val="-2"/>
        </w:rPr>
        <w:t xml:space="preserve"> </w:t>
      </w:r>
      <w:r>
        <w:t>3.16)</w:t>
      </w:r>
      <w:r>
        <w:rPr>
          <w:spacing w:val="-3"/>
        </w:rPr>
        <w:t xml:space="preserve"> </w:t>
      </w:r>
      <w:r>
        <w:t>the</w:t>
      </w:r>
      <w:r>
        <w:rPr>
          <w:spacing w:val="-4"/>
        </w:rPr>
        <w:t xml:space="preserve"> </w:t>
      </w:r>
      <w:r>
        <w:t>committee's detailed</w:t>
      </w:r>
      <w:r>
        <w:rPr>
          <w:spacing w:val="-2"/>
        </w:rPr>
        <w:t xml:space="preserve"> </w:t>
      </w:r>
      <w:r>
        <w:t>consideration</w:t>
      </w:r>
      <w:r>
        <w:rPr>
          <w:spacing w:val="-2"/>
        </w:rPr>
        <w:t xml:space="preserve"> </w:t>
      </w:r>
      <w:r>
        <w:t>of</w:t>
      </w:r>
      <w:r>
        <w:rPr>
          <w:spacing w:val="-2"/>
        </w:rPr>
        <w:t xml:space="preserve"> </w:t>
      </w:r>
      <w:r>
        <w:t>the</w:t>
      </w:r>
      <w:r>
        <w:rPr>
          <w:spacing w:val="-4"/>
        </w:rPr>
        <w:t xml:space="preserve"> </w:t>
      </w:r>
      <w:r>
        <w:t xml:space="preserve">various utility data sources and its concerns about their limitations. It explains that although the Committee initially considered that the utility values from </w:t>
      </w:r>
      <w:proofErr w:type="spellStart"/>
      <w:r>
        <w:t>Auvin</w:t>
      </w:r>
      <w:proofErr w:type="spellEnd"/>
      <w:r>
        <w:t xml:space="preserve"> et al. better reflected the impact on health-related qualify of life from changes in the seizure frequency component of CDD, following consultation and the submission of the interim data from the ongoing international caregiver survey by the company in support</w:t>
      </w:r>
      <w:r>
        <w:rPr>
          <w:spacing w:val="-1"/>
        </w:rPr>
        <w:t xml:space="preserve"> </w:t>
      </w:r>
      <w:r>
        <w:t>of</w:t>
      </w:r>
      <w:r>
        <w:rPr>
          <w:spacing w:val="-1"/>
        </w:rPr>
        <w:t xml:space="preserve"> </w:t>
      </w:r>
      <w:r>
        <w:t>its</w:t>
      </w:r>
      <w:r>
        <w:rPr>
          <w:spacing w:val="-2"/>
        </w:rPr>
        <w:t xml:space="preserve"> </w:t>
      </w:r>
      <w:r>
        <w:t>preference</w:t>
      </w:r>
      <w:r>
        <w:rPr>
          <w:spacing w:val="-1"/>
        </w:rPr>
        <w:t xml:space="preserve"> </w:t>
      </w:r>
      <w:r>
        <w:t>for Lo</w:t>
      </w:r>
      <w:r>
        <w:rPr>
          <w:spacing w:val="-1"/>
        </w:rPr>
        <w:t xml:space="preserve"> </w:t>
      </w:r>
      <w:r>
        <w:t>et</w:t>
      </w:r>
      <w:r>
        <w:rPr>
          <w:spacing w:val="-1"/>
        </w:rPr>
        <w:t xml:space="preserve"> </w:t>
      </w:r>
      <w:r>
        <w:t>al.,</w:t>
      </w:r>
      <w:r>
        <w:rPr>
          <w:spacing w:val="-3"/>
        </w:rPr>
        <w:t xml:space="preserve"> </w:t>
      </w:r>
      <w:r>
        <w:t>the</w:t>
      </w:r>
      <w:r>
        <w:rPr>
          <w:spacing w:val="-3"/>
        </w:rPr>
        <w:t xml:space="preserve"> </w:t>
      </w:r>
      <w:r>
        <w:t>committee</w:t>
      </w:r>
      <w:r>
        <w:rPr>
          <w:spacing w:val="-3"/>
        </w:rPr>
        <w:t xml:space="preserve"> </w:t>
      </w:r>
      <w:r>
        <w:t>ultimately</w:t>
      </w:r>
      <w:r>
        <w:rPr>
          <w:spacing w:val="-2"/>
        </w:rPr>
        <w:t xml:space="preserve"> </w:t>
      </w:r>
      <w:r>
        <w:t>concluded</w:t>
      </w:r>
      <w:r>
        <w:rPr>
          <w:spacing w:val="-3"/>
        </w:rPr>
        <w:t xml:space="preserve"> </w:t>
      </w:r>
      <w:r>
        <w:t>that,</w:t>
      </w:r>
      <w:r>
        <w:rPr>
          <w:spacing w:val="-1"/>
        </w:rPr>
        <w:t xml:space="preserve"> </w:t>
      </w:r>
      <w:r>
        <w:t>on</w:t>
      </w:r>
      <w:r>
        <w:rPr>
          <w:spacing w:val="-1"/>
        </w:rPr>
        <w:t xml:space="preserve"> </w:t>
      </w:r>
      <w:r>
        <w:t>balance</w:t>
      </w:r>
      <w:r>
        <w:rPr>
          <w:spacing w:val="-3"/>
        </w:rPr>
        <w:t xml:space="preserve"> </w:t>
      </w:r>
      <w:r>
        <w:t>and</w:t>
      </w:r>
      <w:r>
        <w:rPr>
          <w:spacing w:val="-1"/>
        </w:rPr>
        <w:t xml:space="preserve"> </w:t>
      </w:r>
      <w:r>
        <w:t xml:space="preserve">despite both options having substantial limitations and despite there being substantial remaining uncertainty, Lo et al. would be a more appropriate source for utility values than </w:t>
      </w:r>
      <w:proofErr w:type="spellStart"/>
      <w:r>
        <w:t>Auvin</w:t>
      </w:r>
      <w:proofErr w:type="spellEnd"/>
      <w:r>
        <w:t xml:space="preserve"> et al.</w:t>
      </w:r>
    </w:p>
    <w:p w14:paraId="5CBA0B57" w14:textId="77777777" w:rsidR="006E7F81" w:rsidRDefault="006E7F81">
      <w:pPr>
        <w:pStyle w:val="BodyText"/>
        <w:spacing w:before="10"/>
      </w:pPr>
    </w:p>
    <w:p w14:paraId="5CBA0B58" w14:textId="77777777" w:rsidR="006E7F81" w:rsidRDefault="00000000">
      <w:pPr>
        <w:pStyle w:val="BodyText"/>
        <w:spacing w:line="276" w:lineRule="auto"/>
        <w:ind w:left="1380" w:right="1141" w:hanging="1"/>
        <w:jc w:val="both"/>
      </w:pPr>
      <w:r>
        <w:t>I</w:t>
      </w:r>
      <w:r>
        <w:rPr>
          <w:spacing w:val="-9"/>
        </w:rPr>
        <w:t xml:space="preserve"> </w:t>
      </w:r>
      <w:r>
        <w:t>am</w:t>
      </w:r>
      <w:r>
        <w:rPr>
          <w:spacing w:val="-9"/>
        </w:rPr>
        <w:t xml:space="preserve"> </w:t>
      </w:r>
      <w:r>
        <w:t>therefore</w:t>
      </w:r>
      <w:r>
        <w:rPr>
          <w:spacing w:val="-9"/>
        </w:rPr>
        <w:t xml:space="preserve"> </w:t>
      </w:r>
      <w:r>
        <w:t>not</w:t>
      </w:r>
      <w:r>
        <w:rPr>
          <w:spacing w:val="-9"/>
        </w:rPr>
        <w:t xml:space="preserve"> </w:t>
      </w:r>
      <w:r>
        <w:t>persuaded</w:t>
      </w:r>
      <w:r>
        <w:rPr>
          <w:spacing w:val="-9"/>
        </w:rPr>
        <w:t xml:space="preserve"> </w:t>
      </w:r>
      <w:r>
        <w:t>that</w:t>
      </w:r>
      <w:r>
        <w:rPr>
          <w:spacing w:val="-9"/>
        </w:rPr>
        <w:t xml:space="preserve"> </w:t>
      </w:r>
      <w:r>
        <w:t>you</w:t>
      </w:r>
      <w:r>
        <w:rPr>
          <w:spacing w:val="-7"/>
        </w:rPr>
        <w:t xml:space="preserve"> </w:t>
      </w:r>
      <w:r>
        <w:t>make</w:t>
      </w:r>
      <w:r>
        <w:rPr>
          <w:spacing w:val="-9"/>
        </w:rPr>
        <w:t xml:space="preserve"> </w:t>
      </w:r>
      <w:r>
        <w:t>an</w:t>
      </w:r>
      <w:r>
        <w:rPr>
          <w:spacing w:val="-7"/>
        </w:rPr>
        <w:t xml:space="preserve"> </w:t>
      </w:r>
      <w:r>
        <w:t>arguable</w:t>
      </w:r>
      <w:r>
        <w:rPr>
          <w:spacing w:val="-9"/>
        </w:rPr>
        <w:t xml:space="preserve"> </w:t>
      </w:r>
      <w:r>
        <w:t>point</w:t>
      </w:r>
      <w:r>
        <w:rPr>
          <w:spacing w:val="-9"/>
        </w:rPr>
        <w:t xml:space="preserve"> </w:t>
      </w:r>
      <w:r>
        <w:t>that</w:t>
      </w:r>
      <w:r>
        <w:rPr>
          <w:spacing w:val="-8"/>
        </w:rPr>
        <w:t xml:space="preserve"> </w:t>
      </w:r>
      <w:r>
        <w:t>the</w:t>
      </w:r>
      <w:r>
        <w:rPr>
          <w:spacing w:val="-9"/>
        </w:rPr>
        <w:t xml:space="preserve"> </w:t>
      </w:r>
      <w:r>
        <w:t>committee</w:t>
      </w:r>
      <w:r>
        <w:rPr>
          <w:spacing w:val="-9"/>
        </w:rPr>
        <w:t xml:space="preserve"> </w:t>
      </w:r>
      <w:r>
        <w:t>has</w:t>
      </w:r>
      <w:r>
        <w:rPr>
          <w:spacing w:val="-7"/>
        </w:rPr>
        <w:t xml:space="preserve"> </w:t>
      </w:r>
      <w:r>
        <w:t>failed</w:t>
      </w:r>
      <w:r>
        <w:rPr>
          <w:spacing w:val="-9"/>
        </w:rPr>
        <w:t xml:space="preserve"> </w:t>
      </w:r>
      <w:r>
        <w:t>to</w:t>
      </w:r>
      <w:r>
        <w:rPr>
          <w:spacing w:val="-7"/>
        </w:rPr>
        <w:t xml:space="preserve"> </w:t>
      </w:r>
      <w:r>
        <w:t>act</w:t>
      </w:r>
      <w:r>
        <w:rPr>
          <w:spacing w:val="-9"/>
        </w:rPr>
        <w:t xml:space="preserve"> </w:t>
      </w:r>
      <w:r>
        <w:t>fairly in its consideration of the data submitted by the company.</w:t>
      </w:r>
    </w:p>
    <w:p w14:paraId="5CBA0B59" w14:textId="77777777" w:rsidR="006E7F81" w:rsidRDefault="006E7F81">
      <w:pPr>
        <w:pStyle w:val="BodyText"/>
        <w:spacing w:before="9"/>
      </w:pPr>
    </w:p>
    <w:p w14:paraId="5CBA0B5A" w14:textId="77777777" w:rsidR="006E7F81" w:rsidRDefault="00000000">
      <w:pPr>
        <w:pStyle w:val="BodyText"/>
        <w:spacing w:before="1"/>
        <w:ind w:left="1380"/>
      </w:pPr>
      <w:r>
        <w:rPr>
          <w:spacing w:val="-2"/>
          <w:u w:val="single"/>
        </w:rPr>
        <w:t>Conclusion</w:t>
      </w:r>
    </w:p>
    <w:p w14:paraId="5CBA0B5B" w14:textId="77777777" w:rsidR="006E7F81" w:rsidRDefault="006E7F81">
      <w:pPr>
        <w:pStyle w:val="BodyText"/>
        <w:spacing w:before="43"/>
      </w:pPr>
    </w:p>
    <w:p w14:paraId="5CBA0B5C" w14:textId="77777777" w:rsidR="006E7F81" w:rsidRDefault="00000000">
      <w:pPr>
        <w:pStyle w:val="BodyText"/>
        <w:spacing w:before="1" w:line="276" w:lineRule="auto"/>
        <w:ind w:left="1379" w:right="1139"/>
        <w:jc w:val="both"/>
      </w:pPr>
      <w:r>
        <w:t>For the reasons set out above, I will not refer your appeal for consideration at an appeal hearing. This letter therefore brings your appeal to an end. I can confirm, however, that this does not bring NICE's internal</w:t>
      </w:r>
      <w:r>
        <w:rPr>
          <w:spacing w:val="-9"/>
        </w:rPr>
        <w:t xml:space="preserve"> </w:t>
      </w:r>
      <w:r>
        <w:t>appeal</w:t>
      </w:r>
      <w:r>
        <w:rPr>
          <w:spacing w:val="-11"/>
        </w:rPr>
        <w:t xml:space="preserve"> </w:t>
      </w:r>
      <w:r>
        <w:t>process</w:t>
      </w:r>
      <w:r>
        <w:rPr>
          <w:spacing w:val="-9"/>
        </w:rPr>
        <w:t xml:space="preserve"> </w:t>
      </w:r>
      <w:r>
        <w:t>to</w:t>
      </w:r>
      <w:r>
        <w:rPr>
          <w:spacing w:val="-10"/>
        </w:rPr>
        <w:t xml:space="preserve"> </w:t>
      </w:r>
      <w:r>
        <w:t>a</w:t>
      </w:r>
      <w:r>
        <w:rPr>
          <w:spacing w:val="-8"/>
        </w:rPr>
        <w:t xml:space="preserve"> </w:t>
      </w:r>
      <w:r>
        <w:t>close.</w:t>
      </w:r>
      <w:r>
        <w:rPr>
          <w:spacing w:val="-10"/>
        </w:rPr>
        <w:t xml:space="preserve"> </w:t>
      </w:r>
      <w:r>
        <w:t>That</w:t>
      </w:r>
      <w:r>
        <w:rPr>
          <w:spacing w:val="-8"/>
        </w:rPr>
        <w:t xml:space="preserve"> </w:t>
      </w:r>
      <w:r>
        <w:t>is</w:t>
      </w:r>
      <w:r>
        <w:rPr>
          <w:spacing w:val="-9"/>
        </w:rPr>
        <w:t xml:space="preserve"> </w:t>
      </w:r>
      <w:r>
        <w:t>because</w:t>
      </w:r>
      <w:r>
        <w:rPr>
          <w:spacing w:val="-10"/>
        </w:rPr>
        <w:t xml:space="preserve"> </w:t>
      </w:r>
      <w:r>
        <w:t>another</w:t>
      </w:r>
      <w:r>
        <w:rPr>
          <w:spacing w:val="-9"/>
        </w:rPr>
        <w:t xml:space="preserve"> </w:t>
      </w:r>
      <w:r>
        <w:t>appellant</w:t>
      </w:r>
      <w:r>
        <w:rPr>
          <w:spacing w:val="-10"/>
        </w:rPr>
        <w:t xml:space="preserve"> </w:t>
      </w:r>
      <w:r>
        <w:t>has</w:t>
      </w:r>
      <w:r>
        <w:rPr>
          <w:spacing w:val="-9"/>
        </w:rPr>
        <w:t xml:space="preserve"> </w:t>
      </w:r>
      <w:r>
        <w:t>made</w:t>
      </w:r>
      <w:r>
        <w:rPr>
          <w:spacing w:val="-10"/>
        </w:rPr>
        <w:t xml:space="preserve"> </w:t>
      </w:r>
      <w:r>
        <w:t>valid</w:t>
      </w:r>
      <w:r>
        <w:rPr>
          <w:spacing w:val="-10"/>
        </w:rPr>
        <w:t xml:space="preserve"> </w:t>
      </w:r>
      <w:r>
        <w:t>appeal</w:t>
      </w:r>
      <w:r>
        <w:rPr>
          <w:spacing w:val="-11"/>
        </w:rPr>
        <w:t xml:space="preserve"> </w:t>
      </w:r>
      <w:r>
        <w:t>points</w:t>
      </w:r>
      <w:r>
        <w:rPr>
          <w:spacing w:val="-9"/>
        </w:rPr>
        <w:t xml:space="preserve"> </w:t>
      </w:r>
      <w:r>
        <w:t xml:space="preserve">that I have referred to the Appeal Panel for consideration at an oral hearing. Details of the appeal process will be published on NICE's website here: </w:t>
      </w:r>
      <w:hyperlink r:id="rId14">
        <w:r>
          <w:t>[</w:t>
        </w:r>
        <w:r>
          <w:rPr>
            <w:color w:val="0000FF"/>
            <w:u w:val="single" w:color="0000FF"/>
          </w:rPr>
          <w:t>https://www.nice.org.uk/guidance/indevelopment/gid-</w:t>
        </w:r>
      </w:hyperlink>
      <w:r>
        <w:rPr>
          <w:color w:val="0000FF"/>
        </w:rPr>
        <w:t xml:space="preserve"> </w:t>
      </w:r>
      <w:hyperlink r:id="rId15">
        <w:r>
          <w:rPr>
            <w:color w:val="0000FF"/>
            <w:spacing w:val="-2"/>
            <w:u w:val="single" w:color="0000FF"/>
          </w:rPr>
          <w:t>ta10948/documents</w:t>
        </w:r>
        <w:r>
          <w:rPr>
            <w:spacing w:val="-2"/>
          </w:rPr>
          <w:t>]</w:t>
        </w:r>
      </w:hyperlink>
    </w:p>
    <w:p w14:paraId="5CBA0B5D" w14:textId="77777777" w:rsidR="006E7F81" w:rsidRDefault="006E7F81">
      <w:pPr>
        <w:pStyle w:val="BodyText"/>
        <w:spacing w:before="9"/>
      </w:pPr>
    </w:p>
    <w:p w14:paraId="5CBA0B5E" w14:textId="77777777" w:rsidR="006E7F81" w:rsidRDefault="00000000">
      <w:pPr>
        <w:pStyle w:val="BodyText"/>
        <w:ind w:left="1380"/>
      </w:pPr>
      <w:r>
        <w:t>Thank</w:t>
      </w:r>
      <w:r>
        <w:rPr>
          <w:spacing w:val="-6"/>
        </w:rPr>
        <w:t xml:space="preserve"> </w:t>
      </w:r>
      <w:r>
        <w:t>you</w:t>
      </w:r>
      <w:r>
        <w:rPr>
          <w:spacing w:val="-7"/>
        </w:rPr>
        <w:t xml:space="preserve"> </w:t>
      </w:r>
      <w:r>
        <w:t>for</w:t>
      </w:r>
      <w:r>
        <w:rPr>
          <w:spacing w:val="-6"/>
        </w:rPr>
        <w:t xml:space="preserve"> </w:t>
      </w:r>
      <w:r>
        <w:t>your</w:t>
      </w:r>
      <w:r>
        <w:rPr>
          <w:spacing w:val="-6"/>
        </w:rPr>
        <w:t xml:space="preserve"> </w:t>
      </w:r>
      <w:r>
        <w:t>comments</w:t>
      </w:r>
      <w:r>
        <w:rPr>
          <w:spacing w:val="-6"/>
        </w:rPr>
        <w:t xml:space="preserve"> </w:t>
      </w:r>
      <w:r>
        <w:t>and</w:t>
      </w:r>
      <w:r>
        <w:rPr>
          <w:spacing w:val="-5"/>
        </w:rPr>
        <w:t xml:space="preserve"> </w:t>
      </w:r>
      <w:r>
        <w:t>engagement</w:t>
      </w:r>
      <w:r>
        <w:rPr>
          <w:spacing w:val="-5"/>
        </w:rPr>
        <w:t xml:space="preserve"> </w:t>
      </w:r>
      <w:r>
        <w:t>in</w:t>
      </w:r>
      <w:r>
        <w:rPr>
          <w:spacing w:val="-7"/>
        </w:rPr>
        <w:t xml:space="preserve"> </w:t>
      </w:r>
      <w:r>
        <w:t>the</w:t>
      </w:r>
      <w:r>
        <w:rPr>
          <w:spacing w:val="-5"/>
        </w:rPr>
        <w:t xml:space="preserve"> </w:t>
      </w:r>
      <w:r>
        <w:t>appeals</w:t>
      </w:r>
      <w:r>
        <w:rPr>
          <w:spacing w:val="-6"/>
        </w:rPr>
        <w:t xml:space="preserve"> </w:t>
      </w:r>
      <w:r>
        <w:rPr>
          <w:spacing w:val="-2"/>
        </w:rPr>
        <w:t>process.</w:t>
      </w:r>
    </w:p>
    <w:p w14:paraId="5CBA0B5F" w14:textId="77777777" w:rsidR="006E7F81" w:rsidRDefault="006E7F81">
      <w:pPr>
        <w:sectPr w:rsidR="006E7F81">
          <w:footerReference w:type="default" r:id="rId16"/>
          <w:pgSz w:w="11910" w:h="16840"/>
          <w:pgMar w:top="1340" w:right="300" w:bottom="1200" w:left="60" w:header="0" w:footer="1002" w:gutter="0"/>
          <w:pgNumType w:start="2"/>
          <w:cols w:space="720"/>
        </w:sectPr>
      </w:pPr>
    </w:p>
    <w:p w14:paraId="5CBA0B60" w14:textId="2F5D7F90" w:rsidR="006E7F81" w:rsidRPr="00E76A6F" w:rsidRDefault="00E76A6F">
      <w:pPr>
        <w:pStyle w:val="BodyText"/>
        <w:ind w:left="1456"/>
      </w:pPr>
      <w:r w:rsidRPr="00E76A6F">
        <w:rPr>
          <w:noProof/>
          <w:highlight w:val="black"/>
        </w:rPr>
        <w:lastRenderedPageBreak/>
        <w:t>XXXXXXXXXXXXXXXXX</w:t>
      </w:r>
    </w:p>
    <w:p w14:paraId="5CBA0B61" w14:textId="77777777" w:rsidR="006E7F81" w:rsidRDefault="006E7F81">
      <w:pPr>
        <w:pStyle w:val="BodyText"/>
        <w:spacing w:before="48"/>
      </w:pPr>
    </w:p>
    <w:p w14:paraId="5CBA0B62" w14:textId="77777777" w:rsidR="006E7F81" w:rsidRDefault="00000000">
      <w:pPr>
        <w:pStyle w:val="BodyText"/>
        <w:ind w:left="1379"/>
      </w:pPr>
      <w:r>
        <w:t>Yours</w:t>
      </w:r>
      <w:r>
        <w:rPr>
          <w:spacing w:val="-9"/>
        </w:rPr>
        <w:t xml:space="preserve"> </w:t>
      </w:r>
      <w:r>
        <w:rPr>
          <w:spacing w:val="-2"/>
        </w:rPr>
        <w:t>sincerely</w:t>
      </w:r>
    </w:p>
    <w:p w14:paraId="5CBA0B63" w14:textId="77777777" w:rsidR="006E7F81" w:rsidRDefault="006E7F81">
      <w:pPr>
        <w:pStyle w:val="BodyText"/>
        <w:spacing w:before="44"/>
      </w:pPr>
    </w:p>
    <w:p w14:paraId="5CBA0B64" w14:textId="77777777" w:rsidR="006E7F81" w:rsidRDefault="00000000">
      <w:pPr>
        <w:pStyle w:val="BodyText"/>
        <w:ind w:left="1379"/>
      </w:pPr>
      <w:r>
        <w:t>Dr</w:t>
      </w:r>
      <w:r>
        <w:rPr>
          <w:spacing w:val="-5"/>
        </w:rPr>
        <w:t xml:space="preserve"> </w:t>
      </w:r>
      <w:r>
        <w:t>Mark</w:t>
      </w:r>
      <w:r>
        <w:rPr>
          <w:spacing w:val="-4"/>
        </w:rPr>
        <w:t xml:space="preserve"> </w:t>
      </w:r>
      <w:r>
        <w:rPr>
          <w:spacing w:val="-2"/>
        </w:rPr>
        <w:t>Chakravarty</w:t>
      </w:r>
    </w:p>
    <w:p w14:paraId="5CBA0B65" w14:textId="77777777" w:rsidR="006E7F81" w:rsidRDefault="006E7F81">
      <w:pPr>
        <w:pStyle w:val="BodyText"/>
        <w:spacing w:before="46"/>
      </w:pPr>
    </w:p>
    <w:p w14:paraId="5CBA0B66" w14:textId="77777777" w:rsidR="006E7F81" w:rsidRDefault="00000000">
      <w:pPr>
        <w:pStyle w:val="BodyText"/>
        <w:spacing w:line="525" w:lineRule="auto"/>
        <w:ind w:left="1379" w:right="4319"/>
      </w:pPr>
      <w:r>
        <w:t>Lead</w:t>
      </w:r>
      <w:r>
        <w:rPr>
          <w:spacing w:val="-5"/>
        </w:rPr>
        <w:t xml:space="preserve"> </w:t>
      </w:r>
      <w:r>
        <w:t>Non-Executive</w:t>
      </w:r>
      <w:r>
        <w:rPr>
          <w:spacing w:val="-7"/>
        </w:rPr>
        <w:t xml:space="preserve"> </w:t>
      </w:r>
      <w:r>
        <w:t>Director</w:t>
      </w:r>
      <w:r>
        <w:rPr>
          <w:spacing w:val="-6"/>
        </w:rPr>
        <w:t xml:space="preserve"> </w:t>
      </w:r>
      <w:r>
        <w:t>for</w:t>
      </w:r>
      <w:r>
        <w:rPr>
          <w:spacing w:val="-6"/>
        </w:rPr>
        <w:t xml:space="preserve"> </w:t>
      </w:r>
      <w:r>
        <w:t>Appeals</w:t>
      </w:r>
      <w:r>
        <w:rPr>
          <w:spacing w:val="-3"/>
        </w:rPr>
        <w:t xml:space="preserve"> </w:t>
      </w:r>
      <w:r>
        <w:t>&amp;</w:t>
      </w:r>
      <w:r>
        <w:rPr>
          <w:spacing w:val="-8"/>
        </w:rPr>
        <w:t xml:space="preserve"> </w:t>
      </w:r>
      <w:r>
        <w:t>Vice</w:t>
      </w:r>
      <w:r>
        <w:rPr>
          <w:spacing w:val="-7"/>
        </w:rPr>
        <w:t xml:space="preserve"> </w:t>
      </w:r>
      <w:r>
        <w:t>Chairman National Institute for Health and Care Excellence</w:t>
      </w:r>
    </w:p>
    <w:sectPr w:rsidR="006E7F81">
      <w:pgSz w:w="11910" w:h="16840"/>
      <w:pgMar w:top="1440" w:right="300" w:bottom="1200" w:left="60" w:header="0" w:footer="100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2C2DE0" w14:textId="77777777" w:rsidR="00E17237" w:rsidRDefault="00E17237">
      <w:r>
        <w:separator/>
      </w:r>
    </w:p>
  </w:endnote>
  <w:endnote w:type="continuationSeparator" w:id="0">
    <w:p w14:paraId="4FEDCF7E" w14:textId="77777777" w:rsidR="00E17237" w:rsidRDefault="00E172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w:altName w:val="Lato"/>
    <w:panose1 w:val="020F0502020204030203"/>
    <w:charset w:val="00"/>
    <w:family w:val="swiss"/>
    <w:pitch w:val="variable"/>
    <w:sig w:usb0="E10002FF" w:usb1="5000EC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BA0B6F" w14:textId="77777777" w:rsidR="006E7F81" w:rsidRDefault="00000000">
    <w:pPr>
      <w:pStyle w:val="BodyText"/>
      <w:spacing w:line="14" w:lineRule="auto"/>
    </w:pPr>
    <w:r>
      <w:rPr>
        <w:noProof/>
      </w:rPr>
      <mc:AlternateContent>
        <mc:Choice Requires="wps">
          <w:drawing>
            <wp:anchor distT="0" distB="0" distL="0" distR="0" simplePos="0" relativeHeight="487527936" behindDoc="1" locked="0" layoutInCell="1" allowOverlap="1" wp14:anchorId="5CBA0B70" wp14:editId="5CBA0B71">
              <wp:simplePos x="0" y="0"/>
              <wp:positionH relativeFrom="page">
                <wp:posOffset>6093952</wp:posOffset>
              </wp:positionH>
              <wp:positionV relativeFrom="page">
                <wp:posOffset>9916159</wp:posOffset>
              </wp:positionV>
              <wp:extent cx="537210" cy="16573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7210" cy="165735"/>
                      </a:xfrm>
                      <a:prstGeom prst="rect">
                        <a:avLst/>
                      </a:prstGeom>
                    </wps:spPr>
                    <wps:txbx>
                      <w:txbxContent>
                        <w:p w14:paraId="5CBA0B72" w14:textId="77777777" w:rsidR="006E7F81" w:rsidRDefault="00000000">
                          <w:pPr>
                            <w:spacing w:line="245" w:lineRule="exact"/>
                            <w:ind w:left="20"/>
                            <w:rPr>
                              <w:rFonts w:ascii="Calibri"/>
                            </w:rPr>
                          </w:pPr>
                          <w:r>
                            <w:rPr>
                              <w:rFonts w:ascii="Calibri"/>
                            </w:rPr>
                            <w:t>Page</w:t>
                          </w:r>
                          <w:r>
                            <w:rPr>
                              <w:rFonts w:ascii="Calibri"/>
                              <w:spacing w:val="-3"/>
                            </w:rPr>
                            <w:t xml:space="preserve"> </w:t>
                          </w:r>
                          <w:r>
                            <w:rPr>
                              <w:rFonts w:ascii="Calibri"/>
                            </w:rPr>
                            <w:t>|</w:t>
                          </w:r>
                          <w:r>
                            <w:rPr>
                              <w:rFonts w:ascii="Calibri"/>
                              <w:spacing w:val="-1"/>
                            </w:rPr>
                            <w:t xml:space="preserve"> </w:t>
                          </w: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2</w:t>
                          </w:r>
                          <w:r>
                            <w:rPr>
                              <w:rFonts w:ascii="Calibri"/>
                              <w:spacing w:val="-10"/>
                            </w:rPr>
                            <w:fldChar w:fldCharType="end"/>
                          </w:r>
                        </w:p>
                      </w:txbxContent>
                    </wps:txbx>
                    <wps:bodyPr wrap="square" lIns="0" tIns="0" rIns="0" bIns="0" rtlCol="0">
                      <a:noAutofit/>
                    </wps:bodyPr>
                  </wps:wsp>
                </a:graphicData>
              </a:graphic>
            </wp:anchor>
          </w:drawing>
        </mc:Choice>
        <mc:Fallback>
          <w:pict>
            <v:shapetype w14:anchorId="5CBA0B70" id="_x0000_t202" coordsize="21600,21600" o:spt="202" path="m,l,21600r21600,l21600,xe">
              <v:stroke joinstyle="miter"/>
              <v:path gradientshapeok="t" o:connecttype="rect"/>
            </v:shapetype>
            <v:shape id="Textbox 4" o:spid="_x0000_s1026" type="#_x0000_t202" style="position:absolute;margin-left:479.85pt;margin-top:780.8pt;width:42.3pt;height:13.05pt;z-index:-157885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" filled="f" stroked="f">
              <v:textbox inset="0,0,0,0">
                <w:txbxContent>
                  <w:p w14:paraId="5CBA0B72" w14:textId="77777777" w:rsidR="006E7F81" w:rsidRDefault="00000000">
                    <w:pPr>
                      <w:spacing w:line="245" w:lineRule="exact"/>
                      <w:ind w:left="20"/>
                      <w:rPr>
                        <w:rFonts w:ascii="Calibri"/>
                      </w:rPr>
                    </w:pPr>
                    <w:r>
                      <w:rPr>
                        <w:rFonts w:ascii="Calibri"/>
                      </w:rPr>
                      <w:t>Page</w:t>
                    </w:r>
                    <w:r>
                      <w:rPr>
                        <w:rFonts w:ascii="Calibri"/>
                        <w:spacing w:val="-3"/>
                      </w:rPr>
                      <w:t xml:space="preserve"> </w:t>
                    </w:r>
                    <w:r>
                      <w:rPr>
                        <w:rFonts w:ascii="Calibri"/>
                      </w:rPr>
                      <w:t>|</w:t>
                    </w:r>
                    <w:r>
                      <w:rPr>
                        <w:rFonts w:ascii="Calibri"/>
                        <w:spacing w:val="-1"/>
                      </w:rPr>
                      <w:t xml:space="preserve"> </w:t>
                    </w: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2</w:t>
                    </w:r>
                    <w:r>
                      <w:rPr>
                        <w:rFonts w:ascii="Calibri"/>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FE0441" w14:textId="77777777" w:rsidR="00E17237" w:rsidRDefault="00E17237">
      <w:r>
        <w:separator/>
      </w:r>
    </w:p>
  </w:footnote>
  <w:footnote w:type="continuationSeparator" w:id="0">
    <w:p w14:paraId="20496C05" w14:textId="77777777" w:rsidR="00E17237" w:rsidRDefault="00E172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8490B71"/>
    <w:multiLevelType w:val="hybridMultilevel"/>
    <w:tmpl w:val="218EBC62"/>
    <w:lvl w:ilvl="0" w:tplc="B284FA2C">
      <w:start w:val="1"/>
      <w:numFmt w:val="decimal"/>
      <w:lvlText w:val="%1."/>
      <w:lvlJc w:val="left"/>
      <w:pPr>
        <w:ind w:left="2098" w:hanging="360"/>
        <w:jc w:val="left"/>
      </w:pPr>
      <w:rPr>
        <w:rFonts w:ascii="Arial" w:eastAsia="Arial" w:hAnsi="Arial" w:cs="Arial" w:hint="default"/>
        <w:b w:val="0"/>
        <w:bCs w:val="0"/>
        <w:i w:val="0"/>
        <w:iCs w:val="0"/>
        <w:spacing w:val="-1"/>
        <w:w w:val="99"/>
        <w:sz w:val="20"/>
        <w:szCs w:val="20"/>
        <w:lang w:val="en-US" w:eastAsia="en-US" w:bidi="ar-SA"/>
      </w:rPr>
    </w:lvl>
    <w:lvl w:ilvl="1" w:tplc="0DC6AB08">
      <w:numFmt w:val="bullet"/>
      <w:lvlText w:val="•"/>
      <w:lvlJc w:val="left"/>
      <w:pPr>
        <w:ind w:left="3044" w:hanging="360"/>
      </w:pPr>
      <w:rPr>
        <w:rFonts w:hint="default"/>
        <w:lang w:val="en-US" w:eastAsia="en-US" w:bidi="ar-SA"/>
      </w:rPr>
    </w:lvl>
    <w:lvl w:ilvl="2" w:tplc="CD5E48C0">
      <w:numFmt w:val="bullet"/>
      <w:lvlText w:val="•"/>
      <w:lvlJc w:val="left"/>
      <w:pPr>
        <w:ind w:left="3989" w:hanging="360"/>
      </w:pPr>
      <w:rPr>
        <w:rFonts w:hint="default"/>
        <w:lang w:val="en-US" w:eastAsia="en-US" w:bidi="ar-SA"/>
      </w:rPr>
    </w:lvl>
    <w:lvl w:ilvl="3" w:tplc="42042800">
      <w:numFmt w:val="bullet"/>
      <w:lvlText w:val="•"/>
      <w:lvlJc w:val="left"/>
      <w:pPr>
        <w:ind w:left="4933" w:hanging="360"/>
      </w:pPr>
      <w:rPr>
        <w:rFonts w:hint="default"/>
        <w:lang w:val="en-US" w:eastAsia="en-US" w:bidi="ar-SA"/>
      </w:rPr>
    </w:lvl>
    <w:lvl w:ilvl="4" w:tplc="D4C07672">
      <w:numFmt w:val="bullet"/>
      <w:lvlText w:val="•"/>
      <w:lvlJc w:val="left"/>
      <w:pPr>
        <w:ind w:left="5878" w:hanging="360"/>
      </w:pPr>
      <w:rPr>
        <w:rFonts w:hint="default"/>
        <w:lang w:val="en-US" w:eastAsia="en-US" w:bidi="ar-SA"/>
      </w:rPr>
    </w:lvl>
    <w:lvl w:ilvl="5" w:tplc="6F4AFAD6">
      <w:numFmt w:val="bullet"/>
      <w:lvlText w:val="•"/>
      <w:lvlJc w:val="left"/>
      <w:pPr>
        <w:ind w:left="6823" w:hanging="360"/>
      </w:pPr>
      <w:rPr>
        <w:rFonts w:hint="default"/>
        <w:lang w:val="en-US" w:eastAsia="en-US" w:bidi="ar-SA"/>
      </w:rPr>
    </w:lvl>
    <w:lvl w:ilvl="6" w:tplc="6CB003E2">
      <w:numFmt w:val="bullet"/>
      <w:lvlText w:val="•"/>
      <w:lvlJc w:val="left"/>
      <w:pPr>
        <w:ind w:left="7767" w:hanging="360"/>
      </w:pPr>
      <w:rPr>
        <w:rFonts w:hint="default"/>
        <w:lang w:val="en-US" w:eastAsia="en-US" w:bidi="ar-SA"/>
      </w:rPr>
    </w:lvl>
    <w:lvl w:ilvl="7" w:tplc="37B202B8">
      <w:numFmt w:val="bullet"/>
      <w:lvlText w:val="•"/>
      <w:lvlJc w:val="left"/>
      <w:pPr>
        <w:ind w:left="8712" w:hanging="360"/>
      </w:pPr>
      <w:rPr>
        <w:rFonts w:hint="default"/>
        <w:lang w:val="en-US" w:eastAsia="en-US" w:bidi="ar-SA"/>
      </w:rPr>
    </w:lvl>
    <w:lvl w:ilvl="8" w:tplc="AC5E4028">
      <w:numFmt w:val="bullet"/>
      <w:lvlText w:val="•"/>
      <w:lvlJc w:val="left"/>
      <w:pPr>
        <w:ind w:left="9657" w:hanging="360"/>
      </w:pPr>
      <w:rPr>
        <w:rFonts w:hint="default"/>
        <w:lang w:val="en-US" w:eastAsia="en-US" w:bidi="ar-SA"/>
      </w:rPr>
    </w:lvl>
  </w:abstractNum>
  <w:num w:numId="1" w16cid:durableId="21221410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6E7F81"/>
    <w:rsid w:val="00490A02"/>
    <w:rsid w:val="00612FC1"/>
    <w:rsid w:val="006E7F81"/>
    <w:rsid w:val="00805BF7"/>
    <w:rsid w:val="00A966CD"/>
    <w:rsid w:val="00C6256D"/>
    <w:rsid w:val="00E17237"/>
    <w:rsid w:val="00E76A6F"/>
    <w:rsid w:val="00E974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A0B25"/>
  <w15:docId w15:val="{C0AE8F15-1410-44D9-82E6-C218D1DF0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line="245" w:lineRule="exact"/>
      <w:ind w:left="20"/>
    </w:pPr>
    <w:rPr>
      <w:rFonts w:ascii="Calibri" w:eastAsia="Calibri" w:hAnsi="Calibri" w:cs="Calibri"/>
    </w:rPr>
  </w:style>
  <w:style w:type="paragraph" w:styleId="ListParagraph">
    <w:name w:val="List Paragraph"/>
    <w:basedOn w:val="Normal"/>
    <w:uiPriority w:val="1"/>
    <w:qFormat/>
    <w:pPr>
      <w:ind w:left="2098" w:right="1139" w:hanging="36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nice.org.uk/process/pmg41/chapter/making-an-appea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nice.org.uk/process/pmg36/resources/nice-health-technology-evaluations-the-manual-pdf-72286779244741"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yperlink" Target="https://www.nice.org.uk/guidance/indevelopment/gid-ta10948/documents" TargetMode="Externa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nice.org.uk/guidance/indevelopment/gid-ta10948/docum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300E5E64B980D458C754FFE05DEE26D" ma:contentTypeVersion="10" ma:contentTypeDescription="Create a new document." ma:contentTypeScope="" ma:versionID="889b3d9d1cf5d0d6c2c12b21bc0836da">
  <xsd:schema xmlns:xsd="http://www.w3.org/2001/XMLSchema" xmlns:xs="http://www.w3.org/2001/XMLSchema" xmlns:p="http://schemas.microsoft.com/office/2006/metadata/properties" xmlns:ns2="465a54fe-435b-4423-8fe2-c9a3626b31f7" xmlns:ns3="68f19371-ebe6-4483-8e72-73d36cd7064e" targetNamespace="http://schemas.microsoft.com/office/2006/metadata/properties" ma:root="true" ma:fieldsID="50adbc2a1eb477ef22c267c29b62d3cc" ns2:_="" ns3:_="">
    <xsd:import namespace="465a54fe-435b-4423-8fe2-c9a3626b31f7"/>
    <xsd:import namespace="68f19371-ebe6-4483-8e72-73d36cd7064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5a54fe-435b-4423-8fe2-c9a3626b31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8f19371-ebe6-4483-8e72-73d36cd7064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CC94A8-1A1B-4407-A5CE-2A854C3691D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192E244-CB2B-4647-A8BF-DE4ED0DDFCCE}">
  <ds:schemaRefs>
    <ds:schemaRef ds:uri="http://schemas.microsoft.com/sharepoint/v3/contenttype/forms"/>
  </ds:schemaRefs>
</ds:datastoreItem>
</file>

<file path=customXml/itemProps3.xml><?xml version="1.0" encoding="utf-8"?>
<ds:datastoreItem xmlns:ds="http://schemas.openxmlformats.org/officeDocument/2006/customXml" ds:itemID="{4E969E28-C2CE-4F63-A217-BE8E87BC19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5a54fe-435b-4423-8fe2-c9a3626b31f7"/>
    <ds:schemaRef ds:uri="68f19371-ebe6-4483-8e72-73d36cd706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1015</Words>
  <Characters>5787</Characters>
  <Application>Microsoft Office Word</Application>
  <DocSecurity>0</DocSecurity>
  <Lines>48</Lines>
  <Paragraphs>13</Paragraphs>
  <ScaleCrop>false</ScaleCrop>
  <Company>NICE</Company>
  <LinksUpToDate>false</LinksUpToDate>
  <CharactersWithSpaces>6789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Ripley</dc:creator>
  <cp:lastModifiedBy>Leah Murphy</cp:lastModifiedBy>
  <cp:revision>7</cp:revision>
  <dcterms:created xsi:type="dcterms:W3CDTF">2024-11-11T09:01:00Z</dcterms:created>
  <dcterms:modified xsi:type="dcterms:W3CDTF">2024-11-12T16:08:00Z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2024-09-24T00:00:00Z</vt:filetime>
  </property>
  <property fmtid="{D5CDD505-2E9C-101B-9397-08002B2CF9AE}" pid="3" name="Creator">
    <vt:lpwstr>Acrobat PDFMaker 24 for Word</vt:lpwstr>
  </property>
  <property fmtid="{D5CDD505-2E9C-101B-9397-08002B2CF9AE}" pid="4" name="LastSaved">
    <vt:filetime>2024-11-11T00:00:00Z</vt:filetime>
  </property>
  <property fmtid="{D5CDD505-2E9C-101B-9397-08002B2CF9AE}" pid="5" name="MSIP_Label_c69d85d5-6d9e-4305-a294-1f636ec0f2d6_ActionId">
    <vt:lpwstr>254480b8-6d86-48f9-9c8d-9b3c25c95f87</vt:lpwstr>
  </property>
  <property fmtid="{D5CDD505-2E9C-101B-9397-08002B2CF9AE}" pid="6" name="MSIP_Label_c69d85d5-6d9e-4305-a294-1f636ec0f2d6_ContentBits">
    <vt:lpwstr>0</vt:lpwstr>
  </property>
  <property fmtid="{D5CDD505-2E9C-101B-9397-08002B2CF9AE}" pid="7" name="MSIP_Label_c69d85d5-6d9e-4305-a294-1f636ec0f2d6_Enabled">
    <vt:lpwstr>true</vt:lpwstr>
  </property>
  <property fmtid="{D5CDD505-2E9C-101B-9397-08002B2CF9AE}" pid="8" name="MSIP_Label_c69d85d5-6d9e-4305-a294-1f636ec0f2d6_Method">
    <vt:lpwstr>Standard</vt:lpwstr>
  </property>
  <property fmtid="{D5CDD505-2E9C-101B-9397-08002B2CF9AE}" pid="9" name="MSIP_Label_c69d85d5-6d9e-4305-a294-1f636ec0f2d6_Name">
    <vt:lpwstr>OFFICIAL</vt:lpwstr>
  </property>
  <property fmtid="{D5CDD505-2E9C-101B-9397-08002B2CF9AE}" pid="10" name="MSIP_Label_c69d85d5-6d9e-4305-a294-1f636ec0f2d6_SetDate">
    <vt:lpwstr>2024-09-24T13:17:04Z</vt:lpwstr>
  </property>
  <property fmtid="{D5CDD505-2E9C-101B-9397-08002B2CF9AE}" pid="11" name="MSIP_Label_c69d85d5-6d9e-4305-a294-1f636ec0f2d6_SiteId">
    <vt:lpwstr>6030f479-b342-472d-a5dd-740ff7538de9</vt:lpwstr>
  </property>
  <property fmtid="{D5CDD505-2E9C-101B-9397-08002B2CF9AE}" pid="12" name="Producer">
    <vt:lpwstr>Adobe PDF Library 24.3.144</vt:lpwstr>
  </property>
  <property fmtid="{D5CDD505-2E9C-101B-9397-08002B2CF9AE}" pid="13" name="SourceModified">
    <vt:lpwstr/>
  </property>
  <property fmtid="{D5CDD505-2E9C-101B-9397-08002B2CF9AE}" pid="14" name="ContentTypeId">
    <vt:lpwstr>0x0101003300E5E64B980D458C754FFE05DEE26D</vt:lpwstr>
  </property>
</Properties>
</file>