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5C474B" w:rsidRDefault="00016B07" w14:paraId="672A6659" w14:textId="77777777">
      <w:pPr>
        <w:pStyle w:val="BodyText"/>
        <w:ind w:left="114"/>
        <w:rPr>
          <w:rFonts w:ascii="Times New Roman"/>
          <w:sz w:val="20"/>
        </w:rPr>
      </w:pPr>
      <w:r>
        <w:rPr>
          <w:rFonts w:ascii="Times New Roman"/>
          <w:noProof/>
          <w:sz w:val="20"/>
        </w:rPr>
        <w:drawing>
          <wp:inline distT="0" distB="0" distL="0" distR="0" wp14:anchorId="55E48E51" wp14:editId="07777777">
            <wp:extent cx="3084827" cy="117043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3084827" cy="1170431"/>
                    </a:xfrm>
                    <a:prstGeom prst="rect">
                      <a:avLst/>
                    </a:prstGeom>
                  </pic:spPr>
                </pic:pic>
              </a:graphicData>
            </a:graphic>
          </wp:inline>
        </w:drawing>
      </w:r>
    </w:p>
    <w:p w:rsidR="005C474B" w:rsidRDefault="005C474B" w14:paraId="0A37501D" w14:textId="77777777">
      <w:pPr>
        <w:pStyle w:val="BodyText"/>
        <w:spacing w:before="82"/>
        <w:ind w:left="0"/>
        <w:rPr>
          <w:rFonts w:ascii="Times New Roman"/>
        </w:rPr>
      </w:pPr>
    </w:p>
    <w:p w:rsidR="005C474B" w:rsidRDefault="00016B07" w14:paraId="5ACCB9FE" w14:textId="77777777">
      <w:pPr>
        <w:pStyle w:val="BodyText"/>
      </w:pPr>
      <w:r>
        <w:t>2</w:t>
      </w:r>
      <w:r>
        <w:rPr>
          <w:spacing w:val="-1"/>
        </w:rPr>
        <w:t xml:space="preserve"> </w:t>
      </w:r>
      <w:r>
        <w:t xml:space="preserve">May </w:t>
      </w:r>
      <w:r>
        <w:rPr>
          <w:spacing w:val="-4"/>
        </w:rPr>
        <w:t>2024</w:t>
      </w:r>
    </w:p>
    <w:p w:rsidR="005C474B" w:rsidRDefault="005C474B" w14:paraId="5DAB6C7B" w14:textId="77777777">
      <w:pPr>
        <w:pStyle w:val="BodyText"/>
        <w:spacing w:before="268"/>
        <w:ind w:left="0"/>
      </w:pPr>
    </w:p>
    <w:p w:rsidR="005C474B" w:rsidRDefault="00016B07" w14:paraId="422D2F5E" w14:textId="77777777">
      <w:pPr>
        <w:pStyle w:val="BodyText"/>
        <w:spacing w:before="1" w:line="275" w:lineRule="exact"/>
      </w:pPr>
      <w:r>
        <w:t>Dr</w:t>
      </w:r>
      <w:r>
        <w:rPr>
          <w:spacing w:val="-1"/>
        </w:rPr>
        <w:t xml:space="preserve"> </w:t>
      </w:r>
      <w:r>
        <w:t xml:space="preserve">Mark </w:t>
      </w:r>
      <w:r>
        <w:rPr>
          <w:spacing w:val="-2"/>
        </w:rPr>
        <w:t>Chakravarty</w:t>
      </w:r>
    </w:p>
    <w:p w:rsidR="005C474B" w:rsidRDefault="00016B07" w14:paraId="0FAC8EBD" w14:textId="77777777">
      <w:pPr>
        <w:pStyle w:val="BodyText"/>
        <w:spacing w:line="242" w:lineRule="auto"/>
        <w:ind w:right="94"/>
      </w:pPr>
      <w:r>
        <w:t>Lead</w:t>
      </w:r>
      <w:r>
        <w:rPr>
          <w:spacing w:val="-4"/>
        </w:rPr>
        <w:t xml:space="preserve"> </w:t>
      </w:r>
      <w:r>
        <w:t>Non-executive</w:t>
      </w:r>
      <w:r>
        <w:rPr>
          <w:spacing w:val="-4"/>
        </w:rPr>
        <w:t xml:space="preserve"> </w:t>
      </w:r>
      <w:r>
        <w:t>Director</w:t>
      </w:r>
      <w:r>
        <w:rPr>
          <w:spacing w:val="-4"/>
        </w:rPr>
        <w:t xml:space="preserve"> </w:t>
      </w:r>
      <w:r>
        <w:t>NICE</w:t>
      </w:r>
      <w:r>
        <w:rPr>
          <w:spacing w:val="-4"/>
        </w:rPr>
        <w:t xml:space="preserve"> </w:t>
      </w:r>
      <w:r>
        <w:t>Appeals</w:t>
      </w:r>
      <w:r>
        <w:rPr>
          <w:spacing w:val="-4"/>
        </w:rPr>
        <w:t xml:space="preserve"> </w:t>
      </w:r>
      <w:r>
        <w:t>–</w:t>
      </w:r>
      <w:r>
        <w:rPr>
          <w:spacing w:val="-4"/>
        </w:rPr>
        <w:t xml:space="preserve"> </w:t>
      </w:r>
      <w:r>
        <w:t>Technology</w:t>
      </w:r>
      <w:r>
        <w:rPr>
          <w:spacing w:val="-4"/>
        </w:rPr>
        <w:t xml:space="preserve"> </w:t>
      </w:r>
      <w:r>
        <w:t>Appraisals</w:t>
      </w:r>
      <w:r>
        <w:rPr>
          <w:spacing w:val="-4"/>
        </w:rPr>
        <w:t xml:space="preserve"> </w:t>
      </w:r>
      <w:r>
        <w:t>and</w:t>
      </w:r>
      <w:r>
        <w:rPr>
          <w:spacing w:val="-4"/>
        </w:rPr>
        <w:t xml:space="preserve"> </w:t>
      </w:r>
      <w:r>
        <w:t>Highly Specialised Technologies</w:t>
      </w:r>
    </w:p>
    <w:p w:rsidR="005C474B" w:rsidRDefault="00016B07" w14:paraId="23758FE1" w14:textId="77777777">
      <w:pPr>
        <w:pStyle w:val="BodyText"/>
        <w:spacing w:line="242" w:lineRule="auto"/>
        <w:ind w:right="4326"/>
      </w:pPr>
      <w:r>
        <w:t>National</w:t>
      </w:r>
      <w:r>
        <w:rPr>
          <w:spacing w:val="-6"/>
        </w:rPr>
        <w:t xml:space="preserve"> </w:t>
      </w:r>
      <w:r>
        <w:t>Institute</w:t>
      </w:r>
      <w:r>
        <w:rPr>
          <w:spacing w:val="-6"/>
        </w:rPr>
        <w:t xml:space="preserve"> </w:t>
      </w:r>
      <w:r>
        <w:t>for</w:t>
      </w:r>
      <w:r>
        <w:rPr>
          <w:spacing w:val="-6"/>
        </w:rPr>
        <w:t xml:space="preserve"> </w:t>
      </w:r>
      <w:r>
        <w:t>Health</w:t>
      </w:r>
      <w:r>
        <w:rPr>
          <w:spacing w:val="-6"/>
        </w:rPr>
        <w:t xml:space="preserve"> </w:t>
      </w:r>
      <w:r>
        <w:t>and</w:t>
      </w:r>
      <w:r>
        <w:rPr>
          <w:spacing w:val="-6"/>
        </w:rPr>
        <w:t xml:space="preserve"> </w:t>
      </w:r>
      <w:r>
        <w:t>Care</w:t>
      </w:r>
      <w:r>
        <w:rPr>
          <w:spacing w:val="-6"/>
        </w:rPr>
        <w:t xml:space="preserve"> </w:t>
      </w:r>
      <w:r>
        <w:t>Excellence 2</w:t>
      </w:r>
      <w:r>
        <w:rPr>
          <w:vertAlign w:val="superscript"/>
        </w:rPr>
        <w:t>nd</w:t>
      </w:r>
      <w:r>
        <w:t xml:space="preserve"> Floor</w:t>
      </w:r>
    </w:p>
    <w:p w:rsidR="005C474B" w:rsidRDefault="00016B07" w14:paraId="3BCCDE39" w14:textId="77777777">
      <w:pPr>
        <w:pStyle w:val="ListParagraph"/>
        <w:numPr>
          <w:ilvl w:val="0"/>
          <w:numId w:val="2"/>
        </w:numPr>
        <w:tabs>
          <w:tab w:val="left" w:pos="872"/>
        </w:tabs>
        <w:spacing w:line="242" w:lineRule="auto"/>
        <w:ind w:right="7974" w:firstLine="0"/>
        <w:rPr>
          <w:sz w:val="24"/>
        </w:rPr>
      </w:pPr>
      <w:r>
        <w:rPr>
          <w:sz w:val="24"/>
        </w:rPr>
        <w:t>Redman</w:t>
      </w:r>
      <w:r>
        <w:rPr>
          <w:spacing w:val="-17"/>
          <w:sz w:val="24"/>
        </w:rPr>
        <w:t xml:space="preserve"> </w:t>
      </w:r>
      <w:r>
        <w:rPr>
          <w:sz w:val="24"/>
        </w:rPr>
        <w:t xml:space="preserve">Place </w:t>
      </w:r>
      <w:r>
        <w:rPr>
          <w:spacing w:val="-2"/>
          <w:sz w:val="24"/>
        </w:rPr>
        <w:t>London</w:t>
      </w:r>
    </w:p>
    <w:p w:rsidR="005C474B" w:rsidRDefault="00016B07" w14:paraId="0620453D" w14:textId="77777777">
      <w:pPr>
        <w:pStyle w:val="BodyText"/>
        <w:spacing w:line="271" w:lineRule="exact"/>
      </w:pPr>
      <w:r>
        <w:t>E20</w:t>
      </w:r>
      <w:r>
        <w:rPr>
          <w:spacing w:val="-1"/>
        </w:rPr>
        <w:t xml:space="preserve"> </w:t>
      </w:r>
      <w:r>
        <w:rPr>
          <w:spacing w:val="-5"/>
        </w:rPr>
        <w:t>1JQ</w:t>
      </w:r>
    </w:p>
    <w:p w:rsidR="005C474B" w:rsidRDefault="00016B07" w14:paraId="3B17349A" w14:textId="77777777">
      <w:pPr>
        <w:pStyle w:val="BodyText"/>
        <w:spacing w:before="264"/>
      </w:pPr>
      <w:r>
        <w:t>Dear</w:t>
      </w:r>
      <w:r>
        <w:rPr>
          <w:spacing w:val="-1"/>
        </w:rPr>
        <w:t xml:space="preserve"> </w:t>
      </w:r>
      <w:r>
        <w:t xml:space="preserve">Dr </w:t>
      </w:r>
      <w:r>
        <w:rPr>
          <w:spacing w:val="-2"/>
        </w:rPr>
        <w:t>Chakravarty,</w:t>
      </w:r>
    </w:p>
    <w:p w:rsidR="005C474B" w:rsidRDefault="00016B07" w14:paraId="24551F6E" w14:textId="77777777">
      <w:pPr>
        <w:pStyle w:val="Heading2"/>
        <w:spacing w:before="276" w:line="242" w:lineRule="auto"/>
        <w:ind w:right="94"/>
      </w:pPr>
      <w:r>
        <w:t>Re:</w:t>
      </w:r>
      <w:r>
        <w:rPr>
          <w:spacing w:val="-4"/>
        </w:rPr>
        <w:t xml:space="preserve"> </w:t>
      </w:r>
      <w:r>
        <w:t>Final</w:t>
      </w:r>
      <w:r>
        <w:rPr>
          <w:spacing w:val="-4"/>
        </w:rPr>
        <w:t xml:space="preserve"> </w:t>
      </w:r>
      <w:r>
        <w:t>Appraisal</w:t>
      </w:r>
      <w:r>
        <w:rPr>
          <w:spacing w:val="-4"/>
        </w:rPr>
        <w:t xml:space="preserve"> </w:t>
      </w:r>
      <w:r>
        <w:t>Determination</w:t>
      </w:r>
      <w:r>
        <w:rPr>
          <w:spacing w:val="-4"/>
        </w:rPr>
        <w:t xml:space="preserve"> </w:t>
      </w:r>
      <w:r>
        <w:t>–</w:t>
      </w:r>
      <w:r>
        <w:rPr>
          <w:spacing w:val="-4"/>
        </w:rPr>
        <w:t xml:space="preserve"> </w:t>
      </w:r>
      <w:r>
        <w:t>Fenfluramine</w:t>
      </w:r>
      <w:r>
        <w:rPr>
          <w:spacing w:val="-4"/>
        </w:rPr>
        <w:t xml:space="preserve"> </w:t>
      </w:r>
      <w:r>
        <w:t>for</w:t>
      </w:r>
      <w:r>
        <w:rPr>
          <w:spacing w:val="-4"/>
        </w:rPr>
        <w:t xml:space="preserve"> </w:t>
      </w:r>
      <w:r>
        <w:t>treating</w:t>
      </w:r>
      <w:r>
        <w:rPr>
          <w:spacing w:val="-4"/>
        </w:rPr>
        <w:t xml:space="preserve"> </w:t>
      </w:r>
      <w:r>
        <w:t>seizures</w:t>
      </w:r>
      <w:r>
        <w:rPr>
          <w:spacing w:val="-4"/>
        </w:rPr>
        <w:t xml:space="preserve"> </w:t>
      </w:r>
      <w:r>
        <w:t>associated with Lennox-Gastuat Syndrome in people 2 years and over (ID1651)</w:t>
      </w:r>
    </w:p>
    <w:p w:rsidR="005C474B" w:rsidRDefault="00016B07" w14:paraId="24C5CB8F" w14:textId="77777777">
      <w:pPr>
        <w:pStyle w:val="BodyText"/>
        <w:spacing w:before="272"/>
      </w:pPr>
      <w:r>
        <w:t>The</w:t>
      </w:r>
      <w:r>
        <w:rPr>
          <w:spacing w:val="-3"/>
        </w:rPr>
        <w:t xml:space="preserve"> </w:t>
      </w:r>
      <w:r>
        <w:t>British</w:t>
      </w:r>
      <w:r>
        <w:rPr>
          <w:spacing w:val="-3"/>
        </w:rPr>
        <w:t xml:space="preserve"> </w:t>
      </w:r>
      <w:r>
        <w:t>Paediatric</w:t>
      </w:r>
      <w:r>
        <w:rPr>
          <w:spacing w:val="-3"/>
        </w:rPr>
        <w:t xml:space="preserve"> </w:t>
      </w:r>
      <w:r>
        <w:t>Neurology</w:t>
      </w:r>
      <w:r>
        <w:rPr>
          <w:spacing w:val="-3"/>
        </w:rPr>
        <w:t xml:space="preserve"> </w:t>
      </w:r>
      <w:r>
        <w:t>Association</w:t>
      </w:r>
      <w:r>
        <w:rPr>
          <w:spacing w:val="-3"/>
        </w:rPr>
        <w:t xml:space="preserve"> </w:t>
      </w:r>
      <w:r>
        <w:t>(BPNA)</w:t>
      </w:r>
      <w:r>
        <w:rPr>
          <w:spacing w:val="-3"/>
        </w:rPr>
        <w:t xml:space="preserve"> </w:t>
      </w:r>
      <w:r>
        <w:t>would</w:t>
      </w:r>
      <w:r>
        <w:rPr>
          <w:spacing w:val="-3"/>
        </w:rPr>
        <w:t xml:space="preserve"> </w:t>
      </w:r>
      <w:r>
        <w:t>like</w:t>
      </w:r>
      <w:r>
        <w:rPr>
          <w:spacing w:val="-3"/>
        </w:rPr>
        <w:t xml:space="preserve"> </w:t>
      </w:r>
      <w:r>
        <w:t>to</w:t>
      </w:r>
      <w:r>
        <w:rPr>
          <w:spacing w:val="-3"/>
        </w:rPr>
        <w:t xml:space="preserve"> </w:t>
      </w:r>
      <w:r>
        <w:t>appeal</w:t>
      </w:r>
      <w:r>
        <w:rPr>
          <w:spacing w:val="-3"/>
        </w:rPr>
        <w:t xml:space="preserve"> </w:t>
      </w:r>
      <w:r>
        <w:t>against</w:t>
      </w:r>
      <w:r>
        <w:rPr>
          <w:spacing w:val="-4"/>
        </w:rPr>
        <w:t xml:space="preserve"> </w:t>
      </w:r>
      <w:r>
        <w:t>the</w:t>
      </w:r>
      <w:r>
        <w:rPr>
          <w:spacing w:val="-3"/>
        </w:rPr>
        <w:t xml:space="preserve"> </w:t>
      </w:r>
      <w:r>
        <w:t xml:space="preserve">Final Appraisal Determination for the above mentioned technology appraisal on the following </w:t>
      </w:r>
      <w:r>
        <w:rPr>
          <w:spacing w:val="-2"/>
        </w:rPr>
        <w:t>grounds:</w:t>
      </w:r>
    </w:p>
    <w:p w:rsidR="005C474B" w:rsidRDefault="005C474B" w14:paraId="02EB378F" w14:textId="77777777">
      <w:pPr>
        <w:pStyle w:val="BodyText"/>
        <w:spacing w:before="3"/>
        <w:ind w:left="0"/>
      </w:pPr>
    </w:p>
    <w:p w:rsidR="005C474B" w:rsidRDefault="00016B07" w14:paraId="01548BD3" w14:textId="77777777">
      <w:pPr>
        <w:pStyle w:val="BodyText"/>
        <w:spacing w:line="237" w:lineRule="auto"/>
        <w:ind w:right="94"/>
      </w:pPr>
      <w:r>
        <w:t>Ground</w:t>
      </w:r>
      <w:r>
        <w:rPr>
          <w:spacing w:val="-3"/>
        </w:rPr>
        <w:t xml:space="preserve"> </w:t>
      </w:r>
      <w:r>
        <w:t>one:</w:t>
      </w:r>
      <w:r>
        <w:rPr>
          <w:spacing w:val="-4"/>
        </w:rPr>
        <w:t xml:space="preserve"> </w:t>
      </w:r>
      <w:r>
        <w:t>In</w:t>
      </w:r>
      <w:r>
        <w:rPr>
          <w:spacing w:val="-3"/>
        </w:rPr>
        <w:t xml:space="preserve"> </w:t>
      </w:r>
      <w:r>
        <w:t>making</w:t>
      </w:r>
      <w:r>
        <w:rPr>
          <w:spacing w:val="-3"/>
        </w:rPr>
        <w:t xml:space="preserve"> </w:t>
      </w:r>
      <w:r>
        <w:t>the</w:t>
      </w:r>
      <w:r>
        <w:rPr>
          <w:spacing w:val="-3"/>
        </w:rPr>
        <w:t xml:space="preserve"> </w:t>
      </w:r>
      <w:r>
        <w:t>assessment</w:t>
      </w:r>
      <w:r>
        <w:rPr>
          <w:spacing w:val="-4"/>
        </w:rPr>
        <w:t xml:space="preserve"> </w:t>
      </w:r>
      <w:r>
        <w:t>that</w:t>
      </w:r>
      <w:r>
        <w:rPr>
          <w:spacing w:val="-4"/>
        </w:rPr>
        <w:t xml:space="preserve"> </w:t>
      </w:r>
      <w:r>
        <w:t>preceded</w:t>
      </w:r>
      <w:r>
        <w:rPr>
          <w:spacing w:val="-3"/>
        </w:rPr>
        <w:t xml:space="preserve"> </w:t>
      </w:r>
      <w:r>
        <w:t>the</w:t>
      </w:r>
      <w:r>
        <w:rPr>
          <w:spacing w:val="-3"/>
        </w:rPr>
        <w:t xml:space="preserve"> </w:t>
      </w:r>
      <w:r>
        <w:t>recommendation,</w:t>
      </w:r>
      <w:r>
        <w:rPr>
          <w:spacing w:val="-4"/>
        </w:rPr>
        <w:t xml:space="preserve"> </w:t>
      </w:r>
      <w:r>
        <w:t>NICE</w:t>
      </w:r>
      <w:r>
        <w:rPr>
          <w:spacing w:val="-3"/>
        </w:rPr>
        <w:t xml:space="preserve"> </w:t>
      </w:r>
      <w:r>
        <w:t xml:space="preserve">has </w:t>
      </w:r>
      <w:r>
        <w:rPr>
          <w:spacing w:val="-2"/>
        </w:rPr>
        <w:t>either:</w:t>
      </w:r>
    </w:p>
    <w:p w:rsidR="005C474B" w:rsidRDefault="00016B07" w14:paraId="4A3147FB" w14:textId="77777777">
      <w:pPr>
        <w:pStyle w:val="ListParagraph"/>
        <w:numPr>
          <w:ilvl w:val="0"/>
          <w:numId w:val="1"/>
        </w:numPr>
        <w:tabs>
          <w:tab w:val="left" w:pos="1032"/>
        </w:tabs>
        <w:spacing w:before="275"/>
        <w:rPr>
          <w:sz w:val="24"/>
        </w:rPr>
      </w:pPr>
      <w:r>
        <w:rPr>
          <w:sz w:val="24"/>
        </w:rPr>
        <w:t>failed to act</w:t>
      </w:r>
      <w:r>
        <w:rPr>
          <w:spacing w:val="-1"/>
          <w:sz w:val="24"/>
        </w:rPr>
        <w:t xml:space="preserve"> </w:t>
      </w:r>
      <w:r>
        <w:rPr>
          <w:spacing w:val="-2"/>
          <w:sz w:val="24"/>
        </w:rPr>
        <w:t>fairly</w:t>
      </w:r>
    </w:p>
    <w:p w:rsidR="005C474B" w:rsidRDefault="00016B07" w14:paraId="203C357F" w14:textId="77777777">
      <w:pPr>
        <w:pStyle w:val="ListParagraph"/>
        <w:numPr>
          <w:ilvl w:val="0"/>
          <w:numId w:val="1"/>
        </w:numPr>
        <w:tabs>
          <w:tab w:val="left" w:pos="1032"/>
        </w:tabs>
        <w:rPr>
          <w:sz w:val="24"/>
        </w:rPr>
      </w:pPr>
      <w:r>
        <w:rPr>
          <w:sz w:val="24"/>
        </w:rPr>
        <w:t>exceeded</w:t>
      </w:r>
      <w:r>
        <w:rPr>
          <w:spacing w:val="-1"/>
          <w:sz w:val="24"/>
        </w:rPr>
        <w:t xml:space="preserve"> </w:t>
      </w:r>
      <w:r>
        <w:rPr>
          <w:sz w:val="24"/>
        </w:rPr>
        <w:t>its</w:t>
      </w:r>
      <w:r>
        <w:rPr>
          <w:spacing w:val="-1"/>
          <w:sz w:val="24"/>
        </w:rPr>
        <w:t xml:space="preserve"> </w:t>
      </w:r>
      <w:r>
        <w:rPr>
          <w:spacing w:val="-2"/>
          <w:sz w:val="24"/>
        </w:rPr>
        <w:t>powers</w:t>
      </w:r>
    </w:p>
    <w:p w:rsidR="005C474B" w:rsidRDefault="00016B07" w14:paraId="008C6B05" w14:textId="77777777">
      <w:pPr>
        <w:pStyle w:val="BodyText"/>
        <w:spacing w:before="274" w:line="242" w:lineRule="auto"/>
      </w:pPr>
      <w:r>
        <w:t>Ground</w:t>
      </w:r>
      <w:r>
        <w:rPr>
          <w:spacing w:val="-3"/>
        </w:rPr>
        <w:t xml:space="preserve"> </w:t>
      </w:r>
      <w:r>
        <w:t>two:</w:t>
      </w:r>
      <w:r>
        <w:rPr>
          <w:spacing w:val="-4"/>
        </w:rPr>
        <w:t xml:space="preserve"> </w:t>
      </w:r>
      <w:r>
        <w:t>The</w:t>
      </w:r>
      <w:r>
        <w:rPr>
          <w:spacing w:val="-3"/>
        </w:rPr>
        <w:t xml:space="preserve"> </w:t>
      </w:r>
      <w:r>
        <w:t>recommendation</w:t>
      </w:r>
      <w:r>
        <w:rPr>
          <w:spacing w:val="-3"/>
        </w:rPr>
        <w:t xml:space="preserve"> </w:t>
      </w:r>
      <w:r>
        <w:t>is</w:t>
      </w:r>
      <w:r>
        <w:rPr>
          <w:spacing w:val="-3"/>
        </w:rPr>
        <w:t xml:space="preserve"> </w:t>
      </w:r>
      <w:r>
        <w:t>unreasonable</w:t>
      </w:r>
      <w:r>
        <w:rPr>
          <w:spacing w:val="-3"/>
        </w:rPr>
        <w:t xml:space="preserve"> </w:t>
      </w:r>
      <w:r>
        <w:t>in</w:t>
      </w:r>
      <w:r>
        <w:rPr>
          <w:spacing w:val="-3"/>
        </w:rPr>
        <w:t xml:space="preserve"> </w:t>
      </w:r>
      <w:r>
        <w:t>the</w:t>
      </w:r>
      <w:r>
        <w:rPr>
          <w:spacing w:val="-3"/>
        </w:rPr>
        <w:t xml:space="preserve"> </w:t>
      </w:r>
      <w:r>
        <w:t>light</w:t>
      </w:r>
      <w:r>
        <w:rPr>
          <w:spacing w:val="-4"/>
        </w:rPr>
        <w:t xml:space="preserve"> </w:t>
      </w:r>
      <w:r>
        <w:t>of</w:t>
      </w:r>
      <w:r>
        <w:rPr>
          <w:spacing w:val="-4"/>
        </w:rPr>
        <w:t xml:space="preserve"> </w:t>
      </w:r>
      <w:r>
        <w:t>the</w:t>
      </w:r>
      <w:r>
        <w:rPr>
          <w:spacing w:val="-3"/>
        </w:rPr>
        <w:t xml:space="preserve"> </w:t>
      </w:r>
      <w:r>
        <w:t>evidence</w:t>
      </w:r>
      <w:r>
        <w:rPr>
          <w:spacing w:val="-3"/>
        </w:rPr>
        <w:t xml:space="preserve"> </w:t>
      </w:r>
      <w:r>
        <w:t>submitted</w:t>
      </w:r>
      <w:r>
        <w:rPr>
          <w:spacing w:val="-3"/>
        </w:rPr>
        <w:t xml:space="preserve"> </w:t>
      </w:r>
      <w:r>
        <w:t xml:space="preserve">to </w:t>
      </w:r>
      <w:r>
        <w:rPr>
          <w:spacing w:val="-2"/>
        </w:rPr>
        <w:t>NICE.</w:t>
      </w:r>
    </w:p>
    <w:p w:rsidR="005C474B" w:rsidRDefault="005C474B" w14:paraId="6A05A809" w14:textId="77777777">
      <w:pPr>
        <w:pStyle w:val="BodyText"/>
        <w:spacing w:before="238"/>
        <w:ind w:left="0"/>
      </w:pPr>
    </w:p>
    <w:p w:rsidR="005C474B" w:rsidRDefault="00016B07" w14:paraId="0D42FFEA" w14:textId="77777777">
      <w:pPr>
        <w:pStyle w:val="Heading1"/>
        <w:ind w:right="94"/>
      </w:pPr>
      <w:r>
        <w:t>Ground</w:t>
      </w:r>
      <w:r>
        <w:rPr>
          <w:spacing w:val="-4"/>
        </w:rPr>
        <w:t xml:space="preserve"> </w:t>
      </w:r>
      <w:r>
        <w:t>1a:</w:t>
      </w:r>
      <w:r>
        <w:rPr>
          <w:spacing w:val="-4"/>
        </w:rPr>
        <w:t xml:space="preserve"> </w:t>
      </w:r>
      <w:r>
        <w:t>In</w:t>
      </w:r>
      <w:r>
        <w:rPr>
          <w:spacing w:val="-4"/>
        </w:rPr>
        <w:t xml:space="preserve"> </w:t>
      </w:r>
      <w:r>
        <w:t>making</w:t>
      </w:r>
      <w:r>
        <w:rPr>
          <w:spacing w:val="-4"/>
        </w:rPr>
        <w:t xml:space="preserve"> </w:t>
      </w:r>
      <w:r>
        <w:t>the</w:t>
      </w:r>
      <w:r>
        <w:rPr>
          <w:spacing w:val="-4"/>
        </w:rPr>
        <w:t xml:space="preserve"> </w:t>
      </w:r>
      <w:r>
        <w:t>assessment</w:t>
      </w:r>
      <w:r>
        <w:rPr>
          <w:spacing w:val="-4"/>
        </w:rPr>
        <w:t xml:space="preserve"> </w:t>
      </w:r>
      <w:r>
        <w:t>that</w:t>
      </w:r>
      <w:r>
        <w:rPr>
          <w:spacing w:val="-4"/>
        </w:rPr>
        <w:t xml:space="preserve"> </w:t>
      </w:r>
      <w:r>
        <w:t>preceded</w:t>
      </w:r>
      <w:r>
        <w:rPr>
          <w:spacing w:val="-4"/>
        </w:rPr>
        <w:t xml:space="preserve"> </w:t>
      </w:r>
      <w:r>
        <w:t>the recommendation, NICE has: failed to act fairly</w:t>
      </w:r>
    </w:p>
    <w:p w:rsidR="005C474B" w:rsidRDefault="00016B07" w14:paraId="23911B8D" w14:textId="77777777">
      <w:pPr>
        <w:pStyle w:val="Heading2"/>
        <w:tabs>
          <w:tab w:val="left" w:pos="1392"/>
        </w:tabs>
        <w:spacing w:before="238"/>
      </w:pPr>
      <w:r>
        <w:rPr>
          <w:spacing w:val="-4"/>
        </w:rPr>
        <w:t>1a.1</w:t>
      </w:r>
      <w:r>
        <w:tab/>
      </w:r>
      <w:r>
        <w:t>Large</w:t>
      </w:r>
      <w:r>
        <w:rPr>
          <w:spacing w:val="-3"/>
        </w:rPr>
        <w:t xml:space="preserve"> </w:t>
      </w:r>
      <w:r>
        <w:t>unmet need</w:t>
      </w:r>
      <w:r>
        <w:rPr>
          <w:spacing w:val="-1"/>
        </w:rPr>
        <w:t xml:space="preserve"> </w:t>
      </w:r>
      <w:r>
        <w:t>in</w:t>
      </w:r>
      <w:r>
        <w:rPr>
          <w:spacing w:val="-2"/>
        </w:rPr>
        <w:t xml:space="preserve"> </w:t>
      </w:r>
      <w:r>
        <w:t>patients with</w:t>
      </w:r>
      <w:r>
        <w:rPr>
          <w:spacing w:val="-1"/>
        </w:rPr>
        <w:t xml:space="preserve"> </w:t>
      </w:r>
      <w:r>
        <w:t xml:space="preserve">Lennox-Gastaut </w:t>
      </w:r>
      <w:r>
        <w:rPr>
          <w:spacing w:val="-2"/>
        </w:rPr>
        <w:t>syndrome</w:t>
      </w:r>
    </w:p>
    <w:p w:rsidR="005C474B" w:rsidRDefault="00016B07" w14:paraId="2CAF1D97" w14:textId="77777777">
      <w:pPr>
        <w:pStyle w:val="BodyText"/>
        <w:spacing w:before="60"/>
        <w:ind w:left="1392" w:right="94"/>
      </w:pPr>
      <w:r>
        <w:t>The majority of patients with LGS have pharmacoresistant epilepsy and fail to respond to current standard of care antiseizure medication and non- pharmacological therapies such as ketogenic diet and vagus nerve stimulation (VNS). They continue to have disabling seizures resulting in injuries (due to drop seizures), need for emergency rescue medication and frequent hospital visits for seizure</w:t>
      </w:r>
      <w:r>
        <w:rPr>
          <w:spacing w:val="-2"/>
        </w:rPr>
        <w:t xml:space="preserve"> </w:t>
      </w:r>
      <w:r>
        <w:t>management,</w:t>
      </w:r>
      <w:r>
        <w:rPr>
          <w:spacing w:val="-3"/>
        </w:rPr>
        <w:t xml:space="preserve"> </w:t>
      </w:r>
      <w:r>
        <w:t>having</w:t>
      </w:r>
      <w:r>
        <w:rPr>
          <w:spacing w:val="-2"/>
        </w:rPr>
        <w:t xml:space="preserve"> </w:t>
      </w:r>
      <w:r>
        <w:t>a</w:t>
      </w:r>
      <w:r>
        <w:rPr>
          <w:spacing w:val="-2"/>
        </w:rPr>
        <w:t xml:space="preserve"> </w:t>
      </w:r>
      <w:r>
        <w:t>huge</w:t>
      </w:r>
      <w:r>
        <w:rPr>
          <w:spacing w:val="-2"/>
        </w:rPr>
        <w:t xml:space="preserve"> </w:t>
      </w:r>
      <w:r>
        <w:t>impact</w:t>
      </w:r>
      <w:r>
        <w:rPr>
          <w:spacing w:val="-3"/>
        </w:rPr>
        <w:t xml:space="preserve"> </w:t>
      </w:r>
      <w:r>
        <w:t>on</w:t>
      </w:r>
      <w:r>
        <w:rPr>
          <w:spacing w:val="-2"/>
        </w:rPr>
        <w:t xml:space="preserve"> </w:t>
      </w:r>
      <w:r>
        <w:t>their</w:t>
      </w:r>
      <w:r>
        <w:rPr>
          <w:spacing w:val="-2"/>
        </w:rPr>
        <w:t xml:space="preserve"> </w:t>
      </w:r>
      <w:r>
        <w:t>quality</w:t>
      </w:r>
      <w:r>
        <w:rPr>
          <w:spacing w:val="-2"/>
        </w:rPr>
        <w:t xml:space="preserve"> </w:t>
      </w:r>
      <w:r>
        <w:t>of</w:t>
      </w:r>
      <w:r>
        <w:rPr>
          <w:spacing w:val="-3"/>
        </w:rPr>
        <w:t xml:space="preserve"> </w:t>
      </w:r>
      <w:r>
        <w:t>life.</w:t>
      </w:r>
      <w:r>
        <w:rPr>
          <w:spacing w:val="-3"/>
        </w:rPr>
        <w:t xml:space="preserve"> </w:t>
      </w:r>
      <w:r>
        <w:t>This</w:t>
      </w:r>
      <w:r>
        <w:rPr>
          <w:spacing w:val="-2"/>
        </w:rPr>
        <w:t xml:space="preserve"> </w:t>
      </w:r>
      <w:r>
        <w:t>is</w:t>
      </w:r>
      <w:r>
        <w:rPr>
          <w:spacing w:val="-2"/>
        </w:rPr>
        <w:t xml:space="preserve"> </w:t>
      </w:r>
      <w:r>
        <w:t>in</w:t>
      </w:r>
      <w:r>
        <w:rPr>
          <w:spacing w:val="-2"/>
        </w:rPr>
        <w:t xml:space="preserve"> </w:t>
      </w:r>
      <w:r>
        <w:t>addition to the increased risk of sudden unexpected death in epilepsy (SUDEP). There is</w:t>
      </w:r>
    </w:p>
    <w:p w:rsidR="005C474B" w:rsidRDefault="005C474B" w14:paraId="5A39BBE3" w14:textId="77777777">
      <w:pPr>
        <w:sectPr w:rsidR="005C474B">
          <w:footerReference w:type="default" r:id="rId11"/>
          <w:type w:val="continuous"/>
          <w:pgSz w:w="11910" w:h="16840" w:orient="portrait"/>
          <w:pgMar w:top="900" w:right="1020" w:bottom="1940" w:left="460" w:header="0" w:footer="1743" w:gutter="0"/>
          <w:pgNumType w:start="1"/>
          <w:cols w:space="720"/>
        </w:sectPr>
      </w:pPr>
    </w:p>
    <w:p w:rsidR="005C474B" w:rsidRDefault="00016B07" w14:paraId="7C101773" w14:textId="77777777">
      <w:pPr>
        <w:pStyle w:val="BodyText"/>
        <w:spacing w:before="71"/>
        <w:ind w:left="1392" w:right="160"/>
      </w:pPr>
      <w:r>
        <w:t>therefore</w:t>
      </w:r>
      <w:r>
        <w:rPr>
          <w:spacing w:val="-3"/>
        </w:rPr>
        <w:t xml:space="preserve"> </w:t>
      </w:r>
      <w:r>
        <w:t>an</w:t>
      </w:r>
      <w:r>
        <w:rPr>
          <w:spacing w:val="-3"/>
        </w:rPr>
        <w:t xml:space="preserve"> </w:t>
      </w:r>
      <w:r>
        <w:t>urgent</w:t>
      </w:r>
      <w:r>
        <w:rPr>
          <w:spacing w:val="-4"/>
        </w:rPr>
        <w:t xml:space="preserve"> </w:t>
      </w:r>
      <w:r>
        <w:t>need</w:t>
      </w:r>
      <w:r>
        <w:rPr>
          <w:spacing w:val="-3"/>
        </w:rPr>
        <w:t xml:space="preserve"> </w:t>
      </w:r>
      <w:r>
        <w:t>for</w:t>
      </w:r>
      <w:r>
        <w:rPr>
          <w:spacing w:val="-3"/>
        </w:rPr>
        <w:t xml:space="preserve"> </w:t>
      </w:r>
      <w:r>
        <w:t>newer</w:t>
      </w:r>
      <w:r>
        <w:rPr>
          <w:spacing w:val="-3"/>
        </w:rPr>
        <w:t xml:space="preserve"> </w:t>
      </w:r>
      <w:r>
        <w:t>therapeutic</w:t>
      </w:r>
      <w:r>
        <w:rPr>
          <w:spacing w:val="-3"/>
        </w:rPr>
        <w:t xml:space="preserve"> </w:t>
      </w:r>
      <w:r>
        <w:t>options</w:t>
      </w:r>
      <w:r>
        <w:rPr>
          <w:spacing w:val="-3"/>
        </w:rPr>
        <w:t xml:space="preserve"> </w:t>
      </w:r>
      <w:r>
        <w:t>for</w:t>
      </w:r>
      <w:r>
        <w:rPr>
          <w:spacing w:val="-3"/>
        </w:rPr>
        <w:t xml:space="preserve"> </w:t>
      </w:r>
      <w:r>
        <w:t>seizure</w:t>
      </w:r>
      <w:r>
        <w:rPr>
          <w:spacing w:val="-3"/>
        </w:rPr>
        <w:t xml:space="preserve"> </w:t>
      </w:r>
      <w:r>
        <w:t>management</w:t>
      </w:r>
      <w:r>
        <w:rPr>
          <w:spacing w:val="-4"/>
        </w:rPr>
        <w:t xml:space="preserve"> </w:t>
      </w:r>
      <w:r>
        <w:t>to improve quality of life and reduce the risk of SUDEP. Cannabidiol with clobazam has recently been recommended by NICE as an option for treating seizures associated with Lennox–Gastaut syndrome in people aged 2 years and older.</w:t>
      </w:r>
    </w:p>
    <w:p w:rsidR="005C474B" w:rsidRDefault="00016B07" w14:paraId="039C6EA2" w14:textId="77777777">
      <w:pPr>
        <w:pStyle w:val="BodyText"/>
        <w:ind w:left="1392" w:right="94"/>
      </w:pPr>
      <w:r>
        <w:t>However,</w:t>
      </w:r>
      <w:r>
        <w:rPr>
          <w:spacing w:val="-3"/>
        </w:rPr>
        <w:t xml:space="preserve"> </w:t>
      </w:r>
      <w:r>
        <w:t>a</w:t>
      </w:r>
      <w:r>
        <w:rPr>
          <w:spacing w:val="-2"/>
        </w:rPr>
        <w:t xml:space="preserve"> </w:t>
      </w:r>
      <w:r>
        <w:t>large</w:t>
      </w:r>
      <w:r>
        <w:rPr>
          <w:spacing w:val="-2"/>
        </w:rPr>
        <w:t xml:space="preserve"> </w:t>
      </w:r>
      <w:r>
        <w:t>proportion</w:t>
      </w:r>
      <w:r>
        <w:rPr>
          <w:spacing w:val="-2"/>
        </w:rPr>
        <w:t xml:space="preserve"> </w:t>
      </w:r>
      <w:r>
        <w:t>of</w:t>
      </w:r>
      <w:r>
        <w:rPr>
          <w:spacing w:val="-3"/>
        </w:rPr>
        <w:t xml:space="preserve"> </w:t>
      </w:r>
      <w:r>
        <w:t>people</w:t>
      </w:r>
      <w:r>
        <w:rPr>
          <w:spacing w:val="-2"/>
        </w:rPr>
        <w:t xml:space="preserve"> </w:t>
      </w:r>
      <w:r>
        <w:t>will</w:t>
      </w:r>
      <w:r>
        <w:rPr>
          <w:spacing w:val="-2"/>
        </w:rPr>
        <w:t xml:space="preserve"> </w:t>
      </w:r>
      <w:r>
        <w:t>continue</w:t>
      </w:r>
      <w:r>
        <w:rPr>
          <w:spacing w:val="-2"/>
        </w:rPr>
        <w:t xml:space="preserve"> </w:t>
      </w:r>
      <w:r>
        <w:t>to</w:t>
      </w:r>
      <w:r>
        <w:rPr>
          <w:spacing w:val="-2"/>
        </w:rPr>
        <w:t xml:space="preserve"> </w:t>
      </w:r>
      <w:r>
        <w:t>have</w:t>
      </w:r>
      <w:r>
        <w:rPr>
          <w:spacing w:val="-2"/>
        </w:rPr>
        <w:t xml:space="preserve"> </w:t>
      </w:r>
      <w:r>
        <w:t>disabling</w:t>
      </w:r>
      <w:r>
        <w:rPr>
          <w:spacing w:val="-2"/>
        </w:rPr>
        <w:t xml:space="preserve"> </w:t>
      </w:r>
      <w:r>
        <w:t>seizures</w:t>
      </w:r>
      <w:r>
        <w:rPr>
          <w:spacing w:val="-2"/>
        </w:rPr>
        <w:t xml:space="preserve"> </w:t>
      </w:r>
      <w:r>
        <w:t>and treatment options are necessary for those who do not respond to and/or tolerate cannabidiol with clobazam. The data from RCTs suggest that the efficacy and tolerability</w:t>
      </w:r>
      <w:r>
        <w:rPr>
          <w:spacing w:val="-1"/>
        </w:rPr>
        <w:t xml:space="preserve"> </w:t>
      </w:r>
      <w:r>
        <w:t>to</w:t>
      </w:r>
      <w:r>
        <w:rPr>
          <w:spacing w:val="-1"/>
        </w:rPr>
        <w:t xml:space="preserve"> </w:t>
      </w:r>
      <w:r>
        <w:t>fenfluramine</w:t>
      </w:r>
      <w:r>
        <w:rPr>
          <w:spacing w:val="-1"/>
        </w:rPr>
        <w:t xml:space="preserve"> </w:t>
      </w:r>
      <w:r>
        <w:t>is</w:t>
      </w:r>
      <w:r>
        <w:rPr>
          <w:spacing w:val="-1"/>
        </w:rPr>
        <w:t xml:space="preserve"> </w:t>
      </w:r>
      <w:r>
        <w:t>comparable</w:t>
      </w:r>
      <w:r>
        <w:rPr>
          <w:spacing w:val="-1"/>
        </w:rPr>
        <w:t xml:space="preserve"> </w:t>
      </w:r>
      <w:r>
        <w:t>to</w:t>
      </w:r>
      <w:r>
        <w:rPr>
          <w:spacing w:val="-1"/>
        </w:rPr>
        <w:t xml:space="preserve"> </w:t>
      </w:r>
      <w:r>
        <w:t>cannabidiol</w:t>
      </w:r>
      <w:r>
        <w:rPr>
          <w:spacing w:val="-1"/>
        </w:rPr>
        <w:t xml:space="preserve"> </w:t>
      </w:r>
      <w:r>
        <w:t>with</w:t>
      </w:r>
      <w:r>
        <w:rPr>
          <w:spacing w:val="-1"/>
        </w:rPr>
        <w:t xml:space="preserve"> </w:t>
      </w:r>
      <w:r>
        <w:t>clobazam.</w:t>
      </w:r>
      <w:r>
        <w:rPr>
          <w:spacing w:val="-2"/>
        </w:rPr>
        <w:t xml:space="preserve"> </w:t>
      </w:r>
      <w:r>
        <w:t>Therefore, not recommending fenfluramine for treatment of seizures in LGS raises concerns about</w:t>
      </w:r>
      <w:r>
        <w:rPr>
          <w:spacing w:val="-4"/>
        </w:rPr>
        <w:t xml:space="preserve"> </w:t>
      </w:r>
      <w:r>
        <w:t>inequality</w:t>
      </w:r>
      <w:r>
        <w:rPr>
          <w:spacing w:val="-3"/>
        </w:rPr>
        <w:t xml:space="preserve"> </w:t>
      </w:r>
      <w:r>
        <w:t>to</w:t>
      </w:r>
      <w:r>
        <w:rPr>
          <w:spacing w:val="-3"/>
        </w:rPr>
        <w:t xml:space="preserve"> </w:t>
      </w:r>
      <w:r>
        <w:t>access</w:t>
      </w:r>
      <w:r>
        <w:rPr>
          <w:spacing w:val="-3"/>
        </w:rPr>
        <w:t xml:space="preserve"> </w:t>
      </w:r>
      <w:r>
        <w:t>effective</w:t>
      </w:r>
      <w:r>
        <w:rPr>
          <w:spacing w:val="-3"/>
        </w:rPr>
        <w:t xml:space="preserve"> </w:t>
      </w:r>
      <w:r>
        <w:t>therapies</w:t>
      </w:r>
      <w:r>
        <w:rPr>
          <w:spacing w:val="-3"/>
        </w:rPr>
        <w:t xml:space="preserve"> </w:t>
      </w:r>
      <w:r>
        <w:t>in</w:t>
      </w:r>
      <w:r>
        <w:rPr>
          <w:spacing w:val="-3"/>
        </w:rPr>
        <w:t xml:space="preserve"> </w:t>
      </w:r>
      <w:r>
        <w:t>these</w:t>
      </w:r>
      <w:r>
        <w:rPr>
          <w:spacing w:val="-3"/>
        </w:rPr>
        <w:t xml:space="preserve"> </w:t>
      </w:r>
      <w:r>
        <w:t>patients</w:t>
      </w:r>
      <w:r>
        <w:rPr>
          <w:spacing w:val="-3"/>
        </w:rPr>
        <w:t xml:space="preserve"> </w:t>
      </w:r>
      <w:r>
        <w:t>with</w:t>
      </w:r>
      <w:r>
        <w:rPr>
          <w:spacing w:val="-3"/>
        </w:rPr>
        <w:t xml:space="preserve"> </w:t>
      </w:r>
      <w:r>
        <w:t>already</w:t>
      </w:r>
      <w:r>
        <w:rPr>
          <w:spacing w:val="-3"/>
        </w:rPr>
        <w:t xml:space="preserve"> </w:t>
      </w:r>
      <w:r>
        <w:t>limited treatment options and compromise</w:t>
      </w:r>
      <w:r>
        <w:t>d quality of life.</w:t>
      </w:r>
    </w:p>
    <w:p w:rsidR="005C474B" w:rsidRDefault="005C474B" w14:paraId="41C8F396" w14:textId="77777777">
      <w:pPr>
        <w:pStyle w:val="BodyText"/>
        <w:ind w:left="0"/>
      </w:pPr>
    </w:p>
    <w:p w:rsidR="005C474B" w:rsidRDefault="00016B07" w14:paraId="5417F6AA" w14:textId="77777777">
      <w:pPr>
        <w:pStyle w:val="BodyText"/>
        <w:spacing w:before="1"/>
      </w:pPr>
      <w:r>
        <w:t>We</w:t>
      </w:r>
      <w:r>
        <w:rPr>
          <w:spacing w:val="-3"/>
        </w:rPr>
        <w:t xml:space="preserve"> </w:t>
      </w:r>
      <w:r>
        <w:t>would</w:t>
      </w:r>
      <w:r>
        <w:rPr>
          <w:spacing w:val="-3"/>
        </w:rPr>
        <w:t xml:space="preserve"> </w:t>
      </w:r>
      <w:r>
        <w:t>also</w:t>
      </w:r>
      <w:r>
        <w:rPr>
          <w:spacing w:val="-3"/>
        </w:rPr>
        <w:t xml:space="preserve"> </w:t>
      </w:r>
      <w:r>
        <w:t>like</w:t>
      </w:r>
      <w:r>
        <w:rPr>
          <w:spacing w:val="-3"/>
        </w:rPr>
        <w:t xml:space="preserve"> </w:t>
      </w:r>
      <w:r>
        <w:t>to</w:t>
      </w:r>
      <w:r>
        <w:rPr>
          <w:spacing w:val="-3"/>
        </w:rPr>
        <w:t xml:space="preserve"> </w:t>
      </w:r>
      <w:r>
        <w:t>highlight</w:t>
      </w:r>
      <w:r>
        <w:rPr>
          <w:spacing w:val="-4"/>
        </w:rPr>
        <w:t xml:space="preserve"> </w:t>
      </w:r>
      <w:r>
        <w:t>that</w:t>
      </w:r>
      <w:r>
        <w:rPr>
          <w:spacing w:val="-4"/>
        </w:rPr>
        <w:t xml:space="preserve"> </w:t>
      </w:r>
      <w:r>
        <w:t>the</w:t>
      </w:r>
      <w:r>
        <w:rPr>
          <w:spacing w:val="-3"/>
        </w:rPr>
        <w:t xml:space="preserve"> </w:t>
      </w:r>
      <w:r>
        <w:t>British</w:t>
      </w:r>
      <w:r>
        <w:rPr>
          <w:spacing w:val="-3"/>
        </w:rPr>
        <w:t xml:space="preserve"> </w:t>
      </w:r>
      <w:r>
        <w:t>Paediatric</w:t>
      </w:r>
      <w:r>
        <w:rPr>
          <w:spacing w:val="-3"/>
        </w:rPr>
        <w:t xml:space="preserve"> </w:t>
      </w:r>
      <w:r>
        <w:t>Neurology</w:t>
      </w:r>
      <w:r>
        <w:rPr>
          <w:spacing w:val="-3"/>
        </w:rPr>
        <w:t xml:space="preserve"> </w:t>
      </w:r>
      <w:r>
        <w:t>Association</w:t>
      </w:r>
      <w:r>
        <w:rPr>
          <w:spacing w:val="-3"/>
        </w:rPr>
        <w:t xml:space="preserve"> </w:t>
      </w:r>
      <w:r>
        <w:t>(BPNA),</w:t>
      </w:r>
      <w:r>
        <w:rPr>
          <w:spacing w:val="-4"/>
        </w:rPr>
        <w:t xml:space="preserve"> </w:t>
      </w:r>
      <w:r>
        <w:t>a key stakeholder, was not given an opportunity to contribute to the discussions, despite repeated requests.</w:t>
      </w:r>
    </w:p>
    <w:p w:rsidR="005C474B" w:rsidRDefault="005C474B" w14:paraId="72A3D3EC" w14:textId="77777777">
      <w:pPr>
        <w:pStyle w:val="BodyText"/>
        <w:spacing w:before="240"/>
        <w:ind w:left="0"/>
      </w:pPr>
    </w:p>
    <w:p w:rsidR="005C474B" w:rsidRDefault="00016B07" w14:paraId="435CD6C1" w14:textId="77777777">
      <w:pPr>
        <w:pStyle w:val="Heading1"/>
        <w:spacing w:before="1"/>
      </w:pPr>
      <w:r>
        <w:t>Ground</w:t>
      </w:r>
      <w:r>
        <w:rPr>
          <w:spacing w:val="-4"/>
        </w:rPr>
        <w:t xml:space="preserve"> </w:t>
      </w:r>
      <w:r>
        <w:t>2:</w:t>
      </w:r>
      <w:r>
        <w:rPr>
          <w:spacing w:val="-4"/>
        </w:rPr>
        <w:t xml:space="preserve"> </w:t>
      </w:r>
      <w:r>
        <w:t>The</w:t>
      </w:r>
      <w:r>
        <w:rPr>
          <w:spacing w:val="-4"/>
        </w:rPr>
        <w:t xml:space="preserve"> </w:t>
      </w:r>
      <w:r>
        <w:t>recommendation</w:t>
      </w:r>
      <w:r>
        <w:rPr>
          <w:spacing w:val="-4"/>
        </w:rPr>
        <w:t xml:space="preserve"> </w:t>
      </w:r>
      <w:r>
        <w:t>is</w:t>
      </w:r>
      <w:r>
        <w:rPr>
          <w:spacing w:val="-4"/>
        </w:rPr>
        <w:t xml:space="preserve"> </w:t>
      </w:r>
      <w:r>
        <w:t>unreasonable</w:t>
      </w:r>
      <w:r>
        <w:rPr>
          <w:spacing w:val="-4"/>
        </w:rPr>
        <w:t xml:space="preserve"> </w:t>
      </w:r>
      <w:r>
        <w:t>in</w:t>
      </w:r>
      <w:r>
        <w:rPr>
          <w:spacing w:val="-4"/>
        </w:rPr>
        <w:t xml:space="preserve"> </w:t>
      </w:r>
      <w:r>
        <w:t>the</w:t>
      </w:r>
      <w:r>
        <w:rPr>
          <w:spacing w:val="-4"/>
        </w:rPr>
        <w:t xml:space="preserve"> </w:t>
      </w:r>
      <w:r>
        <w:t>light</w:t>
      </w:r>
      <w:r>
        <w:rPr>
          <w:spacing w:val="-4"/>
        </w:rPr>
        <w:t xml:space="preserve"> </w:t>
      </w:r>
      <w:r>
        <w:t>of</w:t>
      </w:r>
      <w:r>
        <w:rPr>
          <w:spacing w:val="-4"/>
        </w:rPr>
        <w:t xml:space="preserve"> </w:t>
      </w:r>
      <w:r>
        <w:t>the evidence submitted to NICE</w:t>
      </w:r>
    </w:p>
    <w:p w:rsidR="005C474B" w:rsidRDefault="005C474B" w14:paraId="0D0B940D" w14:textId="77777777">
      <w:pPr>
        <w:pStyle w:val="BodyText"/>
        <w:spacing w:before="194"/>
        <w:ind w:left="0"/>
        <w:rPr>
          <w:b/>
          <w:sz w:val="28"/>
        </w:rPr>
      </w:pPr>
    </w:p>
    <w:p w:rsidR="005C474B" w:rsidRDefault="00016B07" w14:paraId="30D77A72" w14:textId="77777777">
      <w:pPr>
        <w:pStyle w:val="Heading2"/>
        <w:numPr>
          <w:ilvl w:val="1"/>
          <w:numId w:val="2"/>
        </w:numPr>
        <w:tabs>
          <w:tab w:val="left" w:pos="1391"/>
        </w:tabs>
        <w:ind w:right="227" w:firstLine="0"/>
        <w:jc w:val="both"/>
      </w:pPr>
      <w:r>
        <w:t>The Appraisal Committee’s refusal to recommend the use of fenfluramine for treatment</w:t>
      </w:r>
      <w:r>
        <w:rPr>
          <w:spacing w:val="-4"/>
        </w:rPr>
        <w:t xml:space="preserve"> </w:t>
      </w:r>
      <w:r>
        <w:t>of</w:t>
      </w:r>
      <w:r>
        <w:rPr>
          <w:spacing w:val="-4"/>
        </w:rPr>
        <w:t xml:space="preserve"> </w:t>
      </w:r>
      <w:r>
        <w:t>seizures</w:t>
      </w:r>
      <w:r>
        <w:rPr>
          <w:spacing w:val="-4"/>
        </w:rPr>
        <w:t xml:space="preserve"> </w:t>
      </w:r>
      <w:r>
        <w:t>in</w:t>
      </w:r>
      <w:r>
        <w:rPr>
          <w:spacing w:val="-5"/>
        </w:rPr>
        <w:t xml:space="preserve"> </w:t>
      </w:r>
      <w:r>
        <w:t>patients</w:t>
      </w:r>
      <w:r>
        <w:rPr>
          <w:spacing w:val="-4"/>
        </w:rPr>
        <w:t xml:space="preserve"> </w:t>
      </w:r>
      <w:r>
        <w:t>with</w:t>
      </w:r>
      <w:r>
        <w:rPr>
          <w:spacing w:val="-4"/>
        </w:rPr>
        <w:t xml:space="preserve"> </w:t>
      </w:r>
      <w:r>
        <w:t>Lennox-Gastaut</w:t>
      </w:r>
      <w:r>
        <w:rPr>
          <w:spacing w:val="-4"/>
        </w:rPr>
        <w:t xml:space="preserve"> </w:t>
      </w:r>
      <w:r>
        <w:t>syndrome</w:t>
      </w:r>
      <w:r>
        <w:rPr>
          <w:spacing w:val="-4"/>
        </w:rPr>
        <w:t xml:space="preserve"> </w:t>
      </w:r>
      <w:r>
        <w:t>cannot</w:t>
      </w:r>
      <w:r>
        <w:rPr>
          <w:spacing w:val="-4"/>
        </w:rPr>
        <w:t xml:space="preserve"> </w:t>
      </w:r>
      <w:r>
        <w:t>reasonably be justified in the light of the evidence submitted</w:t>
      </w:r>
    </w:p>
    <w:p w:rsidR="005C474B" w:rsidRDefault="005C474B" w14:paraId="0E27B00A" w14:textId="77777777">
      <w:pPr>
        <w:pStyle w:val="BodyText"/>
        <w:spacing w:before="58"/>
        <w:ind w:left="0"/>
        <w:rPr>
          <w:b/>
        </w:rPr>
      </w:pPr>
    </w:p>
    <w:p w:rsidR="005C474B" w:rsidRDefault="00016B07" w14:paraId="29E66CEC" w14:textId="77777777">
      <w:pPr>
        <w:pStyle w:val="BodyText"/>
        <w:ind w:left="1392" w:right="143"/>
      </w:pPr>
      <w:r>
        <w:t>While the Appraisal Committee acknowledges that evidence from a clinical trial shows that people who have fenfluramine have fewer drop seizures per month than people who have standard care without cannabidiol plus clobazam, it deems this evidence insufficient to make a recommendation because there is no direct comparison</w:t>
      </w:r>
      <w:r>
        <w:rPr>
          <w:spacing w:val="-4"/>
        </w:rPr>
        <w:t xml:space="preserve"> </w:t>
      </w:r>
      <w:r>
        <w:t>between</w:t>
      </w:r>
      <w:r>
        <w:rPr>
          <w:spacing w:val="-4"/>
        </w:rPr>
        <w:t xml:space="preserve"> </w:t>
      </w:r>
      <w:r>
        <w:t>fenfluramine</w:t>
      </w:r>
      <w:r>
        <w:rPr>
          <w:spacing w:val="-4"/>
        </w:rPr>
        <w:t xml:space="preserve"> </w:t>
      </w:r>
      <w:r>
        <w:t>and</w:t>
      </w:r>
      <w:r>
        <w:rPr>
          <w:spacing w:val="-4"/>
        </w:rPr>
        <w:t xml:space="preserve"> </w:t>
      </w:r>
      <w:r>
        <w:t>cannabidiol</w:t>
      </w:r>
      <w:r>
        <w:rPr>
          <w:spacing w:val="-4"/>
        </w:rPr>
        <w:t xml:space="preserve"> </w:t>
      </w:r>
      <w:r>
        <w:t>plus</w:t>
      </w:r>
      <w:r>
        <w:rPr>
          <w:spacing w:val="-4"/>
        </w:rPr>
        <w:t xml:space="preserve"> </w:t>
      </w:r>
      <w:r>
        <w:t>clobazam.</w:t>
      </w:r>
      <w:r>
        <w:rPr>
          <w:spacing w:val="-5"/>
        </w:rPr>
        <w:t xml:space="preserve"> </w:t>
      </w:r>
      <w:r>
        <w:t>We</w:t>
      </w:r>
      <w:r>
        <w:rPr>
          <w:spacing w:val="-4"/>
        </w:rPr>
        <w:t xml:space="preserve"> </w:t>
      </w:r>
      <w:r>
        <w:t>are</w:t>
      </w:r>
      <w:r>
        <w:rPr>
          <w:spacing w:val="-4"/>
        </w:rPr>
        <w:t xml:space="preserve"> </w:t>
      </w:r>
      <w:r>
        <w:t>uncertain about the feasibility of such a comparative randomised controlled trial. As clinicians, we find the data from clinical trials suggest the efficacy and tolerability of fenfluramine and cannabidiol plus clobazam comparable. We are uncertain about robustness and conclusion of indirect comparison of data from different RCTs between fenfluramine and cannabidiol plus clobazam and making a recommendation on the basis of this conclusion. We are c</w:t>
      </w:r>
      <w:r>
        <w:t>oncerned the committee may have overlooked nearly 60% reduction during the clinical trial and nearly 50% during OLE in the frequency of generalised tonic-clonic seizures, a key risk factor</w:t>
      </w:r>
      <w:r>
        <w:rPr>
          <w:spacing w:val="40"/>
        </w:rPr>
        <w:t xml:space="preserve"> </w:t>
      </w:r>
      <w:r>
        <w:t>for SUDEP and impairing quality of life. We are also encouraged by the maintenance of comparable reduction in the frequency of drop and non-drop seizures during OLE. The data also shows clinically meaningful improvements in Clinical Global Impression of Improvement (CGI-I) scores during the clinical trial</w:t>
      </w:r>
      <w:r>
        <w:rPr>
          <w:spacing w:val="40"/>
        </w:rPr>
        <w:t xml:space="preserve"> </w:t>
      </w:r>
      <w:r>
        <w:t>and OLE. Thus ov</w:t>
      </w:r>
      <w:r>
        <w:t>erall, the evidence suggests that the efficacy and tolerability of fenfluramine is comparable to that of cannabidiol plus clobazam in treatment of seizures in patients with LGS, and therefore would be a welcome treatment option for these patients with intractable epilepsy. In addition, unlike cannabidiol, fenfluramine does not need co-administration of clobazam, which can have its own tolerability issues.</w:t>
      </w:r>
    </w:p>
    <w:p w:rsidR="005C474B" w:rsidRDefault="005C474B" w14:paraId="60061E4C" w14:textId="77777777">
      <w:pPr>
        <w:sectPr w:rsidR="005C474B">
          <w:pgSz w:w="11910" w:h="16840" w:orient="portrait"/>
          <w:pgMar w:top="760" w:right="1020" w:bottom="1960" w:left="460" w:header="0" w:footer="1743" w:gutter="0"/>
          <w:cols w:space="720"/>
        </w:sectPr>
      </w:pPr>
    </w:p>
    <w:p w:rsidR="005C474B" w:rsidRDefault="00016B07" w14:paraId="2B2A7A39" w14:textId="77777777">
      <w:pPr>
        <w:pStyle w:val="Heading1"/>
        <w:spacing w:before="72"/>
      </w:pPr>
      <w:r>
        <w:rPr>
          <w:spacing w:val="-2"/>
        </w:rPr>
        <w:t>Conclusion</w:t>
      </w:r>
    </w:p>
    <w:p w:rsidR="005C474B" w:rsidRDefault="00016B07" w14:paraId="10C88A08" w14:textId="77777777">
      <w:pPr>
        <w:spacing w:before="61"/>
        <w:ind w:left="672" w:right="94"/>
        <w:rPr>
          <w:sz w:val="24"/>
        </w:rPr>
      </w:pPr>
      <w:r>
        <w:rPr>
          <w:color w:val="202020"/>
          <w:sz w:val="24"/>
        </w:rPr>
        <w:t>In summary, the British Paediatric Neurology Association (BPNA) strongly recommends that</w:t>
      </w:r>
      <w:r>
        <w:rPr>
          <w:color w:val="202020"/>
          <w:spacing w:val="-4"/>
          <w:sz w:val="24"/>
        </w:rPr>
        <w:t xml:space="preserve"> </w:t>
      </w:r>
      <w:r>
        <w:rPr>
          <w:b/>
          <w:sz w:val="24"/>
        </w:rPr>
        <w:t>Fenfluramine</w:t>
      </w:r>
      <w:r>
        <w:rPr>
          <w:b/>
          <w:spacing w:val="-4"/>
          <w:sz w:val="24"/>
        </w:rPr>
        <w:t xml:space="preserve"> </w:t>
      </w:r>
      <w:r>
        <w:rPr>
          <w:b/>
          <w:sz w:val="24"/>
        </w:rPr>
        <w:t>for</w:t>
      </w:r>
      <w:r>
        <w:rPr>
          <w:b/>
          <w:spacing w:val="-4"/>
          <w:sz w:val="24"/>
        </w:rPr>
        <w:t xml:space="preserve"> </w:t>
      </w:r>
      <w:r>
        <w:rPr>
          <w:b/>
          <w:sz w:val="24"/>
        </w:rPr>
        <w:t>treating</w:t>
      </w:r>
      <w:r>
        <w:rPr>
          <w:b/>
          <w:spacing w:val="-5"/>
          <w:sz w:val="24"/>
        </w:rPr>
        <w:t xml:space="preserve"> </w:t>
      </w:r>
      <w:r>
        <w:rPr>
          <w:b/>
          <w:sz w:val="24"/>
        </w:rPr>
        <w:t>seizures</w:t>
      </w:r>
      <w:r>
        <w:rPr>
          <w:b/>
          <w:spacing w:val="-4"/>
          <w:sz w:val="24"/>
        </w:rPr>
        <w:t xml:space="preserve"> </w:t>
      </w:r>
      <w:r>
        <w:rPr>
          <w:b/>
          <w:sz w:val="24"/>
        </w:rPr>
        <w:t>associated</w:t>
      </w:r>
      <w:r>
        <w:rPr>
          <w:b/>
          <w:spacing w:val="-5"/>
          <w:sz w:val="24"/>
        </w:rPr>
        <w:t xml:space="preserve"> </w:t>
      </w:r>
      <w:r>
        <w:rPr>
          <w:b/>
          <w:sz w:val="24"/>
        </w:rPr>
        <w:t>with</w:t>
      </w:r>
      <w:r>
        <w:rPr>
          <w:b/>
          <w:spacing w:val="-5"/>
          <w:sz w:val="24"/>
        </w:rPr>
        <w:t xml:space="preserve"> </w:t>
      </w:r>
      <w:r>
        <w:rPr>
          <w:b/>
          <w:sz w:val="24"/>
        </w:rPr>
        <w:t>Lennox-Gastuat</w:t>
      </w:r>
      <w:r>
        <w:rPr>
          <w:b/>
          <w:spacing w:val="-5"/>
          <w:sz w:val="24"/>
        </w:rPr>
        <w:t xml:space="preserve"> </w:t>
      </w:r>
      <w:r>
        <w:rPr>
          <w:b/>
          <w:sz w:val="24"/>
        </w:rPr>
        <w:t>Syndrome</w:t>
      </w:r>
      <w:r>
        <w:rPr>
          <w:b/>
          <w:spacing w:val="-4"/>
          <w:sz w:val="24"/>
        </w:rPr>
        <w:t xml:space="preserve"> </w:t>
      </w:r>
      <w:r>
        <w:rPr>
          <w:b/>
          <w:sz w:val="24"/>
        </w:rPr>
        <w:t xml:space="preserve">in people 2 years and over (ID1651) </w:t>
      </w:r>
      <w:r>
        <w:rPr>
          <w:color w:val="202020"/>
          <w:sz w:val="24"/>
        </w:rPr>
        <w:t>goes before a third NICE committee meeting with the specific aim of identifying a route for patients to access this treatment.</w:t>
      </w:r>
    </w:p>
    <w:p w:rsidR="005C474B" w:rsidRDefault="005C474B" w14:paraId="44EAFD9C" w14:textId="77777777">
      <w:pPr>
        <w:pStyle w:val="BodyText"/>
        <w:spacing w:before="262"/>
        <w:ind w:left="0"/>
      </w:pPr>
    </w:p>
    <w:p w:rsidR="005C474B" w:rsidRDefault="00016B07" w14:paraId="5CF11C59" w14:textId="77777777">
      <w:pPr>
        <w:pStyle w:val="BodyText"/>
      </w:pPr>
      <w:r w:rsidR="00016B07">
        <w:rPr>
          <w:spacing w:val="-2"/>
        </w:rPr>
        <w:t>Sincerely,</w:t>
      </w:r>
    </w:p>
    <w:p w:rsidR="7E842460" w:rsidP="7E842460" w:rsidRDefault="7E842460" w14:paraId="49863D38" w14:textId="353229BB">
      <w:pPr>
        <w:pStyle w:val="BodyText"/>
        <w:spacing w:before="47"/>
        <w:ind w:left="0"/>
        <w:rPr>
          <w:sz w:val="20"/>
          <w:szCs w:val="20"/>
        </w:rPr>
      </w:pPr>
    </w:p>
    <w:p w:rsidR="7E842460" w:rsidP="7E842460" w:rsidRDefault="7E842460" w14:paraId="691619C3" w14:textId="1DD5706F">
      <w:pPr>
        <w:pStyle w:val="BodyText"/>
        <w:spacing w:before="47"/>
        <w:ind w:left="0"/>
        <w:rPr>
          <w:sz w:val="20"/>
          <w:szCs w:val="20"/>
        </w:rPr>
      </w:pPr>
    </w:p>
    <w:p w:rsidR="7E842460" w:rsidP="7E842460" w:rsidRDefault="7E842460" w14:paraId="5B5B319E" w14:textId="77DFE3D2">
      <w:pPr>
        <w:pStyle w:val="BodyText"/>
        <w:spacing w:before="47"/>
        <w:ind w:left="0"/>
        <w:rPr>
          <w:sz w:val="20"/>
          <w:szCs w:val="20"/>
        </w:rPr>
      </w:pPr>
    </w:p>
    <w:p w:rsidR="005C474B" w:rsidRDefault="00016B07" w14:paraId="7B6A5443" w14:textId="1EAB4DBA">
      <w:pPr>
        <w:pStyle w:val="BodyText"/>
        <w:spacing w:before="47"/>
        <w:ind w:left="0"/>
      </w:pPr>
      <w:r w:rsidRPr="5C31B526" w:rsidR="522303D1">
        <w:rPr>
          <w:color w:val="auto"/>
          <w:sz w:val="20"/>
          <w:szCs w:val="20"/>
          <w:highlight w:val="black"/>
        </w:rPr>
        <w:t>XXXXXXXXXXXX</w:t>
      </w:r>
      <w:r w:rsidRPr="5C31B526" w:rsidR="522303D1">
        <w:rPr>
          <w:color w:val="auto"/>
          <w:sz w:val="20"/>
          <w:szCs w:val="20"/>
        </w:rPr>
        <w:t xml:space="preserve">   </w:t>
      </w:r>
      <w:r w:rsidRPr="5C31B526" w:rsidR="522303D1">
        <w:rPr>
          <w:sz w:val="20"/>
          <w:szCs w:val="20"/>
        </w:rPr>
        <w:t xml:space="preserve">                                </w:t>
      </w:r>
      <w:r>
        <w:tab/>
      </w:r>
      <w:r>
        <w:tab/>
      </w:r>
      <w:r>
        <w:tab/>
      </w:r>
      <w:r w:rsidRPr="5C31B526" w:rsidR="522303D1">
        <w:rPr>
          <w:sz w:val="20"/>
          <w:szCs w:val="20"/>
        </w:rPr>
        <w:t xml:space="preserve"> </w:t>
      </w:r>
      <w:r w:rsidRPr="5C31B526" w:rsidR="522303D1">
        <w:rPr>
          <w:sz w:val="20"/>
          <w:szCs w:val="20"/>
          <w:highlight w:val="black"/>
        </w:rPr>
        <w:t>XXXXXXXXXXXXX</w:t>
      </w:r>
    </w:p>
    <w:p w:rsidR="005C474B" w:rsidRDefault="00016B07" w14:textId="77777777" w14:paraId="5FA687F1">
      <w:pPr>
        <w:pStyle w:val="BodyText"/>
        <w:spacing w:before="47"/>
        <w:ind w:left="0"/>
      </w:pPr>
    </w:p>
    <w:p w:rsidR="005C474B" w:rsidP="7E842460" w:rsidRDefault="00016B07" w14:paraId="17C91F00" w14:textId="7CFB1F58">
      <w:pPr>
        <w:pStyle w:val="BodyText"/>
        <w:suppressLineNumbers w:val="0"/>
        <w:bidi w:val="0"/>
        <w:spacing w:before="47" w:beforeAutospacing="off" w:after="0" w:afterAutospacing="off" w:line="240" w:lineRule="auto"/>
        <w:ind w:left="0" w:right="0"/>
        <w:jc w:val="left"/>
      </w:pPr>
      <w:r w:rsidRPr="7E842460" w:rsidR="522303D1">
        <w:rPr>
          <w:highlight w:val="black"/>
        </w:rPr>
        <w:t>XXXXXXXXX</w:t>
      </w:r>
      <w:r>
        <w:tab/>
      </w:r>
      <w:r>
        <w:tab/>
      </w:r>
      <w:r>
        <w:tab/>
      </w:r>
      <w:r>
        <w:tab/>
      </w:r>
      <w:r>
        <w:tab/>
      </w:r>
      <w:r w:rsidRPr="7E842460" w:rsidR="38D0F567">
        <w:rPr>
          <w:highlight w:val="black"/>
        </w:rPr>
        <w:t>XXXXXXXXXX</w:t>
      </w:r>
    </w:p>
    <w:p w:rsidR="005C474B" w:rsidRDefault="00016B07" w14:paraId="120ECA06" w14:textId="77777777">
      <w:pPr>
        <w:pStyle w:val="BodyText"/>
        <w:tabs>
          <w:tab w:val="left" w:pos="4992"/>
        </w:tabs>
        <w:spacing w:before="2" w:line="275" w:lineRule="exact"/>
      </w:pPr>
      <w:r>
        <w:rPr>
          <w:spacing w:val="-2"/>
        </w:rPr>
        <w:t>Chair</w:t>
      </w:r>
      <w:r>
        <w:tab/>
      </w:r>
      <w:r>
        <w:rPr>
          <w:spacing w:val="-2"/>
        </w:rPr>
        <w:t>President</w:t>
      </w:r>
    </w:p>
    <w:p w:rsidR="005C474B" w:rsidRDefault="00016B07" w14:paraId="7E6E1254" w14:textId="77777777">
      <w:pPr>
        <w:pStyle w:val="BodyText"/>
        <w:tabs>
          <w:tab w:val="left" w:pos="4992"/>
        </w:tabs>
        <w:spacing w:line="275" w:lineRule="exact"/>
      </w:pPr>
      <w:r>
        <w:t>British</w:t>
      </w:r>
      <w:r>
        <w:rPr>
          <w:spacing w:val="-4"/>
        </w:rPr>
        <w:t xml:space="preserve"> </w:t>
      </w:r>
      <w:r>
        <w:t>Paediatric</w:t>
      </w:r>
      <w:r>
        <w:rPr>
          <w:spacing w:val="-2"/>
        </w:rPr>
        <w:t xml:space="preserve"> </w:t>
      </w:r>
      <w:r>
        <w:t>Epilepsy</w:t>
      </w:r>
      <w:r>
        <w:rPr>
          <w:spacing w:val="-2"/>
        </w:rPr>
        <w:t xml:space="preserve"> Group</w:t>
      </w:r>
      <w:r>
        <w:tab/>
      </w:r>
      <w:r>
        <w:t>British</w:t>
      </w:r>
      <w:r>
        <w:rPr>
          <w:spacing w:val="-4"/>
        </w:rPr>
        <w:t xml:space="preserve"> </w:t>
      </w:r>
      <w:r>
        <w:t>Paediatric</w:t>
      </w:r>
      <w:r>
        <w:rPr>
          <w:spacing w:val="-2"/>
        </w:rPr>
        <w:t xml:space="preserve"> </w:t>
      </w:r>
      <w:r>
        <w:t>Neurology</w:t>
      </w:r>
      <w:r>
        <w:rPr>
          <w:spacing w:val="-2"/>
        </w:rPr>
        <w:t xml:space="preserve"> Association</w:t>
      </w:r>
    </w:p>
    <w:sectPr w:rsidR="005C474B">
      <w:pgSz w:w="11910" w:h="16840" w:orient="portrait"/>
      <w:pgMar w:top="760" w:right="1020" w:bottom="1960" w:left="460" w:header="0" w:footer="1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6B07" w:rsidRDefault="00016B07" w14:paraId="2ED057A6" w14:textId="77777777">
      <w:r>
        <w:separator/>
      </w:r>
    </w:p>
  </w:endnote>
  <w:endnote w:type="continuationSeparator" w:id="0">
    <w:p w:rsidR="00016B07" w:rsidRDefault="00016B07" w14:paraId="0D5497D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5C474B" w:rsidRDefault="00016B07" w14:paraId="295D1D12" w14:textId="77777777">
    <w:pPr>
      <w:pStyle w:val="BodyText"/>
      <w:spacing w:line="14" w:lineRule="auto"/>
      <w:ind w:left="0"/>
      <w:rPr>
        <w:sz w:val="20"/>
      </w:rPr>
    </w:pPr>
    <w:r>
      <w:rPr>
        <w:noProof/>
      </w:rPr>
      <mc:AlternateContent>
        <mc:Choice Requires="wps">
          <w:drawing>
            <wp:anchor distT="0" distB="0" distL="0" distR="0" simplePos="0" relativeHeight="487538176" behindDoc="1" locked="0" layoutInCell="1" allowOverlap="1" wp14:anchorId="250CEFDC" wp14:editId="07777777">
              <wp:simplePos x="0" y="0"/>
              <wp:positionH relativeFrom="page">
                <wp:posOffset>776730</wp:posOffset>
              </wp:positionH>
              <wp:positionV relativeFrom="page">
                <wp:posOffset>9424520</wp:posOffset>
              </wp:positionV>
              <wp:extent cx="3110230" cy="6597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0230" cy="659765"/>
                      </a:xfrm>
                      <a:prstGeom prst="rect">
                        <a:avLst/>
                      </a:prstGeom>
                    </wps:spPr>
                    <wps:txbx>
                      <w:txbxContent>
                        <w:p w:rsidR="005C474B" w:rsidRDefault="00016B07" w14:paraId="0C694708" w14:textId="77777777">
                          <w:pPr>
                            <w:spacing w:before="20"/>
                            <w:ind w:left="20"/>
                            <w:rPr>
                              <w:rFonts w:ascii="Calibri"/>
                            </w:rPr>
                          </w:pPr>
                          <w:r>
                            <w:rPr>
                              <w:rFonts w:ascii="Calibri"/>
                              <w:color w:val="1F497D"/>
                            </w:rPr>
                            <w:t>British</w:t>
                          </w:r>
                          <w:r>
                            <w:rPr>
                              <w:rFonts w:ascii="Calibri"/>
                              <w:color w:val="1F497D"/>
                              <w:spacing w:val="-9"/>
                            </w:rPr>
                            <w:t xml:space="preserve"> </w:t>
                          </w:r>
                          <w:r>
                            <w:rPr>
                              <w:rFonts w:ascii="Calibri"/>
                              <w:color w:val="1F497D"/>
                            </w:rPr>
                            <w:t>Paediatric</w:t>
                          </w:r>
                          <w:r>
                            <w:rPr>
                              <w:rFonts w:ascii="Calibri"/>
                              <w:color w:val="1F497D"/>
                              <w:spacing w:val="-9"/>
                            </w:rPr>
                            <w:t xml:space="preserve"> </w:t>
                          </w:r>
                          <w:r>
                            <w:rPr>
                              <w:rFonts w:ascii="Calibri"/>
                              <w:color w:val="1F497D"/>
                            </w:rPr>
                            <w:t>Neurology</w:t>
                          </w:r>
                          <w:r>
                            <w:rPr>
                              <w:rFonts w:ascii="Calibri"/>
                              <w:color w:val="1F497D"/>
                              <w:spacing w:val="-8"/>
                            </w:rPr>
                            <w:t xml:space="preserve"> </w:t>
                          </w:r>
                          <w:r>
                            <w:rPr>
                              <w:rFonts w:ascii="Calibri"/>
                              <w:color w:val="1F497D"/>
                              <w:spacing w:val="-2"/>
                            </w:rPr>
                            <w:t>Association</w:t>
                          </w:r>
                        </w:p>
                        <w:p w:rsidR="005C474B" w:rsidRDefault="00016B07" w14:paraId="773D4454" w14:textId="77777777">
                          <w:pPr>
                            <w:spacing w:before="1" w:line="242" w:lineRule="exact"/>
                            <w:ind w:left="20"/>
                            <w:rPr>
                              <w:rFonts w:ascii="Calibri" w:hAnsi="Calibri"/>
                              <w:sz w:val="20"/>
                            </w:rPr>
                          </w:pPr>
                          <w:r>
                            <w:rPr>
                              <w:rFonts w:ascii="Calibri" w:hAnsi="Calibri"/>
                              <w:color w:val="1F497D"/>
                              <w:sz w:val="20"/>
                            </w:rPr>
                            <w:t>2</w:t>
                          </w:r>
                          <w:r>
                            <w:rPr>
                              <w:rFonts w:ascii="Calibri" w:hAnsi="Calibri"/>
                              <w:color w:val="1F497D"/>
                              <w:spacing w:val="-6"/>
                              <w:sz w:val="20"/>
                            </w:rPr>
                            <w:t xml:space="preserve"> </w:t>
                          </w:r>
                          <w:r>
                            <w:rPr>
                              <w:rFonts w:ascii="Calibri" w:hAnsi="Calibri"/>
                              <w:color w:val="1F497D"/>
                              <w:sz w:val="20"/>
                            </w:rPr>
                            <w:t>St</w:t>
                          </w:r>
                          <w:r>
                            <w:rPr>
                              <w:rFonts w:ascii="Calibri" w:hAnsi="Calibri"/>
                              <w:color w:val="1F497D"/>
                              <w:spacing w:val="-5"/>
                              <w:sz w:val="20"/>
                            </w:rPr>
                            <w:t xml:space="preserve"> </w:t>
                          </w:r>
                          <w:r>
                            <w:rPr>
                              <w:rFonts w:ascii="Calibri" w:hAnsi="Calibri"/>
                              <w:color w:val="1F497D"/>
                              <w:sz w:val="20"/>
                            </w:rPr>
                            <w:t>Andrews,</w:t>
                          </w:r>
                          <w:r>
                            <w:rPr>
                              <w:rFonts w:ascii="Calibri" w:hAnsi="Calibri"/>
                              <w:color w:val="1F497D"/>
                              <w:spacing w:val="-5"/>
                              <w:sz w:val="20"/>
                            </w:rPr>
                            <w:t xml:space="preserve"> </w:t>
                          </w:r>
                          <w:r>
                            <w:rPr>
                              <w:rFonts w:ascii="Calibri" w:hAnsi="Calibri"/>
                              <w:color w:val="1F497D"/>
                              <w:sz w:val="20"/>
                            </w:rPr>
                            <w:t>Regent’s</w:t>
                          </w:r>
                          <w:r>
                            <w:rPr>
                              <w:rFonts w:ascii="Calibri" w:hAnsi="Calibri"/>
                              <w:color w:val="1F497D"/>
                              <w:spacing w:val="-6"/>
                              <w:sz w:val="20"/>
                            </w:rPr>
                            <w:t xml:space="preserve"> </w:t>
                          </w:r>
                          <w:r>
                            <w:rPr>
                              <w:rFonts w:ascii="Calibri" w:hAnsi="Calibri"/>
                              <w:color w:val="1F497D"/>
                              <w:sz w:val="20"/>
                            </w:rPr>
                            <w:t>Park,</w:t>
                          </w:r>
                          <w:r>
                            <w:rPr>
                              <w:rFonts w:ascii="Calibri" w:hAnsi="Calibri"/>
                              <w:color w:val="1F497D"/>
                              <w:spacing w:val="-5"/>
                              <w:sz w:val="20"/>
                            </w:rPr>
                            <w:t xml:space="preserve"> </w:t>
                          </w:r>
                          <w:r>
                            <w:rPr>
                              <w:rFonts w:ascii="Calibri" w:hAnsi="Calibri"/>
                              <w:color w:val="1F497D"/>
                              <w:sz w:val="20"/>
                            </w:rPr>
                            <w:t>London,</w:t>
                          </w:r>
                          <w:r>
                            <w:rPr>
                              <w:rFonts w:ascii="Calibri" w:hAnsi="Calibri"/>
                              <w:color w:val="1F497D"/>
                              <w:spacing w:val="-5"/>
                              <w:sz w:val="20"/>
                            </w:rPr>
                            <w:t xml:space="preserve"> </w:t>
                          </w:r>
                          <w:r>
                            <w:rPr>
                              <w:rFonts w:ascii="Calibri" w:hAnsi="Calibri"/>
                              <w:color w:val="1F497D"/>
                              <w:sz w:val="20"/>
                            </w:rPr>
                            <w:t>NW1</w:t>
                          </w:r>
                          <w:r>
                            <w:rPr>
                              <w:rFonts w:ascii="Calibri" w:hAnsi="Calibri"/>
                              <w:color w:val="1F497D"/>
                              <w:spacing w:val="-5"/>
                              <w:sz w:val="20"/>
                            </w:rPr>
                            <w:t xml:space="preserve"> 4LB</w:t>
                          </w:r>
                        </w:p>
                        <w:p w:rsidR="005C474B" w:rsidRDefault="00016B07" w14:paraId="579C1C16" w14:textId="77777777">
                          <w:pPr>
                            <w:ind w:left="20"/>
                            <w:rPr>
                              <w:rFonts w:ascii="Calibri"/>
                              <w:sz w:val="20"/>
                            </w:rPr>
                          </w:pPr>
                          <w:r>
                            <w:rPr>
                              <w:rFonts w:ascii="Calibri"/>
                              <w:color w:val="1F497D"/>
                              <w:sz w:val="20"/>
                            </w:rPr>
                            <w:t>Telephone: +44 (0)208 037 4747</w:t>
                          </w:r>
                          <w:r>
                            <w:rPr>
                              <w:rFonts w:ascii="Calibri"/>
                              <w:color w:val="1F497D"/>
                              <w:spacing w:val="80"/>
                              <w:sz w:val="20"/>
                            </w:rPr>
                            <w:t xml:space="preserve"> </w:t>
                          </w:r>
                          <w:r>
                            <w:rPr>
                              <w:rFonts w:ascii="Calibri"/>
                              <w:color w:val="1F497D"/>
                              <w:sz w:val="20"/>
                            </w:rPr>
                            <w:t xml:space="preserve">Email: </w:t>
                          </w:r>
                          <w:hyperlink r:id="rId1">
                            <w:r>
                              <w:rPr>
                                <w:rFonts w:ascii="Calibri"/>
                                <w:color w:val="1F497D"/>
                                <w:sz w:val="20"/>
                              </w:rPr>
                              <w:t>info@bpna.org.uk</w:t>
                            </w:r>
                          </w:hyperlink>
                          <w:r>
                            <w:rPr>
                              <w:rFonts w:ascii="Calibri"/>
                              <w:color w:val="1F497D"/>
                              <w:sz w:val="20"/>
                            </w:rPr>
                            <w:t xml:space="preserve"> Charity</w:t>
                          </w:r>
                          <w:r>
                            <w:rPr>
                              <w:rFonts w:ascii="Calibri"/>
                              <w:color w:val="1F497D"/>
                              <w:spacing w:val="-6"/>
                              <w:sz w:val="20"/>
                            </w:rPr>
                            <w:t xml:space="preserve"> </w:t>
                          </w:r>
                          <w:r>
                            <w:rPr>
                              <w:rFonts w:ascii="Calibri"/>
                              <w:color w:val="1F497D"/>
                              <w:sz w:val="20"/>
                            </w:rPr>
                            <w:t>registered</w:t>
                          </w:r>
                          <w:r>
                            <w:rPr>
                              <w:rFonts w:ascii="Calibri"/>
                              <w:color w:val="1F497D"/>
                              <w:spacing w:val="-6"/>
                              <w:sz w:val="20"/>
                            </w:rPr>
                            <w:t xml:space="preserve"> </w:t>
                          </w:r>
                          <w:r>
                            <w:rPr>
                              <w:rFonts w:ascii="Calibri"/>
                              <w:color w:val="1F497D"/>
                              <w:sz w:val="20"/>
                            </w:rPr>
                            <w:t>in</w:t>
                          </w:r>
                          <w:r>
                            <w:rPr>
                              <w:rFonts w:ascii="Calibri"/>
                              <w:color w:val="1F497D"/>
                              <w:spacing w:val="-6"/>
                              <w:sz w:val="20"/>
                            </w:rPr>
                            <w:t xml:space="preserve"> </w:t>
                          </w:r>
                          <w:r>
                            <w:rPr>
                              <w:rFonts w:ascii="Calibri"/>
                              <w:color w:val="1F497D"/>
                              <w:sz w:val="20"/>
                            </w:rPr>
                            <w:t>England</w:t>
                          </w:r>
                          <w:r>
                            <w:rPr>
                              <w:rFonts w:ascii="Calibri"/>
                              <w:color w:val="1F497D"/>
                              <w:spacing w:val="-6"/>
                              <w:sz w:val="20"/>
                            </w:rPr>
                            <w:t xml:space="preserve"> </w:t>
                          </w:r>
                          <w:r>
                            <w:rPr>
                              <w:rFonts w:ascii="Calibri"/>
                              <w:color w:val="1F497D"/>
                              <w:sz w:val="20"/>
                            </w:rPr>
                            <w:t>and</w:t>
                          </w:r>
                          <w:r>
                            <w:rPr>
                              <w:rFonts w:ascii="Calibri"/>
                              <w:color w:val="1F497D"/>
                              <w:spacing w:val="-6"/>
                              <w:sz w:val="20"/>
                            </w:rPr>
                            <w:t xml:space="preserve"> </w:t>
                          </w:r>
                          <w:r>
                            <w:rPr>
                              <w:rFonts w:ascii="Calibri"/>
                              <w:color w:val="1F497D"/>
                              <w:sz w:val="20"/>
                            </w:rPr>
                            <w:t>Wales</w:t>
                          </w:r>
                          <w:r>
                            <w:rPr>
                              <w:rFonts w:ascii="Calibri"/>
                              <w:color w:val="1F497D"/>
                              <w:spacing w:val="-6"/>
                              <w:sz w:val="20"/>
                            </w:rPr>
                            <w:t xml:space="preserve"> </w:t>
                          </w:r>
                          <w:r>
                            <w:rPr>
                              <w:rFonts w:ascii="Calibri"/>
                              <w:color w:val="1F497D"/>
                              <w:sz w:val="20"/>
                            </w:rPr>
                            <w:t>(number:</w:t>
                          </w:r>
                          <w:r>
                            <w:rPr>
                              <w:rFonts w:ascii="Calibri"/>
                              <w:color w:val="1F497D"/>
                              <w:spacing w:val="-6"/>
                              <w:sz w:val="20"/>
                            </w:rPr>
                            <w:t xml:space="preserve"> </w:t>
                          </w:r>
                          <w:r>
                            <w:rPr>
                              <w:rFonts w:ascii="Calibri"/>
                              <w:color w:val="1F497D"/>
                              <w:sz w:val="20"/>
                            </w:rPr>
                            <w:t>1159115)</w:t>
                          </w:r>
                        </w:p>
                      </w:txbxContent>
                    </wps:txbx>
                    <wps:bodyPr wrap="square" lIns="0" tIns="0" rIns="0" bIns="0" rtlCol="0">
                      <a:noAutofit/>
                    </wps:bodyPr>
                  </wps:wsp>
                </a:graphicData>
              </a:graphic>
            </wp:anchor>
          </w:drawing>
        </mc:Choice>
        <mc:Fallback>
          <w:pict w14:anchorId="5D609092">
            <v:shapetype id="_x0000_t202" coordsize="21600,21600" o:spt="202" path="m,l,21600r21600,l21600,xe" w14:anchorId="250CEFDC">
              <v:stroke joinstyle="miter"/>
              <v:path gradientshapeok="t" o:connecttype="rect"/>
            </v:shapetype>
            <v:shape id="Textbox 1" style="position:absolute;margin-left:61.15pt;margin-top:742.1pt;width:244.9pt;height:51.95pt;z-index:-15778304;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">
              <v:textbox inset="0,0,0,0">
                <w:txbxContent>
                  <w:p w:rsidR="005C474B" w:rsidRDefault="00016B07" w14:paraId="59D38687" w14:textId="77777777">
                    <w:pPr>
                      <w:spacing w:before="20"/>
                      <w:ind w:left="20"/>
                      <w:rPr>
                        <w:rFonts w:ascii="Calibri"/>
                      </w:rPr>
                    </w:pPr>
                    <w:r>
                      <w:rPr>
                        <w:rFonts w:ascii="Calibri"/>
                        <w:color w:val="1F497D"/>
                      </w:rPr>
                      <w:t>British</w:t>
                    </w:r>
                    <w:r>
                      <w:rPr>
                        <w:rFonts w:ascii="Calibri"/>
                        <w:color w:val="1F497D"/>
                        <w:spacing w:val="-9"/>
                      </w:rPr>
                      <w:t xml:space="preserve"> </w:t>
                    </w:r>
                    <w:r>
                      <w:rPr>
                        <w:rFonts w:ascii="Calibri"/>
                        <w:color w:val="1F497D"/>
                      </w:rPr>
                      <w:t>Paediatric</w:t>
                    </w:r>
                    <w:r>
                      <w:rPr>
                        <w:rFonts w:ascii="Calibri"/>
                        <w:color w:val="1F497D"/>
                        <w:spacing w:val="-9"/>
                      </w:rPr>
                      <w:t xml:space="preserve"> </w:t>
                    </w:r>
                    <w:r>
                      <w:rPr>
                        <w:rFonts w:ascii="Calibri"/>
                        <w:color w:val="1F497D"/>
                      </w:rPr>
                      <w:t>Neurology</w:t>
                    </w:r>
                    <w:r>
                      <w:rPr>
                        <w:rFonts w:ascii="Calibri"/>
                        <w:color w:val="1F497D"/>
                        <w:spacing w:val="-8"/>
                      </w:rPr>
                      <w:t xml:space="preserve"> </w:t>
                    </w:r>
                    <w:r>
                      <w:rPr>
                        <w:rFonts w:ascii="Calibri"/>
                        <w:color w:val="1F497D"/>
                        <w:spacing w:val="-2"/>
                      </w:rPr>
                      <w:t>Association</w:t>
                    </w:r>
                  </w:p>
                  <w:p w:rsidR="005C474B" w:rsidRDefault="00016B07" w14:paraId="5C524595" w14:textId="77777777">
                    <w:pPr>
                      <w:spacing w:before="1" w:line="242" w:lineRule="exact"/>
                      <w:ind w:left="20"/>
                      <w:rPr>
                        <w:rFonts w:ascii="Calibri" w:hAnsi="Calibri"/>
                        <w:sz w:val="20"/>
                      </w:rPr>
                    </w:pPr>
                    <w:r>
                      <w:rPr>
                        <w:rFonts w:ascii="Calibri" w:hAnsi="Calibri"/>
                        <w:color w:val="1F497D"/>
                        <w:sz w:val="20"/>
                      </w:rPr>
                      <w:t>2</w:t>
                    </w:r>
                    <w:r>
                      <w:rPr>
                        <w:rFonts w:ascii="Calibri" w:hAnsi="Calibri"/>
                        <w:color w:val="1F497D"/>
                        <w:spacing w:val="-6"/>
                        <w:sz w:val="20"/>
                      </w:rPr>
                      <w:t xml:space="preserve"> </w:t>
                    </w:r>
                    <w:r>
                      <w:rPr>
                        <w:rFonts w:ascii="Calibri" w:hAnsi="Calibri"/>
                        <w:color w:val="1F497D"/>
                        <w:sz w:val="20"/>
                      </w:rPr>
                      <w:t>St</w:t>
                    </w:r>
                    <w:r>
                      <w:rPr>
                        <w:rFonts w:ascii="Calibri" w:hAnsi="Calibri"/>
                        <w:color w:val="1F497D"/>
                        <w:spacing w:val="-5"/>
                        <w:sz w:val="20"/>
                      </w:rPr>
                      <w:t xml:space="preserve"> </w:t>
                    </w:r>
                    <w:r>
                      <w:rPr>
                        <w:rFonts w:ascii="Calibri" w:hAnsi="Calibri"/>
                        <w:color w:val="1F497D"/>
                        <w:sz w:val="20"/>
                      </w:rPr>
                      <w:t>Andrews,</w:t>
                    </w:r>
                    <w:r>
                      <w:rPr>
                        <w:rFonts w:ascii="Calibri" w:hAnsi="Calibri"/>
                        <w:color w:val="1F497D"/>
                        <w:spacing w:val="-5"/>
                        <w:sz w:val="20"/>
                      </w:rPr>
                      <w:t xml:space="preserve"> </w:t>
                    </w:r>
                    <w:r>
                      <w:rPr>
                        <w:rFonts w:ascii="Calibri" w:hAnsi="Calibri"/>
                        <w:color w:val="1F497D"/>
                        <w:sz w:val="20"/>
                      </w:rPr>
                      <w:t>Regent’s</w:t>
                    </w:r>
                    <w:r>
                      <w:rPr>
                        <w:rFonts w:ascii="Calibri" w:hAnsi="Calibri"/>
                        <w:color w:val="1F497D"/>
                        <w:spacing w:val="-6"/>
                        <w:sz w:val="20"/>
                      </w:rPr>
                      <w:t xml:space="preserve"> </w:t>
                    </w:r>
                    <w:r>
                      <w:rPr>
                        <w:rFonts w:ascii="Calibri" w:hAnsi="Calibri"/>
                        <w:color w:val="1F497D"/>
                        <w:sz w:val="20"/>
                      </w:rPr>
                      <w:t>Park,</w:t>
                    </w:r>
                    <w:r>
                      <w:rPr>
                        <w:rFonts w:ascii="Calibri" w:hAnsi="Calibri"/>
                        <w:color w:val="1F497D"/>
                        <w:spacing w:val="-5"/>
                        <w:sz w:val="20"/>
                      </w:rPr>
                      <w:t xml:space="preserve"> </w:t>
                    </w:r>
                    <w:r>
                      <w:rPr>
                        <w:rFonts w:ascii="Calibri" w:hAnsi="Calibri"/>
                        <w:color w:val="1F497D"/>
                        <w:sz w:val="20"/>
                      </w:rPr>
                      <w:t>London,</w:t>
                    </w:r>
                    <w:r>
                      <w:rPr>
                        <w:rFonts w:ascii="Calibri" w:hAnsi="Calibri"/>
                        <w:color w:val="1F497D"/>
                        <w:spacing w:val="-5"/>
                        <w:sz w:val="20"/>
                      </w:rPr>
                      <w:t xml:space="preserve"> </w:t>
                    </w:r>
                    <w:r>
                      <w:rPr>
                        <w:rFonts w:ascii="Calibri" w:hAnsi="Calibri"/>
                        <w:color w:val="1F497D"/>
                        <w:sz w:val="20"/>
                      </w:rPr>
                      <w:t>NW1</w:t>
                    </w:r>
                    <w:r>
                      <w:rPr>
                        <w:rFonts w:ascii="Calibri" w:hAnsi="Calibri"/>
                        <w:color w:val="1F497D"/>
                        <w:spacing w:val="-5"/>
                        <w:sz w:val="20"/>
                      </w:rPr>
                      <w:t xml:space="preserve"> 4LB</w:t>
                    </w:r>
                  </w:p>
                  <w:p w:rsidR="005C474B" w:rsidRDefault="00016B07" w14:paraId="3AEEED66" w14:textId="77777777">
                    <w:pPr>
                      <w:ind w:left="20"/>
                      <w:rPr>
                        <w:rFonts w:ascii="Calibri"/>
                        <w:sz w:val="20"/>
                      </w:rPr>
                    </w:pPr>
                    <w:r>
                      <w:rPr>
                        <w:rFonts w:ascii="Calibri"/>
                        <w:color w:val="1F497D"/>
                        <w:sz w:val="20"/>
                      </w:rPr>
                      <w:t>Telephone: +44 (0)208 037 4747</w:t>
                    </w:r>
                    <w:r>
                      <w:rPr>
                        <w:rFonts w:ascii="Calibri"/>
                        <w:color w:val="1F497D"/>
                        <w:spacing w:val="80"/>
                        <w:sz w:val="20"/>
                      </w:rPr>
                      <w:t xml:space="preserve"> </w:t>
                    </w:r>
                    <w:r>
                      <w:rPr>
                        <w:rFonts w:ascii="Calibri"/>
                        <w:color w:val="1F497D"/>
                        <w:sz w:val="20"/>
                      </w:rPr>
                      <w:t xml:space="preserve">Email: </w:t>
                    </w:r>
                    <w:hyperlink r:id="rId2">
                      <w:r>
                        <w:rPr>
                          <w:rFonts w:ascii="Calibri"/>
                          <w:color w:val="1F497D"/>
                          <w:sz w:val="20"/>
                        </w:rPr>
                        <w:t>info@bpna.org.uk</w:t>
                      </w:r>
                    </w:hyperlink>
                    <w:r>
                      <w:rPr>
                        <w:rFonts w:ascii="Calibri"/>
                        <w:color w:val="1F497D"/>
                        <w:sz w:val="20"/>
                      </w:rPr>
                      <w:t xml:space="preserve"> Charity</w:t>
                    </w:r>
                    <w:r>
                      <w:rPr>
                        <w:rFonts w:ascii="Calibri"/>
                        <w:color w:val="1F497D"/>
                        <w:spacing w:val="-6"/>
                        <w:sz w:val="20"/>
                      </w:rPr>
                      <w:t xml:space="preserve"> </w:t>
                    </w:r>
                    <w:r>
                      <w:rPr>
                        <w:rFonts w:ascii="Calibri"/>
                        <w:color w:val="1F497D"/>
                        <w:sz w:val="20"/>
                      </w:rPr>
                      <w:t>registered</w:t>
                    </w:r>
                    <w:r>
                      <w:rPr>
                        <w:rFonts w:ascii="Calibri"/>
                        <w:color w:val="1F497D"/>
                        <w:spacing w:val="-6"/>
                        <w:sz w:val="20"/>
                      </w:rPr>
                      <w:t xml:space="preserve"> </w:t>
                    </w:r>
                    <w:r>
                      <w:rPr>
                        <w:rFonts w:ascii="Calibri"/>
                        <w:color w:val="1F497D"/>
                        <w:sz w:val="20"/>
                      </w:rPr>
                      <w:t>in</w:t>
                    </w:r>
                    <w:r>
                      <w:rPr>
                        <w:rFonts w:ascii="Calibri"/>
                        <w:color w:val="1F497D"/>
                        <w:spacing w:val="-6"/>
                        <w:sz w:val="20"/>
                      </w:rPr>
                      <w:t xml:space="preserve"> </w:t>
                    </w:r>
                    <w:r>
                      <w:rPr>
                        <w:rFonts w:ascii="Calibri"/>
                        <w:color w:val="1F497D"/>
                        <w:sz w:val="20"/>
                      </w:rPr>
                      <w:t>England</w:t>
                    </w:r>
                    <w:r>
                      <w:rPr>
                        <w:rFonts w:ascii="Calibri"/>
                        <w:color w:val="1F497D"/>
                        <w:spacing w:val="-6"/>
                        <w:sz w:val="20"/>
                      </w:rPr>
                      <w:t xml:space="preserve"> </w:t>
                    </w:r>
                    <w:r>
                      <w:rPr>
                        <w:rFonts w:ascii="Calibri"/>
                        <w:color w:val="1F497D"/>
                        <w:sz w:val="20"/>
                      </w:rPr>
                      <w:t>and</w:t>
                    </w:r>
                    <w:r>
                      <w:rPr>
                        <w:rFonts w:ascii="Calibri"/>
                        <w:color w:val="1F497D"/>
                        <w:spacing w:val="-6"/>
                        <w:sz w:val="20"/>
                      </w:rPr>
                      <w:t xml:space="preserve"> </w:t>
                    </w:r>
                    <w:r>
                      <w:rPr>
                        <w:rFonts w:ascii="Calibri"/>
                        <w:color w:val="1F497D"/>
                        <w:sz w:val="20"/>
                      </w:rPr>
                      <w:t>Wales</w:t>
                    </w:r>
                    <w:r>
                      <w:rPr>
                        <w:rFonts w:ascii="Calibri"/>
                        <w:color w:val="1F497D"/>
                        <w:spacing w:val="-6"/>
                        <w:sz w:val="20"/>
                      </w:rPr>
                      <w:t xml:space="preserve"> </w:t>
                    </w:r>
                    <w:r>
                      <w:rPr>
                        <w:rFonts w:ascii="Calibri"/>
                        <w:color w:val="1F497D"/>
                        <w:sz w:val="20"/>
                      </w:rPr>
                      <w:t>(number:</w:t>
                    </w:r>
                    <w:r>
                      <w:rPr>
                        <w:rFonts w:ascii="Calibri"/>
                        <w:color w:val="1F497D"/>
                        <w:spacing w:val="-6"/>
                        <w:sz w:val="20"/>
                      </w:rPr>
                      <w:t xml:space="preserve"> </w:t>
                    </w:r>
                    <w:r>
                      <w:rPr>
                        <w:rFonts w:ascii="Calibri"/>
                        <w:color w:val="1F497D"/>
                        <w:sz w:val="20"/>
                      </w:rPr>
                      <w:t>1159115)</w:t>
                    </w:r>
                  </w:p>
                </w:txbxContent>
              </v:textbox>
              <w10:wrap anchorx="page" anchory="page"/>
            </v:shape>
          </w:pict>
        </mc:Fallback>
      </mc:AlternateContent>
    </w:r>
    <w:r>
      <w:rPr>
        <w:noProof/>
      </w:rPr>
      <mc:AlternateContent>
        <mc:Choice Requires="wps">
          <w:drawing>
            <wp:anchor distT="0" distB="0" distL="0" distR="0" simplePos="0" relativeHeight="487538688" behindDoc="1" locked="0" layoutInCell="1" allowOverlap="1" wp14:anchorId="7B5B9B65" wp14:editId="07777777">
              <wp:simplePos x="0" y="0"/>
              <wp:positionH relativeFrom="page">
                <wp:posOffset>5046678</wp:posOffset>
              </wp:positionH>
              <wp:positionV relativeFrom="page">
                <wp:posOffset>9749957</wp:posOffset>
              </wp:positionV>
              <wp:extent cx="1876425" cy="3346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334645"/>
                      </a:xfrm>
                      <a:prstGeom prst="rect">
                        <a:avLst/>
                      </a:prstGeom>
                    </wps:spPr>
                    <wps:txbx>
                      <w:txbxContent>
                        <w:p w:rsidR="005C474B" w:rsidRDefault="00016B07" w14:paraId="71F4E69B" w14:textId="77777777">
                          <w:pPr>
                            <w:spacing w:before="18"/>
                            <w:ind w:left="20"/>
                            <w:rPr>
                              <w:rFonts w:ascii="Calibri"/>
                              <w:sz w:val="40"/>
                            </w:rPr>
                          </w:pPr>
                          <w:hyperlink r:id="rId3">
                            <w:r>
                              <w:rPr>
                                <w:rFonts w:ascii="Calibri"/>
                                <w:color w:val="E36C0A"/>
                                <w:spacing w:val="-2"/>
                                <w:sz w:val="40"/>
                              </w:rPr>
                              <w:t>www.bpna.org.uk</w:t>
                            </w:r>
                          </w:hyperlink>
                        </w:p>
                      </w:txbxContent>
                    </wps:txbx>
                    <wps:bodyPr wrap="square" lIns="0" tIns="0" rIns="0" bIns="0" rtlCol="0">
                      <a:noAutofit/>
                    </wps:bodyPr>
                  </wps:wsp>
                </a:graphicData>
              </a:graphic>
            </wp:anchor>
          </w:drawing>
        </mc:Choice>
        <mc:Fallback>
          <w:pict w14:anchorId="5B7E665D">
            <v:shape id="Textbox 2" style="position:absolute;margin-left:397.4pt;margin-top:767.7pt;width:147.75pt;height:26.35pt;z-index:-15777792;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" w14:anchorId="7B5B9B65">
              <v:textbox inset="0,0,0,0">
                <w:txbxContent>
                  <w:p w:rsidR="005C474B" w:rsidRDefault="00016B07" w14:paraId="4E0E0B65" w14:textId="77777777">
                    <w:pPr>
                      <w:spacing w:before="18"/>
                      <w:ind w:left="20"/>
                      <w:rPr>
                        <w:rFonts w:ascii="Calibri"/>
                        <w:sz w:val="40"/>
                      </w:rPr>
                    </w:pPr>
                    <w:hyperlink r:id="rId4">
                      <w:r>
                        <w:rPr>
                          <w:rFonts w:ascii="Calibri"/>
                          <w:color w:val="E36C0A"/>
                          <w:spacing w:val="-2"/>
                          <w:sz w:val="40"/>
                        </w:rPr>
                        <w:t>www.bpna.org.uk</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6B07" w:rsidRDefault="00016B07" w14:paraId="6E607B69" w14:textId="77777777">
      <w:r>
        <w:separator/>
      </w:r>
    </w:p>
  </w:footnote>
  <w:footnote w:type="continuationSeparator" w:id="0">
    <w:p w:rsidR="00016B07" w:rsidRDefault="00016B07" w14:paraId="75B00F1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5C537D"/>
    <w:multiLevelType w:val="multilevel"/>
    <w:tmpl w:val="8584B7D4"/>
    <w:lvl w:ilvl="0">
      <w:start w:val="2"/>
      <w:numFmt w:val="decimal"/>
      <w:lvlText w:val="%1"/>
      <w:lvlJc w:val="left"/>
      <w:pPr>
        <w:ind w:left="672" w:hanging="201"/>
        <w:jc w:val="left"/>
      </w:pPr>
      <w:rPr>
        <w:rFonts w:hint="default" w:ascii="Arial" w:hAnsi="Arial" w:eastAsia="Arial" w:cs="Arial"/>
        <w:b w:val="0"/>
        <w:bCs w:val="0"/>
        <w:i w:val="0"/>
        <w:iCs w:val="0"/>
        <w:spacing w:val="0"/>
        <w:w w:val="100"/>
        <w:sz w:val="24"/>
        <w:szCs w:val="24"/>
        <w:lang w:val="en-US" w:eastAsia="en-US" w:bidi="ar-SA"/>
      </w:rPr>
    </w:lvl>
    <w:lvl w:ilvl="1">
      <w:start w:val="1"/>
      <w:numFmt w:val="decimal"/>
      <w:lvlText w:val="%1.%2"/>
      <w:lvlJc w:val="left"/>
      <w:pPr>
        <w:ind w:left="672" w:hanging="720"/>
        <w:jc w:val="left"/>
      </w:pPr>
      <w:rPr>
        <w:rFonts w:hint="default" w:ascii="Arial" w:hAnsi="Arial" w:eastAsia="Arial" w:cs="Arial"/>
        <w:b/>
        <w:bCs/>
        <w:i w:val="0"/>
        <w:iCs w:val="0"/>
        <w:spacing w:val="0"/>
        <w:w w:val="100"/>
        <w:sz w:val="24"/>
        <w:szCs w:val="24"/>
        <w:lang w:val="en-US" w:eastAsia="en-US" w:bidi="ar-SA"/>
      </w:rPr>
    </w:lvl>
    <w:lvl w:ilvl="2">
      <w:numFmt w:val="bullet"/>
      <w:lvlText w:val="•"/>
      <w:lvlJc w:val="left"/>
      <w:pPr>
        <w:ind w:left="2628" w:hanging="720"/>
      </w:pPr>
      <w:rPr>
        <w:rFonts w:hint="default"/>
        <w:lang w:val="en-US" w:eastAsia="en-US" w:bidi="ar-SA"/>
      </w:rPr>
    </w:lvl>
    <w:lvl w:ilvl="3">
      <w:numFmt w:val="bullet"/>
      <w:lvlText w:val="•"/>
      <w:lvlJc w:val="left"/>
      <w:pPr>
        <w:ind w:left="3603" w:hanging="720"/>
      </w:pPr>
      <w:rPr>
        <w:rFonts w:hint="default"/>
        <w:lang w:val="en-US" w:eastAsia="en-US" w:bidi="ar-SA"/>
      </w:rPr>
    </w:lvl>
    <w:lvl w:ilvl="4">
      <w:numFmt w:val="bullet"/>
      <w:lvlText w:val="•"/>
      <w:lvlJc w:val="left"/>
      <w:pPr>
        <w:ind w:left="4577" w:hanging="720"/>
      </w:pPr>
      <w:rPr>
        <w:rFonts w:hint="default"/>
        <w:lang w:val="en-US" w:eastAsia="en-US" w:bidi="ar-SA"/>
      </w:rPr>
    </w:lvl>
    <w:lvl w:ilvl="5">
      <w:numFmt w:val="bullet"/>
      <w:lvlText w:val="•"/>
      <w:lvlJc w:val="left"/>
      <w:pPr>
        <w:ind w:left="5552" w:hanging="720"/>
      </w:pPr>
      <w:rPr>
        <w:rFonts w:hint="default"/>
        <w:lang w:val="en-US" w:eastAsia="en-US" w:bidi="ar-SA"/>
      </w:rPr>
    </w:lvl>
    <w:lvl w:ilvl="6">
      <w:numFmt w:val="bullet"/>
      <w:lvlText w:val="•"/>
      <w:lvlJc w:val="left"/>
      <w:pPr>
        <w:ind w:left="6526" w:hanging="720"/>
      </w:pPr>
      <w:rPr>
        <w:rFonts w:hint="default"/>
        <w:lang w:val="en-US" w:eastAsia="en-US" w:bidi="ar-SA"/>
      </w:rPr>
    </w:lvl>
    <w:lvl w:ilvl="7">
      <w:numFmt w:val="bullet"/>
      <w:lvlText w:val="•"/>
      <w:lvlJc w:val="left"/>
      <w:pPr>
        <w:ind w:left="7500" w:hanging="720"/>
      </w:pPr>
      <w:rPr>
        <w:rFonts w:hint="default"/>
        <w:lang w:val="en-US" w:eastAsia="en-US" w:bidi="ar-SA"/>
      </w:rPr>
    </w:lvl>
    <w:lvl w:ilvl="8">
      <w:numFmt w:val="bullet"/>
      <w:lvlText w:val="•"/>
      <w:lvlJc w:val="left"/>
      <w:pPr>
        <w:ind w:left="8475" w:hanging="720"/>
      </w:pPr>
      <w:rPr>
        <w:rFonts w:hint="default"/>
        <w:lang w:val="en-US" w:eastAsia="en-US" w:bidi="ar-SA"/>
      </w:rPr>
    </w:lvl>
  </w:abstractNum>
  <w:abstractNum w:abstractNumId="1" w15:restartNumberingAfterBreak="0">
    <w:nsid w:val="6EDFEFB5"/>
    <w:multiLevelType w:val="hybridMultilevel"/>
    <w:tmpl w:val="FFFFFFFF"/>
    <w:lvl w:ilvl="0" w:tplc="1218902C">
      <w:numFmt w:val="bullet"/>
      <w:lvlText w:val=""/>
      <w:lvlJc w:val="left"/>
      <w:pPr>
        <w:ind w:left="1032" w:hanging="360"/>
      </w:pPr>
      <w:rPr>
        <w:rFonts w:hint="default" w:ascii="Symbol" w:hAnsi="Symbol" w:eastAsia="Symbol" w:cs="Symbol"/>
        <w:b w:val="0"/>
        <w:bCs w:val="0"/>
        <w:i w:val="0"/>
        <w:iCs w:val="0"/>
        <w:spacing w:val="0"/>
        <w:w w:val="100"/>
        <w:sz w:val="24"/>
        <w:szCs w:val="24"/>
        <w:lang w:val="en-US" w:eastAsia="en-US" w:bidi="ar-SA"/>
      </w:rPr>
    </w:lvl>
    <w:lvl w:ilvl="1" w:tplc="55CC03F2">
      <w:numFmt w:val="bullet"/>
      <w:lvlText w:val="•"/>
      <w:lvlJc w:val="left"/>
      <w:pPr>
        <w:ind w:left="1978" w:hanging="360"/>
      </w:pPr>
      <w:rPr>
        <w:rFonts w:hint="default"/>
        <w:lang w:val="en-US" w:eastAsia="en-US" w:bidi="ar-SA"/>
      </w:rPr>
    </w:lvl>
    <w:lvl w:ilvl="2" w:tplc="C0E4737E">
      <w:numFmt w:val="bullet"/>
      <w:lvlText w:val="•"/>
      <w:lvlJc w:val="left"/>
      <w:pPr>
        <w:ind w:left="2916" w:hanging="360"/>
      </w:pPr>
      <w:rPr>
        <w:rFonts w:hint="default"/>
        <w:lang w:val="en-US" w:eastAsia="en-US" w:bidi="ar-SA"/>
      </w:rPr>
    </w:lvl>
    <w:lvl w:ilvl="3" w:tplc="16FAB44A">
      <w:numFmt w:val="bullet"/>
      <w:lvlText w:val="•"/>
      <w:lvlJc w:val="left"/>
      <w:pPr>
        <w:ind w:left="3855" w:hanging="360"/>
      </w:pPr>
      <w:rPr>
        <w:rFonts w:hint="default"/>
        <w:lang w:val="en-US" w:eastAsia="en-US" w:bidi="ar-SA"/>
      </w:rPr>
    </w:lvl>
    <w:lvl w:ilvl="4" w:tplc="132859DA">
      <w:numFmt w:val="bullet"/>
      <w:lvlText w:val="•"/>
      <w:lvlJc w:val="left"/>
      <w:pPr>
        <w:ind w:left="4793" w:hanging="360"/>
      </w:pPr>
      <w:rPr>
        <w:rFonts w:hint="default"/>
        <w:lang w:val="en-US" w:eastAsia="en-US" w:bidi="ar-SA"/>
      </w:rPr>
    </w:lvl>
    <w:lvl w:ilvl="5" w:tplc="519C40E4">
      <w:numFmt w:val="bullet"/>
      <w:lvlText w:val="•"/>
      <w:lvlJc w:val="left"/>
      <w:pPr>
        <w:ind w:left="5732" w:hanging="360"/>
      </w:pPr>
      <w:rPr>
        <w:rFonts w:hint="default"/>
        <w:lang w:val="en-US" w:eastAsia="en-US" w:bidi="ar-SA"/>
      </w:rPr>
    </w:lvl>
    <w:lvl w:ilvl="6" w:tplc="E69C6E56">
      <w:numFmt w:val="bullet"/>
      <w:lvlText w:val="•"/>
      <w:lvlJc w:val="left"/>
      <w:pPr>
        <w:ind w:left="6670" w:hanging="360"/>
      </w:pPr>
      <w:rPr>
        <w:rFonts w:hint="default"/>
        <w:lang w:val="en-US" w:eastAsia="en-US" w:bidi="ar-SA"/>
      </w:rPr>
    </w:lvl>
    <w:lvl w:ilvl="7" w:tplc="7384EC6A">
      <w:numFmt w:val="bullet"/>
      <w:lvlText w:val="•"/>
      <w:lvlJc w:val="left"/>
      <w:pPr>
        <w:ind w:left="7608" w:hanging="360"/>
      </w:pPr>
      <w:rPr>
        <w:rFonts w:hint="default"/>
        <w:lang w:val="en-US" w:eastAsia="en-US" w:bidi="ar-SA"/>
      </w:rPr>
    </w:lvl>
    <w:lvl w:ilvl="8" w:tplc="228251FC">
      <w:numFmt w:val="bullet"/>
      <w:lvlText w:val="•"/>
      <w:lvlJc w:val="left"/>
      <w:pPr>
        <w:ind w:left="8547" w:hanging="360"/>
      </w:pPr>
      <w:rPr>
        <w:rFonts w:hint="default"/>
        <w:lang w:val="en-US" w:eastAsia="en-US" w:bidi="ar-SA"/>
      </w:rPr>
    </w:lvl>
  </w:abstractNum>
  <w:num w:numId="1" w16cid:durableId="380593653">
    <w:abstractNumId w:val="1"/>
  </w:num>
  <w:num w:numId="2" w16cid:durableId="127409392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298955E"/>
    <w:rsid w:val="00016B07"/>
    <w:rsid w:val="005C474B"/>
    <w:rsid w:val="00A509BB"/>
    <w:rsid w:val="1A5ECF4B"/>
    <w:rsid w:val="38D0F567"/>
    <w:rsid w:val="4298955E"/>
    <w:rsid w:val="522303D1"/>
    <w:rsid w:val="55990306"/>
    <w:rsid w:val="5C31B526"/>
    <w:rsid w:val="7E8424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3D1E10A"/>
  <w15:docId w15:val="{3F9AA0DB-1DD5-4B8B-AC17-03DB629F2D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672"/>
      <w:outlineLvl w:val="0"/>
    </w:pPr>
    <w:rPr>
      <w:b/>
      <w:bCs/>
      <w:sz w:val="28"/>
      <w:szCs w:val="28"/>
    </w:rPr>
  </w:style>
  <w:style w:type="paragraph" w:styleId="Heading2">
    <w:name w:val="heading 2"/>
    <w:basedOn w:val="Normal"/>
    <w:uiPriority w:val="9"/>
    <w:unhideWhenUsed/>
    <w:qFormat/>
    <w:pPr>
      <w:ind w:left="672"/>
      <w:outlineLvl w:val="1"/>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672"/>
    </w:pPr>
    <w:rPr>
      <w:sz w:val="24"/>
      <w:szCs w:val="24"/>
    </w:rPr>
  </w:style>
  <w:style w:type="paragraph" w:styleId="Title">
    <w:name w:val="Title"/>
    <w:basedOn w:val="Normal"/>
    <w:uiPriority w:val="10"/>
    <w:qFormat/>
    <w:pPr>
      <w:spacing w:before="18"/>
      <w:ind w:left="20"/>
    </w:pPr>
    <w:rPr>
      <w:rFonts w:ascii="Calibri" w:hAnsi="Calibri" w:eastAsia="Calibri" w:cs="Calibri"/>
      <w:sz w:val="40"/>
      <w:szCs w:val="40"/>
    </w:rPr>
  </w:style>
  <w:style w:type="paragraph" w:styleId="ListParagraph">
    <w:name w:val="List Paragraph"/>
    <w:basedOn w:val="Normal"/>
    <w:uiPriority w:val="1"/>
    <w:qFormat/>
    <w:pPr>
      <w:spacing w:line="293" w:lineRule="exact"/>
      <w:ind w:left="672" w:hanging="360"/>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3" Type="http://schemas.openxmlformats.org/officeDocument/2006/relationships/hyperlink" Target="http://www.bpna.org.uk/" TargetMode="External"/><Relationship Id="rId2" Type="http://schemas.openxmlformats.org/officeDocument/2006/relationships/hyperlink" Target="mailto:info@bpna.org.uk" TargetMode="External"/><Relationship Id="rId1" Type="http://schemas.openxmlformats.org/officeDocument/2006/relationships/hyperlink" Target="mailto:info@bpna.org.uk" TargetMode="External"/><Relationship Id="rId4" Type="http://schemas.openxmlformats.org/officeDocument/2006/relationships/hyperlink" Target="http://www.bpn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2EC9F8-85D8-4BEA-B720-D00F3EAF2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F56D8E-75A9-4AA0-9C63-43DF9DC795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B00A9E-BF91-466D-BD95-88C16DEED8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Lyn Davies</lastModifiedBy>
  <revision>3</revision>
  <dcterms:created xsi:type="dcterms:W3CDTF">2024-08-27T09:46:00.0000000Z</dcterms:created>
  <dcterms:modified xsi:type="dcterms:W3CDTF">2024-08-27T09:48:51.3708640Z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2024-05-02T00:00:00Z</vt:filetime>
  </property>
  <property fmtid="{D5CDD505-2E9C-101B-9397-08002B2CF9AE}" pid="3" name="LastSaved">
    <vt:filetime>2024-08-21T00:00:00Z</vt:filetime>
  </property>
  <property fmtid="{D5CDD505-2E9C-101B-9397-08002B2CF9AE}" pid="4" name="Producer">
    <vt:lpwstr>macOS Version 14.4.1 (Build 23E224) Quartz PDFContext</vt:lpwstr>
  </property>
  <property fmtid="{D5CDD505-2E9C-101B-9397-08002B2CF9AE}" pid="5" name="ContentTypeId">
    <vt:lpwstr>0x0101003300E5E64B980D458C754FFE05DEE26D</vt:lpwstr>
  </property>
  <property fmtid="{D5CDD505-2E9C-101B-9397-08002B2CF9AE}" pid="6" name="MSIP_Label_c69d85d5-6d9e-4305-a294-1f636ec0f2d6_Enabled">
    <vt:lpwstr>true</vt:lpwstr>
  </property>
  <property fmtid="{D5CDD505-2E9C-101B-9397-08002B2CF9AE}" pid="7" name="MSIP_Label_c69d85d5-6d9e-4305-a294-1f636ec0f2d6_SetDate">
    <vt:lpwstr>2024-08-27T09:46:58Z</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iteId">
    <vt:lpwstr>6030f479-b342-472d-a5dd-740ff7538de9</vt:lpwstr>
  </property>
  <property fmtid="{D5CDD505-2E9C-101B-9397-08002B2CF9AE}" pid="11" name="MSIP_Label_c69d85d5-6d9e-4305-a294-1f636ec0f2d6_ActionId">
    <vt:lpwstr>f76022a8-d387-42c8-b777-d21b521a18a2</vt:lpwstr>
  </property>
  <property fmtid="{D5CDD505-2E9C-101B-9397-08002B2CF9AE}" pid="12" name="MSIP_Label_c69d85d5-6d9e-4305-a294-1f636ec0f2d6_ContentBits">
    <vt:lpwstr>0</vt:lpwstr>
  </property>
</Properties>
</file>